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group-5e279e7ac69ecf132365</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Generalized Design Methodology for Dual-Arm Robotic Platforms: From Conceptualization to Experimental Validation Within the MANiBOT Framework — https://doi.org/10.3390/machines14010074</w:t>
      </w:r>
    </w:p>
    <w:p>
      <w:pPr/>
      <w:r>
        <w:rPr>
          <w:b/>
        </w:rPr>
        <w:t>Later source:</w:t>
      </w:r>
      <w:r>
        <w:t xml:space="preserve"> Consensus research priorities for cancer nursing in Europe: A Delphi study — https://doi.org/10.1016/j.ejon.2026.103102</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group-152913120218f7951d99</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The impact of population ageing on temperature-related mortality projections in the Czech Republic — https://doi.org/10.1088/2752-5295/aea925</w:t>
      </w:r>
    </w:p>
    <w:p>
      <w:pPr/>
      <w:r>
        <w:rPr>
          <w:b/>
        </w:rPr>
        <w:t>Later source:</w:t>
      </w:r>
      <w:r>
        <w:t xml:space="preserve"> Spatiotemporal dynamics of leptospirosis in Europe: a retrospective observational study with prospective projections — https://doi.org/10.1016/j.lanepe.2026.101671</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group-a45a9cbf63ddb8b48e22</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The Role and Significance of Rail Transport in the Decarbonisation of the EU Transport Sector — https://doi.org/10.3390/smartcities9040064</w:t>
      </w:r>
    </w:p>
    <w:p>
      <w:pPr/>
      <w:r>
        <w:rPr>
          <w:b/>
        </w:rPr>
        <w:t>Later source:</w:t>
      </w:r>
      <w:r>
        <w:t xml:space="preserve"> Slow but tangible progress: the economic dividends of decarbonisation in Cyprus — https://openalex.org/W7159555102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group-a5761afe2620bc6a90a2</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The making of a funding call text: How funding professionals craft interdisciplinary research opportunities for Social Sciences and Humanities — https://doi.org/10.1016/j.respol.2026.105418</w:t>
      </w:r>
    </w:p>
    <w:p>
      <w:pPr/>
      <w:r>
        <w:rPr>
          <w:b/>
        </w:rPr>
        <w:t>Later source:</w:t>
      </w:r>
      <w:r>
        <w:t xml:space="preserve"> Models of science financing in the context of European integration: analysis of European practices and prospects for Ukraine — https://doi.org/10.15407/etet2026.02.089</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group-4316fa6c61e835956ddc</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New ensemble of regional climate projections for Europe — https://doi.org/10.5281/zenodo.20340839</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group-14c442c3a3c65a345320</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Virome analysis reveals ORF7 sequences of type 2 porcine respiratory and reproductive syndrome virus (PRRSV) for the first time in a rodent host (Microtus pennsylvanicus) — https://doi.org/10.1016/j.onehlt.2026.101345</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group-66b7d513ad4fc1692533</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Prioritizing light-vehicle electrification cities through real-world pollution-based GIS assessment — https://doi.org/10.1016/j.trd.2026.105242</w:t>
      </w:r>
    </w:p>
    <w:p>
      <w:pPr/>
      <w:r>
        <w:rPr>
          <w:b/>
        </w:rPr>
        <w:t>Later source:</w:t>
      </w:r>
      <w:r>
        <w:t xml:space="preserve"> Air pollution and greenspace exposure disparities revealed by hyperlocal exposure metrics across European cities — https://doi.org/10.1038/s44458-026-00046-6</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group-a6d617a3312cae84a351</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A tissue time machine to forward-predict single-timepoint data applied to tuberculosis granulomas — https://doi.org/10.64898/2026.10.09.758083</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group-9422e337a23c671de31d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Placebo and nocebo in clinical practice: An online cross-sectional survey of healthcare professionals from European countries on views, practices and training needs — https://doi.org/10.1371/journal.pone.0338905</w:t>
      </w:r>
    </w:p>
    <w:p>
      <w:pPr/>
      <w:r>
        <w:rPr>
          <w:b/>
        </w:rPr>
        <w:t>Later source:</w:t>
      </w:r>
      <w:r>
        <w:t xml:space="preserve"> Education and training of home hemodialysis patients in Europe: a scoping review — https://doi.org/10.33393/gcnd.2026.3589</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group-7221952170cae140aa3f</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Need for Synergy in Foresight Research for Healthcare and Medical Sciences — https://doi.org/10.36401/iddb-25-1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group-8798e3eeac521858f027</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The European Dilemma—Energy Security or Green Transition — https://doi.org/10.3390/en16093849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group-27353ef042d38892edb2</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Circular futures of the cement and concrete industry in the European Union: enriching prospective life cycle assessment with participatory foresight — https://doi.org/10.1007/s11367-026-02699-w</w:t>
      </w:r>
    </w:p>
    <w:p>
      <w:pPr/>
      <w:r>
        <w:rPr>
          <w:b/>
        </w:rPr>
        <w:t>Later source:</w:t>
      </w:r>
      <w:r>
        <w:t xml:space="preserve"> An Econometric Analysis of CO2 Emission Intensity in Poland’s Blast Furnace–Basic Oxygen Furnace Steelmaking Process — https://doi.org/10.3390/su17094045</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group-03e565fcba278780486b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Value-Engineered Design Optimization of a Recycled Plastic Bracket to Meet Natural Frequency Targets in Passenger Vehicles — https://doi.org/10.4271/2026-26-0355</w:t>
      </w:r>
    </w:p>
    <w:p>
      <w:pPr/>
      <w:r>
        <w:rPr>
          <w:b/>
        </w:rPr>
        <w:t>Later source:</w:t>
      </w:r>
      <w:r>
        <w:t xml:space="preserve"> Fleet renewal and retrofit for emission reductions in offshore logistics — https://doi.org/10.1016/j.martra.2026.100150</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group-2ae19a6a95c3444dd982</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IT SECTOR AS A FACTOR OF ECONOMIC STABILITY AND RECOVERY OF THE NATIONAL ECONOMY OF UKRAINE — https://doi.org/10.31732/2663-2209-2026-81-78-87</w:t>
      </w:r>
    </w:p>
    <w:p>
      <w:pPr/>
      <w:r>
        <w:rPr>
          <w:b/>
        </w:rPr>
        <w:t>Later source:</w:t>
      </w:r>
      <w:r>
        <w:t xml:space="preserve"> Agricultural Development and Industrialisation in South Korea: A Three-level Analysis of Productivity, Inter-sectoral Linkages, and GHGs Emissions — https://doi.org/10.25501/soas.01025535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group-19d46632548a73b75e2a</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Research on the applicability of alternative decarbonization methods for cruise ships — https://doi.org/10.63662/dissertations/petrova-2025</w:t>
      </w:r>
    </w:p>
    <w:p>
      <w:pPr/>
      <w:r>
        <w:rPr>
          <w:b/>
        </w:rPr>
        <w:t>Later source:</w:t>
      </w:r>
      <w:r>
        <w:t xml:space="preserve"> Decarbonization Pathways in the European Union: Sectoral Contributions to CO2 Emissions Reductions (2000–2022) — https://doi.org/10.3390/environments13030163</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group-ce477d8ac1dc8600e920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Revolution Inside Wells’s War — https://doi.org/10.1093/9780191993800.003.0015</w:t>
      </w:r>
    </w:p>
    <w:p>
      <w:pPr/>
      <w:r>
        <w:rPr>
          <w:b/>
        </w:rPr>
        <w:t>Later source:</w:t>
      </w:r>
      <w:r>
        <w:t xml:space="preserve"> “The Ultimate Hustlers”: Markets, Single Mothers, and Radical Care Praxis in Kampala, Uganda — https://doi.org/10.1080/24694452.2026.2659159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group-8aa96360dd06055d89af</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Final report: Project 2.4.2 Accelerating Food Transformation — https://doi.org/10.5204/eprints.264226</w:t>
      </w:r>
    </w:p>
    <w:p>
      <w:pPr/>
      <w:r>
        <w:rPr>
          <w:b/>
        </w:rPr>
        <w:t>Later source:</w:t>
      </w:r>
      <w:r>
        <w:t xml:space="preserve"> Globalization and digital transformation: are impacts on skills and inequality in four future scenarios converging? — https://doi.org/10.1080/13511610.2026.2656886</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group-f060f62a674a2adb6678</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group-13163fd37c71ede7336e</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RESEARCH ON FACTORS INFLUENCING THE STATE BUDGET AND ECONOMIC GROWTH IN THE EUROPEAN UNION — https://doi.org/10.65631/jes.2.2026.6</w:t>
      </w:r>
    </w:p>
    <w:p>
      <w:pPr/>
      <w:r>
        <w:rPr>
          <w:b/>
        </w:rPr>
        <w:t>Later source:</w:t>
      </w:r>
      <w:r>
        <w:t xml:space="preserve"> RESEARCH ON FACTORS INFLUENCING THE STATE BUDGET AND ECONOMIC GROWTH IN THE EUROPEAN UNION — https://doi.org/10.65631/jes.1.2026.9</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group-dd6aea3bfa4170e6d0db</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Climate matters: Differences in trends and drivers of summer humid heat in Europe and the Southeast United States — https://doi.org/10.5194/egusphere-egu26-1886</w:t>
      </w:r>
    </w:p>
    <w:p>
      <w:pPr/>
      <w:r>
        <w:rPr>
          <w:b/>
        </w:rPr>
        <w:t>Later source:</w:t>
      </w:r>
      <w:r>
        <w:t xml:space="preserve"> Challenges in digitalization in outdoor recreation: The example of the European pond turtle — https://doi.org/10.1016/j.jort.2026.101095</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group-7fe689dea6cab7c6f375</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Comparative Analysis of the Views of Rodney Stark and Bryan Wilson in the Context of Secularisation Paradigms — https://doi.org/10.35415/sirnakifd.1538315</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group-a01b29cf495ddab19b27</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Performance Evaluation of Concrete with Recycled Waste Polypropylene — https://doi.org/10.6084/m9.figshare.31871653</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group-db5a35209ff54ef96e06</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Transnational Solidarities and Competing Visions of Europe: Vienna's Vote on the Russo‐Japanese War — https://doi.org/10.1111/1468-229x.13327</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group-15f5b6cdc7988fb77e3c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Implementation and validation of the RegCM5 regional climate model on a Central European domain for extreme precipitation conditions — https://doi.org/10.5194/egusphere-egu26-648</w:t>
      </w:r>
    </w:p>
    <w:p>
      <w:pPr/>
      <w:r>
        <w:rPr>
          <w:b/>
        </w:rPr>
        <w:t>Later source:</w:t>
      </w:r>
      <w:r>
        <w:t xml:space="preserve"> Intercomparison of a Regional Climate Model Ensemble for Selected European Catchments — https://doi.org/10.1002/joc.70554</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group-33e5cdbb4b59e2872e2f</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Autochthonous transmission of dengue in Europe, with special attention to the Spanish context — https://doi.org/10.1017/s095026882610123x</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group-86b17c205481b61952b3</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Seeds and vegetative propagules of all selected invasive plants in Europe do not survive industrial composting — https://doi.org/10.3897/neobiota.97.133943</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group-60081e051c1879617871</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Comparative analysis of digital ecosystems for agri-food sector governance in Russia and the European Union — https://doi.org/10.31442/0235-2494-2026-0-2-10-17</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group-5e4b0105e26d98992509</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Entrepreneurial Universities and Digital Maturity: Qualitative Evaluation of a Change-Ready Culture and Research Propositions — https://doi.org/10.3390/world7040055</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group-d73e7d3ec8dc0def5444</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Development of Agriculture in Mountain Areas in Europe: Organisational and Economic Versus Environmental Aspects — https://doi.org/10.3390/agriculture16010127</w:t>
      </w:r>
    </w:p>
    <w:p>
      <w:pPr/>
      <w:r>
        <w:rPr>
          <w:b/>
        </w:rPr>
        <w:t>Later source:</w:t>
      </w:r>
      <w:r>
        <w:t xml:space="preserve"> Preventing Child Sexual Abuse and Exploitation: Current Efforts and Future Directions in the European Union — https://doi.org/10.1080/15564886.2025.2603478</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Exploring scenario guided pathways for food assistance in Tuscany</w:t>
      </w:r>
    </w:p>
    <w:p>
      <w:pPr>
        <w:pStyle w:val="SourceNote"/>
      </w:pPr>
      <w:r>
        <w:rPr>
          <w:b/>
        </w:rPr>
        <w:t>Group ID:</w:t>
      </w:r>
      <w:r>
        <w:t xml:space="preserve"> group-14fcf29842dc5c8b6520</w:t>
      </w:r>
    </w:p>
    <w:p>
      <w:pPr>
        <w:pStyle w:val="SourceNote"/>
      </w:pPr>
      <w:r>
        <w:rPr>
          <w:b/>
        </w:rPr>
        <w:t>Original source:</w:t>
      </w:r>
      <w:r>
        <w:t xml:space="preserve"> https://doi.org/10.13128/bae-18520</w:t>
      </w:r>
    </w:p>
    <w:p>
      <w:pPr/>
      <w:r>
        <w:rPr>
          <w:b/>
        </w:rPr>
        <w:t>Original future claim:</w:t>
      </w:r>
      <w:r>
        <w:t xml:space="preserve"> We combine the strengths of back-casted planning, which develops desirable pathways for the future, and explorative scenarios that describe plausible future contexts.</w:t>
      </w:r>
    </w:p>
    <w:p>
      <w:pPr/>
      <w:r>
        <w:rPr>
          <w:b/>
        </w:rPr>
        <w:t>Later source:</w:t>
      </w:r>
      <w:r>
        <w:t xml:space="preserve"> Evaluating Energy Transition Winners and Losers: Are Algae Biofuels Desirable, Feasible, and Viable? — https://doi.org/10.26076/1de1-5a58</w:t>
      </w:r>
    </w:p>
    <w:p>
      <w:pPr/>
      <w:r>
        <w:rPr>
          <w:b/>
        </w:rPr>
        <w:t>Later source:</w:t>
      </w:r>
      <w:r>
        <w:t xml:space="preserve"> Experimental measurement of the residual strength of particulate materials — https://doi.org/10.1201/9780203743317-22</w:t>
      </w:r>
    </w:p>
    <w:p>
      <w:pPr>
        <w:pStyle w:val="SourceNote"/>
      </w:pPr>
      <w:r>
        <w:rPr>
          <w:b/>
        </w:rPr>
        <w:t>Review status:</w:t>
      </w:r>
      <w:r>
        <w:t xml:space="preserve"> unchecked — possible relationship only</w:t>
      </w:r>
    </w:p>
    <w:p>
      <w:pPr>
        <w:pStyle w:val="Heading2"/>
      </w:pPr>
      <w:r>
        <w:t>60.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61. Claim + two later sources: Using scenarios to assess the future supply of NHS nursing staff in England</w:t>
      </w:r>
    </w:p>
    <w:p>
      <w:pPr>
        <w:pStyle w:val="SourceNote"/>
      </w:pPr>
      <w:r>
        <w:rPr>
          <w:b/>
        </w:rPr>
        <w:t>Group ID:</w:t>
      </w:r>
      <w:r>
        <w:t xml:space="preserve"> group-0da9b8e31123af83999c</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Cladodes of Opuntia ficus-indica (L.) Mill. Possess Important Beneficial Properties Dependent on Their Different Stages of Maturity — https://doi.org/10.3390/plants13101365</w:t>
      </w:r>
    </w:p>
    <w:p>
      <w:pPr>
        <w:pStyle w:val="SourceNote"/>
      </w:pPr>
      <w:r>
        <w:rPr>
          <w:b/>
        </w:rPr>
        <w:t>Review status:</w:t>
      </w:r>
      <w:r>
        <w:t xml:space="preserve"> unchecked — possible relationship only</w:t>
      </w:r>
    </w:p>
    <w:p>
      <w:pPr>
        <w:pStyle w:val="Heading2"/>
      </w:pPr>
      <w:r>
        <w:t>62.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63.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64.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65. Claim + two later sources: Beyond Futures: Designing Futures by Educating Future Designers</w:t>
      </w:r>
    </w:p>
    <w:p>
      <w:pPr>
        <w:pStyle w:val="SourceNote"/>
      </w:pPr>
      <w:r>
        <w:rPr>
          <w:b/>
        </w:rPr>
        <w:t>Group ID:</w:t>
      </w:r>
      <w:r>
        <w:t xml:space="preserve"> group-823ba617a61346303cfe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Manifestos and manifestations: The role of a solar designer — https://doi.org/10.1016/j.yjoc.2026.100131</w:t>
      </w:r>
    </w:p>
    <w:p>
      <w:pPr/>
      <w:r>
        <w:rPr>
          <w:b/>
        </w:rPr>
        <w:t>Later source:</w:t>
      </w:r>
      <w:r>
        <w:t xml:space="preserve"> The Designers’ Perspective on Autonomous Mining Systems and Sociotechnology — https://doi.org/10.1007/s42461-024-00952-0</w:t>
      </w:r>
    </w:p>
    <w:p>
      <w:pPr>
        <w:pStyle w:val="SourceNote"/>
      </w:pPr>
      <w:r>
        <w:rPr>
          <w:b/>
        </w:rPr>
        <w:t>Review status:</w:t>
      </w:r>
      <w:r>
        <w:t xml:space="preserve"> unchecked — possible relationship only</w:t>
      </w:r>
    </w:p>
    <w:p>
      <w:pPr>
        <w:pStyle w:val="Heading2"/>
      </w:pPr>
      <w:r>
        <w:t>66. Claim + two later sources: Baltic herring for food: Shades of grey in how backcasting recommendations work across exploratory scenarios</w:t>
      </w:r>
    </w:p>
    <w:p>
      <w:pPr>
        <w:pStyle w:val="SourceNote"/>
      </w:pPr>
      <w:r>
        <w:rPr>
          <w:b/>
        </w:rPr>
        <w:t>Group ID:</w:t>
      </w:r>
      <w:r>
        <w:t xml:space="preserve"> group-9a3c5aa030838ea13326</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Case Study: The BBC's Recommendations Team — https://doi.org/10.6084/m9.figshare.31869499</w:t>
      </w:r>
    </w:p>
    <w:p>
      <w:pPr>
        <w:pStyle w:val="SourceNote"/>
      </w:pPr>
      <w:r>
        <w:rPr>
          <w:b/>
        </w:rPr>
        <w:t>Review status:</w:t>
      </w:r>
      <w:r>
        <w:t xml:space="preserve"> unchecked — possible relationship only</w:t>
      </w:r>
    </w:p>
    <w:p>
      <w:pPr>
        <w:pStyle w:val="Heading2"/>
      </w:pPr>
      <w:r>
        <w:t>67.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68.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69.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70.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71.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72.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73. Claim + two later sources: The implications of demographic and economic projections on public pension spending in the European Union</w:t>
      </w:r>
    </w:p>
    <w:p>
      <w:pPr>
        <w:pStyle w:val="SourceNote"/>
      </w:pPr>
      <w:r>
        <w:rPr>
          <w:b/>
        </w:rPr>
        <w:t>Group ID:</w:t>
      </w:r>
      <w:r>
        <w:t xml:space="preserve"> group-9bf5a6a33da7b7f296c5</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Demographic Transformation and Sustainable Workforce Challenges in the European Union — https://doi.org/10.14207/ejsd.2026.v15n2p121</w:t>
      </w:r>
    </w:p>
    <w:p>
      <w:pPr>
        <w:pStyle w:val="SourceNote"/>
      </w:pPr>
      <w:r>
        <w:rPr>
          <w:b/>
        </w:rPr>
        <w:t>Review status:</w:t>
      </w:r>
      <w:r>
        <w:t xml:space="preserve"> unchecked — possible relationship only</w:t>
      </w:r>
    </w:p>
    <w:p>
      <w:pPr>
        <w:pStyle w:val="Heading2"/>
      </w:pPr>
      <w:r>
        <w:t>74. Claim + two later sources: Actual and potential development of consumer demand on the organic food market in Europe</w:t>
      </w:r>
    </w:p>
    <w:p>
      <w:pPr>
        <w:pStyle w:val="SourceNote"/>
      </w:pPr>
      <w:r>
        <w:rPr>
          <w:b/>
        </w:rPr>
        <w:t>Group ID:</w:t>
      </w:r>
      <w:r>
        <w:t xml:space="preserve"> group-0f443f5c23f8771e44be</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Economic incentives for conifers may limit broadleaf expansion in climate-adaptive European forests — https://doi.org/10.1038/s43247-026-04087-6</w:t>
      </w:r>
    </w:p>
    <w:p>
      <w:pPr>
        <w:pStyle w:val="SourceNote"/>
      </w:pPr>
      <w:r>
        <w:rPr>
          <w:b/>
        </w:rPr>
        <w:t>Review status:</w:t>
      </w:r>
      <w:r>
        <w:t xml:space="preserve"> unchecked — possible relationship only</w:t>
      </w:r>
    </w:p>
    <w:p>
      <w:pPr>
        <w:pStyle w:val="Heading2"/>
      </w:pPr>
      <w:r>
        <w:t>75.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76.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77.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78. Claim + two later sources: European cephalopods distribution under climate-change scenarios</w:t>
      </w:r>
    </w:p>
    <w:p>
      <w:pPr>
        <w:pStyle w:val="SourceNote"/>
      </w:pPr>
      <w:r>
        <w:rPr>
          <w:b/>
        </w:rPr>
        <w:t>Group ID:</w:t>
      </w:r>
      <w:r>
        <w:t xml:space="preserve"> group-9ab124f24377ad3177aa</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Agro-ecological forecasting of rapeseed (Brassica napus) suitability in Ukraine under climate change scenarios — https://doi.org/10.32819/202521</w:t>
      </w:r>
    </w:p>
    <w:p>
      <w:pPr/>
      <w:r>
        <w:rPr>
          <w:b/>
        </w:rPr>
        <w:t>Later source:</w:t>
      </w:r>
      <w:r>
        <w:t xml:space="preserve"> Spatial resilience and population replacement in Europe during MIS 3: a comparative study of Neanderthals and H. sapiens — https://doi.org/10.1016/j.quascirev.2026.109850</w:t>
      </w:r>
    </w:p>
    <w:p>
      <w:pPr>
        <w:pStyle w:val="SourceNote"/>
      </w:pPr>
      <w:r>
        <w:rPr>
          <w:b/>
        </w:rPr>
        <w:t>Review status:</w:t>
      </w:r>
      <w:r>
        <w:t xml:space="preserve"> unchecked — possible relationship only</w:t>
      </w:r>
    </w:p>
    <w:p>
      <w:pPr>
        <w:pStyle w:val="Heading2"/>
      </w:pPr>
      <w:r>
        <w:t>79.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80. Claim + two later sources: How much can societal turning points affect forecasts’ accuracy in Europe? Case of post-communistic transformation in Slovakia and the Czech Republic</w:t>
      </w:r>
    </w:p>
    <w:p>
      <w:pPr>
        <w:pStyle w:val="SourceNote"/>
      </w:pPr>
      <w:r>
        <w:rPr>
          <w:b/>
        </w:rPr>
        <w:t>Group ID:</w:t>
      </w:r>
      <w:r>
        <w:t xml:space="preserve"> group-cf740870b374fcd90b08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From Moral Crusade to European Reality: The Rights of Nature “Solution” in Search of a Problem — https://doi.org/10.1017/aju.2026.10088</w:t>
      </w:r>
    </w:p>
    <w:p>
      <w:pPr>
        <w:pStyle w:val="SourceNote"/>
      </w:pPr>
      <w:r>
        <w:rPr>
          <w:b/>
        </w:rPr>
        <w:t>Review status:</w:t>
      </w:r>
      <w:r>
        <w:t xml:space="preserve"> unchecked — possible relationship only</w:t>
      </w:r>
    </w:p>
    <w:p>
      <w:pPr>
        <w:pStyle w:val="Heading2"/>
      </w:pPr>
      <w:r>
        <w:t>81. Claim + two later sources: Macro Study of Global Electric Vehicle Expansion</w:t>
      </w:r>
    </w:p>
    <w:p>
      <w:pPr>
        <w:pStyle w:val="SourceNote"/>
      </w:pPr>
      <w:r>
        <w:rPr>
          <w:b/>
        </w:rPr>
        <w:t>Group ID:</w:t>
      </w:r>
      <w:r>
        <w:t xml:space="preserve"> group-74ce03097ef3bdf856ec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Task Technology Fit and Financial Technology Adoption: A Systematic Literature Review on E-Money Contexts (2020-2025) — https://doi.org/10.56211/factory.v4i2.1349</w:t>
      </w:r>
    </w:p>
    <w:p>
      <w:pPr/>
      <w:r>
        <w:rPr>
          <w:b/>
        </w:rPr>
        <w:t>Later source:</w:t>
      </w:r>
      <w:r>
        <w:t xml:space="preserve"> Fiscal and regulatory incentives for electric vehicle adoption in Polish micro-enterprises: economic analysis and policy recommendations — https://doi.org/10.22306/al.v13i1.712</w:t>
      </w:r>
    </w:p>
    <w:p>
      <w:pPr>
        <w:pStyle w:val="SourceNote"/>
      </w:pPr>
      <w:r>
        <w:rPr>
          <w:b/>
        </w:rPr>
        <w:t>Review status:</w:t>
      </w:r>
      <w:r>
        <w:t xml:space="preserve"> unchecked — possible relationship only</w:t>
      </w:r>
    </w:p>
    <w:p>
      <w:pPr>
        <w:pStyle w:val="Heading2"/>
      </w:pPr>
      <w:r>
        <w:t>82.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83. Claim + two later sources: Impacts of Scaling up Agroecology on the Sustainability of European Agriculture in 2050</w:t>
      </w:r>
    </w:p>
    <w:p>
      <w:pPr>
        <w:pStyle w:val="SourceNote"/>
      </w:pPr>
      <w:r>
        <w:rPr>
          <w:b/>
        </w:rPr>
        <w:t>Group ID:</w:t>
      </w:r>
      <w:r>
        <w:t xml:space="preserve"> group-19752233bba98e21d532</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Insufficient environmental protection by the European regulatory framework for pesticides — https://doi.org/10.32942/x24q1g</w:t>
      </w:r>
    </w:p>
    <w:p>
      <w:pPr>
        <w:pStyle w:val="SourceNote"/>
      </w:pPr>
      <w:r>
        <w:rPr>
          <w:b/>
        </w:rPr>
        <w:t>Review status:</w:t>
      </w:r>
      <w:r>
        <w:t xml:space="preserve"> unchecked — possible relationship only</w:t>
      </w:r>
    </w:p>
    <w:p>
      <w:pPr>
        <w:pStyle w:val="Heading2"/>
      </w:pPr>
      <w:r>
        <w:t>84. Claim + two later sources: How to Achieve a Healthier and More Sustainable Europe by 2040 According to the Public? Results of a Five-Country Questionnaire Survey</w:t>
      </w:r>
    </w:p>
    <w:p>
      <w:pPr>
        <w:pStyle w:val="SourceNote"/>
      </w:pPr>
      <w:r>
        <w:rPr>
          <w:b/>
        </w:rPr>
        <w:t>Group ID:</w:t>
      </w:r>
      <w:r>
        <w:t xml:space="preserve"> group-1b39d997f69efb391268</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European Workers Job Perceptions Survey — https://doi.org/10.17605/osf.io/dswb6</w:t>
      </w:r>
    </w:p>
    <w:p>
      <w:pPr>
        <w:pStyle w:val="SourceNote"/>
      </w:pPr>
      <w:r>
        <w:rPr>
          <w:b/>
        </w:rPr>
        <w:t>Review status:</w:t>
      </w:r>
      <w:r>
        <w:t xml:space="preserve"> unchecked — possible relationship only</w:t>
      </w:r>
    </w:p>
    <w:p>
      <w:pPr>
        <w:pStyle w:val="Heading2"/>
      </w:pPr>
      <w:r>
        <w:t>85. Claim + two later sources: Environmental water quantity projections under market-driven and sustainability-driven future scenarios in the Narew basin, Poland</w:t>
      </w:r>
    </w:p>
    <w:p>
      <w:pPr>
        <w:pStyle w:val="SourceNote"/>
      </w:pPr>
      <w:r>
        <w:rPr>
          <w:b/>
        </w:rPr>
        <w:t>Group ID:</w:t>
      </w:r>
      <w:r>
        <w:t xml:space="preserve"> group-c5b96d8442d14919625f</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Finalisation of the European Approach to Assess the Fire Performance of Facades—Brief Information on the Outcome of the Project — https://doi.org/10.1002/fam.70042</w:t>
      </w:r>
    </w:p>
    <w:p>
      <w:pPr/>
      <w:r>
        <w:rPr>
          <w:b/>
        </w:rPr>
        <w:t>Later source:</w:t>
      </w:r>
      <w:r>
        <w:t xml:space="preserve"> Assessing the quality of life in Central and Eastern Europe: a comparative analysis — https://doi.org/10.34659/eis.2026.96.1.1083</w:t>
      </w:r>
    </w:p>
    <w:p>
      <w:pPr>
        <w:pStyle w:val="SourceNote"/>
      </w:pPr>
      <w:r>
        <w:rPr>
          <w:b/>
        </w:rPr>
        <w:t>Review status:</w:t>
      </w:r>
      <w:r>
        <w:t xml:space="preserve"> unchecked — possible relationship only</w:t>
      </w:r>
    </w:p>
    <w:p>
      <w:pPr>
        <w:pStyle w:val="Heading2"/>
      </w:pPr>
      <w:r>
        <w:t>86.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87. Claim + two later sources: Towards a sustainable European energy system: Linking optimization models with multi-regional input-output analysis</w:t>
      </w:r>
    </w:p>
    <w:p>
      <w:pPr>
        <w:pStyle w:val="SourceNote"/>
      </w:pPr>
      <w:r>
        <w:rPr>
          <w:b/>
        </w:rPr>
        <w:t>Group ID:</w:t>
      </w:r>
      <w:r>
        <w:t xml:space="preserve"> group-997c39b26dba994939f7</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The implications of unification for Germany's role in the European Union. — https://doi.org/10.82444/warw.33741772</w:t>
      </w:r>
    </w:p>
    <w:p>
      <w:pPr/>
      <w:r>
        <w:rPr>
          <w:b/>
        </w:rPr>
        <w:t>Later source:</w:t>
      </w:r>
      <w:r>
        <w:t xml:space="preserve"> Mapping where biodiversity goals meet local values in European land use futures — https://doi.org/10.5194/wbf2026-660</w:t>
      </w:r>
    </w:p>
    <w:p>
      <w:pPr>
        <w:pStyle w:val="SourceNote"/>
      </w:pPr>
      <w:r>
        <w:rPr>
          <w:b/>
        </w:rPr>
        <w:t>Review status:</w:t>
      </w:r>
      <w:r>
        <w:t xml:space="preserve"> unchecked — possible relationship only</w:t>
      </w:r>
    </w:p>
    <w:p>
      <w:pPr>
        <w:pStyle w:val="Heading2"/>
      </w:pPr>
      <w:r>
        <w:t>88.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89.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90. Claim + two later sources: The future of financial markets and regulation: what strategy for Europe?</w:t>
      </w:r>
    </w:p>
    <w:p>
      <w:pPr>
        <w:pStyle w:val="SourceNote"/>
      </w:pPr>
      <w:r>
        <w:rPr>
          <w:b/>
        </w:rPr>
        <w:t>Group ID:</w:t>
      </w:r>
      <w:r>
        <w:t xml:space="preserve"> group-ad1919c1f5d6efca363f</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91. Claim + two later sources: Will the real security foresight expert please stand up?</w:t>
      </w:r>
    </w:p>
    <w:p>
      <w:pPr>
        <w:pStyle w:val="SourceNote"/>
      </w:pPr>
      <w:r>
        <w:rPr>
          <w:b/>
        </w:rPr>
        <w:t>Group ID:</w:t>
      </w:r>
      <w:r>
        <w:t xml:space="preserve"> group-f1d10799d5bc5a7f1ef1</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Critical theory and European labour law : insights from the past — https://openalex.org/W7114825387</w:t>
      </w:r>
    </w:p>
    <w:p>
      <w:pPr/>
      <w:r>
        <w:rPr>
          <w:b/>
        </w:rPr>
        <w:t>Later source:</w:t>
      </w:r>
      <w:r>
        <w:t xml:space="preserve"> A Comparative Review of Healthcare Systems in India, the Middle East, and Europe: Strengths, Weaknesses, and Lessons for Improvement — https://doi.org/10.25258/ijddt.16.38s.65</w:t>
      </w:r>
    </w:p>
    <w:p>
      <w:pPr>
        <w:pStyle w:val="SourceNote"/>
      </w:pPr>
      <w:r>
        <w:rPr>
          <w:b/>
        </w:rPr>
        <w:t>Review status:</w:t>
      </w:r>
      <w:r>
        <w:t xml:space="preserve"> unchecked — possible relationship only</w:t>
      </w:r>
    </w:p>
    <w:p>
      <w:pPr>
        <w:pStyle w:val="Heading2"/>
      </w:pPr>
      <w:r>
        <w:t>92. Claim + two later sources: The state of democracy in the European Union in scenarios: federation, empire and Europe à la carte</w:t>
      </w:r>
    </w:p>
    <w:p>
      <w:pPr>
        <w:pStyle w:val="SourceNote"/>
      </w:pPr>
      <w:r>
        <w:rPr>
          <w:b/>
        </w:rPr>
        <w:t>Group ID:</w:t>
      </w:r>
      <w:r>
        <w:t xml:space="preserve"> group-8365421b3c0462932d95</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Sustainability in EU Competition Law : An Analysis of Article 102 TFEU in Light of the European Green Deal — https://openalex.org/W7131733282</w:t>
      </w:r>
    </w:p>
    <w:p>
      <w:pPr/>
      <w:r>
        <w:rPr>
          <w:b/>
        </w:rPr>
        <w:t>Later source:</w:t>
      </w:r>
      <w:r>
        <w:t xml:space="preserve"> Media, Populism and European Democracy — https://doi.org/10.3726/b23640</w:t>
      </w:r>
    </w:p>
    <w:p>
      <w:pPr>
        <w:pStyle w:val="SourceNote"/>
      </w:pPr>
      <w:r>
        <w:rPr>
          <w:b/>
        </w:rPr>
        <w:t>Review status:</w:t>
      </w:r>
      <w:r>
        <w:t xml:space="preserve"> unchecked — possible relationship only</w:t>
      </w:r>
    </w:p>
    <w:p>
      <w:pPr>
        <w:pStyle w:val="Heading2"/>
      </w:pPr>
      <w:r>
        <w:t>93. Claim + two later sources: Diverging hydrological drought traits over Europe with global warming</w:t>
      </w:r>
    </w:p>
    <w:p>
      <w:pPr>
        <w:pStyle w:val="SourceNote"/>
      </w:pPr>
      <w:r>
        <w:rPr>
          <w:b/>
        </w:rPr>
        <w:t>Group ID:</w:t>
      </w:r>
      <w:r>
        <w:t xml:space="preserve"> group-397956063d0e3346d305</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Sensitivities of mean and extreme streamflow to climate variability across Europe — https://doi.org/10.5194/hess-30-2667-2026</w:t>
      </w:r>
    </w:p>
    <w:p>
      <w:pPr>
        <w:pStyle w:val="SourceNote"/>
      </w:pPr>
      <w:r>
        <w:rPr>
          <w:b/>
        </w:rPr>
        <w:t>Review status:</w:t>
      </w:r>
      <w:r>
        <w:t xml:space="preserve"> unchecked — possible relationship only</w:t>
      </w:r>
    </w:p>
    <w:p>
      <w:pPr>
        <w:pStyle w:val="Heading2"/>
      </w:pPr>
      <w:r>
        <w:t>94. Claim + two later sources: Climate, Energy – and Environment? Reconciliation of EU Environmental Law with the Implementation Realities of EU Climate Law</w:t>
      </w:r>
    </w:p>
    <w:p>
      <w:pPr>
        <w:pStyle w:val="SourceNote"/>
      </w:pPr>
      <w:r>
        <w:rPr>
          <w:b/>
        </w:rPr>
        <w:t>Group ID:</w:t>
      </w:r>
      <w:r>
        <w:t xml:space="preserve"> group-419f4828f783f6ce8400</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Imagining Climate and Environmental Transformation in the European Union — https://doi.org/10.1002/cep4.70031</w:t>
      </w:r>
    </w:p>
    <w:p>
      <w:pPr>
        <w:pStyle w:val="SourceNote"/>
      </w:pPr>
      <w:r>
        <w:rPr>
          <w:b/>
        </w:rPr>
        <w:t>Review status:</w:t>
      </w:r>
      <w:r>
        <w:t xml:space="preserve"> unchecked — possible relationship only</w:t>
      </w:r>
    </w:p>
    <w:p>
      <w:pPr>
        <w:pStyle w:val="Heading2"/>
      </w:pPr>
      <w:r>
        <w:t>95.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96.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97. Claim + two later sources: Understanding and enhancing future infrastructure resiliency: a socio‐ecological approach</w:t>
      </w:r>
    </w:p>
    <w:p>
      <w:pPr>
        <w:pStyle w:val="SourceNote"/>
      </w:pPr>
      <w:r>
        <w:rPr>
          <w:b/>
        </w:rPr>
        <w:t>Group ID:</w:t>
      </w:r>
      <w:r>
        <w:t xml:space="preserve"> group-bfb385f48637e04327f8</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The architecture of crisis: problematising a global ban on the three-cueing system in reading education — https://doi.org/10.1007/s44020-026-00130-3</w:t>
      </w:r>
    </w:p>
    <w:p>
      <w:pPr/>
      <w:r>
        <w:rPr>
          <w:b/>
        </w:rPr>
        <w:t>Later source:</w:t>
      </w:r>
      <w:r>
        <w:t xml:space="preserve"> Access to Work for Those Seeking Asylum: Concerns Arising from British and Swedish Legal Strategies — https://doi.org/10.1093/indlaw/dwae004</w:t>
      </w:r>
    </w:p>
    <w:p>
      <w:pPr>
        <w:pStyle w:val="SourceNote"/>
      </w:pPr>
      <w:r>
        <w:rPr>
          <w:b/>
        </w:rPr>
        <w:t>Review status:</w:t>
      </w:r>
      <w:r>
        <w:t xml:space="preserve"> unchecked — possible relationship only</w:t>
      </w:r>
    </w:p>
    <w:p>
      <w:pPr>
        <w:pStyle w:val="Heading2"/>
      </w:pPr>
      <w:r>
        <w:t>98.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99. Claim + two later sources: Carbon intensity of the Ukrainian industry: current state and foresight</w:t>
      </w:r>
    </w:p>
    <w:p>
      <w:pPr>
        <w:pStyle w:val="SourceNote"/>
      </w:pPr>
      <w:r>
        <w:rPr>
          <w:b/>
        </w:rPr>
        <w:t>Group ID:</w:t>
      </w:r>
      <w:r>
        <w:t xml:space="preserve"> group-f2c1520b4e3fa8aa0e6b</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HOW CAN INNOVATION ECOSYSTEMS ACCELERATE DECARBONIZATION AND GREEN GROWTH? — https://doi.org/10.2478/eoik-2026-0008</w:t>
      </w:r>
    </w:p>
    <w:p>
      <w:pPr>
        <w:pStyle w:val="SourceNote"/>
      </w:pPr>
      <w:r>
        <w:rPr>
          <w:b/>
        </w:rPr>
        <w:t>Review status:</w:t>
      </w:r>
      <w:r>
        <w:t xml:space="preserve"> unchecked — possible relationship only</w:t>
      </w:r>
    </w:p>
    <w:p>
      <w:pPr>
        <w:pStyle w:val="Heading2"/>
      </w:pPr>
      <w:r>
        <w:t>100.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101. Claim + two later sources: Polish and Ukrainian foresight into the directions for the innovation of power plants</w:t>
      </w:r>
    </w:p>
    <w:p>
      <w:pPr>
        <w:pStyle w:val="SourceNote"/>
      </w:pPr>
      <w:r>
        <w:rPr>
          <w:b/>
        </w:rPr>
        <w:t>Group ID:</w:t>
      </w:r>
      <w:r>
        <w:t xml:space="preserve"> group-bd4e99364ea8ed8d6e73</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The Relationship between Organisational Life Cycle and the Use of Multiple Performance Measures: A Configuration Approach — https://doi.org/10.22452/ajap.vol18no2.4</w:t>
      </w:r>
    </w:p>
    <w:p>
      <w:pPr/>
      <w:r>
        <w:rPr>
          <w:b/>
        </w:rPr>
        <w:t>Later source:</w:t>
      </w:r>
      <w:r>
        <w:t xml:space="preserve"> A probabilistic approach to establishing the resistivity-lithology relationship using co-located tTEM data and lithological logs — https://doi.org/10.1016/j.jappgeo.2026.106245</w:t>
      </w:r>
    </w:p>
    <w:p>
      <w:pPr>
        <w:pStyle w:val="SourceNote"/>
      </w:pPr>
      <w:r>
        <w:rPr>
          <w:b/>
        </w:rPr>
        <w:t>Review status:</w:t>
      </w:r>
      <w:r>
        <w:t xml:space="preserve"> unchecked — possible relationship only</w:t>
      </w:r>
    </w:p>
    <w:p>
      <w:pPr>
        <w:pStyle w:val="Heading2"/>
      </w:pPr>
      <w:r>
        <w:t>102.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103. Claim + two later sources: Nutrient criteria for surface waters under the European Water Framework Directive: Current state-of-the-art, challenges and future outlook</w:t>
      </w:r>
    </w:p>
    <w:p>
      <w:pPr>
        <w:pStyle w:val="SourceNote"/>
      </w:pPr>
      <w:r>
        <w:rPr>
          <w:b/>
        </w:rPr>
        <w:t>Group ID:</w:t>
      </w:r>
      <w:r>
        <w:t xml:space="preserve"> group-9568ae4362e0c78ed658</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Water Quality, Environmental Contaminants and Disease Burden in Europe: An Ecological Analysis of Associations with Disability-Adjusted Life Years — https://doi.org/10.3390/environments13010036</w:t>
      </w:r>
    </w:p>
    <w:p>
      <w:pPr/>
      <w:r>
        <w:rPr>
          <w:b/>
        </w:rPr>
        <w:t>Later source:</w:t>
      </w:r>
      <w:r>
        <w:t xml:space="preserve"> Achieve good ecological status of surface waters by 2027 and beyond - Policy brief - more4nature — https://doi.org/10.5281/zenodo.18505875</w:t>
      </w:r>
    </w:p>
    <w:p>
      <w:pPr>
        <w:pStyle w:val="SourceNote"/>
      </w:pPr>
      <w:r>
        <w:rPr>
          <w:b/>
        </w:rPr>
        <w:t>Review status:</w:t>
      </w:r>
      <w:r>
        <w:t xml:space="preserve"> unchecked — possible relationship only</w:t>
      </w:r>
    </w:p>
    <w:p>
      <w:pPr>
        <w:pStyle w:val="Heading2"/>
      </w:pPr>
      <w:r>
        <w:t>104. Claim + two later sources: Burden of Stroke in Europe</w:t>
      </w:r>
    </w:p>
    <w:p>
      <w:pPr>
        <w:pStyle w:val="SourceNote"/>
      </w:pPr>
      <w:r>
        <w:rPr>
          <w:b/>
        </w:rPr>
        <w:t>Group ID:</w:t>
      </w:r>
      <w:r>
        <w:t xml:space="preserve"> group-0eeefad256ba449a3ba0</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Assessment of health risks from exposure to indoor volatile organic compounds in European educational buildings — https://doi.org/10.1038/s41598-026-37072-2</w:t>
      </w:r>
    </w:p>
    <w:p>
      <w:pPr/>
      <w:r>
        <w:rPr>
          <w:b/>
        </w:rPr>
        <w:t>Later source:</w:t>
      </w:r>
      <w:r>
        <w:t xml:space="preserve"> Postthrombotic syndrome: risk after deep vein thrombosis and estimates of its incidence and prevalence in Europe — https://doi.org/10.1016/j.jtha.2025.12.017</w:t>
      </w:r>
    </w:p>
    <w:p>
      <w:pPr>
        <w:pStyle w:val="SourceNote"/>
      </w:pPr>
      <w:r>
        <w:rPr>
          <w:b/>
        </w:rPr>
        <w:t>Review status:</w:t>
      </w:r>
      <w:r>
        <w:t xml:space="preserve"> unchecked — possible relationship only</w:t>
      </w:r>
    </w:p>
    <w:p>
      <w:pPr>
        <w:pStyle w:val="Heading2"/>
      </w:pPr>
      <w:r>
        <w:t>105. Claim + two later sources: Ukrainian Migration Aspirations towards Germany: Analysis and Development Scenarios</w:t>
      </w:r>
    </w:p>
    <w:p>
      <w:pPr>
        <w:pStyle w:val="SourceNote"/>
      </w:pPr>
      <w:r>
        <w:rPr>
          <w:b/>
        </w:rPr>
        <w:t>Group ID:</w:t>
      </w:r>
      <w:r>
        <w:t xml:space="preserve"> group-6e35c11e55ab1bc9a832</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Particle Swarm Optimization based hybrid Deep Learning approach: Evidence from Europe for Predicting Air Quality Index — https://doi.org/10.53799/5gm39s77</w:t>
      </w:r>
    </w:p>
    <w:p>
      <w:pPr>
        <w:pStyle w:val="SourceNote"/>
      </w:pPr>
      <w:r>
        <w:rPr>
          <w:b/>
        </w:rPr>
        <w:t>Review status:</w:t>
      </w:r>
      <w:r>
        <w:t xml:space="preserve"> unchecked — possible relationship only</w:t>
      </w:r>
    </w:p>
    <w:p>
      <w:pPr>
        <w:pStyle w:val="Heading2"/>
      </w:pPr>
      <w:r>
        <w:t>106.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107. Claim + two later sources: From flood science to flood policy: the Foresight Future Flooding project seven years on</w:t>
      </w:r>
    </w:p>
    <w:p>
      <w:pPr>
        <w:pStyle w:val="SourceNote"/>
      </w:pPr>
      <w:r>
        <w:rPr>
          <w:b/>
        </w:rPr>
        <w:t>Group ID:</w:t>
      </w:r>
      <w:r>
        <w:t xml:space="preserve"> group-f445a14fdeff399fd221</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Navigating the winds of change: strategic foresight and the power of weak signals — https://doi.org/10.1007/s11625-025-01786-5</w:t>
      </w:r>
    </w:p>
    <w:p>
      <w:pPr/>
      <w:r>
        <w:rPr>
          <w:b/>
        </w:rPr>
        <w:t>Later source:</w:t>
      </w:r>
      <w:r>
        <w:t xml:space="preserve"> The Impact of Climate Change and Floods in Pakistan: Challenges and Way Forward — https://doi.org/10.70670/sra.v4i1.1681</w:t>
      </w:r>
    </w:p>
    <w:p>
      <w:pPr>
        <w:pStyle w:val="SourceNote"/>
      </w:pPr>
      <w:r>
        <w:rPr>
          <w:b/>
        </w:rPr>
        <w:t>Review status:</w:t>
      </w:r>
      <w:r>
        <w:t xml:space="preserve"> unchecked — possible relationship only</w:t>
      </w:r>
    </w:p>
    <w:p>
      <w:pPr>
        <w:pStyle w:val="Heading2"/>
      </w:pPr>
      <w:r>
        <w:t>108. Claim + two later sources: Immigration and integration scenarios in global Europe: Forward-looking up to 2050</w:t>
      </w:r>
    </w:p>
    <w:p>
      <w:pPr>
        <w:pStyle w:val="SourceNote"/>
      </w:pPr>
      <w:r>
        <w:rPr>
          <w:b/>
        </w:rPr>
        <w:t>Group ID:</w:t>
      </w:r>
      <w:r>
        <w:t xml:space="preserve"> group-15eaf281fc29946419cb</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The Evolution of Gender Monitoring and its Challenges: the Case of Research and Innovation in Europe — https://doi.org/10.1007/s11205-025-03698-4</w:t>
      </w:r>
    </w:p>
    <w:p>
      <w:pPr>
        <w:pStyle w:val="SourceNote"/>
      </w:pPr>
      <w:r>
        <w:rPr>
          <w:b/>
        </w:rPr>
        <w:t>Review status:</w:t>
      </w:r>
      <w:r>
        <w:t xml:space="preserve"> unchecked — possible relationship only</w:t>
      </w:r>
    </w:p>
    <w:p>
      <w:pPr>
        <w:pStyle w:val="Heading2"/>
      </w:pPr>
      <w:r>
        <w:t>109. Claim + two later sources: Materials for Sustainable Nuclear Energy: A European Strategic Research and Innovation Agenda for All Reactor Generations</w:t>
      </w:r>
    </w:p>
    <w:p>
      <w:pPr>
        <w:pStyle w:val="SourceNote"/>
      </w:pPr>
      <w:r>
        <w:rPr>
          <w:b/>
        </w:rPr>
        <w:t>Group ID:</w:t>
      </w:r>
      <w:r>
        <w:t xml:space="preserve"> group-6549b61d64ceef9a99b9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Enhancing Environmental Sustainability: The Role of Resource Productivity, Low‐Carbon Energy, and Energy Productivity — https://doi.org/10.1155/er/9919914</w:t>
      </w:r>
    </w:p>
    <w:p>
      <w:pPr>
        <w:pStyle w:val="SourceNote"/>
      </w:pPr>
      <w:r>
        <w:rPr>
          <w:b/>
        </w:rPr>
        <w:t>Review status:</w:t>
      </w:r>
      <w:r>
        <w:t xml:space="preserve"> unchecked — possible relationship only</w:t>
      </w:r>
    </w:p>
    <w:p>
      <w:pPr>
        <w:pStyle w:val="Heading2"/>
      </w:pPr>
      <w:r>
        <w:t>110.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111. Claim + two later sources: Argentinian Energy Landscapes - Case Study of the Neo-Carbon Energy Project</w:t>
      </w:r>
    </w:p>
    <w:p>
      <w:pPr>
        <w:pStyle w:val="SourceNote"/>
      </w:pPr>
      <w:r>
        <w:rPr>
          <w:b/>
        </w:rPr>
        <w:t>Group ID:</w:t>
      </w:r>
      <w:r>
        <w:t xml:space="preserve"> group-24b5654794be53d3897b</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huntington's disease from a neurodevelopmental perspective — https://doi.org/10.7150/ijbs.124552</w:t>
      </w:r>
    </w:p>
    <w:p>
      <w:pPr/>
      <w:r>
        <w:rPr>
          <w:b/>
        </w:rPr>
        <w:t>Later source:</w:t>
      </w:r>
      <w:r>
        <w:t xml:space="preserve"> Exploring learners — https://doi.org/10.4324/9781003588924-6</w:t>
      </w:r>
    </w:p>
    <w:p>
      <w:pPr>
        <w:pStyle w:val="SourceNote"/>
      </w:pPr>
      <w:r>
        <w:rPr>
          <w:b/>
        </w:rPr>
        <w:t>Review status:</w:t>
      </w:r>
      <w:r>
        <w:t xml:space="preserve"> unchecked — possible relationship only</w:t>
      </w:r>
    </w:p>
    <w:p>
      <w:pPr>
        <w:pStyle w:val="Heading2"/>
      </w:pPr>
      <w:r>
        <w:t>112.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113.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group-54607233a5cb34b04a09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Mapping Hate Crime Research in Europe: Trends, Challenges, and Future Directions — https://doi.org/10.1080/01639625.2025.2612264</w:t>
      </w:r>
    </w:p>
    <w:p>
      <w:pPr>
        <w:pStyle w:val="SourceNote"/>
      </w:pPr>
      <w:r>
        <w:rPr>
          <w:b/>
        </w:rPr>
        <w:t>Review status:</w:t>
      </w:r>
      <w:r>
        <w:t xml:space="preserve"> unchecked — possible relationship only</w:t>
      </w:r>
    </w:p>
    <w:p>
      <w:pPr>
        <w:pStyle w:val="Heading2"/>
      </w:pPr>
      <w:r>
        <w:t>114. Claim + two later sources: A Foresight Study of European East-West Agrifood Trade Options</w:t>
      </w:r>
    </w:p>
    <w:p>
      <w:pPr>
        <w:pStyle w:val="SourceNote"/>
      </w:pPr>
      <w:r>
        <w:rPr>
          <w:b/>
        </w:rPr>
        <w:t>Group ID:</w:t>
      </w:r>
      <w:r>
        <w:t xml:space="preserve"> group-99b68bc21efce29c02dc</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“Fairness” in Agrifood Systems as Marketing Strategy to Reduce Food Waste by 2027 — https://doi.org/10.54663/2182-9306.2026.specialissuecmth.56-77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115. Claim + two later sources: Alpine Tundra Contraction under Future Warming Scenarios in Europe</w:t>
      </w:r>
    </w:p>
    <w:p>
      <w:pPr>
        <w:pStyle w:val="SourceNote"/>
      </w:pPr>
      <w:r>
        <w:rPr>
          <w:b/>
        </w:rPr>
        <w:t>Group ID:</w:t>
      </w:r>
      <w:r>
        <w:t xml:space="preserve"> group-37e71869ef93c82e1ba9</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Wave climate projections in the Western Black Sea using regional EURO-CORDEX wind forcing data — https://doi.org/10.1016/j.oceaneng.2025.124126</w:t>
      </w:r>
    </w:p>
    <w:p>
      <w:pPr/>
      <w:r>
        <w:rPr>
          <w:b/>
        </w:rPr>
        <w:t>Later source:</w:t>
      </w:r>
      <w:r>
        <w:t xml:space="preserve"> Evaluation of coupled and uncoupled ocean–ice–atmosphere simulations using icon-2024.07 and NEMOv4.2.0 for the EURO-CORDEX domain — https://doi.org/10.5194/gmd-19-543-2026</w:t>
      </w:r>
    </w:p>
    <w:p>
      <w:pPr>
        <w:pStyle w:val="SourceNote"/>
      </w:pPr>
      <w:r>
        <w:rPr>
          <w:b/>
        </w:rPr>
        <w:t>Review status:</w:t>
      </w:r>
      <w:r>
        <w:t xml:space="preserve"> unchecked — possible relationship only</w:t>
      </w:r>
    </w:p>
    <w:p>
      <w:pPr>
        <w:pStyle w:val="Heading2"/>
      </w:pPr>
      <w:r>
        <w:t>116.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117. Claim + two later sources: Connected and Automated Transport: Research and Innovation Capacity in Europe</w:t>
      </w:r>
    </w:p>
    <w:p>
      <w:pPr>
        <w:pStyle w:val="SourceNote"/>
      </w:pPr>
      <w:r>
        <w:rPr>
          <w:b/>
        </w:rPr>
        <w:t>Group ID:</w:t>
      </w:r>
      <w:r>
        <w:t xml:space="preserve"> group-73360c45a345d751f0be</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118.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119. Claim + two later sources: Testing Scenarios to Achieve Workplace Sustainability Goals Using Backcasting and Agent-Based Modeling</w:t>
      </w:r>
    </w:p>
    <w:p>
      <w:pPr>
        <w:pStyle w:val="SourceNote"/>
      </w:pPr>
      <w:r>
        <w:rPr>
          <w:b/>
        </w:rPr>
        <w:t>Group ID:</w:t>
      </w:r>
      <w:r>
        <w:t xml:space="preserve"> group-99fe92440abbe3a394fc</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From Scenarios toward Transformation: A Transdisciplinary Foresight Approach for Biodiversity Futures in Coffee-Dominated Landscapes in Ethiopia — https://doi.org/10.5194/wbf2026-754</w:t>
      </w:r>
    </w:p>
    <w:p>
      <w:pPr/>
      <w:r>
        <w:rPr>
          <w:b/>
        </w:rPr>
        <w:t>Later source:</w:t>
      </w:r>
      <w:r>
        <w:t xml:space="preserve"> Children Reimagining Mobility: A Participatory Toolbox for Schools, Cities and Policymakers — https://doi.org/10.5281/zenodo.22123052</w:t>
      </w:r>
    </w:p>
    <w:p>
      <w:pPr>
        <w:pStyle w:val="SourceNote"/>
      </w:pPr>
      <w:r>
        <w:rPr>
          <w:b/>
        </w:rPr>
        <w:t>Review status:</w:t>
      </w:r>
      <w:r>
        <w:t xml:space="preserve"> unchecked — possible relationship only</w:t>
      </w:r>
    </w:p>
    <w:p>
      <w:pPr>
        <w:pStyle w:val="Heading2"/>
      </w:pPr>
      <w:r>
        <w:t>120.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121. Claim + two later sources: Technopolis, shared resources or controlled mobility? A net-based Delphi-study to explore visions of future urban daily mobility in Norway</w:t>
      </w:r>
    </w:p>
    <w:p>
      <w:pPr>
        <w:pStyle w:val="SourceNote"/>
      </w:pPr>
      <w:r>
        <w:rPr>
          <w:b/>
        </w:rPr>
        <w:t>Group ID:</w:t>
      </w:r>
      <w:r>
        <w:t xml:space="preserve"> group-90ab4618aed920697cd5</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122. Claim + two later sources: Hydrogen in the Strategies of the European Union Member States</w:t>
      </w:r>
    </w:p>
    <w:p>
      <w:pPr>
        <w:pStyle w:val="SourceNote"/>
      </w:pPr>
      <w:r>
        <w:rPr>
          <w:b/>
        </w:rPr>
        <w:t>Group ID:</w:t>
      </w:r>
      <w:r>
        <w:t xml:space="preserve"> group-00b06e8cd412b49b2d8a</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Resource requirements and consequences of large-scale hydrogen use in Europe — https://doi.org/10.1038/s41893-026-01771-5</w:t>
      </w:r>
    </w:p>
    <w:p>
      <w:pPr/>
      <w:r>
        <w:rPr>
          <w:b/>
        </w:rPr>
        <w:t>Later source:</w:t>
      </w:r>
      <w:r>
        <w:t xml:space="preserve"> A review of expenditure, outcomes, access to oncology medicines and oncology health systems in ten European countries — https://doi.org/10.5603/ocp.110314</w:t>
      </w:r>
    </w:p>
    <w:p>
      <w:pPr>
        <w:pStyle w:val="SourceNote"/>
      </w:pPr>
      <w:r>
        <w:rPr>
          <w:b/>
        </w:rPr>
        <w:t>Review status:</w:t>
      </w:r>
      <w:r>
        <w:t xml:space="preserve"> unchecked — possible relationship only</w:t>
      </w:r>
    </w:p>
    <w:p>
      <w:pPr>
        <w:pStyle w:val="Heading2"/>
      </w:pPr>
      <w:r>
        <w:t>123. Claim + two later sources: Demographic projections of future pharmaceutical consumption in the Netherlands</w:t>
      </w:r>
    </w:p>
    <w:p>
      <w:pPr>
        <w:pStyle w:val="SourceNote"/>
      </w:pPr>
      <w:r>
        <w:rPr>
          <w:b/>
        </w:rPr>
        <w:t>Group ID:</w:t>
      </w:r>
      <w:r>
        <w:t xml:space="preserve"> group-c700f97edaf9deb42bde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On the economic prospects of non-Western migrants in Europe — https://doi.org/10.1007/s00148-026-01167-x</w:t>
      </w:r>
    </w:p>
    <w:p>
      <w:pPr/>
      <w:r>
        <w:rPr>
          <w:b/>
        </w:rPr>
        <w:t>Later source:</w:t>
      </w:r>
      <w:r>
        <w:t xml:space="preserve"> How Parliamentarism Developed in Western Europe — https://doi.org/10.1017/s0007123424000917</w:t>
      </w:r>
    </w:p>
    <w:p>
      <w:pPr>
        <w:pStyle w:val="SourceNote"/>
      </w:pPr>
      <w:r>
        <w:rPr>
          <w:b/>
        </w:rPr>
        <w:t>Review status:</w:t>
      </w:r>
      <w:r>
        <w:t xml:space="preserve"> unchecked — possible relationship only</w:t>
      </w:r>
    </w:p>
    <w:p>
      <w:pPr>
        <w:pStyle w:val="Heading2"/>
      </w:pPr>
      <w:r>
        <w:t>124. Claim + two later sources: Assessing the Future of Renewable Energy Consumption for United Kingdom, Turkey and Nigeria</w:t>
      </w:r>
    </w:p>
    <w:p>
      <w:pPr>
        <w:pStyle w:val="SourceNote"/>
      </w:pPr>
      <w:r>
        <w:rPr>
          <w:b/>
        </w:rPr>
        <w:t>Group ID:</w:t>
      </w:r>
      <w:r>
        <w:t xml:space="preserve"> group-569f7fa7602ca238a14b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A support vector regression-based prediction model for offshore broadcasting signal propagation — https://doi.org/10.3389/fmars.2026.1791191</w:t>
      </w:r>
    </w:p>
    <w:p>
      <w:pPr>
        <w:pStyle w:val="SourceNote"/>
      </w:pPr>
      <w:r>
        <w:rPr>
          <w:b/>
        </w:rPr>
        <w:t>Review status:</w:t>
      </w:r>
      <w:r>
        <w:t xml:space="preserve"> unchecked — possible relationship only</w:t>
      </w:r>
    </w:p>
    <w:p>
      <w:pPr>
        <w:pStyle w:val="Heading2"/>
      </w:pPr>
      <w:r>
        <w:t>125.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126.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127.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128. Claim + two later sources: Current and Future Issues in BPM Research: A European Perspective from the ERCIS Meeting 2010</w:t>
      </w:r>
    </w:p>
    <w:p>
      <w:pPr>
        <w:pStyle w:val="SourceNote"/>
      </w:pPr>
      <w:r>
        <w:rPr>
          <w:b/>
        </w:rPr>
        <w:t>Group ID:</w:t>
      </w:r>
      <w:r>
        <w:t xml:space="preserve"> group-54d150f167e623d5d4e5</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The Role of European Equestrian Institutions in Training Professionals: Outcomes from a Workshop on Horse Welfare in Equestrian Education — https://doi.org/10.3390/ani15020183</w:t>
      </w:r>
    </w:p>
    <w:p>
      <w:pPr>
        <w:pStyle w:val="SourceNote"/>
      </w:pPr>
      <w:r>
        <w:rPr>
          <w:b/>
        </w:rPr>
        <w:t>Review status:</w:t>
      </w:r>
      <w:r>
        <w:t xml:space="preserve"> unchecked — possible relationship only</w:t>
      </w:r>
    </w:p>
    <w:p>
      <w:pPr>
        <w:pStyle w:val="Heading2"/>
      </w:pPr>
      <w:r>
        <w:t>129.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130. Claim + two later sources: The European pulp and paper industry in transition to a bio-economy: A Delphi study</w:t>
      </w:r>
    </w:p>
    <w:p>
      <w:pPr>
        <w:pStyle w:val="SourceNote"/>
      </w:pPr>
      <w:r>
        <w:rPr>
          <w:b/>
        </w:rPr>
        <w:t>Group ID:</w:t>
      </w:r>
      <w:r>
        <w:t xml:space="preserve"> group-06fbea4bfa51eb511a31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European Integration of Ukraine: Testing Liberal Intergovernmentalism Approach [before doctoral defense] — https://openalex.org/W7213843321</w:t>
      </w:r>
    </w:p>
    <w:p>
      <w:pPr>
        <w:pStyle w:val="SourceNote"/>
      </w:pPr>
      <w:r>
        <w:rPr>
          <w:b/>
        </w:rPr>
        <w:t>Review status:</w:t>
      </w:r>
      <w:r>
        <w:t xml:space="preserve"> unchecked — possible relationship only</w:t>
      </w:r>
    </w:p>
    <w:p>
      <w:pPr>
        <w:pStyle w:val="Heading2"/>
      </w:pPr>
      <w:r>
        <w:t>131.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132. Claim + two later sources: Projecting Drivers of Human Vulnerability under the Shared Socioeconomic Pathways</w:t>
      </w:r>
    </w:p>
    <w:p>
      <w:pPr>
        <w:pStyle w:val="SourceNote"/>
      </w:pPr>
      <w:r>
        <w:rPr>
          <w:b/>
        </w:rPr>
        <w:t>Group ID:</w:t>
      </w:r>
      <w:r>
        <w:t xml:space="preserve"> group-b7399fc1c3c2a1000fa4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UK livestock futures: co-designing Shared Socioeconomic Pathways — https://doi.org/10.1007/s10113-026-02625-8</w:t>
      </w:r>
    </w:p>
    <w:p>
      <w:pPr/>
      <w:r>
        <w:rPr>
          <w:b/>
        </w:rPr>
        <w:t>Later source:</w:t>
      </w:r>
      <w:r>
        <w:t xml:space="preserve"> A new scenario architecture to capture granularity of governance within and across Shared Socioeconomic Pathways — https://doi.org/10.1016/j.landusepol.2026.107926</w:t>
      </w:r>
    </w:p>
    <w:p>
      <w:pPr>
        <w:pStyle w:val="SourceNote"/>
      </w:pPr>
      <w:r>
        <w:rPr>
          <w:b/>
        </w:rPr>
        <w:t>Review status:</w:t>
      </w:r>
      <w:r>
        <w:t xml:space="preserve"> unchecked — possible relationship only</w:t>
      </w:r>
    </w:p>
    <w:p>
      <w:pPr>
        <w:pStyle w:val="Heading2"/>
      </w:pPr>
      <w:r>
        <w:t>133.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134.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135.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136.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137.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138.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139.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140.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141.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142. Claim + two later sources: Predicting Future European Breeding Distributions of British Seabird Species under Climate Change and Unlimited/No Dispersal Scenarios</w:t>
      </w:r>
    </w:p>
    <w:p>
      <w:pPr>
        <w:pStyle w:val="SourceNote"/>
      </w:pPr>
      <w:r>
        <w:rPr>
          <w:b/>
        </w:rPr>
        <w:t>Group ID:</w:t>
      </w:r>
      <w:r>
        <w:t xml:space="preserve"> group-ec94343f98faee0700eb</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Quantifying AMOC Uncertainty in European Climate Damage Projections — https://doi.org/10.5194/egusphere-egu26-8370</w:t>
      </w:r>
    </w:p>
    <w:p>
      <w:pPr>
        <w:pStyle w:val="SourceNote"/>
      </w:pPr>
      <w:r>
        <w:rPr>
          <w:b/>
        </w:rPr>
        <w:t>Review status:</w:t>
      </w:r>
      <w:r>
        <w:t xml:space="preserve"> unchecked — possible relationship only</w:t>
      </w:r>
    </w:p>
    <w:p>
      <w:pPr>
        <w:pStyle w:val="Heading2"/>
      </w:pPr>
      <w:r>
        <w:t>143. Claim + two later sources: PROBLEM OF PROFESSIONAL TRAINING OF FUTURE ECONOMISTS FOR DEVELOPMENT OF NATIONAL ECONOMY UNDER CONDITIONS OF EUROPEAN INTEGRATION</w:t>
      </w:r>
    </w:p>
    <w:p>
      <w:pPr>
        <w:pStyle w:val="SourceNote"/>
      </w:pPr>
      <w:r>
        <w:rPr>
          <w:b/>
        </w:rPr>
        <w:t>Group ID:</w:t>
      </w:r>
      <w:r>
        <w:t xml:space="preserve"> group-3d8d96f5d56431e0abf5</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European training requirements in geriatric medicine 2025: driving competency-based education and harmonisation across Europe — https://doi.org/10.1007/s41999-025-01393-8</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pStyle w:val="SourceNote"/>
      </w:pPr>
      <w:r>
        <w:rPr>
          <w:b/>
        </w:rPr>
        <w:t>Review status:</w:t>
      </w:r>
      <w:r>
        <w:t xml:space="preserve"> unchecked — possible relationship only</w:t>
      </w:r>
    </w:p>
    <w:p>
      <w:pPr>
        <w:pStyle w:val="Heading2"/>
      </w:pPr>
      <w:r>
        <w:t>144. Claim + two later sources: The CIRCE Simulations: Regional Climate Change Projections with Realistic Representation of the Mediterranean Sea</w:t>
      </w:r>
    </w:p>
    <w:p>
      <w:pPr>
        <w:pStyle w:val="SourceNote"/>
      </w:pPr>
      <w:r>
        <w:rPr>
          <w:b/>
        </w:rPr>
        <w:t>Group ID:</w:t>
      </w:r>
      <w:r>
        <w:t xml:space="preserve"> group-a0ad951e34197717ab1d</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Design and Performance Research of a Spindle-Integrated Rotational Piezoelectric Testing System for Upset Force Measurement During Welding Processes — https://doi.org/10.1109/jsen.2026.3671729</w:t>
      </w:r>
    </w:p>
    <w:p>
      <w:pPr/>
      <w:r>
        <w:rPr>
          <w:b/>
        </w:rPr>
        <w:t>Later source:</w:t>
      </w:r>
      <w:r>
        <w:t xml:space="preserve"> Development and Validation of a Novel Contact Force‐Integrated Pulsed Field Quantization Index for Pulmonary Vein Isolation in a Porcine Model — https://doi.org/10.1111/jce.70527</w:t>
      </w:r>
    </w:p>
    <w:p>
      <w:pPr>
        <w:pStyle w:val="SourceNote"/>
      </w:pPr>
      <w:r>
        <w:rPr>
          <w:b/>
        </w:rPr>
        <w:t>Review status:</w:t>
      </w:r>
      <w:r>
        <w:t xml:space="preserve"> unchecked — possible relationship only</w:t>
      </w:r>
    </w:p>
    <w:p>
      <w:pPr>
        <w:pStyle w:val="Heading2"/>
      </w:pPr>
      <w:r>
        <w:t>145. Claim + two later sources: Scenarios for the future of the European process industry - the case of the chemical industry</w:t>
      </w:r>
    </w:p>
    <w:p>
      <w:pPr>
        <w:pStyle w:val="SourceNote"/>
      </w:pPr>
      <w:r>
        <w:rPr>
          <w:b/>
        </w:rPr>
        <w:t>Group ID:</w:t>
      </w:r>
      <w:r>
        <w:t xml:space="preserve"> group-0efb2a0647d3df669032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Insect Pest Control from Chemical to Biotechnological Approach: Constrains and Challenges — https://doi.org/10.3390/insects16050528</w:t>
      </w:r>
    </w:p>
    <w:p>
      <w:pPr/>
      <w:r>
        <w:rPr>
          <w:b/>
        </w:rPr>
        <w:t>Later source:</w:t>
      </w:r>
      <w:r>
        <w:t xml:space="preserve"> Scientific and Regulatory Perspectives on Chemical Risk Assessment of Pesticides in the European Union — https://doi.org/10.3390/jox15050173</w:t>
      </w:r>
    </w:p>
    <w:p>
      <w:pPr>
        <w:pStyle w:val="SourceNote"/>
      </w:pPr>
      <w:r>
        <w:rPr>
          <w:b/>
        </w:rPr>
        <w:t>Review status:</w:t>
      </w:r>
      <w:r>
        <w:t xml:space="preserve"> unchecked — possible relationship only</w:t>
      </w:r>
    </w:p>
    <w:p>
      <w:pPr>
        <w:pStyle w:val="Heading2"/>
      </w:pPr>
      <w:r>
        <w:t>146. Claim + two later sources: The future of global trade and the WTO</w:t>
      </w:r>
    </w:p>
    <w:p>
      <w:pPr>
        <w:pStyle w:val="SourceNote"/>
      </w:pPr>
      <w:r>
        <w:rPr>
          <w:b/>
        </w:rPr>
        <w:t>Group ID:</w:t>
      </w:r>
      <w:r>
        <w:t xml:space="preserve"> group-cbcfa515998c6668e492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On European Fragmentation and the Single Currency in an Uncertain World — https://doi.org/10.65644/eiie.079.01.0001</w:t>
      </w:r>
    </w:p>
    <w:p>
      <w:pPr/>
      <w:r>
        <w:rPr>
          <w:b/>
        </w:rPr>
        <w:t>Later source:</w:t>
      </w:r>
      <w:r>
        <w:t xml:space="preserve"> International survey in four European countries on diagnostic reference levels based on clinical indications in computed tomography — https://doi.org/10.1186/s13244-026-02241-4</w:t>
      </w:r>
    </w:p>
    <w:p>
      <w:pPr>
        <w:pStyle w:val="SourceNote"/>
      </w:pPr>
      <w:r>
        <w:rPr>
          <w:b/>
        </w:rPr>
        <w:t>Review status:</w:t>
      </w:r>
      <w:r>
        <w:t xml:space="preserve"> unchecked — possible relationship only</w:t>
      </w:r>
    </w:p>
    <w:p>
      <w:pPr>
        <w:pStyle w:val="Heading2"/>
      </w:pPr>
      <w:r>
        <w:t>147. Claim + two later sources: EU road vehicle energy consumption and CO2 emissions by 2050 – Expert-based scenarios</w:t>
      </w:r>
    </w:p>
    <w:p>
      <w:pPr>
        <w:pStyle w:val="SourceNote"/>
      </w:pPr>
      <w:r>
        <w:rPr>
          <w:b/>
        </w:rPr>
        <w:t>Group ID:</w:t>
      </w:r>
      <w:r>
        <w:t xml:space="preserve"> group-b99bb41138b4962a323a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Sustainability initiatives in the Spanish road freight transport companies — https://doi.org/10.3926/jiem.9245</w:t>
      </w:r>
    </w:p>
    <w:p>
      <w:pPr>
        <w:pStyle w:val="SourceNote"/>
      </w:pPr>
      <w:r>
        <w:rPr>
          <w:b/>
        </w:rPr>
        <w:t>Review status:</w:t>
      </w:r>
      <w:r>
        <w:t xml:space="preserve"> unchecked — possible relationship only</w:t>
      </w:r>
    </w:p>
    <w:p>
      <w:pPr>
        <w:pStyle w:val="Heading2"/>
      </w:pPr>
      <w:r>
        <w:t>148. Claim + two later sources: Foresight as a tool of public administration in the field of science, technology and innovation</w:t>
      </w:r>
    </w:p>
    <w:p>
      <w:pPr>
        <w:pStyle w:val="SourceNote"/>
      </w:pPr>
      <w:r>
        <w:rPr>
          <w:b/>
        </w:rPr>
        <w:t>Group ID:</w:t>
      </w:r>
      <w:r>
        <w:t xml:space="preserve"> group-8ea09e43862111bcdc68</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Space Economy Research Trends for Foresight Analysis — https://doi.org/10.1590/jatm.v18.1416</w:t>
      </w:r>
    </w:p>
    <w:p>
      <w:pPr>
        <w:pStyle w:val="SourceNote"/>
      </w:pPr>
      <w:r>
        <w:rPr>
          <w:b/>
        </w:rPr>
        <w:t>Review status:</w:t>
      </w:r>
      <w:r>
        <w:t xml:space="preserve"> unchecked — possible relationship only</w:t>
      </w:r>
    </w:p>
    <w:p>
      <w:pPr>
        <w:pStyle w:val="Heading2"/>
      </w:pPr>
      <w:r>
        <w:t>149.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150.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151. Claim + two later sources: REMIND-D: A Hybrid Energy-Economy Model of Germany</w:t>
      </w:r>
    </w:p>
    <w:p>
      <w:pPr>
        <w:pStyle w:val="SourceNote"/>
      </w:pPr>
      <w:r>
        <w:rPr>
          <w:b/>
        </w:rPr>
        <w:t>Group ID:</w:t>
      </w:r>
      <w:r>
        <w:t xml:space="preserve"> group-d4fa8c4b209e9f6834f1</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Sector-specific adoption patterns of AI in Europe: a quantitative analysis using Eurostat and OECD Data — https://doi.org/10.1080/09537325.2026.2632912</w:t>
      </w:r>
    </w:p>
    <w:p>
      <w:pPr/>
      <w:r>
        <w:rPr>
          <w:b/>
        </w:rPr>
        <w:t>Later source:</w:t>
      </w:r>
      <w:r>
        <w:t xml:space="preserve"> Forecasting human tick-borne encephalitis risk across Europe through quantitative models integrating environmental and exposure drivers — https://openalex.org/W7154437128</w:t>
      </w:r>
    </w:p>
    <w:p>
      <w:pPr>
        <w:pStyle w:val="SourceNote"/>
      </w:pPr>
      <w:r>
        <w:rPr>
          <w:b/>
        </w:rPr>
        <w:t>Review status:</w:t>
      </w:r>
      <w:r>
        <w:t xml:space="preserve"> unchecked — possible relationship only</w:t>
      </w:r>
    </w:p>
    <w:p>
      <w:pPr>
        <w:pStyle w:val="Heading2"/>
      </w:pPr>
      <w:r>
        <w:t>152. Claim + two later sources: Pathway Analysis of a Zero-Emission Transition in the Nordic-Baltic Region</w:t>
      </w:r>
    </w:p>
    <w:p>
      <w:pPr>
        <w:pStyle w:val="SourceNote"/>
      </w:pPr>
      <w:r>
        <w:rPr>
          <w:b/>
        </w:rPr>
        <w:t>Group ID:</w:t>
      </w:r>
      <w:r>
        <w:t xml:space="preserve"> group-62f4c4f1d5a9ac377353</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Analyzing the impact of the Ostend declaration stated offshore wind targets on the European energy system — https://doi.org/10.1088/2753-3751/ae69e4</w:t>
      </w:r>
    </w:p>
    <w:p>
      <w:pPr>
        <w:pStyle w:val="SourceNote"/>
      </w:pPr>
      <w:r>
        <w:rPr>
          <w:b/>
        </w:rPr>
        <w:t>Review status:</w:t>
      </w:r>
      <w:r>
        <w:t xml:space="preserve"> unchecked — possible relationship only</w:t>
      </w:r>
    </w:p>
    <w:p>
      <w:pPr>
        <w:pStyle w:val="Heading2"/>
      </w:pPr>
      <w:r>
        <w:t>153. Claim + two later sources: Bioenergy futures in Sweden – Modeling integration scenarios for biofuel production</w:t>
      </w:r>
    </w:p>
    <w:p>
      <w:pPr>
        <w:pStyle w:val="SourceNote"/>
      </w:pPr>
      <w:r>
        <w:rPr>
          <w:b/>
        </w:rPr>
        <w:t>Group ID:</w:t>
      </w:r>
      <w:r>
        <w:t xml:space="preserve"> group-634df0f885862bff7e25</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Keep All the Flawed Options on the Table: Europe’s Nuclear Future — https://doi.org/10.1515/sirius-2025-2008</w:t>
      </w:r>
    </w:p>
    <w:p>
      <w:pPr>
        <w:pStyle w:val="SourceNote"/>
      </w:pPr>
      <w:r>
        <w:rPr>
          <w:b/>
        </w:rPr>
        <w:t>Review status:</w:t>
      </w:r>
      <w:r>
        <w:t xml:space="preserve"> unchecked — possible relationship only</w:t>
      </w:r>
    </w:p>
    <w:p>
      <w:pPr>
        <w:pStyle w:val="Heading2"/>
      </w:pPr>
      <w:r>
        <w:t>154.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155. Claim + two later sources: Fiscal foresighting: analysis of researches</w:t>
      </w:r>
    </w:p>
    <w:p>
      <w:pPr>
        <w:pStyle w:val="SourceNote"/>
      </w:pPr>
      <w:r>
        <w:rPr>
          <w:b/>
        </w:rPr>
        <w:t>Group ID:</w:t>
      </w:r>
      <w:r>
        <w:t xml:space="preserve"> group-0a92633e34c515753e85</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THEORETICAL AND PRACTICAL ASPECTS OF QUALIFYING PICKPOCKETING: ANALYSIS OF THE OBJECTIVE AND SUBJECTIVE ELEMENTS — https://doi.org/10.5281/zenodo.18723249</w:t>
      </w:r>
    </w:p>
    <w:p>
      <w:pPr>
        <w:pStyle w:val="SourceNote"/>
      </w:pPr>
      <w:r>
        <w:rPr>
          <w:b/>
        </w:rPr>
        <w:t>Review status:</w:t>
      </w:r>
      <w:r>
        <w:t xml:space="preserve"> unchecked — possible relationship only</w:t>
      </w:r>
    </w:p>
    <w:p>
      <w:pPr>
        <w:pStyle w:val="Heading2"/>
      </w:pPr>
      <w:r>
        <w:t>156.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157. Claim + two later sources: Are Carbon Prices Redundant in the 2030 EU Climate and Energy Policy Package?</w:t>
      </w:r>
    </w:p>
    <w:p>
      <w:pPr>
        <w:pStyle w:val="SourceNote"/>
      </w:pPr>
      <w:r>
        <w:rPr>
          <w:b/>
        </w:rPr>
        <w:t>Group ID:</w:t>
      </w:r>
      <w:r>
        <w:t xml:space="preserve"> group-60c8e913d579240ddce8</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Defragmenting European Union climate policy — https://doi.org/10.64153/vxjj9392</w:t>
      </w:r>
    </w:p>
    <w:p>
      <w:pPr/>
      <w:r>
        <w:rPr>
          <w:b/>
        </w:rPr>
        <w:t>Later source:</w:t>
      </w:r>
      <w:r>
        <w:t xml:space="preserve"> From Policy to Practice: European Funding and the Development of Energy-Efficient Buildings in Romania’s Mountain Regions — https://doi.org/10.3390/buildings16061161</w:t>
      </w:r>
    </w:p>
    <w:p>
      <w:pPr>
        <w:pStyle w:val="SourceNote"/>
      </w:pPr>
      <w:r>
        <w:rPr>
          <w:b/>
        </w:rPr>
        <w:t>Review status:</w:t>
      </w:r>
      <w:r>
        <w:t xml:space="preserve"> unchecked — possible relationship only</w:t>
      </w:r>
    </w:p>
    <w:p>
      <w:pPr>
        <w:pStyle w:val="Heading2"/>
      </w:pPr>
      <w:r>
        <w:t>158. Claim + two later sources: Institutional issues in planning for more uncertain futures</w:t>
      </w:r>
    </w:p>
    <w:p>
      <w:pPr>
        <w:pStyle w:val="SourceNote"/>
      </w:pPr>
      <w:r>
        <w:rPr>
          <w:b/>
        </w:rPr>
        <w:t>Group ID:</w:t>
      </w:r>
      <w:r>
        <w:t xml:space="preserve"> group-2112486823b4d66d660b</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When mobility becomes a compromise: intersectional social identities in mobility in Boston and Austin — https://doi.org/10.1016/j.trip.2026.102259</w:t>
      </w:r>
    </w:p>
    <w:p>
      <w:pPr/>
      <w:r>
        <w:rPr>
          <w:b/>
        </w:rPr>
        <w:t>Later source:</w:t>
      </w:r>
      <w:r>
        <w:t xml:space="preserve"> Shaping institutional change in skill formation: the role of background ideas in growth strategies — https://doi.org/10.1080/13501763.2025.2490188</w:t>
      </w:r>
    </w:p>
    <w:p>
      <w:pPr>
        <w:pStyle w:val="SourceNote"/>
      </w:pPr>
      <w:r>
        <w:rPr>
          <w:b/>
        </w:rPr>
        <w:t>Review status:</w:t>
      </w:r>
      <w:r>
        <w:t xml:space="preserve"> unchecked — possible relationship only</w:t>
      </w:r>
    </w:p>
    <w:p>
      <w:pPr>
        <w:pStyle w:val="Heading2"/>
      </w:pPr>
      <w:r>
        <w:t>159.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160. Claim + two later sources: Backcasting for desirable futures in Finnish forest-based firms</w:t>
      </w:r>
    </w:p>
    <w:p>
      <w:pPr>
        <w:pStyle w:val="SourceNote"/>
      </w:pPr>
      <w:r>
        <w:rPr>
          <w:b/>
        </w:rPr>
        <w:t>Group ID:</w:t>
      </w:r>
      <w:r>
        <w:t xml:space="preserve"> group-968d37313ee1561c285e</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Later source:</w:t>
      </w:r>
      <w:r>
        <w:t xml:space="preserve"> Expanding financial inclusion participation in Muslim-dominated communities through Islamic finance products (IFP) adoption — https://doi.org/10.1108/jiabr-09-2023-0308</w:t>
      </w:r>
    </w:p>
    <w:p>
      <w:pPr>
        <w:pStyle w:val="SourceNote"/>
      </w:pPr>
      <w:r>
        <w:rPr>
          <w:b/>
        </w:rPr>
        <w:t>Review status:</w:t>
      </w:r>
      <w:r>
        <w:t xml:space="preserve"> unchecked — possible relationship only</w:t>
      </w:r>
    </w:p>
    <w:p>
      <w:pPr>
        <w:pStyle w:val="Heading2"/>
      </w:pPr>
      <w:r>
        <w:t>161.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162. Claim + two later sources: The July 2019 European Heat Wave in a Warmer Climate: Storyline Scenarios with a Coupled Model Using Spectral Nudging</w:t>
      </w:r>
    </w:p>
    <w:p>
      <w:pPr>
        <w:pStyle w:val="SourceNote"/>
      </w:pPr>
      <w:r>
        <w:rPr>
          <w:b/>
        </w:rPr>
        <w:t>Group ID:</w:t>
      </w:r>
      <w:r>
        <w:t xml:space="preserve"> group-7724e6a7a01f28f4da8d</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Evaluating Alpha-1 Antitrypsin Deficiency testing across Europe to ensure diagnostic accuracy: an EARCO multicentre project — https://doi.org/10.1186/s12931-026-03796-y</w:t>
      </w:r>
    </w:p>
    <w:p>
      <w:pPr>
        <w:pStyle w:val="SourceNote"/>
      </w:pPr>
      <w:r>
        <w:rPr>
          <w:b/>
        </w:rPr>
        <w:t>Review status:</w:t>
      </w:r>
      <w:r>
        <w:t xml:space="preserve"> unchecked — possible relationship only</w:t>
      </w:r>
    </w:p>
    <w:p>
      <w:pPr>
        <w:pStyle w:val="Heading2"/>
      </w:pPr>
      <w:r>
        <w:t>163.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164. Claim + two later sources: Population Projections and Demographic Knowledge in France and Great Britain in the Postwar Period</w:t>
      </w:r>
    </w:p>
    <w:p>
      <w:pPr>
        <w:pStyle w:val="SourceNote"/>
      </w:pPr>
      <w:r>
        <w:rPr>
          <w:b/>
        </w:rPr>
        <w:t>Group ID:</w:t>
      </w:r>
      <w:r>
        <w:t xml:space="preserve"> group-fb6b5acf3d781d7dc4ee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European middle powers: Germany, France and Italy as international actors — https://openalex.org/W7215008340</w:t>
      </w:r>
    </w:p>
    <w:p>
      <w:pPr>
        <w:pStyle w:val="SourceNote"/>
      </w:pPr>
      <w:r>
        <w:rPr>
          <w:b/>
        </w:rPr>
        <w:t>Review status:</w:t>
      </w:r>
      <w:r>
        <w:t xml:space="preserve"> unchecked — possible relationship only</w:t>
      </w:r>
    </w:p>
    <w:p>
      <w:pPr>
        <w:pStyle w:val="Heading2"/>
      </w:pPr>
      <w:r>
        <w:t>165.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166. Claim + two later sources: Where is the EU headed given its current climate policy? A stakeholder-driven model inter-comparison</w:t>
      </w:r>
    </w:p>
    <w:p>
      <w:pPr>
        <w:pStyle w:val="SourceNote"/>
      </w:pPr>
      <w:r>
        <w:rPr>
          <w:b/>
        </w:rPr>
        <w:t>Group ID:</w:t>
      </w:r>
      <w:r>
        <w:t xml:space="preserve"> group-35ed3403fdeecc4d4f65</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Still on track for electrification? A qualitative comparative analysis of e-mobility policy mixes in 14 European cities — https://doi.org/10.1016/j.urbmob.2025.100114</w:t>
      </w:r>
    </w:p>
    <w:p>
      <w:pPr>
        <w:pStyle w:val="SourceNote"/>
      </w:pPr>
      <w:r>
        <w:rPr>
          <w:b/>
        </w:rPr>
        <w:t>Review status:</w:t>
      </w:r>
      <w:r>
        <w:t xml:space="preserve"> unchecked — possible relationship only</w:t>
      </w:r>
    </w:p>
    <w:p>
      <w:pPr>
        <w:pStyle w:val="Heading2"/>
      </w:pPr>
      <w:r>
        <w:t>167. Claim + two later sources: A threat to climate-secure European futures? Exploring racial logics and climate-induced migration in US and EU climate security discourses</w:t>
      </w:r>
    </w:p>
    <w:p>
      <w:pPr>
        <w:pStyle w:val="SourceNote"/>
      </w:pPr>
      <w:r>
        <w:rPr>
          <w:b/>
        </w:rPr>
        <w:t>Group ID:</w:t>
      </w:r>
      <w:r>
        <w:t xml:space="preserve"> group-bad36758c9bd200166d7</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Learning as Governance: Discursive Constructions of Learning in the Postdigital Knowledge Economy — https://doi.org/10.1007/978-3-032-21956-5_2</w:t>
      </w:r>
    </w:p>
    <w:p>
      <w:pPr>
        <w:pStyle w:val="SourceNote"/>
      </w:pPr>
      <w:r>
        <w:rPr>
          <w:b/>
        </w:rPr>
        <w:t>Review status:</w:t>
      </w:r>
      <w:r>
        <w:t xml:space="preserve"> unchecked — possible relationship only</w:t>
      </w:r>
    </w:p>
    <w:p>
      <w:pPr>
        <w:pStyle w:val="Heading2"/>
      </w:pPr>
      <w:r>
        <w:t>168. Claim + two later sources: Animal health aspects of adaptation to climate change: beating the heat and parasites in a warming Europe</w:t>
      </w:r>
    </w:p>
    <w:p>
      <w:pPr>
        <w:pStyle w:val="SourceNote"/>
      </w:pPr>
      <w:r>
        <w:rPr>
          <w:b/>
        </w:rPr>
        <w:t>Group ID:</w:t>
      </w:r>
      <w:r>
        <w:t xml:space="preserve"> group-8cc81a01aef946f79307</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genetic effects of birthweight predisposition on child DNA methylation at birth — https://doi.org/10.1080/15592294.2026.2654101</w:t>
      </w:r>
    </w:p>
    <w:p>
      <w:pPr/>
      <w:r>
        <w:rPr>
          <w:b/>
        </w:rPr>
        <w:t>Later source:</w:t>
      </w:r>
      <w:r>
        <w:t xml:space="preserve"> Epidemiology and Economic Burden of Sleep Disorders in Europe — https://doi.org/10.1111/ene.70463</w:t>
      </w:r>
    </w:p>
    <w:p>
      <w:pPr>
        <w:pStyle w:val="SourceNote"/>
      </w:pPr>
      <w:r>
        <w:rPr>
          <w:b/>
        </w:rPr>
        <w:t>Review status:</w:t>
      </w:r>
      <w:r>
        <w:t xml:space="preserve"> unchecked — possible relationship only</w:t>
      </w:r>
    </w:p>
    <w:p>
      <w:pPr>
        <w:pStyle w:val="Heading2"/>
      </w:pPr>
      <w:r>
        <w:t>169.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170.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171.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172.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group-08302c0c8d7abef5711a</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Simplifying decision-making in model-based co-design of building energy systems through automatically generated optimal controls — https://doi.org/10.26868/25222708.2025.1690</w:t>
      </w:r>
    </w:p>
    <w:p>
      <w:pPr>
        <w:pStyle w:val="SourceNote"/>
      </w:pPr>
      <w:r>
        <w:rPr>
          <w:b/>
        </w:rPr>
        <w:t>Review status:</w:t>
      </w:r>
      <w:r>
        <w:t xml:space="preserve"> unchecked — possible relationship only</w:t>
      </w:r>
    </w:p>
    <w:p>
      <w:pPr>
        <w:pStyle w:val="Heading2"/>
      </w:pPr>
      <w:r>
        <w:t>173. Claim + two later sources: Are the EU climate ambitions reflected on member-state level for greenhouse gas reductions and renewable energy consumption shares?</w:t>
      </w:r>
    </w:p>
    <w:p>
      <w:pPr>
        <w:pStyle w:val="SourceNote"/>
      </w:pPr>
      <w:r>
        <w:rPr>
          <w:b/>
        </w:rPr>
        <w:t>Group ID:</w:t>
      </w:r>
      <w:r>
        <w:t xml:space="preserve"> group-6034f39822395c963f7c</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The LULUCF Data Hub: translating global land use emissions estimates into the national GHG inventory framework — https://doi.org/10.5194/essd-2025-631</w:t>
      </w:r>
    </w:p>
    <w:p>
      <w:pPr>
        <w:pStyle w:val="SourceNote"/>
      </w:pPr>
      <w:r>
        <w:rPr>
          <w:b/>
        </w:rPr>
        <w:t>Review status:</w:t>
      </w:r>
      <w:r>
        <w:t xml:space="preserve"> unchecked — possible relationship only</w:t>
      </w:r>
    </w:p>
    <w:p>
      <w:pPr>
        <w:pStyle w:val="Heading2"/>
      </w:pPr>
      <w:r>
        <w:t>174. Claim + two later sources: How climate, migration ability and habitat fragmentation affect the projected future distribution of European beech</w:t>
      </w:r>
    </w:p>
    <w:p>
      <w:pPr>
        <w:pStyle w:val="SourceNote"/>
      </w:pPr>
      <w:r>
        <w:rPr>
          <w:b/>
        </w:rPr>
        <w:t>Group ID:</w:t>
      </w:r>
      <w:r>
        <w:t xml:space="preserve"> group-a4316eb5276419a6a364</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Habitat-specific trends in taxonomic, functional, and phylogenetic diversity in European plant communities over a century — https://doi.org/10.1038/s41467-026-72112-5</w:t>
      </w:r>
    </w:p>
    <w:p>
      <w:pPr>
        <w:pStyle w:val="SourceNote"/>
      </w:pPr>
      <w:r>
        <w:rPr>
          <w:b/>
        </w:rPr>
        <w:t>Review status:</w:t>
      </w:r>
      <w:r>
        <w:t xml:space="preserve"> unchecked — possible relationship only</w:t>
      </w:r>
    </w:p>
    <w:p>
      <w:pPr>
        <w:pStyle w:val="Heading2"/>
      </w:pPr>
      <w:r>
        <w:t>175.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176.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177. Claim + two later sources: The role of district heating systems to provide balancing services in the European Union</w:t>
      </w:r>
    </w:p>
    <w:p>
      <w:pPr>
        <w:pStyle w:val="SourceNote"/>
      </w:pPr>
      <w:r>
        <w:rPr>
          <w:b/>
        </w:rPr>
        <w:t>Group ID:</w:t>
      </w:r>
      <w:r>
        <w:t xml:space="preserve"> group-507157e19e0d9e84d566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Life cycle assessment of wave energy: the Mutriku case study — https://doi.org/10.1007/s40722-026-00487-0</w:t>
      </w:r>
    </w:p>
    <w:p>
      <w:pPr>
        <w:pStyle w:val="SourceNote"/>
      </w:pPr>
      <w:r>
        <w:rPr>
          <w:b/>
        </w:rPr>
        <w:t>Review status:</w:t>
      </w:r>
      <w:r>
        <w:t xml:space="preserve"> unchecked — possible relationship only</w:t>
      </w:r>
    </w:p>
    <w:p>
      <w:pPr>
        <w:pStyle w:val="Heading2"/>
      </w:pPr>
      <w:r>
        <w:t>178. Claim + two later sources: Scenario‐based fertility projections incorporating impacts of COVID‐19</w:t>
      </w:r>
    </w:p>
    <w:p>
      <w:pPr>
        <w:pStyle w:val="SourceNote"/>
      </w:pPr>
      <w:r>
        <w:rPr>
          <w:b/>
        </w:rPr>
        <w:t>Group ID:</w:t>
      </w:r>
      <w:r>
        <w:t xml:space="preserve"> group-1548324f1d42a3ad5dc6</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Three generations of NARCliM: future projections of mean and extreme climate over the CORDEX Australasia domain — https://doi.org/10.1038/s41612-025-01280-w</w:t>
      </w:r>
    </w:p>
    <w:p>
      <w:pPr/>
      <w:r>
        <w:rPr>
          <w:b/>
        </w:rPr>
        <w:t>Later source:</w:t>
      </w:r>
      <w:r>
        <w:t xml:space="preserve"> The Likelihood of Persistently Low Global Fertility — https://doi.org/10.1257/jep.20251463</w:t>
      </w:r>
    </w:p>
    <w:p>
      <w:pPr>
        <w:pStyle w:val="SourceNote"/>
      </w:pPr>
      <w:r>
        <w:rPr>
          <w:b/>
        </w:rPr>
        <w:t>Review status:</w:t>
      </w:r>
      <w:r>
        <w:t xml:space="preserve"> unchecked — possible relationship only</w:t>
      </w:r>
    </w:p>
    <w:p>
      <w:pPr>
        <w:pStyle w:val="Heading2"/>
      </w:pPr>
      <w:r>
        <w:t>179. Claim + two later sources: Scenarios for selected maritime economic functions</w:t>
      </w:r>
    </w:p>
    <w:p>
      <w:pPr>
        <w:pStyle w:val="SourceNote"/>
      </w:pPr>
      <w:r>
        <w:rPr>
          <w:b/>
        </w:rPr>
        <w:t>Group ID:</w:t>
      </w:r>
      <w:r>
        <w:t xml:space="preserve"> group-940b65c5827441532e80</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BLUE DB: A Local-Level Election Database for 31 European Countries (2001–2025) — https://doi.org/10.31235/osf.io/qp836_v1</w:t>
      </w:r>
    </w:p>
    <w:p>
      <w:pPr>
        <w:pStyle w:val="SourceNote"/>
      </w:pPr>
      <w:r>
        <w:rPr>
          <w:b/>
        </w:rPr>
        <w:t>Review status:</w:t>
      </w:r>
      <w:r>
        <w:t xml:space="preserve"> unchecked — possible relationship only</w:t>
      </w:r>
    </w:p>
    <w:p>
      <w:pPr>
        <w:pStyle w:val="Heading2"/>
      </w:pPr>
      <w:r>
        <w:t>180. Claim + two later sources: Towards Europe 2035 - In Search of the Archimedean Screw: FOCUS in Perspective</w:t>
      </w:r>
    </w:p>
    <w:p>
      <w:pPr>
        <w:pStyle w:val="SourceNote"/>
      </w:pPr>
      <w:r>
        <w:rPr>
          <w:b/>
        </w:rPr>
        <w:t>Group ID:</w:t>
      </w:r>
      <w:r>
        <w:t xml:space="preserve"> group-4e79217abf15cd656ce7</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Energy policy and economic security: a comparison of Europe and Asia — https://doi.org/10.33223/epj/207199</w:t>
      </w:r>
    </w:p>
    <w:p>
      <w:pPr/>
      <w:r>
        <w:rPr>
          <w:b/>
        </w:rPr>
        <w:t>Later source:</w:t>
      </w:r>
      <w:r>
        <w:t xml:space="preserve"> PUBLIC SECURITY AS AN ADMINISTRATIVE FUNCTION IN THE EUROPEAN UNION. A MULTILEVEL GOVERNANCE APPROACH — https://doi.org/10.13165/pspo-25-38-01-02</w:t>
      </w:r>
    </w:p>
    <w:p>
      <w:pPr>
        <w:pStyle w:val="SourceNote"/>
      </w:pPr>
      <w:r>
        <w:rPr>
          <w:b/>
        </w:rPr>
        <w:t>Review status:</w:t>
      </w:r>
      <w:r>
        <w:t xml:space="preserve"> unchecked — possible relationship only</w:t>
      </w:r>
    </w:p>
    <w:p>
      <w:pPr>
        <w:pStyle w:val="Heading2"/>
      </w:pPr>
      <w:r>
        <w:t>181. Claim + two later sources: Towards an assessment of adaptive capacity of the European agricultural sector to droughts</w:t>
      </w:r>
    </w:p>
    <w:p>
      <w:pPr>
        <w:pStyle w:val="SourceNote"/>
      </w:pPr>
      <w:r>
        <w:rPr>
          <w:b/>
        </w:rPr>
        <w:t>Group ID:</w:t>
      </w:r>
      <w:r>
        <w:t xml:space="preserve"> group-e6e4fc6103bca9e457f2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Selected Indicators of the Agricultural Sector in the European Union — https://doi.org/10.33422/worldbme.v3i2.1740</w:t>
      </w:r>
    </w:p>
    <w:p>
      <w:pPr/>
      <w:r>
        <w:rPr>
          <w:b/>
        </w:rPr>
        <w:t>Later source:</w:t>
      </w:r>
      <w:r>
        <w:t xml:space="preserve"> DIGITALIZATION AND ENERGY INDICATORS IN THE EUROPEAN UNION — https://doi.org/10.38104/vadyba.2026.2.04</w:t>
      </w:r>
    </w:p>
    <w:p>
      <w:pPr>
        <w:pStyle w:val="SourceNote"/>
      </w:pPr>
      <w:r>
        <w:rPr>
          <w:b/>
        </w:rPr>
        <w:t>Review status:</w:t>
      </w:r>
      <w:r>
        <w:t xml:space="preserve"> unchecked — possible relationship only</w:t>
      </w:r>
    </w:p>
    <w:p>
      <w:pPr>
        <w:pStyle w:val="Heading2"/>
      </w:pPr>
      <w:r>
        <w:t>182.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group-8de1c734c2c1e086cd0a</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Social Exchange Theory — https://doi.org/10.1079/9781800625822.0023</w:t>
      </w:r>
    </w:p>
    <w:p>
      <w:pPr/>
      <w:r>
        <w:rPr>
          <w:b/>
        </w:rPr>
        <w:t>Later source:</w:t>
      </w:r>
      <w:r>
        <w:t xml:space="preserve"> Photocatalytic C–C Coupling by a Au(I) Complex: Mechanistic Elucidation and SET Modulation — https://doi.org/10.1021/jacsau.5c01536</w:t>
      </w:r>
    </w:p>
    <w:p>
      <w:pPr>
        <w:pStyle w:val="SourceNote"/>
      </w:pPr>
      <w:r>
        <w:rPr>
          <w:b/>
        </w:rPr>
        <w:t>Review status:</w:t>
      </w:r>
      <w:r>
        <w:t xml:space="preserve"> unchecked — possible relationship only</w:t>
      </w:r>
    </w:p>
    <w:p>
      <w:pPr>
        <w:pStyle w:val="Heading2"/>
      </w:pPr>
      <w:r>
        <w:t>183. Claim + two later sources: One step ahead? The use of foresight by Czech and Slovak non-governmental organizations</w:t>
      </w:r>
    </w:p>
    <w:p>
      <w:pPr>
        <w:pStyle w:val="SourceNote"/>
      </w:pPr>
      <w:r>
        <w:rPr>
          <w:b/>
        </w:rPr>
        <w:t>Group ID:</w:t>
      </w:r>
      <w:r>
        <w:t xml:space="preserve"> group-5a01b9d17ae56cea2671</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Understanding the Nature of Talent Identification and Development in the Nigerian Context — https://doi.org/10.17869/enu.453361</w:t>
      </w:r>
    </w:p>
    <w:p>
      <w:pPr/>
      <w:r>
        <w:rPr>
          <w:b/>
        </w:rPr>
        <w:t>Later source:</w:t>
      </w:r>
      <w:r>
        <w:t xml:space="preserve"> From Nature to Ecology — https://doi.org/10.1163/18757405-03801004</w:t>
      </w:r>
    </w:p>
    <w:p>
      <w:pPr>
        <w:pStyle w:val="SourceNote"/>
      </w:pPr>
      <w:r>
        <w:rPr>
          <w:b/>
        </w:rPr>
        <w:t>Review status:</w:t>
      </w:r>
      <w:r>
        <w:t xml:space="preserve"> unchecked — possible relationship only</w:t>
      </w:r>
    </w:p>
    <w:p>
      <w:pPr>
        <w:pStyle w:val="Heading2"/>
      </w:pPr>
      <w:r>
        <w:t>184.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185.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186. Claim + two later sources: A comparison of three transformation pathways towards a sustainable European society - An integrated analysis from an energy system perspective</w:t>
      </w:r>
    </w:p>
    <w:p>
      <w:pPr>
        <w:pStyle w:val="SourceNote"/>
      </w:pPr>
      <w:r>
        <w:rPr>
          <w:b/>
        </w:rPr>
        <w:t>Group ID:</w:t>
      </w:r>
      <w:r>
        <w:t xml:space="preserve"> group-4c8b83669f02bd55bec5</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Civil Disobedience Across Contexts - Gandhi’s Methods and Eastern European Resistance Movements — https://doi.org/10.58944/mmnt9341</w:t>
      </w:r>
    </w:p>
    <w:p>
      <w:pPr>
        <w:pStyle w:val="SourceNote"/>
      </w:pPr>
      <w:r>
        <w:rPr>
          <w:b/>
        </w:rPr>
        <w:t>Review status:</w:t>
      </w:r>
      <w:r>
        <w:t xml:space="preserve"> unchecked — possible relationship only</w:t>
      </w:r>
    </w:p>
    <w:p>
      <w:pPr>
        <w:pStyle w:val="Heading2"/>
      </w:pPr>
      <w:r>
        <w:t>187.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188. Claim + two later sources: European Road Safety Policy 2016-2020: A Forecast on Topics and Activities</w:t>
      </w:r>
    </w:p>
    <w:p>
      <w:pPr>
        <w:pStyle w:val="SourceNote"/>
      </w:pPr>
      <w:r>
        <w:rPr>
          <w:b/>
        </w:rPr>
        <w:t>Group ID:</w:t>
      </w:r>
      <w:r>
        <w:t xml:space="preserve"> group-0f80bf37c78a1e958ac2</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European integration and transformed parliamentary opposition: Evidence from five decades of legislative politics — https://doi.org/10.1017/s1475676526100711</w:t>
      </w:r>
    </w:p>
    <w:p>
      <w:pPr>
        <w:pStyle w:val="SourceNote"/>
      </w:pPr>
      <w:r>
        <w:rPr>
          <w:b/>
        </w:rPr>
        <w:t>Review status:</w:t>
      </w:r>
      <w:r>
        <w:t xml:space="preserve"> unchecked — possible relationship only</w:t>
      </w:r>
    </w:p>
    <w:p>
      <w:pPr>
        <w:pStyle w:val="Heading2"/>
      </w:pPr>
      <w:r>
        <w:t>189. Claim + two later sources: ECONOMIC GROWTH PROJECTION FOR EUROPEAN UNION BY 2030</w:t>
      </w:r>
    </w:p>
    <w:p>
      <w:pPr>
        <w:pStyle w:val="SourceNote"/>
      </w:pPr>
      <w:r>
        <w:rPr>
          <w:b/>
        </w:rPr>
        <w:t>Group ID:</w:t>
      </w:r>
      <w:r>
        <w:t xml:space="preserve"> group-27e5fbd4db91523ce87f</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Just another white-striped mosquito? A scoping review and group discussion synthesis on Aedes koreicus in Europe — https://doi.org/10.1016/j.actatropica.2026.108302</w:t>
      </w:r>
    </w:p>
    <w:p>
      <w:pPr/>
      <w:r>
        <w:rPr>
          <w:b/>
        </w:rPr>
        <w:t>Later source:</w:t>
      </w:r>
      <w:r>
        <w:t xml:space="preserve"> The Development of Energy Policy in the European Union — https://doi.org/10.4324/9781003298403</w:t>
      </w:r>
    </w:p>
    <w:p>
      <w:pPr>
        <w:pStyle w:val="SourceNote"/>
      </w:pPr>
      <w:r>
        <w:rPr>
          <w:b/>
        </w:rPr>
        <w:t>Review status:</w:t>
      </w:r>
      <w:r>
        <w:t xml:space="preserve"> unchecked — possible relationship only</w:t>
      </w:r>
    </w:p>
    <w:p>
      <w:pPr>
        <w:pStyle w:val="Heading2"/>
      </w:pPr>
      <w:r>
        <w:t>190. Claim + two later sources: Which way to net zero? a comparative analysis of seven UK 2050 decarbonisation pathways</w:t>
      </w:r>
    </w:p>
    <w:p>
      <w:pPr>
        <w:pStyle w:val="SourceNote"/>
      </w:pPr>
      <w:r>
        <w:rPr>
          <w:b/>
        </w:rPr>
        <w:t>Group ID:</w:t>
      </w:r>
      <w:r>
        <w:t xml:space="preserve"> group-d78029cc0c7b21d6d28d</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Finding dimensions — https://doi.org/10.5463/thesis.1634</w:t>
      </w:r>
    </w:p>
    <w:p>
      <w:pPr/>
      <w:r>
        <w:rPr>
          <w:b/>
        </w:rPr>
        <w:t>Later source:</w:t>
      </w:r>
      <w:r>
        <w:t xml:space="preserve"> Less is More: Controlled Visual Evidence Routing and Redundancy Compression for Key Information Extraction — https://doi.org/10.18653/v1/2026.magmar-main.10</w:t>
      </w:r>
    </w:p>
    <w:p>
      <w:pPr>
        <w:pStyle w:val="SourceNote"/>
      </w:pPr>
      <w:r>
        <w:rPr>
          <w:b/>
        </w:rPr>
        <w:t>Review status:</w:t>
      </w:r>
      <w:r>
        <w:t xml:space="preserve"> unchecked — possible relationship only</w:t>
      </w:r>
    </w:p>
    <w:p>
      <w:pPr>
        <w:pStyle w:val="Heading2"/>
      </w:pPr>
      <w:r>
        <w:t>191. Claim + two later sources: Environmental impacts of high penetration renewable energy scenarios for Europe</w:t>
      </w:r>
    </w:p>
    <w:p>
      <w:pPr>
        <w:pStyle w:val="SourceNote"/>
      </w:pPr>
      <w:r>
        <w:rPr>
          <w:b/>
        </w:rPr>
        <w:t>Group ID:</w:t>
      </w:r>
      <w:r>
        <w:t xml:space="preserve"> group-264a6b5a397034f9e847</w:t>
      </w:r>
    </w:p>
    <w:p>
      <w:pPr>
        <w:pStyle w:val="SourceNote"/>
      </w:pPr>
      <w:r>
        <w:rPr>
          <w:b/>
        </w:rPr>
        <w:t>Original source:</w:t>
      </w:r>
      <w:r>
        <w:t xml:space="preserve"> https://doi.org/10.1088/1748-9326/11/1/014012</w:t>
      </w:r>
    </w:p>
    <w:p>
      <w:pPr/>
      <w:r>
        <w:rPr>
          <w:b/>
        </w:rPr>
        <w:t>Original future claim:</w:t>
      </w:r>
      <w:r>
        <w:t xml:space="preserve">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The climate change impacts from Europe for the year 2050 in a scenario using primarily natural gas are 1400 Tg CO 2 -eq while in a scenario using mostly coal with CCS the impacts are 480 Tg CO 2 -eq.</w:t>
      </w:r>
    </w:p>
    <w:p>
      <w:pPr/>
      <w:r>
        <w:rPr>
          <w:b/>
        </w:rPr>
        <w:t>Later source:</w:t>
      </w:r>
      <w:r>
        <w:t xml:space="preserve"> Challenges and Solutions for Forest Biodiversity Conservation in Sweden: Assessment of Policy, Implementation Outputs, and Consequences — https://doi.org/10.3390/land12051098</w:t>
      </w:r>
    </w:p>
    <w:p>
      <w:pPr/>
      <w:r>
        <w:rPr>
          <w:b/>
        </w:rPr>
        <w:t>Later source:</w:t>
      </w:r>
      <w:r>
        <w:t xml:space="preserve"> DiSSCo Prepare Project: Increasing the Implementation Readiness Levels of the European Research Infrastructure — https://doi.org/10.3897/rio.9.e113906</w:t>
      </w:r>
    </w:p>
    <w:p>
      <w:pPr>
        <w:pStyle w:val="SourceNote"/>
      </w:pPr>
      <w:r>
        <w:rPr>
          <w:b/>
        </w:rPr>
        <w:t>Review status:</w:t>
      </w:r>
      <w:r>
        <w:t xml:space="preserve"> unchecked — possible relationship only</w:t>
      </w:r>
    </w:p>
    <w:p>
      <w:pPr>
        <w:pStyle w:val="Heading2"/>
      </w:pPr>
      <w:r>
        <w:t>192. Claim + two later sources: Interpreting long-term energy scenarios and the role of bioenergy in Germany</w:t>
      </w:r>
    </w:p>
    <w:p>
      <w:pPr>
        <w:pStyle w:val="SourceNote"/>
      </w:pPr>
      <w:r>
        <w:rPr>
          <w:b/>
        </w:rPr>
        <w:t>Group ID:</w:t>
      </w:r>
      <w:r>
        <w:t xml:space="preserve"> group-6ad96eb6153d7ee75c91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European Integration — https://doi.org/10.1017/9781009604093.008</w:t>
      </w:r>
    </w:p>
    <w:p>
      <w:pPr/>
      <w:r>
        <w:rPr>
          <w:b/>
        </w:rPr>
        <w:t>Later source:</w:t>
      </w:r>
      <w:r>
        <w:t xml:space="preserve"> Conceptual-theoretical approaches to the process of europeanization — https://doi.org/10.59295/ierm2025.01</w:t>
      </w:r>
    </w:p>
    <w:p>
      <w:pPr>
        <w:pStyle w:val="SourceNote"/>
      </w:pPr>
      <w:r>
        <w:rPr>
          <w:b/>
        </w:rPr>
        <w:t>Review status:</w:t>
      </w:r>
      <w:r>
        <w:t xml:space="preserve"> unchecked — possible relationship only</w:t>
      </w:r>
    </w:p>
    <w:p>
      <w:pPr>
        <w:pStyle w:val="Heading2"/>
      </w:pPr>
      <w:r>
        <w:t>193. Claim + two later sources: Czech Republic as A Deferring Factor for European Union to Achieve Climate Change Measures</w:t>
      </w:r>
    </w:p>
    <w:p>
      <w:pPr>
        <w:pStyle w:val="SourceNote"/>
      </w:pPr>
      <w:r>
        <w:rPr>
          <w:b/>
        </w:rPr>
        <w:t>Group ID:</w:t>
      </w:r>
      <w:r>
        <w:t xml:space="preserve"> group-bcf3ab951ebf8e78b384</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GovTech in Europe between public- and privateness—A Delphi-based research agenda — https://doi.org/10.1007/s12525-026-00913-z</w:t>
      </w:r>
    </w:p>
    <w:p>
      <w:pPr>
        <w:pStyle w:val="SourceNote"/>
      </w:pPr>
      <w:r>
        <w:rPr>
          <w:b/>
        </w:rPr>
        <w:t>Review status:</w:t>
      </w:r>
      <w:r>
        <w:t xml:space="preserve"> unchecked — possible relationship only</w:t>
      </w:r>
    </w:p>
    <w:p>
      <w:pPr>
        <w:pStyle w:val="Heading2"/>
      </w:pPr>
      <w:r>
        <w:t>194. Claim + two later sources: Potential stocks and increments of woody biomass in the European Union under different management and climate scenarios</w:t>
      </w:r>
    </w:p>
    <w:p>
      <w:pPr>
        <w:pStyle w:val="SourceNote"/>
      </w:pPr>
      <w:r>
        <w:rPr>
          <w:b/>
        </w:rPr>
        <w:t>Group ID:</w:t>
      </w:r>
      <w:r>
        <w:t xml:space="preserve"> group-d5c3a5e39d6a5d2860a2</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Contribution of brown carbon to light absorption in emissions of European residential biomass combustion appliances — https://doi.org/10.5194/acp-24-3197-2024</w:t>
      </w:r>
    </w:p>
    <w:p>
      <w:pPr/>
      <w:r>
        <w:rPr>
          <w:b/>
        </w:rPr>
        <w:t>Later source:</w:t>
      </w:r>
      <w:r>
        <w:t xml:space="preserve"> Improved large-area forest increment information in Europe through harmonisation of National Forest Inventories — https://doi.org/10.1016/j.foreco.2024.121913</w:t>
      </w:r>
    </w:p>
    <w:p>
      <w:pPr>
        <w:pStyle w:val="SourceNote"/>
      </w:pPr>
      <w:r>
        <w:rPr>
          <w:b/>
        </w:rPr>
        <w:t>Review status:</w:t>
      </w:r>
      <w:r>
        <w:t xml:space="preserve"> unchecked — possible relationship only</w:t>
      </w:r>
    </w:p>
    <w:p>
      <w:pPr>
        <w:pStyle w:val="Heading2"/>
      </w:pPr>
      <w:r>
        <w:t>195.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196. Claim + two later sources: Crisis futures: The affects and temporalities of economic collapse in Iceland</w:t>
      </w:r>
    </w:p>
    <w:p>
      <w:pPr>
        <w:pStyle w:val="SourceNote"/>
      </w:pPr>
      <w:r>
        <w:rPr>
          <w:b/>
        </w:rPr>
        <w:t>Group ID:</w:t>
      </w:r>
      <w:r>
        <w:t xml:space="preserve"> group-4655e2529f2249001c89</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Transforming the neoliberal state in times of crisis: pathways of democratization and sustainabilization — https://doi.org/10.1080/15487733.2026.2676224</w:t>
      </w:r>
    </w:p>
    <w:p>
      <w:pPr>
        <w:pStyle w:val="SourceNote"/>
      </w:pPr>
      <w:r>
        <w:rPr>
          <w:b/>
        </w:rPr>
        <w:t>Review status:</w:t>
      </w:r>
      <w:r>
        <w:t xml:space="preserve"> unchecked — possible relationship only</w:t>
      </w:r>
    </w:p>
    <w:p>
      <w:pPr>
        <w:pStyle w:val="Heading2"/>
      </w:pPr>
      <w:r>
        <w:t>197.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198. Claim + two later sources: Long-term vision of rural areas in Hungary, focusing on foresights</w:t>
      </w:r>
    </w:p>
    <w:p>
      <w:pPr>
        <w:pStyle w:val="SourceNote"/>
      </w:pPr>
      <w:r>
        <w:rPr>
          <w:b/>
        </w:rPr>
        <w:t>Group ID:</w:t>
      </w:r>
      <w:r>
        <w:t xml:space="preserve"> group-d2e30d3e9f62f99716a5</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The European Union’s Sanction Policy – Challenges and Opportunities of the 2024 Hungarian EU Presidency — https://doi.org/10.36250/01303_77</w:t>
      </w:r>
    </w:p>
    <w:p>
      <w:pPr/>
      <w:r>
        <w:rPr>
          <w:b/>
        </w:rPr>
        <w:t>Later source:</w:t>
      </w:r>
      <w:r>
        <w:t xml:space="preserve"> Prevalence of Smith–Lemli–Opitz Syndrome Carriers and the Spectrum of DHCR7 Pathogenic Variants in Representative Czech and Hungarian Population Cohorts — https://doi.org/10.3390/genes17020164</w:t>
      </w:r>
    </w:p>
    <w:p>
      <w:pPr>
        <w:pStyle w:val="SourceNote"/>
      </w:pPr>
      <w:r>
        <w:rPr>
          <w:b/>
        </w:rPr>
        <w:t>Review status:</w:t>
      </w:r>
      <w:r>
        <w:t xml:space="preserve"> unchecked — possible relationship only</w:t>
      </w:r>
    </w:p>
    <w:p>
      <w:pPr>
        <w:pStyle w:val="Heading2"/>
      </w:pPr>
      <w:r>
        <w:t>199. Claim + two later sources: European human‐dominated landscapes provide ample space for the recolonization of large carnivore populations under future land change scenarios</w:t>
      </w:r>
    </w:p>
    <w:p>
      <w:pPr>
        <w:pStyle w:val="SourceNote"/>
      </w:pPr>
      <w:r>
        <w:rPr>
          <w:b/>
        </w:rPr>
        <w:t>Group ID:</w:t>
      </w:r>
      <w:r>
        <w:t xml:space="preserve"> group-42cf88a0aaa294576418</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Increasing land take in Europe’s land-water interface — https://doi.org/10.32942/x2j946</w:t>
      </w:r>
    </w:p>
    <w:p>
      <w:pPr/>
      <w:r>
        <w:rPr>
          <w:b/>
        </w:rPr>
        <w:t>Later source:</w:t>
      </w:r>
      <w:r>
        <w:t xml:space="preserve"> Regional land use and land-use intensity effects on vertebrate biodiversity across Europe identified using species distribution models — https://doi.org/10.1007/s10980-026-02379-y</w:t>
      </w:r>
    </w:p>
    <w:p>
      <w:pPr>
        <w:pStyle w:val="SourceNote"/>
      </w:pPr>
      <w:r>
        <w:rPr>
          <w:b/>
        </w:rPr>
        <w:t>Review status:</w:t>
      </w:r>
      <w:r>
        <w:t xml:space="preserve"> unchecked — possible relationship only</w:t>
      </w:r>
    </w:p>
    <w:p>
      <w:pPr>
        <w:pStyle w:val="Heading2"/>
      </w:pPr>
      <w:r>
        <w:t>200.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201.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202. Claim + two later sources: Proposals of European Citizens for Reviving the Future of Shrinking Areas</w:t>
      </w:r>
    </w:p>
    <w:p>
      <w:pPr>
        <w:pStyle w:val="SourceNote"/>
      </w:pPr>
      <w:r>
        <w:rPr>
          <w:b/>
        </w:rPr>
        <w:t>Group ID:</w:t>
      </w:r>
      <w:r>
        <w:t xml:space="preserve"> group-4874abe8c59ca7e11966</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Envisioning the future of European mountain value chains: a participatory foresight approach — https://doi.org/10.1007/s10113-025-02454-1</w:t>
      </w:r>
    </w:p>
    <w:p>
      <w:pPr/>
      <w:r>
        <w:rPr>
          <w:b/>
        </w:rPr>
        <w:t>Later source:</w:t>
      </w:r>
      <w:r>
        <w:t xml:space="preserve"> Declining Opportunities? Perceptions of Housing Market Risk in Shrinking Cities — https://doi.org/10.17645/up.11077</w:t>
      </w:r>
    </w:p>
    <w:p>
      <w:pPr>
        <w:pStyle w:val="SourceNote"/>
      </w:pPr>
      <w:r>
        <w:rPr>
          <w:b/>
        </w:rPr>
        <w:t>Review status:</w:t>
      </w:r>
      <w:r>
        <w:t xml:space="preserve"> unchecked — possible relationship only</w:t>
      </w:r>
    </w:p>
    <w:p>
      <w:pPr>
        <w:pStyle w:val="Heading2"/>
      </w:pPr>
      <w:r>
        <w:t>203.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204. Claim + two later sources: Scenarios for European agricultural policymaking in the era of digitalisation</w:t>
      </w:r>
    </w:p>
    <w:p>
      <w:pPr>
        <w:pStyle w:val="SourceNote"/>
      </w:pPr>
      <w:r>
        <w:rPr>
          <w:b/>
        </w:rPr>
        <w:t>Group ID:</w:t>
      </w:r>
      <w:r>
        <w:t xml:space="preserve"> group-1ef77293a76f213c2700</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Italian registry for narcolepsy and central disorders of hypersomnolence (ReN&amp;IS): Baseline clinical and diagnostic findings — https://doi.org/10.1016/j.sleep.2026.109021</w:t>
      </w:r>
    </w:p>
    <w:p>
      <w:pPr>
        <w:pStyle w:val="SourceNote"/>
      </w:pPr>
      <w:r>
        <w:rPr>
          <w:b/>
        </w:rPr>
        <w:t>Review status:</w:t>
      </w:r>
      <w:r>
        <w:t xml:space="preserve"> unchecked — possible relationship only</w:t>
      </w:r>
    </w:p>
    <w:p>
      <w:pPr>
        <w:pStyle w:val="Heading2"/>
      </w:pPr>
      <w:r>
        <w:t>205.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206.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207.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group-aa45d99c2a60ba84348f</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Electricity demand and grid impacts of AI data centers: Challenges and prospects — https://doi.org/10.1016/j.ynexs.2026.100162</w:t>
      </w:r>
    </w:p>
    <w:p>
      <w:pPr/>
      <w:r>
        <w:rPr>
          <w:b/>
        </w:rPr>
        <w:t>Later source:</w:t>
      </w:r>
      <w:r>
        <w:t xml:space="preserve"> Net-zero pathways and the future of GB electricity transmission networks — https://openalex.org/W7113082078</w:t>
      </w:r>
    </w:p>
    <w:p>
      <w:pPr>
        <w:pStyle w:val="SourceNote"/>
      </w:pPr>
      <w:r>
        <w:rPr>
          <w:b/>
        </w:rPr>
        <w:t>Review status:</w:t>
      </w:r>
      <w:r>
        <w:t xml:space="preserve"> unchecked — possible relationship only</w:t>
      </w:r>
    </w:p>
    <w:p>
      <w:pPr>
        <w:pStyle w:val="Heading2"/>
      </w:pPr>
      <w:r>
        <w:t>208. Claim + two later sources: Policy Modelling for Ambitious Energy Efficiency Investment in the EU Residential Buildings</w:t>
      </w:r>
    </w:p>
    <w:p>
      <w:pPr>
        <w:pStyle w:val="SourceNote"/>
      </w:pPr>
      <w:r>
        <w:rPr>
          <w:b/>
        </w:rPr>
        <w:t>Group ID:</w:t>
      </w:r>
      <w:r>
        <w:t xml:space="preserve"> group-cb2f6ba2425c7125f271</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Inoperability of Investment Treaties within Europe: CJEU Jurisprudence and Its Impact on Investment Arbitration — https://openalex.org/W7113066800</w:t>
      </w:r>
    </w:p>
    <w:p>
      <w:pPr/>
      <w:r>
        <w:rPr>
          <w:b/>
        </w:rPr>
        <w:t>Later source:</w:t>
      </w:r>
      <w:r>
        <w:t xml:space="preserve"> The Geopolitical Shift and the Challenge to European Integration — https://doi.org/10.1007/978-3-032-18648-5_1</w:t>
      </w:r>
    </w:p>
    <w:p>
      <w:pPr>
        <w:pStyle w:val="SourceNote"/>
      </w:pPr>
      <w:r>
        <w:rPr>
          <w:b/>
        </w:rPr>
        <w:t>Review status:</w:t>
      </w:r>
      <w:r>
        <w:t xml:space="preserve"> unchecked — possible relationship only</w:t>
      </w:r>
    </w:p>
    <w:p>
      <w:pPr>
        <w:pStyle w:val="Heading2"/>
      </w:pPr>
      <w:r>
        <w:t>209. Claim + two later sources: A New Climate for Europe: 2030 Climate Targets Must Be More Ambitious</w:t>
      </w:r>
    </w:p>
    <w:p>
      <w:pPr>
        <w:pStyle w:val="SourceNote"/>
      </w:pPr>
      <w:r>
        <w:rPr>
          <w:b/>
        </w:rPr>
        <w:t>Group ID:</w:t>
      </w:r>
      <w:r>
        <w:t xml:space="preserve"> group-a6d4e0fecacad7b4af78</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210. Claim + two later sources: Dutch Public health Foresight study 2018/20</w:t>
      </w:r>
    </w:p>
    <w:p>
      <w:pPr>
        <w:pStyle w:val="SourceNote"/>
      </w:pPr>
      <w:r>
        <w:rPr>
          <w:b/>
        </w:rPr>
        <w:t>Group ID:</w:t>
      </w:r>
      <w:r>
        <w:t xml:space="preserve"> group-0ae503d106c69969e82b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https://doi.org/10.6084/m9.figshare.31875322</w:t>
      </w:r>
    </w:p>
    <w:p>
      <w:pPr>
        <w:pStyle w:val="SourceNote"/>
      </w:pPr>
      <w:r>
        <w:rPr>
          <w:b/>
        </w:rPr>
        <w:t>Review status:</w:t>
      </w:r>
      <w:r>
        <w:t xml:space="preserve"> unchecked — possible relationship only</w:t>
      </w:r>
    </w:p>
    <w:p>
      <w:pPr>
        <w:pStyle w:val="Heading2"/>
      </w:pPr>
      <w:r>
        <w:t>211.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212. Claim + two later sources: An Agent-Based Assessment of Land Use and Ecosystem Changes in Traditional Agricultural Landscape of Portugal</w:t>
      </w:r>
    </w:p>
    <w:p>
      <w:pPr>
        <w:pStyle w:val="SourceNote"/>
      </w:pPr>
      <w:r>
        <w:rPr>
          <w:b/>
        </w:rPr>
        <w:t>Group ID:</w:t>
      </w:r>
      <w:r>
        <w:t xml:space="preserve"> group-cf10bb40ebfd0198b5b1</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Spatiotemporal analysis of montado land cover dynamics in southern Portugal: the influence of anthropogenic and natural disturbances — https://doi.org/10.1007/s10457-026-01564-x</w:t>
      </w:r>
    </w:p>
    <w:p>
      <w:pPr>
        <w:pStyle w:val="SourceNote"/>
      </w:pPr>
      <w:r>
        <w:rPr>
          <w:b/>
        </w:rPr>
        <w:t>Review status:</w:t>
      </w:r>
      <w:r>
        <w:t xml:space="preserve"> unchecked — possible relationship only</w:t>
      </w:r>
    </w:p>
    <w:p>
      <w:pPr>
        <w:pStyle w:val="Heading2"/>
      </w:pPr>
      <w:r>
        <w:t>213.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214. Claim + two later sources: Anticipatory governance for newcomers: lessons learned from the UK, the Netherlands, Finland, and Korea</w:t>
      </w:r>
    </w:p>
    <w:p>
      <w:pPr>
        <w:pStyle w:val="SourceNote"/>
      </w:pPr>
      <w:r>
        <w:rPr>
          <w:b/>
        </w:rPr>
        <w:t>Group ID:</w:t>
      </w:r>
      <w:r>
        <w:t xml:space="preserve"> group-1526e41c9b0204aa1ab0</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Change from within? The strategies used by public officials to advance post-growth approaches — https://doi.org/10.48550/arxiv.2606.24439</w:t>
      </w:r>
    </w:p>
    <w:p>
      <w:pPr>
        <w:pStyle w:val="SourceNote"/>
      </w:pPr>
      <w:r>
        <w:rPr>
          <w:b/>
        </w:rPr>
        <w:t>Review status:</w:t>
      </w:r>
      <w:r>
        <w:t xml:space="preserve"> unchecked — possible relationship only</w:t>
      </w:r>
    </w:p>
    <w:p>
      <w:pPr>
        <w:pStyle w:val="Heading2"/>
      </w:pPr>
      <w:r>
        <w:t>215. Claim + two later sources: Foresight and “grand challenges” within research and innovation policies</w:t>
      </w:r>
    </w:p>
    <w:p>
      <w:pPr>
        <w:pStyle w:val="SourceNote"/>
      </w:pPr>
      <w:r>
        <w:rPr>
          <w:b/>
        </w:rPr>
        <w:t>Group ID:</w:t>
      </w:r>
      <w:r>
        <w:t xml:space="preserve"> group-6d2ad0023d4f371a8b4f</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Between trauma and resistance: Pride, pleasure, and purpose in the lives of trans and gender diverse activists in Brazil. — https://doi.org/10.1037/tra0002117</w:t>
      </w:r>
    </w:p>
    <w:p>
      <w:pPr/>
      <w:r>
        <w:rPr>
          <w:b/>
        </w:rPr>
        <w:t>Later source:</w:t>
      </w:r>
      <w:r>
        <w:t xml:space="preserve"> The Pursuit of Meaning: Finding Happiness Through Purpose — https://doi.org/10.17605/osf.io/mgfdk</w:t>
      </w:r>
    </w:p>
    <w:p>
      <w:pPr>
        <w:pStyle w:val="SourceNote"/>
      </w:pPr>
      <w:r>
        <w:rPr>
          <w:b/>
        </w:rPr>
        <w:t>Review status:</w:t>
      </w:r>
      <w:r>
        <w:t xml:space="preserve"> unchecked — possible relationship only</w:t>
      </w:r>
    </w:p>
    <w:p>
      <w:pPr>
        <w:pStyle w:val="Heading2"/>
      </w:pPr>
      <w:r>
        <w:t>216. Claim + two later sources: Governance barriers to sustainable energy transitions – Assessing Ireland's capacity towards marine energy futures</w:t>
      </w:r>
    </w:p>
    <w:p>
      <w:pPr>
        <w:pStyle w:val="SourceNote"/>
      </w:pPr>
      <w:r>
        <w:rPr>
          <w:b/>
        </w:rPr>
        <w:t>Group ID:</w:t>
      </w:r>
      <w:r>
        <w:t xml:space="preserve"> group-74fcad6575b212d0cccf</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A systematic review of the role of community science in European wildlife governance — https://openalex.org/W7202009244</w:t>
      </w:r>
    </w:p>
    <w:p>
      <w:pPr/>
      <w:r>
        <w:rPr>
          <w:b/>
        </w:rPr>
        <w:t>Later source:</w:t>
      </w:r>
      <w:r>
        <w:t xml:space="preserve"> Practices within the European Union’s Governance — https://doi.org/10.38158/apjeus.22.1.1</w:t>
      </w:r>
    </w:p>
    <w:p>
      <w:pPr>
        <w:pStyle w:val="SourceNote"/>
      </w:pPr>
      <w:r>
        <w:rPr>
          <w:b/>
        </w:rPr>
        <w:t>Review status:</w:t>
      </w:r>
      <w:r>
        <w:t xml:space="preserve"> unchecked — possible relationship only</w:t>
      </w:r>
    </w:p>
    <w:p>
      <w:pPr>
        <w:pStyle w:val="Heading2"/>
      </w:pPr>
      <w:r>
        <w:t>217.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218.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219. Claim + two later sources: International migration by 2030: impact of immigration policies scenarios on growth and employment</w:t>
      </w:r>
    </w:p>
    <w:p>
      <w:pPr>
        <w:pStyle w:val="SourceNote"/>
      </w:pPr>
      <w:r>
        <w:rPr>
          <w:b/>
        </w:rPr>
        <w:t>Group ID:</w:t>
      </w:r>
      <w:r>
        <w:t xml:space="preserve"> group-21f65308ba050ff65ad8</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Immigration, Innovation, and the Geography of Growth — https://doi.org/10.3386/w35392</w:t>
      </w:r>
    </w:p>
    <w:p>
      <w:pPr>
        <w:pStyle w:val="SourceNote"/>
      </w:pPr>
      <w:r>
        <w:rPr>
          <w:b/>
        </w:rPr>
        <w:t>Review status:</w:t>
      </w:r>
      <w:r>
        <w:t xml:space="preserve"> unchecked — possible relationship only</w:t>
      </w:r>
    </w:p>
    <w:p>
      <w:pPr>
        <w:pStyle w:val="Heading2"/>
      </w:pPr>
      <w:r>
        <w:t>220. Claim + two later sources: Will climate change affect the electricity production sector? A European study</w:t>
      </w:r>
    </w:p>
    <w:p>
      <w:pPr>
        <w:pStyle w:val="SourceNote"/>
      </w:pPr>
      <w:r>
        <w:rPr>
          <w:b/>
        </w:rPr>
        <w:t>Group ID:</w:t>
      </w:r>
      <w:r>
        <w:t xml:space="preserve"> group-add534e48407d6ba9b27</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Integration of unreported irrigation withdrawals in time-series models of groundwater levels (Seewinkel, Austria) — https://doi.org/10.5194/egusphere-egu26-13119</w:t>
      </w:r>
    </w:p>
    <w:p>
      <w:pPr/>
      <w:r>
        <w:rPr>
          <w:b/>
        </w:rPr>
        <w:t>Later source:</w:t>
      </w:r>
      <w:r>
        <w:t xml:space="preserve"> Hydrogen production from grid electricity in Europe: A temporal analysis combining economic and climate dimensions — https://doi.org/10.1016/j.ecmx.2026.101922</w:t>
      </w:r>
    </w:p>
    <w:p>
      <w:pPr>
        <w:pStyle w:val="SourceNote"/>
      </w:pPr>
      <w:r>
        <w:rPr>
          <w:b/>
        </w:rPr>
        <w:t>Review status:</w:t>
      </w:r>
      <w:r>
        <w:t xml:space="preserve"> unchecked — possible relationship only</w:t>
      </w:r>
    </w:p>
    <w:p>
      <w:pPr>
        <w:pStyle w:val="Heading2"/>
      </w:pPr>
      <w:r>
        <w:t>221.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222. Claim + two later sources: Superconductivity and the environment: a Roadmap</w:t>
      </w:r>
    </w:p>
    <w:p>
      <w:pPr>
        <w:pStyle w:val="SourceNote"/>
      </w:pPr>
      <w:r>
        <w:rPr>
          <w:b/>
        </w:rPr>
        <w:t>Group ID:</w:t>
      </w:r>
      <w:r>
        <w:t xml:space="preserve"> group-e0fb199573310d8bf49b</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A Natural Deep Eutectic Solvent Formulated to Stabilize β-Lactam Antibiotics — https://doi.org/10.1038/s41598-018-33148-w</w:t>
      </w:r>
    </w:p>
    <w:p>
      <w:pPr>
        <w:pStyle w:val="SourceNote"/>
      </w:pPr>
      <w:r>
        <w:rPr>
          <w:b/>
        </w:rPr>
        <w:t>Review status:</w:t>
      </w:r>
      <w:r>
        <w:t xml:space="preserve"> unchecked — possible relationship only</w:t>
      </w:r>
    </w:p>
    <w:p>
      <w:pPr>
        <w:pStyle w:val="Heading2"/>
      </w:pPr>
      <w:r>
        <w:t>223. Claim + two later sources: Foresight in Public Administration: Methods and Perspectives of Implementation in Ukraine</w:t>
      </w:r>
    </w:p>
    <w:p>
      <w:pPr>
        <w:pStyle w:val="SourceNote"/>
      </w:pPr>
      <w:r>
        <w:rPr>
          <w:b/>
        </w:rPr>
        <w:t>Group ID:</w:t>
      </w:r>
      <w:r>
        <w:t xml:space="preserve"> group-73b84809f76f10109b88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Surveys in clinical research: methodological aspects and practical guidance — https://doi.org/10.62675/2965-2774.20260322</w:t>
      </w:r>
    </w:p>
    <w:p>
      <w:pPr>
        <w:pStyle w:val="SourceNote"/>
      </w:pPr>
      <w:r>
        <w:rPr>
          <w:b/>
        </w:rPr>
        <w:t>Review status:</w:t>
      </w:r>
      <w:r>
        <w:t xml:space="preserve"> unchecked — possible relationship only</w:t>
      </w:r>
    </w:p>
    <w:p>
      <w:pPr>
        <w:pStyle w:val="Heading2"/>
      </w:pPr>
      <w:r>
        <w:t>224. Claim + two later sources: Energy Efficiency Vision 2050: How will new societal trends influence future energy demand in the European countries?</w:t>
      </w:r>
    </w:p>
    <w:p>
      <w:pPr>
        <w:pStyle w:val="SourceNote"/>
      </w:pPr>
      <w:r>
        <w:rPr>
          <w:b/>
        </w:rPr>
        <w:t>Group ID:</w:t>
      </w:r>
      <w:r>
        <w:t xml:space="preserve"> group-50f17084ef96b001bb35</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European Energy Performance of Buildings Directive and Cultural Heritage — https://openalex.org/W7126308985</w:t>
      </w:r>
    </w:p>
    <w:p>
      <w:pPr/>
      <w:r>
        <w:rPr>
          <w:b/>
        </w:rPr>
        <w:t>Later source:</w:t>
      </w:r>
      <w:r>
        <w:t xml:space="preserve"> Quality of Consumed Energy as a Key Element in the Development of Processes of Energy Transformation in the European Union Countries — https://doi.org/10.3390/en18030460</w:t>
      </w:r>
    </w:p>
    <w:p>
      <w:pPr>
        <w:pStyle w:val="SourceNote"/>
      </w:pPr>
      <w:r>
        <w:rPr>
          <w:b/>
        </w:rPr>
        <w:t>Review status:</w:t>
      </w:r>
      <w:r>
        <w:t xml:space="preserve"> unchecked — possible relationship only</w:t>
      </w:r>
    </w:p>
    <w:p>
      <w:pPr>
        <w:pStyle w:val="Heading2"/>
      </w:pPr>
      <w:r>
        <w:t>225. Claim + two later sources: Energy system transition and macroeconomic impacts of a European decarbonization action towards a below 2 °C climate stabilization</w:t>
      </w:r>
    </w:p>
    <w:p>
      <w:pPr>
        <w:pStyle w:val="SourceNote"/>
      </w:pPr>
      <w:r>
        <w:rPr>
          <w:b/>
        </w:rPr>
        <w:t>Group ID:</w:t>
      </w:r>
      <w:r>
        <w:t xml:space="preserve"> group-cc673862086b990fd229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Majority of methane emissions from European biogas plant supply chains could be eliminated at no net cost — https://doi.org/10.1038/s44458-026-00065-3</w:t>
      </w:r>
    </w:p>
    <w:p>
      <w:pPr/>
      <w:r>
        <w:rPr>
          <w:b/>
        </w:rPr>
        <w:t>Later source:</w:t>
      </w:r>
      <w:r>
        <w:t xml:space="preserve"> Balancing economic growth and emission reductions: an empirical study of the European Union — https://doi.org/10.15196/rs160307</w:t>
      </w:r>
    </w:p>
    <w:p>
      <w:pPr>
        <w:pStyle w:val="SourceNote"/>
      </w:pPr>
      <w:r>
        <w:rPr>
          <w:b/>
        </w:rPr>
        <w:t>Review status:</w:t>
      </w:r>
      <w:r>
        <w:t xml:space="preserve"> unchecked — possible relationship only</w:t>
      </w:r>
    </w:p>
    <w:p>
      <w:pPr>
        <w:pStyle w:val="Heading2"/>
      </w:pPr>
      <w:r>
        <w:t>226. Claim + two later sources: Burden of pancreatic cancer along with attributable risk factors in Europe between 1990 and 2019, and projections until 2039</w:t>
      </w:r>
    </w:p>
    <w:p>
      <w:pPr>
        <w:pStyle w:val="SourceNote"/>
      </w:pPr>
      <w:r>
        <w:rPr>
          <w:b/>
        </w:rPr>
        <w:t>Group ID:</w:t>
      </w:r>
      <w:r>
        <w:t xml:space="preserve"> group-2ae76223ea4d4320d6b7</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Unequal healthy ageing trajectories across Europe: socioeconomic development and age-related disease burden in the European Union and South-Eastern European countries — https://doi.org/10.1007/s11357-026-02273-0</w:t>
      </w:r>
    </w:p>
    <w:p>
      <w:pPr>
        <w:pStyle w:val="SourceNote"/>
      </w:pPr>
      <w:r>
        <w:rPr>
          <w:b/>
        </w:rPr>
        <w:t>Review status:</w:t>
      </w:r>
      <w:r>
        <w:t xml:space="preserve"> unchecked — possible relationship only</w:t>
      </w:r>
    </w:p>
    <w:p>
      <w:pPr>
        <w:pStyle w:val="Heading2"/>
      </w:pPr>
      <w:r>
        <w:t>227. Claim + two later sources: Securing a bioenergy future without imports</w:t>
      </w:r>
    </w:p>
    <w:p>
      <w:pPr>
        <w:pStyle w:val="SourceNote"/>
      </w:pPr>
      <w:r>
        <w:rPr>
          <w:b/>
        </w:rPr>
        <w:t>Group ID:</w:t>
      </w:r>
      <w:r>
        <w:t xml:space="preserve"> group-985a3c4188aeb0b3db83</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Indigenous Water as Life — https://doi.org/10.4018/979-8-3373-7559-5.ch003</w:t>
      </w:r>
    </w:p>
    <w:p>
      <w:pPr>
        <w:pStyle w:val="SourceNote"/>
      </w:pPr>
      <w:r>
        <w:rPr>
          <w:b/>
        </w:rPr>
        <w:t>Review status:</w:t>
      </w:r>
      <w:r>
        <w:t xml:space="preserve"> unchecked — possible relationship only</w:t>
      </w:r>
    </w:p>
    <w:p>
      <w:pPr>
        <w:pStyle w:val="Heading2"/>
      </w:pPr>
      <w:r>
        <w:t>228. Claim + two later sources: Shifts, turning points and inertia exploring long-term industry trends in European transport</w:t>
      </w:r>
    </w:p>
    <w:p>
      <w:pPr>
        <w:pStyle w:val="SourceNote"/>
      </w:pPr>
      <w:r>
        <w:rPr>
          <w:b/>
        </w:rPr>
        <w:t>Group ID:</w:t>
      </w:r>
      <w:r>
        <w:t xml:space="preserve"> group-3edcd0f23c62f9e5e334</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Economic and Technological Resilience in the European Union: Geopolitical Fragmentation, Economic Security and the Future of Competitiveness — https://doi.org/10.3390/world7080135</w:t>
      </w:r>
    </w:p>
    <w:p>
      <w:pPr>
        <w:pStyle w:val="SourceNote"/>
      </w:pPr>
      <w:r>
        <w:rPr>
          <w:b/>
        </w:rPr>
        <w:t>Review status:</w:t>
      </w:r>
      <w:r>
        <w:t xml:space="preserve"> unchecked — possible relationship only</w:t>
      </w:r>
    </w:p>
    <w:p>
      <w:pPr>
        <w:pStyle w:val="Heading2"/>
      </w:pPr>
      <w:r>
        <w:t>229. Claim + two later sources: Electricity Spot Market Design 2030-2050</w:t>
      </w:r>
    </w:p>
    <w:p>
      <w:pPr>
        <w:pStyle w:val="SourceNote"/>
      </w:pPr>
      <w:r>
        <w:rPr>
          <w:b/>
        </w:rPr>
        <w:t>Group ID:</w:t>
      </w:r>
      <w:r>
        <w:t xml:space="preserve"> group-84ff4c9060193933488d</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Spatial Planning and Building Control in Germany — https://doi.org/10.4324/9781315201153</w:t>
      </w:r>
    </w:p>
    <w:p>
      <w:pPr/>
      <w:r>
        <w:rPr>
          <w:b/>
        </w:rPr>
        <w:t>Later source:</w:t>
      </w:r>
      <w:r>
        <w:t xml:space="preserve"> Nazis Unwelcome! The Campaign against German Migration — https://doi.org/10.4324/9781003711445-6</w:t>
      </w:r>
    </w:p>
    <w:p>
      <w:pPr>
        <w:pStyle w:val="SourceNote"/>
      </w:pPr>
      <w:r>
        <w:rPr>
          <w:b/>
        </w:rPr>
        <w:t>Review status:</w:t>
      </w:r>
      <w:r>
        <w:t xml:space="preserve"> unchecked — possible relationship only</w:t>
      </w:r>
    </w:p>
    <w:p>
      <w:pPr>
        <w:pStyle w:val="Heading2"/>
      </w:pPr>
      <w:r>
        <w:t>230. Claim + two later sources: Centre-Periphery Relations in Europe: Demographic Aspect</w:t>
      </w:r>
    </w:p>
    <w:p>
      <w:pPr>
        <w:pStyle w:val="SourceNote"/>
      </w:pPr>
      <w:r>
        <w:rPr>
          <w:b/>
        </w:rPr>
        <w:t>Group ID:</w:t>
      </w:r>
      <w:r>
        <w:t xml:space="preserve"> group-ae21e2bb954516badc64</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64 A paradox of supply and demand: unemployed doctors amid NHS waiting lists — https://doi.org/10.1136/bmjoq-2026-qsho.64</w:t>
      </w:r>
    </w:p>
    <w:p>
      <w:pPr/>
      <w:r>
        <w:rPr>
          <w:b/>
        </w:rPr>
        <w:t>Later source:</w:t>
      </w:r>
      <w:r>
        <w:t xml:space="preserve"> Profiling and subjectification of unemployed people: exploring the case of Slovenian public employment services — https://doi.org/10.51952/9781447371892.ch014</w:t>
      </w:r>
    </w:p>
    <w:p>
      <w:pPr>
        <w:pStyle w:val="SourceNote"/>
      </w:pPr>
      <w:r>
        <w:rPr>
          <w:b/>
        </w:rPr>
        <w:t>Review status:</w:t>
      </w:r>
      <w:r>
        <w:t xml:space="preserve"> unchecked — possible relationship only</w:t>
      </w:r>
    </w:p>
    <w:p>
      <w:pPr>
        <w:pStyle w:val="Heading2"/>
      </w:pPr>
      <w:r>
        <w:t>231. Claim + two later sources: Designing health system scenarios at the national level</w:t>
      </w:r>
    </w:p>
    <w:p>
      <w:pPr>
        <w:pStyle w:val="SourceNote"/>
      </w:pPr>
      <w:r>
        <w:rPr>
          <w:b/>
        </w:rPr>
        <w:t>Group ID:</w:t>
      </w:r>
      <w:r>
        <w:t xml:space="preserve"> group-9764661a29739fc68f3c</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Impact of the urban environment on self-perception of health in a medium-sized European city: A mixed-methods study — https://doi.org/10.1016/j.cities.2025.106730</w:t>
      </w:r>
    </w:p>
    <w:p>
      <w:pPr/>
      <w:r>
        <w:rPr>
          <w:b/>
        </w:rPr>
        <w:t>Later source:</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pStyle w:val="SourceNote"/>
      </w:pPr>
      <w:r>
        <w:rPr>
          <w:b/>
        </w:rPr>
        <w:t>Review status:</w:t>
      </w:r>
      <w:r>
        <w:t xml:space="preserve"> unchecked — possible relationship only</w:t>
      </w:r>
    </w:p>
    <w:p>
      <w:pPr>
        <w:pStyle w:val="Heading2"/>
      </w:pPr>
      <w:r>
        <w:t>232.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233. Claim + two later sources: FRESHER: Challenges and opportunities for building Health/Healthy futures</w:t>
      </w:r>
    </w:p>
    <w:p>
      <w:pPr>
        <w:pStyle w:val="SourceNote"/>
      </w:pPr>
      <w:r>
        <w:rPr>
          <w:b/>
        </w:rPr>
        <w:t>Group ID:</w:t>
      </w:r>
      <w:r>
        <w:t xml:space="preserve"> group-cd55e51108883dad3c0a</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Recent Advances in Microencapsulated Phase Change Materials for Energy Efficiency in Buildings: A Review — https://doi.org/10.3390/polym18040451</w:t>
      </w:r>
    </w:p>
    <w:p>
      <w:pPr/>
      <w:r>
        <w:rPr>
          <w:b/>
        </w:rPr>
        <w:t>Later source:</w:t>
      </w:r>
      <w:r>
        <w:t xml:space="preserve"> Technical Factor Analysis that Impacts Building Maintenance in the Retention Phase — https://doi.org/10.53623/csue.v6i1.947</w:t>
      </w:r>
    </w:p>
    <w:p>
      <w:pPr>
        <w:pStyle w:val="SourceNote"/>
      </w:pPr>
      <w:r>
        <w:rPr>
          <w:b/>
        </w:rPr>
        <w:t>Review status:</w:t>
      </w:r>
      <w:r>
        <w:t xml:space="preserve"> unchecked — possible relationship only</w:t>
      </w:r>
    </w:p>
    <w:p>
      <w:pPr>
        <w:pStyle w:val="Heading2"/>
      </w:pPr>
      <w:r>
        <w:t>234. Claim + two later sources: The implications of regional and national demographic projections for future GMS costs in Ireland through to 2026</w:t>
      </w:r>
    </w:p>
    <w:p>
      <w:pPr>
        <w:pStyle w:val="SourceNote"/>
      </w:pPr>
      <w:r>
        <w:rPr>
          <w:b/>
        </w:rPr>
        <w:t>Group ID:</w:t>
      </w:r>
      <w:r>
        <w:t xml:space="preserve"> group-62a045913e6fcae7a402</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Option Pricing Model Comparison between Black Scholes Merton Model and Monte Carlo Simulation — https://doi.org/10.61173/xh544756</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pStyle w:val="SourceNote"/>
      </w:pPr>
      <w:r>
        <w:rPr>
          <w:b/>
        </w:rPr>
        <w:t>Review status:</w:t>
      </w:r>
      <w:r>
        <w:t xml:space="preserve"> unchecked — possible relationship only</w:t>
      </w:r>
    </w:p>
    <w:p>
      <w:pPr>
        <w:pStyle w:val="Heading2"/>
      </w:pPr>
      <w:r>
        <w:t>235. Claim + two later sources: A scenario-planning approach to human resources for health: the case of community pharmacists in Portugal</w:t>
      </w:r>
    </w:p>
    <w:p>
      <w:pPr>
        <w:pStyle w:val="SourceNote"/>
      </w:pPr>
      <w:r>
        <w:rPr>
          <w:b/>
        </w:rPr>
        <w:t>Group ID:</w:t>
      </w:r>
      <w:r>
        <w:t xml:space="preserve"> group-c791c6e504ff70fc182a</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Towards an inclusive curriculum? Comparing the curricular regimes of three European countries — https://doi.org/10.1080/08856257.2026.2692090</w:t>
      </w:r>
    </w:p>
    <w:p>
      <w:pPr/>
      <w:r>
        <w:rPr>
          <w:b/>
        </w:rPr>
        <w:t>Later source:</w:t>
      </w:r>
      <w:r>
        <w:t xml:space="preserve"> Adverse drug reaction reporting by New Zealand pharmacists: a cross-sectional investigation of community and hospital pharmacists — https://doi.org/10.1093/ijpp/riaf017</w:t>
      </w:r>
    </w:p>
    <w:p>
      <w:pPr>
        <w:pStyle w:val="SourceNote"/>
      </w:pPr>
      <w:r>
        <w:rPr>
          <w:b/>
        </w:rPr>
        <w:t>Review status:</w:t>
      </w:r>
      <w:r>
        <w:t xml:space="preserve"> unchecked — possible relationship only</w:t>
      </w:r>
    </w:p>
    <w:p>
      <w:pPr>
        <w:pStyle w:val="Heading2"/>
      </w:pPr>
      <w:r>
        <w:t>236. Claim + two later sources: The northern hemisphere circumglobal teleconnection in a seasonal forecast model and its relationship to European summer forecast skill</w:t>
      </w:r>
    </w:p>
    <w:p>
      <w:pPr>
        <w:pStyle w:val="SourceNote"/>
      </w:pPr>
      <w:r>
        <w:rPr>
          <w:b/>
        </w:rPr>
        <w:t>Group ID:</w:t>
      </w:r>
      <w:r>
        <w:t xml:space="preserve"> group-98a780d5371668ba0a05</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Impact of climate change on agricultural systems: Shifting insect pest-natural enemy dynamics-A review — https://doi.org/10.22271/j.ento.2026.v14.i2a.9720</w:t>
      </w:r>
    </w:p>
    <w:p>
      <w:pPr/>
      <w:r>
        <w:rPr>
          <w:b/>
        </w:rPr>
        <w:t>Later source:</w:t>
      </w:r>
      <w:r>
        <w:t xml:space="preserve"> The role of capitalism and colonialism in the deforestation of early modern Europe: Notes for historical land use models — https://doi.org/10.1016/j.ancene.2026.100566</w:t>
      </w:r>
    </w:p>
    <w:p>
      <w:pPr>
        <w:pStyle w:val="SourceNote"/>
      </w:pPr>
      <w:r>
        <w:rPr>
          <w:b/>
        </w:rPr>
        <w:t>Review status:</w:t>
      </w:r>
      <w:r>
        <w:t xml:space="preserve"> unchecked — possible relationship only</w:t>
      </w:r>
    </w:p>
    <w:p>
      <w:pPr>
        <w:pStyle w:val="Heading2"/>
      </w:pPr>
      <w:r>
        <w:t>237.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238. Claim + two later sources: Integrating foresight into government. Is it possible? Is it likely?</w:t>
      </w:r>
    </w:p>
    <w:p>
      <w:pPr>
        <w:pStyle w:val="SourceNote"/>
      </w:pPr>
      <w:r>
        <w:rPr>
          <w:b/>
        </w:rPr>
        <w:t>Group ID:</w:t>
      </w:r>
      <w:r>
        <w:t xml:space="preserve"> group-d9a42c06be3dda25ba79</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Methodological considerations and generalisability of tracheal extubation location findings in surgical patients — https://doi.org/10.1111/anae.16696</w:t>
      </w:r>
    </w:p>
    <w:p>
      <w:pPr>
        <w:pStyle w:val="SourceNote"/>
      </w:pPr>
      <w:r>
        <w:rPr>
          <w:b/>
        </w:rPr>
        <w:t>Review status:</w:t>
      </w:r>
      <w:r>
        <w:t xml:space="preserve"> unchecked — possible relationship only</w:t>
      </w:r>
    </w:p>
    <w:p>
      <w:pPr>
        <w:pStyle w:val="Heading2"/>
      </w:pPr>
      <w:r>
        <w:t>239. Claim + two later sources: An exploratory policy analysis of electric vehicle sales competition and sensitivity to infrastructure in Europe</w:t>
      </w:r>
    </w:p>
    <w:p>
      <w:pPr>
        <w:pStyle w:val="SourceNote"/>
      </w:pPr>
      <w:r>
        <w:rPr>
          <w:b/>
        </w:rPr>
        <w:t>Group ID:</w:t>
      </w:r>
      <w:r>
        <w:t xml:space="preserve"> group-17ad3a9428bb91773982</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ENSURING CYBER RESILIENCE OF CRITICAL INFRASTRUCTURE FACILITIES IN THE EUROPEAN UNION: REGULATORY AND LEGAL ASPECT — https://doi.org/10.5281/zenodo.19383483</w:t>
      </w:r>
    </w:p>
    <w:p>
      <w:pPr>
        <w:pStyle w:val="SourceNote"/>
      </w:pPr>
      <w:r>
        <w:rPr>
          <w:b/>
        </w:rPr>
        <w:t>Review status:</w:t>
      </w:r>
      <w:r>
        <w:t xml:space="preserve"> unchecked — possible relationship only</w:t>
      </w:r>
    </w:p>
    <w:p>
      <w:pPr>
        <w:pStyle w:val="Heading2"/>
      </w:pPr>
      <w:r>
        <w:t>240. Claim + two later sources: CORPORATE FORESIGHT AND ASSESSMENT OF INNOVATIVE ACTIVITY OF INDUSTRIAL ENTERPRISES</w:t>
      </w:r>
    </w:p>
    <w:p>
      <w:pPr>
        <w:pStyle w:val="SourceNote"/>
      </w:pPr>
      <w:r>
        <w:rPr>
          <w:b/>
        </w:rPr>
        <w:t>Group ID:</w:t>
      </w:r>
      <w:r>
        <w:t xml:space="preserve"> group-4ac9d9d244d936407a52</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Navigating the winds of change: strategic foresight and the power of weak signals — https://doi.org/10.1007/s11625-025-01786-5</w:t>
      </w:r>
    </w:p>
    <w:p>
      <w:pPr/>
      <w:r>
        <w:rPr>
          <w:b/>
        </w:rPr>
        <w:t>Later source:</w:t>
      </w:r>
      <w:r>
        <w:t xml:space="preserve"> FORESIGHT METHODS TOOLS FOR INNOVATIVE MARKETING AND DIGITAL MARKET FORESIGHT — https://doi.org/10.20998/2313-8890.2025.12.08</w:t>
      </w:r>
    </w:p>
    <w:p>
      <w:pPr>
        <w:pStyle w:val="SourceNote"/>
      </w:pPr>
      <w:r>
        <w:rPr>
          <w:b/>
        </w:rPr>
        <w:t>Review status:</w:t>
      </w:r>
      <w:r>
        <w:t xml:space="preserve"> unchecked — possible relationship only</w:t>
      </w:r>
    </w:p>
    <w:p>
      <w:pPr>
        <w:pStyle w:val="Heading2"/>
      </w:pPr>
      <w:r>
        <w:t>241. Claim + two later sources: Varying soil moisture–atmosphere feedbacks explain divergent temperature extremes and precipitation projections in central Europe</w:t>
      </w:r>
    </w:p>
    <w:p>
      <w:pPr>
        <w:pStyle w:val="SourceNote"/>
      </w:pPr>
      <w:r>
        <w:rPr>
          <w:b/>
        </w:rPr>
        <w:t>Group ID:</w:t>
      </w:r>
      <w:r>
        <w:t xml:space="preserve"> group-7d01f402f1df7f0485f1</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Hotspots of extreme temperature resulting from constructive interference of anthropogenic and natural forcing factors — https://doi.org/10.1007/s00704-026-06049-6</w:t>
      </w:r>
    </w:p>
    <w:p>
      <w:pPr>
        <w:pStyle w:val="SourceNote"/>
      </w:pPr>
      <w:r>
        <w:rPr>
          <w:b/>
        </w:rPr>
        <w:t>Review status:</w:t>
      </w:r>
      <w:r>
        <w:t xml:space="preserve"> unchecked — possible relationship only</w:t>
      </w:r>
    </w:p>
    <w:p>
      <w:pPr>
        <w:pStyle w:val="Heading2"/>
      </w:pPr>
      <w:r>
        <w:t>242.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243.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244. Claim + two later sources: Innovation policy and international relations: directions for EU diplomacy</w:t>
      </w:r>
    </w:p>
    <w:p>
      <w:pPr>
        <w:pStyle w:val="SourceNote"/>
      </w:pPr>
      <w:r>
        <w:rPr>
          <w:b/>
        </w:rPr>
        <w:t>Group ID:</w:t>
      </w:r>
      <w:r>
        <w:t xml:space="preserve"> group-3e32c3d0e4b1d5baf111</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IMPACT OF THE STATE OF EMERGENCY ON SOCIAL RELATIONS — https://doi.org/10.13165/pspo-23-34-04</w:t>
      </w:r>
    </w:p>
    <w:p>
      <w:pPr>
        <w:pStyle w:val="SourceNote"/>
      </w:pPr>
      <w:r>
        <w:rPr>
          <w:b/>
        </w:rPr>
        <w:t>Review status:</w:t>
      </w:r>
      <w:r>
        <w:t xml:space="preserve"> unchecked — possible relationship only</w:t>
      </w:r>
    </w:p>
    <w:p>
      <w:pPr>
        <w:pStyle w:val="Heading2"/>
      </w:pPr>
      <w:r>
        <w:t>245. Claim + two later sources: A ‘futures’ approach towards the wellbeing of future generations in Wales and beyond</w:t>
      </w:r>
    </w:p>
    <w:p>
      <w:pPr>
        <w:pStyle w:val="SourceNote"/>
      </w:pPr>
      <w:r>
        <w:rPr>
          <w:b/>
        </w:rPr>
        <w:t>Group ID:</w:t>
      </w:r>
      <w:r>
        <w:t xml:space="preserve"> group-a7b717b32f94c895f7af</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Prevalence of complementary and alternative medicine use among osteoarthritis patients in a developing country and their level of satisfaction — https://doi.org/10.1038/s41598-026-37826-y</w:t>
      </w:r>
    </w:p>
    <w:p>
      <w:pPr>
        <w:pStyle w:val="SourceNote"/>
      </w:pPr>
      <w:r>
        <w:rPr>
          <w:b/>
        </w:rPr>
        <w:t>Review status:</w:t>
      </w:r>
      <w:r>
        <w:t xml:space="preserve"> unchecked — possible relationship only</w:t>
      </w:r>
    </w:p>
    <w:p>
      <w:pPr>
        <w:pStyle w:val="Heading2"/>
      </w:pPr>
      <w:r>
        <w:t>246. Claim + two later sources: Electromobility Scenarios: Research Findings to Inform Policy</w:t>
      </w:r>
    </w:p>
    <w:p>
      <w:pPr>
        <w:pStyle w:val="SourceNote"/>
      </w:pPr>
      <w:r>
        <w:rPr>
          <w:b/>
        </w:rPr>
        <w:t>Group ID:</w:t>
      </w:r>
      <w:r>
        <w:t xml:space="preserve"> group-294ef143f53fc5c4e01e</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Methods to assess on-farm biosecurity in Europe and beyond — https://doi.org/10.1016/j.prevetmed.2025.106486</w:t>
      </w:r>
    </w:p>
    <w:p>
      <w:pPr/>
      <w:r>
        <w:rPr>
          <w:b/>
        </w:rPr>
        <w:t>Later source:</w:t>
      </w:r>
      <w:r>
        <w:t xml:space="preserve"> Geodiversity data for Europe — https://doi.org/10.1098/rsta.2023.0173</w:t>
      </w:r>
    </w:p>
    <w:p>
      <w:pPr>
        <w:pStyle w:val="SourceNote"/>
      </w:pPr>
      <w:r>
        <w:rPr>
          <w:b/>
        </w:rPr>
        <w:t>Review status:</w:t>
      </w:r>
      <w:r>
        <w:t xml:space="preserve"> unchecked — possible relationship only</w:t>
      </w:r>
    </w:p>
    <w:p>
      <w:pPr>
        <w:pStyle w:val="Heading2"/>
      </w:pPr>
      <w:r>
        <w:t>247.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248.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249. Claim + two later sources: Spatial Simulation of Codesigned Land Cover Change Scenarios in New England: Alternative Futures and Their Consequences for Conservation Priorities</w:t>
      </w:r>
    </w:p>
    <w:p>
      <w:pPr>
        <w:pStyle w:val="SourceNote"/>
      </w:pPr>
      <w:r>
        <w:rPr>
          <w:b/>
        </w:rPr>
        <w:t>Group ID:</w:t>
      </w:r>
      <w:r>
        <w:t xml:space="preserve"> group-647ee3825465043bdf9d</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future physics teachers through Flat-Earth arguments: strengthening scientific reasoning — https://doi.org/10.1088/1361-6404/ae3403</w:t>
      </w:r>
    </w:p>
    <w:p>
      <w:pPr/>
      <w:r>
        <w:rPr>
          <w:b/>
        </w:rPr>
        <w:t>Later source:</w:t>
      </w:r>
      <w:r>
        <w:t xml:space="preserve"> The Left Needs Bureaucrats — https://doi.org/10.1353/dss.2026.a980268</w:t>
      </w:r>
    </w:p>
    <w:p>
      <w:pPr>
        <w:pStyle w:val="SourceNote"/>
      </w:pPr>
      <w:r>
        <w:rPr>
          <w:b/>
        </w:rPr>
        <w:t>Review status:</w:t>
      </w:r>
      <w:r>
        <w:t xml:space="preserve"> unchecked — possible relationship only</w:t>
      </w:r>
    </w:p>
    <w:p>
      <w:pPr>
        <w:pStyle w:val="Heading2"/>
      </w:pPr>
      <w:r>
        <w:t>250. Claim + two later sources: Futuring European industry: assessing the ManuFuture road towards EU re-industrialization</w:t>
      </w:r>
    </w:p>
    <w:p>
      <w:pPr>
        <w:pStyle w:val="SourceNote"/>
      </w:pPr>
      <w:r>
        <w:rPr>
          <w:b/>
        </w:rPr>
        <w:t>Group ID:</w:t>
      </w:r>
      <w:r>
        <w:t xml:space="preserve"> group-57c29282c76ef93288e7</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ESG and systemic risk in financial networks: High- vs. low-rated portfolios in Europe — https://doi.org/10.1016/j.iref.2026.105363</w:t>
      </w:r>
    </w:p>
    <w:p>
      <w:pPr/>
      <w:r>
        <w:rPr>
          <w:b/>
        </w:rPr>
        <w:t>Later source:</w:t>
      </w:r>
      <w:r>
        <w:t xml:space="preserve"> Mapping Social Innovation in Systemic Approaches to Climate Neutrality: An Indicator-Based Analysis of 53 European Cities’ Actions — https://doi.org/10.3390/su18031496</w:t>
      </w:r>
    </w:p>
    <w:p>
      <w:pPr>
        <w:pStyle w:val="SourceNote"/>
      </w:pPr>
      <w:r>
        <w:rPr>
          <w:b/>
        </w:rPr>
        <w:t>Review status:</w:t>
      </w:r>
      <w:r>
        <w:t xml:space="preserve"> unchecked — possible relationship only</w:t>
      </w:r>
    </w:p>
    <w:p>
      <w:pPr>
        <w:pStyle w:val="Heading2"/>
      </w:pPr>
      <w:r>
        <w:t>251. Claim + two later sources: THREE INVESTMENT SCENARIOS FOR  FUTURE NUCLEAR REACTORS IN EUROPE</w:t>
      </w:r>
    </w:p>
    <w:p>
      <w:pPr>
        <w:pStyle w:val="SourceNote"/>
      </w:pPr>
      <w:r>
        <w:rPr>
          <w:b/>
        </w:rPr>
        <w:t>Group ID:</w:t>
      </w:r>
      <w:r>
        <w:t xml:space="preserve"> group-5bb2a44ae9ba99df154a</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Does policy matter : A study on the Swedish energy policy with a focus on nuclear power — https://openalex.org/W7134996966</w:t>
      </w:r>
    </w:p>
    <w:p>
      <w:pPr>
        <w:pStyle w:val="SourceNote"/>
      </w:pPr>
      <w:r>
        <w:rPr>
          <w:b/>
        </w:rPr>
        <w:t>Review status:</w:t>
      </w:r>
      <w:r>
        <w:t xml:space="preserve"> unchecked — possible relationship only</w:t>
      </w:r>
    </w:p>
    <w:p>
      <w:pPr>
        <w:pStyle w:val="Heading2"/>
      </w:pPr>
      <w:r>
        <w:t>252. Claim + two later sources: A road map for explorative scenario creation on Belgian rail freight transport development</w:t>
      </w:r>
    </w:p>
    <w:p>
      <w:pPr>
        <w:pStyle w:val="SourceNote"/>
      </w:pPr>
      <w:r>
        <w:rPr>
          <w:b/>
        </w:rPr>
        <w:t>Group ID:</w:t>
      </w:r>
      <w:r>
        <w:t xml:space="preserve"> group-511f5c91eb040d4300a5</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Interdisciplinary OER Development: Virtual Microscope — https://doi.org/10.7275/x2wf-1386</w:t>
      </w:r>
    </w:p>
    <w:p>
      <w:pPr>
        <w:pStyle w:val="SourceNote"/>
      </w:pPr>
      <w:r>
        <w:rPr>
          <w:b/>
        </w:rPr>
        <w:t>Review status:</w:t>
      </w:r>
      <w:r>
        <w:t xml:space="preserve"> unchecked — possible relationship only</w:t>
      </w:r>
    </w:p>
    <w:p>
      <w:pPr>
        <w:pStyle w:val="Heading2"/>
      </w:pPr>
      <w:r>
        <w:t>253. Claim + two later sources: Three scenarios for industrial relations in Europe</w:t>
      </w:r>
    </w:p>
    <w:p>
      <w:pPr>
        <w:pStyle w:val="SourceNote"/>
      </w:pPr>
      <w:r>
        <w:rPr>
          <w:b/>
        </w:rPr>
        <w:t>Group ID:</w:t>
      </w:r>
      <w:r>
        <w:t xml:space="preserve"> group-f368df3ccded754465c0</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U.S. approaches to economic development of Western Europe in the 1940s–1950s — https://doi.org/10.48015/2076-7404-2025-17-1-54-88</w:t>
      </w:r>
    </w:p>
    <w:p>
      <w:pPr/>
      <w:r>
        <w:rPr>
          <w:b/>
        </w:rPr>
        <w:t>Later source:</w:t>
      </w:r>
      <w:r>
        <w:t xml:space="preserve"> The future of the colonial system as assessed by experts of the Council on Foreign Relations during the Second World War — https://doi.org/10.48015/2076-7404-2025-17-1-141-161</w:t>
      </w:r>
    </w:p>
    <w:p>
      <w:pPr>
        <w:pStyle w:val="SourceNote"/>
      </w:pPr>
      <w:r>
        <w:rPr>
          <w:b/>
        </w:rPr>
        <w:t>Review status:</w:t>
      </w:r>
      <w:r>
        <w:t xml:space="preserve"> unchecked — possible relationship only</w:t>
      </w:r>
    </w:p>
    <w:p>
      <w:pPr>
        <w:pStyle w:val="Heading2"/>
      </w:pPr>
      <w:r>
        <w:t>254.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255.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256.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257.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258. Claim + two later sources: Consequences of Enduring Low Fertility – A German Case Study. Demographic Projections and Implications for Different Policy Fields</w:t>
      </w:r>
    </w:p>
    <w:p>
      <w:pPr>
        <w:pStyle w:val="SourceNote"/>
      </w:pPr>
      <w:r>
        <w:rPr>
          <w:b/>
        </w:rPr>
        <w:t>Group ID:</w:t>
      </w:r>
      <w:r>
        <w:t xml:space="preserve"> group-d58532a2fdb44ed20a0a</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A Multidimensional Muscle Quality Index in Severe Obesity: Relationships with Ageing, Adiposity, and Functional Performance — https://doi.org/10.3390/jcm15176696</w:t>
      </w:r>
    </w:p>
    <w:p>
      <w:pPr>
        <w:pStyle w:val="SourceNote"/>
      </w:pPr>
      <w:r>
        <w:rPr>
          <w:b/>
        </w:rPr>
        <w:t>Review status:</w:t>
      </w:r>
      <w:r>
        <w:t xml:space="preserve"> unchecked — possible relationship only</w:t>
      </w:r>
    </w:p>
    <w:p>
      <w:pPr>
        <w:pStyle w:val="Heading2"/>
      </w:pPr>
      <w:r>
        <w:t>259.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260.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group-7043efa67624d02db1e5</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Reviewing assessment strategies in European dental schools — https://doi.org/10.1016/j.jdent.2024.105091</w:t>
      </w:r>
    </w:p>
    <w:p>
      <w:pPr>
        <w:pStyle w:val="SourceNote"/>
      </w:pPr>
      <w:r>
        <w:rPr>
          <w:b/>
        </w:rPr>
        <w:t>Review status:</w:t>
      </w:r>
      <w:r>
        <w:t xml:space="preserve"> unchecked — possible relationship only</w:t>
      </w:r>
    </w:p>
    <w:p>
      <w:pPr>
        <w:pStyle w:val="Heading2"/>
      </w:pPr>
      <w:r>
        <w:t>261.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262.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263.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264.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265. Claim + two later sources: Future air quality in Europe: a multi-model assessment of projected exposure to ozone</w:t>
      </w:r>
    </w:p>
    <w:p>
      <w:pPr>
        <w:pStyle w:val="SourceNote"/>
      </w:pPr>
      <w:r>
        <w:rPr>
          <w:b/>
        </w:rPr>
        <w:t>Group ID:</w:t>
      </w:r>
      <w:r>
        <w:t xml:space="preserve"> group-dcd6d005e7d375da70fb</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 Segmentation Analysis of Air Passengers in European Countries — https://doi.org/10.3390/futuretransp6010027</w:t>
      </w:r>
    </w:p>
    <w:p>
      <w:pPr/>
      <w:r>
        <w:rPr>
          <w:b/>
        </w:rPr>
        <w:t>Later source:</w:t>
      </w:r>
      <w:r>
        <w:t xml:space="preserve"> Air pollution and innovation — https://doi.org/10.1016/j.jeem.2024.103102</w:t>
      </w:r>
    </w:p>
    <w:p>
      <w:pPr>
        <w:pStyle w:val="SourceNote"/>
      </w:pPr>
      <w:r>
        <w:rPr>
          <w:b/>
        </w:rPr>
        <w:t>Review status:</w:t>
      </w:r>
      <w:r>
        <w:t xml:space="preserve"> unchecked — possible relationship only</w:t>
      </w:r>
    </w:p>
    <w:p>
      <w:pPr>
        <w:pStyle w:val="Heading2"/>
      </w:pPr>
      <w:r>
        <w:t>266. Claim + two later sources: The future of trade unions in Croatia – various stakeholders’ perspectives</w:t>
      </w:r>
    </w:p>
    <w:p>
      <w:pPr>
        <w:pStyle w:val="SourceNote"/>
      </w:pPr>
      <w:r>
        <w:rPr>
          <w:b/>
        </w:rPr>
        <w:t>Group ID:</w:t>
      </w:r>
      <w:r>
        <w:t xml:space="preserve"> group-ec59e61fc004f5895235</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Staging the Semah s: Performing Aleviness in Turkey and Europe — https://doi.org/10.1111/sena.70029</w:t>
      </w:r>
    </w:p>
    <w:p>
      <w:pPr>
        <w:pStyle w:val="SourceNote"/>
      </w:pPr>
      <w:r>
        <w:rPr>
          <w:b/>
        </w:rPr>
        <w:t>Review status:</w:t>
      </w:r>
      <w:r>
        <w:t xml:space="preserve"> unchecked — possible relationship only</w:t>
      </w:r>
    </w:p>
    <w:p>
      <w:pPr>
        <w:pStyle w:val="Heading2"/>
      </w:pPr>
      <w:r>
        <w:t>267.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268.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269. Claim + two later sources: Scenarios for the Development of Multimodal Transport in the TRITIA Cross-Border Area</w:t>
      </w:r>
    </w:p>
    <w:p>
      <w:pPr>
        <w:pStyle w:val="SourceNote"/>
      </w:pPr>
      <w:r>
        <w:rPr>
          <w:b/>
        </w:rPr>
        <w:t>Group ID:</w:t>
      </w:r>
      <w:r>
        <w:t xml:space="preserve"> group-f54b316711f6d05f4dc5</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FINTECH ECOSYSTEM OF UKRAINE IN THE EUROPEAN CONTEXT — https://doi.org/10.31651/2076-5843-2026-2-174-187</w:t>
      </w:r>
    </w:p>
    <w:p>
      <w:pPr>
        <w:pStyle w:val="SourceNote"/>
      </w:pPr>
      <w:r>
        <w:rPr>
          <w:b/>
        </w:rPr>
        <w:t>Review status:</w:t>
      </w:r>
      <w:r>
        <w:t xml:space="preserve"> unchecked — possible relationship only</w:t>
      </w:r>
    </w:p>
    <w:p>
      <w:pPr>
        <w:pStyle w:val="Heading2"/>
      </w:pPr>
      <w:r>
        <w:t>270.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271.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272. Claim + two later sources: Development and transport implications of automated vehicles in the Netherlands: scenarios for 2030 and 2050</w:t>
      </w:r>
    </w:p>
    <w:p>
      <w:pPr>
        <w:pStyle w:val="SourceNote"/>
      </w:pPr>
      <w:r>
        <w:rPr>
          <w:b/>
        </w:rPr>
        <w:t>Group ID:</w:t>
      </w:r>
      <w:r>
        <w:t xml:space="preserve"> group-36efaad706d8033caa93</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Relationship between atrial fibrillation ablation and gross domestic product across Europe — https://doi.org/10.1093/europace/euaf309</w:t>
      </w:r>
    </w:p>
    <w:p>
      <w:pPr/>
      <w:r>
        <w:rPr>
          <w:b/>
        </w:rPr>
        <w:t>Later source:</w:t>
      </w:r>
      <w:r>
        <w:t xml:space="preserve"> Electric Vehicle Fleet Penetration and Air Pollution Mortality in Europe — https://doi.org/10.32388/vkflrm</w:t>
      </w:r>
    </w:p>
    <w:p>
      <w:pPr>
        <w:pStyle w:val="SourceNote"/>
      </w:pPr>
      <w:r>
        <w:rPr>
          <w:b/>
        </w:rPr>
        <w:t>Review status:</w:t>
      </w:r>
      <w:r>
        <w:t xml:space="preserve"> unchecked — possible relationship only</w:t>
      </w:r>
    </w:p>
    <w:p>
      <w:pPr>
        <w:pStyle w:val="Heading2"/>
      </w:pPr>
      <w:r>
        <w:t>273.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274. Claim + two later sources: Five transition pathways to renewable energy futures—scenarios from a Delphi study on key drivers and policy options</w:t>
      </w:r>
    </w:p>
    <w:p>
      <w:pPr>
        <w:pStyle w:val="SourceNote"/>
      </w:pPr>
      <w:r>
        <w:rPr>
          <w:b/>
        </w:rPr>
        <w:t>Group ID:</w:t>
      </w:r>
      <w:r>
        <w:t xml:space="preserve"> group-7abfcea9a63e3176371a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Closing the Coordination Gap: A Policy Architecture for the European Energy Transition — https://doi.org/10.5281/zenodo.19984616</w:t>
      </w:r>
    </w:p>
    <w:p>
      <w:pPr>
        <w:pStyle w:val="SourceNote"/>
      </w:pPr>
      <w:r>
        <w:rPr>
          <w:b/>
        </w:rPr>
        <w:t>Review status:</w:t>
      </w:r>
      <w:r>
        <w:t xml:space="preserve"> unchecked — possible relationship only</w:t>
      </w:r>
    </w:p>
    <w:p>
      <w:pPr>
        <w:pStyle w:val="Heading2"/>
      </w:pPr>
      <w:r>
        <w:t>275. Claim + two later sources: European Union, transnational terrorism and the strategic choice of counterterrorism policies in democratic countries</w:t>
      </w:r>
    </w:p>
    <w:p>
      <w:pPr>
        <w:pStyle w:val="SourceNote"/>
      </w:pPr>
      <w:r>
        <w:rPr>
          <w:b/>
        </w:rPr>
        <w:t>Group ID:</w:t>
      </w:r>
      <w:r>
        <w:t xml:space="preserve"> group-5a4c9cd7fd661e1e7404</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Development of Commercial Law: Perspectives from Chinese and European Traditions — https://doi.org/10.14738/assrj.1301.19843</w:t>
      </w:r>
    </w:p>
    <w:p>
      <w:pPr/>
      <w:r>
        <w:rPr>
          <w:b/>
        </w:rPr>
        <w:t>Later source:</w:t>
      </w:r>
      <w:r>
        <w:t xml:space="preserve"> Combining Policy Instruments and Local Measures to Promote Agrobiodiversity — https://doi.org/10.1111/1746-692x.70021</w:t>
      </w:r>
    </w:p>
    <w:p>
      <w:pPr>
        <w:pStyle w:val="SourceNote"/>
      </w:pPr>
      <w:r>
        <w:rPr>
          <w:b/>
        </w:rPr>
        <w:t>Review status:</w:t>
      </w:r>
      <w:r>
        <w:t xml:space="preserve"> unchecked — possible relationship only</w:t>
      </w:r>
    </w:p>
    <w:p>
      <w:pPr>
        <w:pStyle w:val="Heading2"/>
      </w:pPr>
      <w:r>
        <w:t>276. Claim + two later sources: Biotechnology versus agroecology: Entrenchments and surprise at a 2030 forecast scenario workshop</w:t>
      </w:r>
    </w:p>
    <w:p>
      <w:pPr>
        <w:pStyle w:val="SourceNote"/>
      </w:pPr>
      <w:r>
        <w:rPr>
          <w:b/>
        </w:rPr>
        <w:t>Group ID:</w:t>
      </w:r>
      <w:r>
        <w:t xml:space="preserve"> group-e06d4b86fdb71384240a</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Impact of Qualitative Research Methodology Workshop on Researchers’ Learning and Skill Development — https://doi.org/10.36948/ijfmr.2026.v08i01.66909</w:t>
      </w:r>
    </w:p>
    <w:p>
      <w:pPr/>
      <w:r>
        <w:rPr>
          <w:b/>
        </w:rPr>
        <w:t>Later source:</w:t>
      </w:r>
      <w:r>
        <w:t xml:space="preserve"> Improving the methodology for the comprehensive assessment of the working conditions of workers in the foundry — https://doi.org/10.21122/1683-6065-2026-2-143-150</w:t>
      </w:r>
    </w:p>
    <w:p>
      <w:pPr>
        <w:pStyle w:val="SourceNote"/>
      </w:pPr>
      <w:r>
        <w:rPr>
          <w:b/>
        </w:rPr>
        <w:t>Review status:</w:t>
      </w:r>
      <w:r>
        <w:t xml:space="preserve"> unchecked — possible relationship only</w:t>
      </w:r>
    </w:p>
    <w:p>
      <w:pPr>
        <w:pStyle w:val="Heading2"/>
      </w:pPr>
      <w:r>
        <w:t>277. Claim + two later sources: Occupational Structure in European Countries: What do Forecasts Predict?</w:t>
      </w:r>
    </w:p>
    <w:p>
      <w:pPr>
        <w:pStyle w:val="SourceNote"/>
      </w:pPr>
      <w:r>
        <w:rPr>
          <w:b/>
        </w:rPr>
        <w:t>Group ID:</w:t>
      </w:r>
      <w:r>
        <w:t xml:space="preserve"> group-d0fc1e367f664f4b2a85</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Implementing cancer prevention in occupational healthcare: initial insights from occupational healthcare staff in Central and Southern Europe – findings from the CPW project — https://doi.org/10.1186/s12885-026-15607-0</w:t>
      </w:r>
    </w:p>
    <w:p>
      <w:pPr>
        <w:pStyle w:val="SourceNote"/>
      </w:pPr>
      <w:r>
        <w:rPr>
          <w:b/>
        </w:rPr>
        <w:t>Review status:</w:t>
      </w:r>
      <w:r>
        <w:t xml:space="preserve"> unchecked — possible relationship only</w:t>
      </w:r>
    </w:p>
    <w:p>
      <w:pPr>
        <w:pStyle w:val="Heading2"/>
      </w:pPr>
      <w:r>
        <w:t>278.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279. Claim + two later sources: About global forecast of European Parliament TO 2035</w:t>
      </w:r>
    </w:p>
    <w:p>
      <w:pPr>
        <w:pStyle w:val="SourceNote"/>
      </w:pPr>
      <w:r>
        <w:rPr>
          <w:b/>
        </w:rPr>
        <w:t>Group ID:</w:t>
      </w:r>
      <w:r>
        <w:t xml:space="preserve"> group-6eee9baf0d1681ceacd0</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Categorical short-term forecasts of respiratory pathogens in Europe — https://doi.org/10.1016/j.epidem.2026.100938</w:t>
      </w:r>
    </w:p>
    <w:p>
      <w:pPr>
        <w:pStyle w:val="SourceNote"/>
      </w:pPr>
      <w:r>
        <w:rPr>
          <w:b/>
        </w:rPr>
        <w:t>Review status:</w:t>
      </w:r>
      <w:r>
        <w:t xml:space="preserve"> unchecked — possible relationship only</w:t>
      </w:r>
    </w:p>
    <w:p>
      <w:pPr>
        <w:pStyle w:val="Heading2"/>
      </w:pPr>
      <w:r>
        <w:t>280.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281. Claim + two later sources: The health potential of urban water: Future scenarios on local risks and opportunities</w:t>
      </w:r>
    </w:p>
    <w:p>
      <w:pPr>
        <w:pStyle w:val="SourceNote"/>
      </w:pPr>
      <w:r>
        <w:rPr>
          <w:b/>
        </w:rPr>
        <w:t>Group ID:</w:t>
      </w:r>
      <w:r>
        <w:t xml:space="preserve"> group-1db3378f3643a34e8aa0</w:t>
      </w:r>
    </w:p>
    <w:p>
      <w:pPr>
        <w:pStyle w:val="SourceNote"/>
      </w:pPr>
      <w:r>
        <w:rPr>
          <w:b/>
        </w:rPr>
        <w:t>Original source:</w:t>
      </w:r>
      <w:r>
        <w:t xml:space="preserve"> https://doi.org/10.1016/j.cities.2022.103639</w:t>
      </w:r>
    </w:p>
    <w:p>
      <w:pPr/>
      <w:r>
        <w:rPr>
          <w:b/>
        </w:rPr>
        <w:t>Original future claim:</w:t>
      </w:r>
      <w:r>
        <w:t xml:space="preserve"> Future scenarios have been developed based on the question: How can blue spaces contribute to a healthier city population, given the long term trends? The future scenarios deliver information that could serve as useful input for local planning processes.</w:t>
      </w:r>
    </w:p>
    <w:p>
      <w:pPr/>
      <w:r>
        <w:rPr>
          <w:b/>
        </w:rPr>
        <w:t>Later source:</w:t>
      </w:r>
      <w:r>
        <w:t xml:space="preserve"> Developing A Question-Answering System In The Uzbek Language Based On The Xlm-Roberta Model — https://doi.org/10.37547/ajast/volume05issue12-14</w:t>
      </w:r>
    </w:p>
    <w:p>
      <w:pPr/>
      <w:r>
        <w:rPr>
          <w:b/>
        </w:rPr>
        <w:t>Later source:</w:t>
      </w:r>
      <w:r>
        <w:t xml:space="preserve"> Developing an Entity Linking Model for Geographic Knowledge Base Question Answering — https://doi.org/10.1109/bigcomp60711.2024.00081</w:t>
      </w:r>
    </w:p>
    <w:p>
      <w:pPr>
        <w:pStyle w:val="SourceNote"/>
      </w:pPr>
      <w:r>
        <w:rPr>
          <w:b/>
        </w:rPr>
        <w:t>Review status:</w:t>
      </w:r>
      <w:r>
        <w:t xml:space="preserve"> unchecked — possible relationship only</w:t>
      </w:r>
    </w:p>
    <w:p>
      <w:pPr>
        <w:pStyle w:val="Heading2"/>
      </w:pPr>
      <w:r>
        <w:t>282.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283.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284. Claim + two later sources: Dynamics of the land use, land use change, and forestry sink in the European Union: the impacts of energy and climate targets for 2030</w:t>
      </w:r>
    </w:p>
    <w:p>
      <w:pPr>
        <w:pStyle w:val="SourceNote"/>
      </w:pPr>
      <w:r>
        <w:rPr>
          <w:b/>
        </w:rPr>
        <w:t>Group ID:</w:t>
      </w:r>
      <w:r>
        <w:t xml:space="preserve"> group-41dba638e22b98e83ff7</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Comparative analysis of GHG calculation methodologies in aviation — https://doi.org/10.1016/j.clpl.2026.100155</w:t>
      </w:r>
    </w:p>
    <w:p>
      <w:pPr/>
      <w:r>
        <w:rPr>
          <w:b/>
        </w:rPr>
        <w:t>Later source:</w:t>
      </w:r>
      <w:r>
        <w:t xml:space="preserve"> EU ambition vs. implementation: Performance toward nutrient loss reduction under the European Green Deal — https://doi.org/10.1016/j.envadv.2026.100705</w:t>
      </w:r>
    </w:p>
    <w:p>
      <w:pPr>
        <w:pStyle w:val="SourceNote"/>
      </w:pPr>
      <w:r>
        <w:rPr>
          <w:b/>
        </w:rPr>
        <w:t>Review status:</w:t>
      </w:r>
      <w:r>
        <w:t xml:space="preserve"> unchecked — possible relationship only</w:t>
      </w:r>
    </w:p>
    <w:p>
      <w:pPr>
        <w:pStyle w:val="Heading2"/>
      </w:pPr>
      <w:r>
        <w:t>285.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286.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287. Claim + two later sources: Future Precipitation Scenarios over Italy</w:t>
      </w:r>
    </w:p>
    <w:p>
      <w:pPr>
        <w:pStyle w:val="SourceNote"/>
      </w:pPr>
      <w:r>
        <w:rPr>
          <w:b/>
        </w:rPr>
        <w:t>Group ID:</w:t>
      </w:r>
      <w:r>
        <w:t xml:space="preserve"> group-f2ff52f75da082a7a847</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288.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289. Claim + two later sources: Backcasting scenarios for Finland 2050 of low emissions</w:t>
      </w:r>
    </w:p>
    <w:p>
      <w:pPr>
        <w:pStyle w:val="SourceNote"/>
      </w:pPr>
      <w:r>
        <w:rPr>
          <w:b/>
        </w:rPr>
        <w:t>Group ID:</w:t>
      </w:r>
      <w:r>
        <w:t xml:space="preserve"> group-3df7d66491420d5863d9</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Impacts on and damage to European forests from the 2018–2022 heat and drought events — https://doi.org/10.5194/nhess-25-77-2025</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pStyle w:val="SourceNote"/>
      </w:pPr>
      <w:r>
        <w:rPr>
          <w:b/>
        </w:rPr>
        <w:t>Review status:</w:t>
      </w:r>
      <w:r>
        <w:t xml:space="preserve"> unchecked — possible relationship only</w:t>
      </w:r>
    </w:p>
    <w:p>
      <w:pPr>
        <w:pStyle w:val="Heading2"/>
      </w:pPr>
      <w:r>
        <w:t>290. Claim + two later sources: Futures of robotics. Human work in digital transformation</w:t>
      </w:r>
    </w:p>
    <w:p>
      <w:pPr>
        <w:pStyle w:val="SourceNote"/>
      </w:pPr>
      <w:r>
        <w:rPr>
          <w:b/>
        </w:rPr>
        <w:t>Group ID:</w:t>
      </w:r>
      <w:r>
        <w:t xml:space="preserve"> group-0c5cb2235bac043081c7</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Global research on AI-empowering academic evaluation: advances, trends, and prospects — https://doi.org/10.1108/el-01-2026-0028</w:t>
      </w:r>
    </w:p>
    <w:p>
      <w:pPr>
        <w:pStyle w:val="SourceNote"/>
      </w:pPr>
      <w:r>
        <w:rPr>
          <w:b/>
        </w:rPr>
        <w:t>Review status:</w:t>
      </w:r>
      <w:r>
        <w:t xml:space="preserve"> unchecked — possible relationship only</w:t>
      </w:r>
    </w:p>
    <w:p>
      <w:pPr>
        <w:pStyle w:val="Heading2"/>
      </w:pPr>
      <w:r>
        <w:t>291. Claim + two later sources: Towards net zero CO2 in 2050: An emission reduction pathway for organic soils in Germany</w:t>
      </w:r>
    </w:p>
    <w:p>
      <w:pPr>
        <w:pStyle w:val="SourceNote"/>
      </w:pPr>
      <w:r>
        <w:rPr>
          <w:b/>
        </w:rPr>
        <w:t>Group ID:</w:t>
      </w:r>
      <w:r>
        <w:t xml:space="preserve"> group-3e3510badbde0057d4a1</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Beyond permanent urban redevelopment: The unintended consequences of temporary brownfield use — https://doi.org/10.1080/02513625.2025.2583843</w:t>
      </w:r>
    </w:p>
    <w:p>
      <w:pPr/>
      <w:r>
        <w:rPr>
          <w:b/>
        </w:rPr>
        <w:t>Later source:</w:t>
      </w:r>
      <w:r>
        <w:t xml:space="preserve"> Re‐Interpreting Genetic Offset: Quantifying the Least Required Evolutionary Rate Under Climate Change at the Mediterranean Range Margin of European Beech — https://doi.org/10.1111/eva.70230</w:t>
      </w:r>
    </w:p>
    <w:p>
      <w:pPr>
        <w:pStyle w:val="SourceNote"/>
      </w:pPr>
      <w:r>
        <w:rPr>
          <w:b/>
        </w:rPr>
        <w:t>Review status:</w:t>
      </w:r>
      <w:r>
        <w:t xml:space="preserve"> unchecked — possible relationship only</w:t>
      </w:r>
    </w:p>
    <w:p>
      <w:pPr>
        <w:pStyle w:val="Heading2"/>
      </w:pPr>
      <w:r>
        <w:t>292. Claim + two later sources: Conservation biology research priorities for 2050: A Central-Eastern European perspective</w:t>
      </w:r>
    </w:p>
    <w:p>
      <w:pPr>
        <w:pStyle w:val="SourceNote"/>
      </w:pPr>
      <w:r>
        <w:rPr>
          <w:b/>
        </w:rPr>
        <w:t>Group ID:</w:t>
      </w:r>
      <w:r>
        <w:t xml:space="preserve"> group-c18dd4e65b7e14347531</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European Expert Opinion Statement on Paediatric Organ Donation Stresses Best Practice in Parent Communication — https://doi.org/10.1111/apa.70479</w:t>
      </w:r>
    </w:p>
    <w:p>
      <w:pPr>
        <w:pStyle w:val="SourceNote"/>
      </w:pPr>
      <w:r>
        <w:rPr>
          <w:b/>
        </w:rPr>
        <w:t>Review status:</w:t>
      </w:r>
      <w:r>
        <w:t xml:space="preserve"> unchecked — possible relationship only</w:t>
      </w:r>
    </w:p>
    <w:p>
      <w:pPr>
        <w:pStyle w:val="Heading2"/>
      </w:pPr>
      <w:r>
        <w:t>293. Claim + two later sources: Financing Innovations for the Renewable Energy Transition in Europe</w:t>
      </w:r>
    </w:p>
    <w:p>
      <w:pPr>
        <w:pStyle w:val="SourceNote"/>
      </w:pPr>
      <w:r>
        <w:rPr>
          <w:b/>
        </w:rPr>
        <w:t>Group ID:</w:t>
      </w:r>
      <w:r>
        <w:t xml:space="preserve"> group-5c16651938a8a3bdf351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European Structural and Investment Funds (ESIF) and Regional Cohesion in EU Member-states — https://doi.org/10.1007/s13132-026-03244-8</w:t>
      </w:r>
    </w:p>
    <w:p>
      <w:pPr/>
      <w:r>
        <w:rPr>
          <w:b/>
        </w:rPr>
        <w:t>Later source:</w:t>
      </w:r>
      <w:r>
        <w:t xml:space="preserve"> Biomedical Engineering Education in Europe, the United States, and Uruguay — https://doi.org/10.1109/memea69746.2026.11537348</w:t>
      </w:r>
    </w:p>
    <w:p>
      <w:pPr>
        <w:pStyle w:val="SourceNote"/>
      </w:pPr>
      <w:r>
        <w:rPr>
          <w:b/>
        </w:rPr>
        <w:t>Review status:</w:t>
      </w:r>
      <w:r>
        <w:t xml:space="preserve"> unchecked — possible relationship only</w:t>
      </w:r>
    </w:p>
    <w:p>
      <w:pPr>
        <w:pStyle w:val="Heading2"/>
      </w:pPr>
      <w:r>
        <w:t>294. Claim + two later sources: The Selection of Intermodal Transport System Scenarios in the Function of Southeastern Europe Regional Development</w:t>
      </w:r>
    </w:p>
    <w:p>
      <w:pPr>
        <w:pStyle w:val="SourceNote"/>
      </w:pPr>
      <w:r>
        <w:rPr>
          <w:b/>
        </w:rPr>
        <w:t>Group ID:</w:t>
      </w:r>
      <w:r>
        <w:t xml:space="preserve"> group-13572902b7432287c739</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European forest carbon and biodiversity policies have a limited win-win potential. — https://doi.org/10.48620/94352</w:t>
      </w:r>
    </w:p>
    <w:p>
      <w:pPr>
        <w:pStyle w:val="SourceNote"/>
      </w:pPr>
      <w:r>
        <w:rPr>
          <w:b/>
        </w:rPr>
        <w:t>Review status:</w:t>
      </w:r>
      <w:r>
        <w:t xml:space="preserve"> unchecked — possible relationship only</w:t>
      </w:r>
    </w:p>
    <w:p>
      <w:pPr>
        <w:pStyle w:val="Heading2"/>
      </w:pPr>
      <w:r>
        <w:t>295.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296. Claim + two later sources: What We Hope, What We Fear, What We Expect: Possible Scenarios for the Future of the Eurozone</w:t>
      </w:r>
    </w:p>
    <w:p>
      <w:pPr>
        <w:pStyle w:val="SourceNote"/>
      </w:pPr>
      <w:r>
        <w:rPr>
          <w:b/>
        </w:rPr>
        <w:t>Group ID:</w:t>
      </w:r>
      <w:r>
        <w:t xml:space="preserve"> group-eaaa97f46b2eed3ae84d</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EUROPE'S DILEMMA: CONTINUE THE PROXY WAR IN UKRAINE OR START EU REFORM — https://doi.org/10.5281/zenodo.18899368</w:t>
      </w:r>
    </w:p>
    <w:p>
      <w:pPr/>
      <w:r>
        <w:rPr>
          <w:b/>
        </w:rPr>
        <w:t>Later source:</w:t>
      </w:r>
      <w:r>
        <w:t xml:space="preserve"> The Partisan Politics of Family and Labor Market Policy Reforms in Southern Europe — https://doi.org/10.1093/oso/9780197601457.003.0004</w:t>
      </w:r>
    </w:p>
    <w:p>
      <w:pPr>
        <w:pStyle w:val="SourceNote"/>
      </w:pPr>
      <w:r>
        <w:rPr>
          <w:b/>
        </w:rPr>
        <w:t>Review status:</w:t>
      </w:r>
      <w:r>
        <w:t xml:space="preserve"> unchecked — possible relationship only</w:t>
      </w:r>
    </w:p>
    <w:p>
      <w:pPr>
        <w:pStyle w:val="Heading2"/>
      </w:pPr>
      <w:r>
        <w:t>297.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298. Claim + two later sources: Assessing future sustainability and resilience of farming systems with a participatory method: A case study on extensive sheep farming in Huesca, Spain</w:t>
      </w:r>
    </w:p>
    <w:p>
      <w:pPr>
        <w:pStyle w:val="SourceNote"/>
      </w:pPr>
      <w:r>
        <w:rPr>
          <w:b/>
        </w:rPr>
        <w:t>Group ID:</w:t>
      </w:r>
      <w:r>
        <w:t xml:space="preserve"> group-16a45ea92d4584e4ac65</w:t>
      </w:r>
    </w:p>
    <w:p>
      <w:pPr>
        <w:pStyle w:val="SourceNote"/>
      </w:pPr>
      <w:r>
        <w:rPr>
          <w:b/>
        </w:rPr>
        <w:t>Original source:</w:t>
      </w:r>
      <w:r>
        <w:t xml:space="preserve"> https://doi.org/10.1016/j.ecolind.2021.108236</w:t>
      </w:r>
    </w:p>
    <w:p>
      <w:pPr/>
      <w:r>
        <w:rPr>
          <w:b/>
        </w:rPr>
        <w:t>Original future claim:</w:t>
      </w:r>
      <w:r>
        <w:t xml:space="preserve">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Later source:</w:t>
      </w:r>
      <w:r>
        <w:t xml:space="preserve"> Cross-border healthcare system function, performance and cooperation in Europe: a scoping review protocol — https://doi.org/10.1136/bmjopen-2026-117613</w:t>
      </w:r>
    </w:p>
    <w:p>
      <w:pPr/>
      <w:r>
        <w:rPr>
          <w:b/>
        </w:rPr>
        <w:t>Later source:</w:t>
      </w:r>
      <w:r>
        <w:t xml:space="preserve"> Methodological considerations in plastics-related life cycle assessment — https://openalex.org/W7213573784</w:t>
      </w:r>
    </w:p>
    <w:p>
      <w:pPr>
        <w:pStyle w:val="SourceNote"/>
      </w:pPr>
      <w:r>
        <w:rPr>
          <w:b/>
        </w:rPr>
        <w:t>Review status:</w:t>
      </w:r>
      <w:r>
        <w:t xml:space="preserve"> unchecked — possible relationship only</w:t>
      </w:r>
    </w:p>
    <w:p>
      <w:pPr>
        <w:pStyle w:val="Heading2"/>
      </w:pPr>
      <w:r>
        <w:t>299. Claim + two later sources: Transport demand evolution in Europe – factors of change, scenarios and challenges</w:t>
      </w:r>
    </w:p>
    <w:p>
      <w:pPr>
        <w:pStyle w:val="SourceNote"/>
      </w:pPr>
      <w:r>
        <w:rPr>
          <w:b/>
        </w:rPr>
        <w:t>Group ID:</w:t>
      </w:r>
      <w:r>
        <w:t xml:space="preserve"> group-c721e76c2bc238a2fef8</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How do collective identities influence sector‐wide digital transformations? Insights from the European cooperative sector — https://doi.org/10.1111/emre.70057</w:t>
      </w:r>
    </w:p>
    <w:p>
      <w:pPr>
        <w:pStyle w:val="SourceNote"/>
      </w:pPr>
      <w:r>
        <w:rPr>
          <w:b/>
        </w:rPr>
        <w:t>Review status:</w:t>
      </w:r>
      <w:r>
        <w:t xml:space="preserve"> unchecked — possible relationship only</w:t>
      </w:r>
    </w:p>
    <w:p>
      <w:pPr>
        <w:pStyle w:val="Heading2"/>
      </w:pPr>
      <w:r>
        <w:t>300.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301.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302. Claim + two later sources: Exploring the Future of Universities Through Experimental Foresight</w:t>
      </w:r>
    </w:p>
    <w:p>
      <w:pPr>
        <w:pStyle w:val="SourceNote"/>
      </w:pPr>
      <w:r>
        <w:rPr>
          <w:b/>
        </w:rPr>
        <w:t>Group ID:</w:t>
      </w:r>
      <w:r>
        <w:t xml:space="preserve"> group-85394342751620348955</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Horizon scanning data for the future of outdoor recreation on public lands — https://doi.org/10.3886/e248960</w:t>
      </w:r>
    </w:p>
    <w:p>
      <w:pPr>
        <w:pStyle w:val="SourceNote"/>
      </w:pPr>
      <w:r>
        <w:rPr>
          <w:b/>
        </w:rPr>
        <w:t>Review status:</w:t>
      </w:r>
      <w:r>
        <w:t xml:space="preserve"> unchecked — possible relationship only</w:t>
      </w:r>
    </w:p>
    <w:p>
      <w:pPr>
        <w:pStyle w:val="Heading2"/>
      </w:pPr>
      <w:r>
        <w:t>303. Claim + two later sources: Modelling the European Union Sustainability Transition: A Soft-Linking Approach</w:t>
      </w:r>
    </w:p>
    <w:p>
      <w:pPr>
        <w:pStyle w:val="SourceNote"/>
      </w:pPr>
      <w:r>
        <w:rPr>
          <w:b/>
        </w:rPr>
        <w:t>Group ID:</w:t>
      </w:r>
      <w:r>
        <w:t xml:space="preserve"> group-70ff9b57424011d7d687</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EU's Strategy for Sustainability: A Landmark Turn With the European Green Deal? — https://doi.org/10.1002/epa2.70035</w:t>
      </w:r>
    </w:p>
    <w:p>
      <w:pPr/>
      <w:r>
        <w:rPr>
          <w:b/>
        </w:rPr>
        <w:t>Later source:</w:t>
      </w:r>
      <w:r>
        <w:t xml:space="preserve"> The traditionalist challenge to the European Green Deal — https://doi.org/10.15407/etet2026.01.072</w:t>
      </w:r>
    </w:p>
    <w:p>
      <w:pPr>
        <w:pStyle w:val="SourceNote"/>
      </w:pPr>
      <w:r>
        <w:rPr>
          <w:b/>
        </w:rPr>
        <w:t>Review status:</w:t>
      </w:r>
      <w:r>
        <w:t xml:space="preserve"> unchecked — possible relationship only</w:t>
      </w:r>
    </w:p>
    <w:p>
      <w:pPr>
        <w:pStyle w:val="Heading2"/>
      </w:pPr>
      <w:r>
        <w:t>304.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305.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306.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307. Claim + two later sources: Organic farming in the European Union – perspectives for 2030</w:t>
      </w:r>
    </w:p>
    <w:p>
      <w:pPr>
        <w:pStyle w:val="SourceNote"/>
      </w:pPr>
      <w:r>
        <w:rPr>
          <w:b/>
        </w:rPr>
        <w:t>Group ID:</w:t>
      </w:r>
      <w:r>
        <w:t xml:space="preserve"> group-2a9be4719afd1ef5790b</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Assessment of Bottom Trawl Impacts on the Status of Seabed Communities in European Seas — https://doi.org/10.1111/faf.70054</w:t>
      </w:r>
    </w:p>
    <w:p>
      <w:pPr/>
      <w:r>
        <w:rPr>
          <w:b/>
        </w:rPr>
        <w:t>Later source:</w:t>
      </w:r>
      <w:r>
        <w:t xml:space="preserve"> Strengthening European development policy: the case for Team Europe 2.0 — https://doi.org/10.23661/ipb11.2026</w:t>
      </w:r>
    </w:p>
    <w:p>
      <w:pPr>
        <w:pStyle w:val="SourceNote"/>
      </w:pPr>
      <w:r>
        <w:rPr>
          <w:b/>
        </w:rPr>
        <w:t>Review status:</w:t>
      </w:r>
      <w:r>
        <w:t xml:space="preserve"> unchecked — possible relationship only</w:t>
      </w:r>
    </w:p>
    <w:p>
      <w:pPr>
        <w:pStyle w:val="Heading2"/>
      </w:pPr>
      <w:r>
        <w:t>308.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group-f727ea9db8f3a0f8f320</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Elevational distribution of bird assemblages in the Western Carpathians is mainly driven by floristics, climate and productivity — https://doi.org/10.51812/of.163097</w:t>
      </w:r>
    </w:p>
    <w:p>
      <w:pPr>
        <w:pStyle w:val="SourceNote"/>
      </w:pPr>
      <w:r>
        <w:rPr>
          <w:b/>
        </w:rPr>
        <w:t>Review status:</w:t>
      </w:r>
      <w:r>
        <w:t xml:space="preserve"> unchecked — possible relationship only</w:t>
      </w:r>
    </w:p>
    <w:p>
      <w:pPr>
        <w:pStyle w:val="Heading2"/>
      </w:pPr>
      <w:r>
        <w:t>309. Claim + two later sources: Estimation and Forecasts for the Share of Renewable Energy Consumption in Final Energy Consumption by 2020 in the European Union</w:t>
      </w:r>
    </w:p>
    <w:p>
      <w:pPr>
        <w:pStyle w:val="SourceNote"/>
      </w:pPr>
      <w:r>
        <w:rPr>
          <w:b/>
        </w:rPr>
        <w:t>Group ID:</w:t>
      </w:r>
      <w:r>
        <w:t xml:space="preserve"> group-5cb8cf2cef57a2fcb8de</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Forecasting the European WEEE Collection Rate in Alignment with the SDGs: An Integrated Predictive Framework — https://doi.org/10.17700/jai.2026.17.1.787</w:t>
      </w:r>
    </w:p>
    <w:p>
      <w:pPr/>
      <w:r>
        <w:rPr>
          <w:b/>
        </w:rPr>
        <w:t>Later source:</w:t>
      </w:r>
      <w:r>
        <w:t xml:space="preserve"> Econometric Analysis and Forecasts on Exports of Emerging Economies from Central and Eastern Europe — https://doi.org/10.3390/econometrics14010009</w:t>
      </w:r>
    </w:p>
    <w:p>
      <w:pPr>
        <w:pStyle w:val="SourceNote"/>
      </w:pPr>
      <w:r>
        <w:rPr>
          <w:b/>
        </w:rPr>
        <w:t>Review status:</w:t>
      </w:r>
      <w:r>
        <w:t xml:space="preserve"> unchecked — possible relationship only</w:t>
      </w:r>
    </w:p>
    <w:p>
      <w:pPr>
        <w:pStyle w:val="Heading2"/>
      </w:pPr>
      <w:r>
        <w:t>310. Claim + two later sources: Multi-Model Projections of River Flood Risk in Europe under Global Warming</w:t>
      </w:r>
    </w:p>
    <w:p>
      <w:pPr>
        <w:pStyle w:val="SourceNote"/>
      </w:pPr>
      <w:r>
        <w:rPr>
          <w:b/>
        </w:rPr>
        <w:t>Group ID:</w:t>
      </w:r>
      <w:r>
        <w:t xml:space="preserve"> group-2dbbf56622c9e43abbc9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311. Claim + two later sources: EUROPEAN UNION STRATEGIC AUTONOMY IN THE CONTEXT OF THE CONFERENCE ON THE FUTURE OF EUROPE</w:t>
      </w:r>
    </w:p>
    <w:p>
      <w:pPr>
        <w:pStyle w:val="SourceNote"/>
      </w:pPr>
      <w:r>
        <w:rPr>
          <w:b/>
        </w:rPr>
        <w:t>Group ID:</w:t>
      </w:r>
      <w:r>
        <w:t xml:space="preserve"> group-2ff514c4e553bf3093e6</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Institutional Change and Path Dependence in the European Energy Transition under the Goal of Carbon Neutrality — https://doi.org/10.54254/2754-1169/2026.ld32020</w:t>
      </w:r>
    </w:p>
    <w:p>
      <w:pPr>
        <w:pStyle w:val="SourceNote"/>
      </w:pPr>
      <w:r>
        <w:rPr>
          <w:b/>
        </w:rPr>
        <w:t>Review status:</w:t>
      </w:r>
      <w:r>
        <w:t xml:space="preserve"> unchecked — possible relationship only</w:t>
      </w:r>
    </w:p>
    <w:p>
      <w:pPr>
        <w:pStyle w:val="Heading2"/>
      </w:pPr>
      <w:r>
        <w:t>312. Claim + two later sources: Assessing Energy Descent Scenarios for the Ecological Transition in Spain 2020–2030</w:t>
      </w:r>
    </w:p>
    <w:p>
      <w:pPr>
        <w:pStyle w:val="SourceNote"/>
      </w:pPr>
      <w:r>
        <w:rPr>
          <w:b/>
        </w:rPr>
        <w:t>Group ID:</w:t>
      </w:r>
      <w:r>
        <w:t xml:space="preserve"> group-5ca7ace28fccc374ce80</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Transition to the Green Economy. A Comparative Analysis of the European Program Life in Romania and Spain on the Greenhouse Gas Emissions — https://doi.org/10.25115/h29ty930</w:t>
      </w:r>
    </w:p>
    <w:p>
      <w:pPr/>
      <w:r>
        <w:rPr>
          <w:b/>
        </w:rPr>
        <w:t>Later source:</w:t>
      </w:r>
      <w:r>
        <w:t xml:space="preserve"> Economy, Geology and Sustainability: on the Security of Potash Supply in Spain and Europe and the Importance of Fertilizers for European Agriculture — https://doi.org/10.21701/bolgeomin/137.2/004</w:t>
      </w:r>
    </w:p>
    <w:p>
      <w:pPr>
        <w:pStyle w:val="SourceNote"/>
      </w:pPr>
      <w:r>
        <w:rPr>
          <w:b/>
        </w:rPr>
        <w:t>Review status:</w:t>
      </w:r>
      <w:r>
        <w:t xml:space="preserve"> unchecked — possible relationship only</w:t>
      </w:r>
    </w:p>
    <w:p>
      <w:pPr>
        <w:pStyle w:val="Heading2"/>
      </w:pPr>
      <w:r>
        <w:t>313.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314. Claim + two later sources: A Mismatch in Future Narratives? A Comparative Analysis Between Energy Futures in Policy and of Citizens</w:t>
      </w:r>
    </w:p>
    <w:p>
      <w:pPr>
        <w:pStyle w:val="SourceNote"/>
      </w:pPr>
      <w:r>
        <w:rPr>
          <w:b/>
        </w:rPr>
        <w:t>Group ID:</w:t>
      </w:r>
      <w:r>
        <w:t xml:space="preserve"> group-75b5b7a307b69f44df5c</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Barriers and Enablers to Youth Participation in Health Policy and Governance in Africa: A Narrative Review — https://doi.org/10.22541/au.177080410.04005308/v1</w:t>
      </w:r>
    </w:p>
    <w:p>
      <w:pPr/>
      <w:r>
        <w:rPr>
          <w:b/>
        </w:rPr>
        <w:t>Later source:</w:t>
      </w:r>
      <w:r>
        <w:t xml:space="preserve"> Minority Languages as Living Heritage: Narrative, Performative and Participatory Europeanisation — https://doi.org/10.5281/zenodo.18710215</w:t>
      </w:r>
    </w:p>
    <w:p>
      <w:pPr>
        <w:pStyle w:val="SourceNote"/>
      </w:pPr>
      <w:r>
        <w:rPr>
          <w:b/>
        </w:rPr>
        <w:t>Review status:</w:t>
      </w:r>
      <w:r>
        <w:t xml:space="preserve"> unchecked — possible relationship only</w:t>
      </w:r>
    </w:p>
    <w:p>
      <w:pPr>
        <w:pStyle w:val="Heading2"/>
      </w:pPr>
      <w:r>
        <w:t>315. Claim + two later sources: Past and Future Trends in Refugee Migration on the Regional Level in Germany – An Analysis and Projection of Labor Market Effects</w:t>
      </w:r>
    </w:p>
    <w:p>
      <w:pPr>
        <w:pStyle w:val="SourceNote"/>
      </w:pPr>
      <w:r>
        <w:rPr>
          <w:b/>
        </w:rPr>
        <w:t>Group ID:</w:t>
      </w:r>
      <w:r>
        <w:t xml:space="preserve"> group-4ef5869d7e6b11a70742</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The drivers and the barriers of incoming remittance flows in Europe: Analysis at the regional level — https://doi.org/10.12775/bgss-2026-0011</w:t>
      </w:r>
    </w:p>
    <w:p>
      <w:pPr/>
      <w:r>
        <w:rPr>
          <w:b/>
        </w:rPr>
        <w:t>Later source:</w:t>
      </w:r>
      <w:r>
        <w:t xml:space="preserve"> Exploring the Next Level of Boardroom Independence: Are Boards and Committees Driving Firm Performance or Risk in Western Europe? — https://doi.org/10.3390/jrfm19060387</w:t>
      </w:r>
    </w:p>
    <w:p>
      <w:pPr>
        <w:pStyle w:val="SourceNote"/>
      </w:pPr>
      <w:r>
        <w:rPr>
          <w:b/>
        </w:rPr>
        <w:t>Review status:</w:t>
      </w:r>
      <w:r>
        <w:t xml:space="preserve"> unchecked — possible relationship only</w:t>
      </w:r>
    </w:p>
    <w:p>
      <w:pPr>
        <w:pStyle w:val="Heading2"/>
      </w:pPr>
      <w:r>
        <w:t>316. Claim + two later sources: The EU Decarbonisation Roadmap 2050—What way to walk?</w:t>
      </w:r>
    </w:p>
    <w:p>
      <w:pPr>
        <w:pStyle w:val="SourceNote"/>
      </w:pPr>
      <w:r>
        <w:rPr>
          <w:b/>
        </w:rPr>
        <w:t>Group ID:</w:t>
      </w:r>
      <w:r>
        <w:t xml:space="preserve"> group-334fbcb004ed26e8cab8</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European Climate Policy and the Global Context — https://doi.org/10.1007/978-3-031-84483-6_4</w:t>
      </w:r>
    </w:p>
    <w:p>
      <w:pPr/>
      <w:r>
        <w:rPr>
          <w:b/>
        </w:rPr>
        <w:t>Later source:</w:t>
      </w:r>
      <w:r>
        <w:t xml:space="preserve"> The exposure of nonhuman living organisms to mobile communication emissions: A survey to establish European stakeholders’ policy option preferences — https://doi.org/10.1111/risa.14322</w:t>
      </w:r>
    </w:p>
    <w:p>
      <w:pPr>
        <w:pStyle w:val="SourceNote"/>
      </w:pPr>
      <w:r>
        <w:rPr>
          <w:b/>
        </w:rPr>
        <w:t>Review status:</w:t>
      </w:r>
      <w:r>
        <w:t xml:space="preserve"> unchecked — possible relationship only</w:t>
      </w:r>
    </w:p>
    <w:p>
      <w:pPr>
        <w:pStyle w:val="Heading2"/>
      </w:pPr>
      <w:r>
        <w:t>317.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318. Claim + two later sources: Scenario forecasting of consumption of main organic livestock products in Ukraine</w:t>
      </w:r>
    </w:p>
    <w:p>
      <w:pPr>
        <w:pStyle w:val="SourceNote"/>
      </w:pPr>
      <w:r>
        <w:rPr>
          <w:b/>
        </w:rPr>
        <w:t>Group ID:</w:t>
      </w:r>
      <w:r>
        <w:t xml:space="preserve"> group-9b31fbda763ab0620b64</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Variant allele frequency as a potential marker in response to frontline systemic therapy for patients with locally advanced and metastatic urothelial carcinoma — https://doi.org/10.21037/tau-2026-1-0010</w:t>
      </w:r>
    </w:p>
    <w:p>
      <w:pPr/>
      <w:r>
        <w:rPr>
          <w:b/>
        </w:rPr>
        <w:t>Later source:</w:t>
      </w:r>
      <w:r>
        <w:t xml:space="preserve"> IMMUNOLOGICAL ASSESSMENT IN CHRONIC NASOPHARYNGITIS WITH DIFFERENT VARIANTS OF COMORBIDITY IN THE NASOPHARYNGEAL ZONE — https://doi.org/10.37219/9kbzp448</w:t>
      </w:r>
    </w:p>
    <w:p>
      <w:pPr>
        <w:pStyle w:val="SourceNote"/>
      </w:pPr>
      <w:r>
        <w:rPr>
          <w:b/>
        </w:rPr>
        <w:t>Review status:</w:t>
      </w:r>
      <w:r>
        <w:t xml:space="preserve"> unchecked — possible relationship only</w:t>
      </w:r>
    </w:p>
    <w:p>
      <w:pPr>
        <w:pStyle w:val="Heading2"/>
      </w:pPr>
      <w:r>
        <w:t>319.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320.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321. Claim + two later sources: Central-East European employees on the labour market of London</w:t>
      </w:r>
    </w:p>
    <w:p>
      <w:pPr>
        <w:pStyle w:val="SourceNote"/>
      </w:pPr>
      <w:r>
        <w:rPr>
          <w:b/>
        </w:rPr>
        <w:t>Group ID:</w:t>
      </w:r>
      <w:r>
        <w:t xml:space="preserve"> group-796533413847df76cf8c</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Cyprus’ Approach to the Digital Services Act: Harmonisation, Enforcement, and Practical Implications — https://doi.org/10.3390/laws15020030</w:t>
      </w:r>
    </w:p>
    <w:p>
      <w:pPr/>
      <w:r>
        <w:rPr>
          <w:b/>
        </w:rPr>
        <w:t>Later source:</w:t>
      </w:r>
      <w:r>
        <w:t xml:space="preserve"> THE HUMAN RIGHTS CRISIS IN AI DEVELOPMENT AND USE: DOES THE EUROPEAN FRAMEWORK PROVIDE AN ADEQUATE PROTECTION? — https://doi.org/10.70382/caijlphr.v9i6.038</w:t>
      </w:r>
    </w:p>
    <w:p>
      <w:pPr>
        <w:pStyle w:val="SourceNote"/>
      </w:pPr>
      <w:r>
        <w:rPr>
          <w:b/>
        </w:rPr>
        <w:t>Review status:</w:t>
      </w:r>
      <w:r>
        <w:t xml:space="preserve"> unchecked — possible relationship only</w:t>
      </w:r>
    </w:p>
    <w:p>
      <w:pPr>
        <w:pStyle w:val="Heading2"/>
      </w:pPr>
      <w:r>
        <w:t>322. Claim + two later sources: Scenarios of Automated Mobility in Austria: Implications for Future Transport Policy</w:t>
      </w:r>
    </w:p>
    <w:p>
      <w:pPr>
        <w:pStyle w:val="SourceNote"/>
      </w:pPr>
      <w:r>
        <w:rPr>
          <w:b/>
        </w:rPr>
        <w:t>Group ID:</w:t>
      </w:r>
      <w:r>
        <w:t xml:space="preserve"> group-e4da52b7e89800637bbd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Thesis on Environment and Transport Economics — https://openalex.org/W7128124271</w:t>
      </w:r>
    </w:p>
    <w:p>
      <w:pPr/>
      <w:r>
        <w:rPr>
          <w:b/>
        </w:rPr>
        <w:t>Later source:</w:t>
      </w:r>
      <w:r>
        <w:t xml:space="preserve"> Contribution of Explicit SVOC and IVOC Emissions from the Transportation Sector on Particulate Matter Concentrations in Europe — https://doi.org/10.5194/egusphere-egu26-18450</w:t>
      </w:r>
    </w:p>
    <w:p>
      <w:pPr>
        <w:pStyle w:val="SourceNote"/>
      </w:pPr>
      <w:r>
        <w:rPr>
          <w:b/>
        </w:rPr>
        <w:t>Review status:</w:t>
      </w:r>
      <w:r>
        <w:t xml:space="preserve"> unchecked — possible relationship only</w:t>
      </w:r>
    </w:p>
    <w:p>
      <w:pPr>
        <w:pStyle w:val="Heading2"/>
      </w:pPr>
      <w:r>
        <w:t>323.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324.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325.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326. Claim + two later sources: Outlook of the European forest-based sector: forest growth, harvest demand, wood-product markets, and forest carbon dynamics implications</w:t>
      </w:r>
    </w:p>
    <w:p>
      <w:pPr>
        <w:pStyle w:val="SourceNote"/>
      </w:pPr>
      <w:r>
        <w:rPr>
          <w:b/>
        </w:rPr>
        <w:t>Group ID:</w:t>
      </w:r>
      <w:r>
        <w:t xml:space="preserve"> group-e907ffe8c56dc2422d94</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Regionally Stratified Analysis of Technology Adoption Curves for Aluminum Production (2023–2050) — https://doi.org/10.1201/9781003672807-9</w:t>
      </w:r>
    </w:p>
    <w:p>
      <w:pPr/>
      <w:r>
        <w:rPr>
          <w:b/>
        </w:rPr>
        <w:t>Later source:</w:t>
      </w:r>
      <w:r>
        <w:t xml:space="preserve"> Deliverable D5.2 (D10) Stakeholder validated baselines — https://doi.org/10.5281/zenodo.20410868</w:t>
      </w:r>
    </w:p>
    <w:p>
      <w:pPr>
        <w:pStyle w:val="SourceNote"/>
      </w:pPr>
      <w:r>
        <w:rPr>
          <w:b/>
        </w:rPr>
        <w:t>Review status:</w:t>
      </w:r>
      <w:r>
        <w:t xml:space="preserve"> unchecked — possible relationship only</w:t>
      </w:r>
    </w:p>
    <w:p>
      <w:pPr>
        <w:pStyle w:val="Heading2"/>
      </w:pPr>
      <w:r>
        <w:t>327.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328. Claim + two later sources: Toward Identification of the Priority Lines of Research in Nanotechnology on the Basis of the Technology Foresight NT for Podlaskie 2020</w:t>
      </w:r>
    </w:p>
    <w:p>
      <w:pPr>
        <w:pStyle w:val="SourceNote"/>
      </w:pPr>
      <w:r>
        <w:rPr>
          <w:b/>
        </w:rPr>
        <w:t>Group ID:</w:t>
      </w:r>
      <w:r>
        <w:t xml:space="preserve"> group-5f82cef9b8822a1f6d46</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Envisioning the future of European mountain value chains: a participatory foresight approach — https://doi.org/10.1007/s10113-025-02454-1</w:t>
      </w:r>
    </w:p>
    <w:p>
      <w:pPr/>
      <w:r>
        <w:rPr>
          <w:b/>
        </w:rPr>
        <w:t>Later source:</w:t>
      </w:r>
      <w:r>
        <w:t xml:space="preserve"> Embedding the Future in the European Union: Advancing Towards Strategic Foresight — https://doi.org/10.33067/se.1.2025.10</w:t>
      </w:r>
    </w:p>
    <w:p>
      <w:pPr>
        <w:pStyle w:val="SourceNote"/>
      </w:pPr>
      <w:r>
        <w:rPr>
          <w:b/>
        </w:rPr>
        <w:t>Review status:</w:t>
      </w:r>
      <w:r>
        <w:t xml:space="preserve"> unchecked — possible relationship only</w:t>
      </w:r>
    </w:p>
    <w:p>
      <w:pPr>
        <w:pStyle w:val="Heading2"/>
      </w:pPr>
      <w:r>
        <w:t>329. Claim + two later sources: Foresight technologies of economic systems: evidence from the tourism sector of Ukraine</w:t>
      </w:r>
    </w:p>
    <w:p>
      <w:pPr>
        <w:pStyle w:val="SourceNote"/>
      </w:pPr>
      <w:r>
        <w:rPr>
          <w:b/>
        </w:rPr>
        <w:t>Group ID:</w:t>
      </w:r>
      <w:r>
        <w:t xml:space="preserve"> group-666c600c89265b7a808f</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Kant’s Casuistical Questions — https://doi.org/10.25894/jmp.2701</w:t>
      </w:r>
    </w:p>
    <w:p>
      <w:pPr/>
      <w:r>
        <w:rPr>
          <w:b/>
        </w:rPr>
        <w:t>Later source:</w:t>
      </w:r>
      <w:r>
        <w:t xml:space="preserve"> From suitability to vulnerability: A GIS-based framework for assessing environmental sensitivity of mountain tourism landscapes in the Ukrainian Carpathians — https://doi.org/10.3897/jbgs.e177296</w:t>
      </w:r>
    </w:p>
    <w:p>
      <w:pPr>
        <w:pStyle w:val="SourceNote"/>
      </w:pPr>
      <w:r>
        <w:rPr>
          <w:b/>
        </w:rPr>
        <w:t>Review status:</w:t>
      </w:r>
      <w:r>
        <w:t xml:space="preserve"> unchecked — possible relationship only</w:t>
      </w:r>
    </w:p>
    <w:p>
      <w:pPr>
        <w:pStyle w:val="Heading2"/>
      </w:pPr>
      <w:r>
        <w:t>330.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331.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332. Claim + two later sources: Implementing Dynamics of Immigration Integration in Labor Force Participation Projection in EU28</w:t>
      </w:r>
    </w:p>
    <w:p>
      <w:pPr>
        <w:pStyle w:val="SourceNote"/>
      </w:pPr>
      <w:r>
        <w:rPr>
          <w:b/>
        </w:rPr>
        <w:t>Group ID:</w:t>
      </w:r>
      <w:r>
        <w:t xml:space="preserve"> group-aba9b27e1bad7ac47355</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Impact of Demographic Change on Spousal Caregiving and Future Gaps in Long-term Care: Microsimulation Projections for Austria and Italy — https://doi.org/10.1007/s12062-026-09529-9</w:t>
      </w:r>
    </w:p>
    <w:p>
      <w:pPr/>
      <w:r>
        <w:rPr>
          <w:b/>
        </w:rPr>
        <w:t>Later source:</w:t>
      </w:r>
      <w:r>
        <w:t xml:space="preserve"> Development, Testing, and Calibration of LINCS: A New Microsimulation Model of Maternal and Fetal Cytomegalovirus Infection in the United States — https://doi.org/10.1177/23814683261444049</w:t>
      </w:r>
    </w:p>
    <w:p>
      <w:pPr>
        <w:pStyle w:val="SourceNote"/>
      </w:pPr>
      <w:r>
        <w:rPr>
          <w:b/>
        </w:rPr>
        <w:t>Review status:</w:t>
      </w:r>
      <w:r>
        <w:t xml:space="preserve"> unchecked — possible relationship only</w:t>
      </w:r>
    </w:p>
    <w:p>
      <w:pPr>
        <w:pStyle w:val="Heading2"/>
      </w:pPr>
      <w:r>
        <w:t>333. Claim + two later sources: Towards the European Union's Foreign Policy 2025 – Taking Stock of the Dahrendorf Foresight Project</w:t>
      </w:r>
    </w:p>
    <w:p>
      <w:pPr>
        <w:pStyle w:val="SourceNote"/>
      </w:pPr>
      <w:r>
        <w:rPr>
          <w:b/>
        </w:rPr>
        <w:t>Group ID:</w:t>
      </w:r>
      <w:r>
        <w:t xml:space="preserve"> group-e3fe751c08a1d189d79b</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Historical background and current state of air transport in the organization of tourist travel in europe and the world — https://doi.org/10.32589/2412-9321.32.2026.363217</w:t>
      </w:r>
    </w:p>
    <w:p>
      <w:pPr>
        <w:pStyle w:val="SourceNote"/>
      </w:pPr>
      <w:r>
        <w:rPr>
          <w:b/>
        </w:rPr>
        <w:t>Review status:</w:t>
      </w:r>
      <w:r>
        <w:t xml:space="preserve"> unchecked — possible relationship only</w:t>
      </w:r>
    </w:p>
    <w:p>
      <w:pPr>
        <w:pStyle w:val="Heading2"/>
      </w:pPr>
      <w:r>
        <w:t>334. Claim + two later sources: Prospects of labour migration pressure in Algeria, Morocco, Tunisia and Turkey</w:t>
      </w:r>
    </w:p>
    <w:p>
      <w:pPr>
        <w:pStyle w:val="SourceNote"/>
      </w:pPr>
      <w:r>
        <w:rPr>
          <w:b/>
        </w:rPr>
        <w:t>Group ID:</w:t>
      </w:r>
      <w:r>
        <w:t xml:space="preserve"> group-3888cf19149a99b823a1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A storyline approach to select the CMIP6 model ensemble to be downscaled for the South America domain — https://doi.org/10.1007/s00382-025-08017-8</w:t>
      </w:r>
    </w:p>
    <w:p>
      <w:pPr>
        <w:pStyle w:val="SourceNote"/>
      </w:pPr>
      <w:r>
        <w:rPr>
          <w:b/>
        </w:rPr>
        <w:t>Review status:</w:t>
      </w:r>
      <w:r>
        <w:t xml:space="preserve"> unchecked — possible relationship only</w:t>
      </w:r>
    </w:p>
    <w:p>
      <w:pPr>
        <w:pStyle w:val="Heading2"/>
      </w:pPr>
      <w:r>
        <w:t>335. Claim + two later sources: Living within the safe operating space: a vision for a resource efficient Europe</w:t>
      </w:r>
    </w:p>
    <w:p>
      <w:pPr>
        <w:pStyle w:val="SourceNote"/>
      </w:pPr>
      <w:r>
        <w:rPr>
          <w:b/>
        </w:rPr>
        <w:t>Group ID:</w:t>
      </w:r>
      <w:r>
        <w:t xml:space="preserve"> group-cbba3a6f325545e5f59a</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Education and training of home hemodialysis patients in Europe: a scoping review — https://doi.org/10.33393/gcnd.2026.3589</w:t>
      </w:r>
    </w:p>
    <w:p>
      <w:pPr/>
      <w:r>
        <w:rPr>
          <w:b/>
        </w:rPr>
        <w:t>Later source:</w:t>
      </w:r>
      <w:r>
        <w:t xml:space="preserve"> Developing a new digital vision for rangeland grazing systems — https://doi.org/10.1093/af/vfag009</w:t>
      </w:r>
    </w:p>
    <w:p>
      <w:pPr>
        <w:pStyle w:val="SourceNote"/>
      </w:pPr>
      <w:r>
        <w:rPr>
          <w:b/>
        </w:rPr>
        <w:t>Review status:</w:t>
      </w:r>
      <w:r>
        <w:t xml:space="preserve"> unchecked — possible relationship only</w:t>
      </w:r>
    </w:p>
    <w:p>
      <w:pPr>
        <w:pStyle w:val="Heading2"/>
      </w:pPr>
      <w:r>
        <w:t>336.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337.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338.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339.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group-89072ffc94b19054ff42</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Digitizing the Pre-consultation Experience: Impacts and Design Recommendations — https://doi.org/10.1145/3772318.3791354</w:t>
      </w:r>
    </w:p>
    <w:p>
      <w:pPr>
        <w:pStyle w:val="SourceNote"/>
      </w:pPr>
      <w:r>
        <w:rPr>
          <w:b/>
        </w:rPr>
        <w:t>Review status:</w:t>
      </w:r>
      <w:r>
        <w:t xml:space="preserve"> unchecked — possible relationship only</w:t>
      </w:r>
    </w:p>
    <w:p>
      <w:pPr>
        <w:pStyle w:val="Heading2"/>
      </w:pPr>
      <w:r>
        <w:t>340. Claim + two later sources: (Re)politicization of climate change mitigating projects: environmental forms and motives of the Seine Nord Europe canal</w:t>
      </w:r>
    </w:p>
    <w:p>
      <w:pPr>
        <w:pStyle w:val="SourceNote"/>
      </w:pPr>
      <w:r>
        <w:rPr>
          <w:b/>
        </w:rPr>
        <w:t>Group ID:</w:t>
      </w:r>
      <w:r>
        <w:t xml:space="preserve"> group-c1ea1de510291ed687e9</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Science-based targets for material use: A systematic review of analytical concepts and approaches in Europe — https://doi.org/10.1016/j.resconrec.2026.109111</w:t>
      </w:r>
    </w:p>
    <w:p>
      <w:pPr/>
      <w:r>
        <w:rPr>
          <w:b/>
        </w:rPr>
        <w:t>Later source:</w:t>
      </w:r>
      <w:r>
        <w:t xml:space="preserve"> Environmental risks and ecological integrity: the new european rules on nature restoration — https://doi.org/10.5194/egusphere-egu26-17987</w:t>
      </w:r>
    </w:p>
    <w:p>
      <w:pPr>
        <w:pStyle w:val="SourceNote"/>
      </w:pPr>
      <w:r>
        <w:rPr>
          <w:b/>
        </w:rPr>
        <w:t>Review status:</w:t>
      </w:r>
      <w:r>
        <w:t xml:space="preserve"> unchecked — possible relationship only</w:t>
      </w:r>
    </w:p>
    <w:p>
      <w:pPr>
        <w:pStyle w:val="Heading2"/>
      </w:pPr>
      <w:r>
        <w:t>341.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342.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343.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344. Claim + two later sources: Conditional forecasts of tourism exports and tourism export prices of the EU-15 within a global vector autoregression framework</w:t>
      </w:r>
    </w:p>
    <w:p>
      <w:pPr>
        <w:pStyle w:val="SourceNote"/>
      </w:pPr>
      <w:r>
        <w:rPr>
          <w:b/>
        </w:rPr>
        <w:t>Group ID:</w:t>
      </w:r>
      <w:r>
        <w:t xml:space="preserve"> group-7071e0ef92a9461679ba</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Tourism dynamics in South-East Europe: Similarities and predictability — https://doi.org/10.5937/menhottur2600007a</w:t>
      </w:r>
    </w:p>
    <w:p>
      <w:pPr/>
      <w:r>
        <w:rPr>
          <w:b/>
        </w:rPr>
        <w:t>Later source:</w:t>
      </w:r>
      <w:r>
        <w:t xml:space="preserve"> Key attributes of tourism sector entrepreneurs in Southeast Europe — https://doi.org/10.5937/menhottur2500014l</w:t>
      </w:r>
    </w:p>
    <w:p>
      <w:pPr>
        <w:pStyle w:val="SourceNote"/>
      </w:pPr>
      <w:r>
        <w:rPr>
          <w:b/>
        </w:rPr>
        <w:t>Review status:</w:t>
      </w:r>
      <w:r>
        <w:t xml:space="preserve"> unchecked — possible relationship only</w:t>
      </w:r>
    </w:p>
    <w:p>
      <w:pPr>
        <w:pStyle w:val="Heading2"/>
      </w:pPr>
      <w:r>
        <w:t>345. Claim + two later sources: Balancing GHG mitigation and land-use conflicts: Alternative Northern European energy system scenarios</w:t>
      </w:r>
    </w:p>
    <w:p>
      <w:pPr>
        <w:pStyle w:val="SourceNote"/>
      </w:pPr>
      <w:r>
        <w:rPr>
          <w:b/>
        </w:rPr>
        <w:t>Group ID:</w:t>
      </w:r>
      <w:r>
        <w:t xml:space="preserve"> group-85936200c1d66e1db6c6</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Accounting for economic disparity in designing net-zero European energy systems — https://doi.org/10.1088/2753-3751/ae6b8f</w:t>
      </w:r>
    </w:p>
    <w:p>
      <w:pPr/>
      <w:r>
        <w:rPr>
          <w:b/>
        </w:rPr>
        <w:t>Later source:</w:t>
      </w:r>
      <w:r>
        <w:t xml:space="preserve"> Assimilating ESA CCI land surface temperature into the ORCHIDEE land surface model: insights from a multi-site study across Europe — https://doi.org/10.5194/hess-29-261-2025</w:t>
      </w:r>
    </w:p>
    <w:p>
      <w:pPr>
        <w:pStyle w:val="SourceNote"/>
      </w:pPr>
      <w:r>
        <w:rPr>
          <w:b/>
        </w:rPr>
        <w:t>Review status:</w:t>
      </w:r>
      <w:r>
        <w:t xml:space="preserve"> unchecked — possible relationship only</w:t>
      </w:r>
    </w:p>
    <w:p>
      <w:pPr>
        <w:pStyle w:val="Heading2"/>
      </w:pPr>
      <w:r>
        <w:t>346. Claim + two later sources: A Transport Policy Tool for Reduction of Co2 Emissions in Finland – Visions, Scenarios and Pathways using Pluralistic Backcasting Method</w:t>
      </w:r>
    </w:p>
    <w:p>
      <w:pPr>
        <w:pStyle w:val="SourceNote"/>
      </w:pPr>
      <w:r>
        <w:rPr>
          <w:b/>
        </w:rPr>
        <w:t>Group ID:</w:t>
      </w:r>
      <w:r>
        <w:t xml:space="preserve"> group-c9c1c8557ce131bf3afe</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2040 greenhouse gas reduction targets and energy transitions in line with the EU Green Deal — https://doi.org/10.1038/s41467-026-71159-8</w:t>
      </w:r>
    </w:p>
    <w:p>
      <w:pPr/>
      <w:r>
        <w:rPr>
          <w:b/>
        </w:rPr>
        <w:t>Later source:</w:t>
      </w:r>
      <w:r>
        <w:t xml:space="preserve"> Association patterns of renewables and greenhouse gas emission reduction in the European Union — https://doi.org/10.2139/ssrn.6144181</w:t>
      </w:r>
    </w:p>
    <w:p>
      <w:pPr>
        <w:pStyle w:val="SourceNote"/>
      </w:pPr>
      <w:r>
        <w:rPr>
          <w:b/>
        </w:rPr>
        <w:t>Review status:</w:t>
      </w:r>
      <w:r>
        <w:t xml:space="preserve"> unchecked — possible relationship only</w:t>
      </w:r>
    </w:p>
    <w:p>
      <w:pPr>
        <w:pStyle w:val="Heading2"/>
      </w:pPr>
      <w:r>
        <w:t>347. Claim + two later sources: Scenarios for population health inequalities in 2030 in Europe: the EURO-HEALTHY project experience</w:t>
      </w:r>
    </w:p>
    <w:p>
      <w:pPr>
        <w:pStyle w:val="SourceNote"/>
      </w:pPr>
      <w:r>
        <w:rPr>
          <w:b/>
        </w:rPr>
        <w:t>Group ID:</w:t>
      </w:r>
      <w:r>
        <w:t xml:space="preserve"> group-5fcc841952089cda020d</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Pathway narratives towards a nature‑positive European Union land system: operationalising the Nature Futures Framework for policy objectives — https://doi.org/10.5194/wbf2026-674</w:t>
      </w:r>
    </w:p>
    <w:p>
      <w:pPr>
        <w:pStyle w:val="SourceNote"/>
      </w:pPr>
      <w:r>
        <w:rPr>
          <w:b/>
        </w:rPr>
        <w:t>Review status:</w:t>
      </w:r>
      <w:r>
        <w:t xml:space="preserve"> unchecked — possible relationship only</w:t>
      </w:r>
    </w:p>
    <w:p>
      <w:pPr>
        <w:pStyle w:val="Heading2"/>
      </w:pPr>
      <w:r>
        <w:t>348. Claim + two later sources: Long-term scenarios for reaching climate targets and energy security in UK</w:t>
      </w:r>
    </w:p>
    <w:p>
      <w:pPr>
        <w:pStyle w:val="SourceNote"/>
      </w:pPr>
      <w:r>
        <w:rPr>
          <w:b/>
        </w:rPr>
        <w:t>Group ID:</w:t>
      </w:r>
      <w:r>
        <w:t xml:space="preserve"> group-60d37b5b1833f4842a81</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Dynamical landscape and multistability of a climate model — https://openalex.org/W3166250015</w:t>
      </w:r>
    </w:p>
    <w:p>
      <w:pPr/>
      <w:r>
        <w:rPr>
          <w:b/>
        </w:rPr>
        <w:t>Later source:</w:t>
      </w:r>
      <w:r>
        <w:t xml:space="preserve"> Accuracy of Climate Model Derived Energy-Datasets During Renewable Energy Lulls. — https://doi.org/10.5194/egusphere-egu25-16661</w:t>
      </w:r>
    </w:p>
    <w:p>
      <w:pPr>
        <w:pStyle w:val="SourceNote"/>
      </w:pPr>
      <w:r>
        <w:rPr>
          <w:b/>
        </w:rPr>
        <w:t>Review status:</w:t>
      </w:r>
      <w:r>
        <w:t xml:space="preserve"> unchecked — possible relationship only</w:t>
      </w:r>
    </w:p>
    <w:p>
      <w:pPr>
        <w:pStyle w:val="Heading2"/>
      </w:pPr>
      <w:r>
        <w:t>349.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350.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351.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352.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353.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354. Claim + two later sources: Are the European manufacturing and energy sectors on track for achieving net-zero emissions in 2050? An empirical analysis</w:t>
      </w:r>
    </w:p>
    <w:p>
      <w:pPr>
        <w:pStyle w:val="SourceNote"/>
      </w:pPr>
      <w:r>
        <w:rPr>
          <w:b/>
        </w:rPr>
        <w:t>Group ID:</w:t>
      </w:r>
      <w:r>
        <w:t xml:space="preserve"> group-c437580fb48e36fc64f6</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Spatiotemporal clustering of GHGs emissions in Europe: Exploring the role of spatial component — https://doi.org/10.1016/j.spasta.2026.100960</w:t>
      </w:r>
    </w:p>
    <w:p>
      <w:pPr>
        <w:pStyle w:val="SourceNote"/>
      </w:pPr>
      <w:r>
        <w:rPr>
          <w:b/>
        </w:rPr>
        <w:t>Review status:</w:t>
      </w:r>
      <w:r>
        <w:t xml:space="preserve"> unchecked — possible relationship only</w:t>
      </w:r>
    </w:p>
    <w:p>
      <w:pPr>
        <w:pStyle w:val="Heading2"/>
      </w:pPr>
      <w:r>
        <w:t>355. Claim + two later sources: Scenarios for renewable energy deployment in North African countries and electricity exchange with Europe – A modelbased analysis for 2050</w:t>
      </w:r>
    </w:p>
    <w:p>
      <w:pPr>
        <w:pStyle w:val="SourceNote"/>
      </w:pPr>
      <w:r>
        <w:rPr>
          <w:b/>
        </w:rPr>
        <w:t>Group ID:</w:t>
      </w:r>
      <w:r>
        <w:t xml:space="preserve"> group-7ff5ea6a2f8a62c4e0b6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Renewable Energy Deployments at Sea — https://doi.org/10.4018/979-8-3373-5881-9.ch005</w:t>
      </w:r>
    </w:p>
    <w:p>
      <w:pPr/>
      <w:r>
        <w:rPr>
          <w:b/>
        </w:rPr>
        <w:t>Later source:</w:t>
      </w:r>
      <w:r>
        <w:t xml:space="preserve"> North Africa as an emerging green hydrogen hub: Algeria in focus — https://doi.org/10.1016/j.gerr.2026.100171</w:t>
      </w:r>
    </w:p>
    <w:p>
      <w:pPr>
        <w:pStyle w:val="SourceNote"/>
      </w:pPr>
      <w:r>
        <w:rPr>
          <w:b/>
        </w:rPr>
        <w:t>Review status:</w:t>
      </w:r>
      <w:r>
        <w:t xml:space="preserve"> unchecked — possible relationship only</w:t>
      </w:r>
    </w:p>
    <w:p>
      <w:pPr>
        <w:pStyle w:val="Heading2"/>
      </w:pPr>
      <w:r>
        <w:t>356. Claim + two later sources: ClimateEU, scale-free climate normals, historical time series, and future projections for Europe</w:t>
      </w:r>
    </w:p>
    <w:p>
      <w:pPr>
        <w:pStyle w:val="SourceNote"/>
      </w:pPr>
      <w:r>
        <w:rPr>
          <w:b/>
        </w:rPr>
        <w:t>Group ID:</w:t>
      </w:r>
      <w:r>
        <w:t xml:space="preserve"> group-b4c17acaa0be9aafcdcb</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Unveiling the environmental impact of earthquakes in Europe — https://doi.org/10.1038/s41467-025-68120-6</w:t>
      </w:r>
    </w:p>
    <w:p>
      <w:pPr/>
      <w:r>
        <w:rPr>
          <w:b/>
        </w:rPr>
        <w:t>Later source:</w:t>
      </w:r>
      <w:r>
        <w:t xml:space="preserve"> Synthesised database of wild bee and hoverfly records in Europe — https://doi.org/10.1038/s41597-026-06644-2</w:t>
      </w:r>
    </w:p>
    <w:p>
      <w:pPr>
        <w:pStyle w:val="SourceNote"/>
      </w:pPr>
      <w:r>
        <w:rPr>
          <w:b/>
        </w:rPr>
        <w:t>Review status:</w:t>
      </w:r>
      <w:r>
        <w:t xml:space="preserve"> unchecked — possible relationship only</w:t>
      </w:r>
    </w:p>
    <w:p>
      <w:pPr>
        <w:pStyle w:val="Heading2"/>
      </w:pPr>
      <w:r>
        <w:t>357. Claim + two later sources: Brexit and Its Impact on Poland’s Policy Towards Europe – An Attempt to Forecast</w:t>
      </w:r>
    </w:p>
    <w:p>
      <w:pPr>
        <w:pStyle w:val="SourceNote"/>
      </w:pPr>
      <w:r>
        <w:rPr>
          <w:b/>
        </w:rPr>
        <w:t>Group ID:</w:t>
      </w:r>
      <w:r>
        <w:t xml:space="preserve"> group-cfad5b035473f6ab110e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Poland’s Foreign Policy Transformation in the Post-Cold War Era — https://doi.org/10.17067/asm.1757362</w:t>
      </w:r>
    </w:p>
    <w:p>
      <w:pPr/>
      <w:r>
        <w:rPr>
          <w:b/>
        </w:rPr>
        <w:t>Later source:</w:t>
      </w:r>
      <w:r>
        <w:t xml:space="preserve"> Plan for a Structural Peace and a New European Security Architecture — https://doi.org/10.5281/zenodo.18623705</w:t>
      </w:r>
    </w:p>
    <w:p>
      <w:pPr>
        <w:pStyle w:val="SourceNote"/>
      </w:pPr>
      <w:r>
        <w:rPr>
          <w:b/>
        </w:rPr>
        <w:t>Review status:</w:t>
      </w:r>
      <w:r>
        <w:t xml:space="preserve"> unchecked — possible relationship only</w:t>
      </w:r>
    </w:p>
    <w:p>
      <w:pPr>
        <w:pStyle w:val="Heading2"/>
      </w:pPr>
      <w:r>
        <w:t>358.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359. Claim + two later sources: Renewable jet fuel supply scenarios in the European Union in 2021–2030 in the context of proposed biofuel policy and competing biomass demand</w:t>
      </w:r>
    </w:p>
    <w:p>
      <w:pPr>
        <w:pStyle w:val="SourceNote"/>
      </w:pPr>
      <w:r>
        <w:rPr>
          <w:b/>
        </w:rPr>
        <w:t>Group ID:</w:t>
      </w:r>
      <w:r>
        <w:t xml:space="preserve"> group-27d1316b79223ab724d2</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Biofuels, green finance, and economic expansion: empirical evidence from the European Union — https://doi.org/10.1186/s40854-025-00825-5</w:t>
      </w:r>
    </w:p>
    <w:p>
      <w:pPr/>
      <w:r>
        <w:rPr>
          <w:b/>
        </w:rPr>
        <w:t>Later source:</w:t>
      </w:r>
      <w:r>
        <w:t xml:space="preserve"> Optimizing biomass use for carbon storage and land use with the OptiBiU model — https://doi.org/10.1002/bbb.70123</w:t>
      </w:r>
    </w:p>
    <w:p>
      <w:pPr>
        <w:pStyle w:val="SourceNote"/>
      </w:pPr>
      <w:r>
        <w:rPr>
          <w:b/>
        </w:rPr>
        <w:t>Review status:</w:t>
      </w:r>
      <w:r>
        <w:t xml:space="preserve"> unchecked — possible relationship only</w:t>
      </w:r>
    </w:p>
    <w:p>
      <w:pPr>
        <w:pStyle w:val="Heading2"/>
      </w:pPr>
      <w:r>
        <w:t>360.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361.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362.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363. Claim + two later sources: The impact of EU Climate/Energy policies on Belgium’s energy dependence up to 2050</w:t>
      </w:r>
    </w:p>
    <w:p>
      <w:pPr>
        <w:pStyle w:val="SourceNote"/>
      </w:pPr>
      <w:r>
        <w:rPr>
          <w:b/>
        </w:rPr>
        <w:t>Group ID:</w:t>
      </w:r>
      <w:r>
        <w:t xml:space="preserve"> group-4b20783f6f072afc1b7f</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Du cinéma au baccalauréat ? Définir une « matière cinéma » au lycée (1984-1995) — https://doi.org/10.4000/155qy</w:t>
      </w:r>
    </w:p>
    <w:p>
      <w:pPr/>
      <w:r>
        <w:rPr>
          <w:b/>
        </w:rPr>
        <w:t>Later source:</w:t>
      </w:r>
      <w:r>
        <w:t xml:space="preserve"> Andreï Roublev de Tarkovski : une hagiographie filmique ? — https://doi.org/10.66488/ulqg8172</w:t>
      </w:r>
    </w:p>
    <w:p>
      <w:pPr>
        <w:pStyle w:val="SourceNote"/>
      </w:pPr>
      <w:r>
        <w:rPr>
          <w:b/>
        </w:rPr>
        <w:t>Review status:</w:t>
      </w:r>
      <w:r>
        <w:t xml:space="preserve"> unchecked — possible relationship only</w:t>
      </w:r>
    </w:p>
    <w:p>
      <w:pPr>
        <w:pStyle w:val="Heading2"/>
      </w:pPr>
      <w:r>
        <w:t>364. Claim + two later sources: The Future of European Labour Law and the Right to Employability</w:t>
      </w:r>
    </w:p>
    <w:p>
      <w:pPr>
        <w:pStyle w:val="SourceNote"/>
      </w:pPr>
      <w:r>
        <w:rPr>
          <w:b/>
        </w:rPr>
        <w:t>Group ID:</w:t>
      </w:r>
      <w:r>
        <w:t xml:space="preserve"> group-beb3f289a886b7dedd90</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THE IMPACT OF MERGERS AND ACQUISITIONS ON THE PERFORMANCE OF EUROPEAN PHARMACEUTICAL COMPANIES: A CURRENT STATUS REVIEW — https://doi.org/10.36871/ek.up.p.r.2026.01.02.004</w:t>
      </w:r>
    </w:p>
    <w:p>
      <w:pPr/>
      <w:r>
        <w:rPr>
          <w:b/>
        </w:rPr>
        <w:t>Later source:</w:t>
      </w:r>
      <w:r>
        <w:t xml:space="preserve"> Guiding AI in radiology: ESR’s recommendations for effective implementation of the European AI Act — https://doi.org/10.1186/s13244-025-01905-x</w:t>
      </w:r>
    </w:p>
    <w:p>
      <w:pPr>
        <w:pStyle w:val="SourceNote"/>
      </w:pPr>
      <w:r>
        <w:rPr>
          <w:b/>
        </w:rPr>
        <w:t>Review status:</w:t>
      </w:r>
      <w:r>
        <w:t xml:space="preserve"> unchecked — possible relationship only</w:t>
      </w:r>
    </w:p>
    <w:p>
      <w:pPr>
        <w:pStyle w:val="Heading2"/>
      </w:pPr>
      <w:r>
        <w:t>365. Claim + two later sources: UK-EU RELATIONSHIP AFTER BREXIT: AN EXERCISE IN SCENARIO-BUILDING</w:t>
      </w:r>
    </w:p>
    <w:p>
      <w:pPr>
        <w:pStyle w:val="SourceNote"/>
      </w:pPr>
      <w:r>
        <w:rPr>
          <w:b/>
        </w:rPr>
        <w:t>Group ID:</w:t>
      </w:r>
      <w:r>
        <w:t xml:space="preserve"> group-721efbe336d7054caaa0</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Reviewing former critical analyses of subsidy policies in Europe — https://doi.org/10.14267/retp2026.02.06</w:t>
      </w:r>
    </w:p>
    <w:p>
      <w:pPr/>
      <w:r>
        <w:rPr>
          <w:b/>
        </w:rPr>
        <w:t>Later source:</w:t>
      </w:r>
      <w:r>
        <w:t xml:space="preserve"> Re-imagining a multicultural Europe: the experience of the R.E.D. (Reframing the European Dream) Carpet — https://doi.org/10.4337/9781035310036.00032</w:t>
      </w:r>
    </w:p>
    <w:p>
      <w:pPr>
        <w:pStyle w:val="SourceNote"/>
      </w:pPr>
      <w:r>
        <w:rPr>
          <w:b/>
        </w:rPr>
        <w:t>Review status:</w:t>
      </w:r>
      <w:r>
        <w:t xml:space="preserve"> unchecked — possible relationship only</w:t>
      </w:r>
    </w:p>
    <w:p>
      <w:pPr>
        <w:pStyle w:val="Heading2"/>
      </w:pPr>
      <w:r>
        <w:t>366.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367. Claim + two later sources: Efficiency of the European Union farm types: Scenarios with and without the 2013 CAP measures</w:t>
      </w:r>
    </w:p>
    <w:p>
      <w:pPr>
        <w:pStyle w:val="SourceNote"/>
      </w:pPr>
      <w:r>
        <w:rPr>
          <w:b/>
        </w:rPr>
        <w:t>Group ID:</w:t>
      </w:r>
      <w:r>
        <w:t xml:space="preserve"> group-a2d20667e3735d1bc313</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Unveiling on-farm anaerobic digestion systems diversity: A typology analysis of Northern French farms — https://doi.org/10.1016/j.nexres.2026.101486</w:t>
      </w:r>
    </w:p>
    <w:p>
      <w:pPr/>
      <w:r>
        <w:rPr>
          <w:b/>
        </w:rPr>
        <w:t>Later source:</w:t>
      </w:r>
      <w:r>
        <w:t xml:space="preserve"> Land-Use Evolution and Trends in Portugal: An Approach Based on the Standard Output — https://doi.org/10.3390/su18020791</w:t>
      </w:r>
    </w:p>
    <w:p>
      <w:pPr>
        <w:pStyle w:val="SourceNote"/>
      </w:pPr>
      <w:r>
        <w:rPr>
          <w:b/>
        </w:rPr>
        <w:t>Review status:</w:t>
      </w:r>
      <w:r>
        <w:t xml:space="preserve"> unchecked — possible relationship only</w:t>
      </w:r>
    </w:p>
    <w:p>
      <w:pPr>
        <w:pStyle w:val="Heading2"/>
      </w:pPr>
      <w:r>
        <w:t>368.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369. Claim + two later sources: New European socio-economic scenarios for climate change research: operationalising concepts to extend the shared socio-economic pathways</w:t>
      </w:r>
    </w:p>
    <w:p>
      <w:pPr>
        <w:pStyle w:val="SourceNote"/>
      </w:pPr>
      <w:r>
        <w:rPr>
          <w:b/>
        </w:rPr>
        <w:t>Group ID:</w:t>
      </w:r>
      <w:r>
        <w:t xml:space="preserve"> group-9e3e0d48dc6271d61bdb</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Retrospective pig welfare assessment at rendering plants – a useful tool for monitoring and inspection — https://doi.org/10.1186/s40813-026-00504-6</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370.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371.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372.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373.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374.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375.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376.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377.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378.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379. Claim + two later sources: Policy insights and modelling challenges: The case of passenger car powertrain technology transition in the European Union</w:t>
      </w:r>
    </w:p>
    <w:p>
      <w:pPr>
        <w:pStyle w:val="SourceNote"/>
      </w:pPr>
      <w:r>
        <w:rPr>
          <w:b/>
        </w:rPr>
        <w:t>Group ID:</w:t>
      </w:r>
      <w:r>
        <w:t xml:space="preserve"> group-6f15fe7113b56552a890</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Technology transfers within the European defence industry : a transferring firm’s perspective — https://openalex.org/W7132235623</w:t>
      </w:r>
    </w:p>
    <w:p>
      <w:pPr/>
      <w:r>
        <w:rPr>
          <w:b/>
        </w:rPr>
        <w:t>Later source:</w:t>
      </w:r>
      <w:r>
        <w:t xml:space="preserve"> The Europeanization of constitutions: experience of European Union Member States in the context of Ukraine’s candidate status — https://doi.org/10.33663/0869-2491-2026-37-660-676</w:t>
      </w:r>
    </w:p>
    <w:p>
      <w:pPr>
        <w:pStyle w:val="SourceNote"/>
      </w:pPr>
      <w:r>
        <w:rPr>
          <w:b/>
        </w:rPr>
        <w:t>Review status:</w:t>
      </w:r>
      <w:r>
        <w:t xml:space="preserve"> unchecked — possible relationship only</w:t>
      </w:r>
    </w:p>
    <w:p>
      <w:pPr>
        <w:pStyle w:val="Heading2"/>
      </w:pPr>
      <w:r>
        <w:t>380.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381.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group-ee9304fc32ce3a95a844</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Continuity and change in politicians being rude to each other over Europe: A rhetorical political analysis of invective in parliamentary debates over the European issue — https://openalex.org/W7153685673</w:t>
      </w:r>
    </w:p>
    <w:p>
      <w:pPr/>
      <w:r>
        <w:rPr>
          <w:b/>
        </w:rPr>
        <w:t>Later source:</w:t>
      </w:r>
      <w:r>
        <w:t xml:space="preserve"> The Curious Case of ‘Indian’ Literature — https://doi.org/10.1017/9781009596947.005</w:t>
      </w:r>
    </w:p>
    <w:p>
      <w:pPr>
        <w:pStyle w:val="SourceNote"/>
      </w:pPr>
      <w:r>
        <w:rPr>
          <w:b/>
        </w:rPr>
        <w:t>Review status:</w:t>
      </w:r>
      <w:r>
        <w:t xml:space="preserve"> unchecked — possible relationship only</w:t>
      </w:r>
    </w:p>
    <w:p>
      <w:pPr>
        <w:pStyle w:val="Heading2"/>
      </w:pPr>
      <w:r>
        <w:t>382.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group-c6145fe18d6ffd0ddd0f</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Heliaca 2026 — https://openalex.org/W7134865893</w:t>
      </w:r>
    </w:p>
    <w:p>
      <w:pPr/>
      <w:r>
        <w:rPr>
          <w:b/>
        </w:rPr>
        <w:t>Later source:</w:t>
      </w:r>
      <w:r>
        <w:t xml:space="preserve"> Varieties of Psychologization in Communist Europe — https://doi.org/10.1093/9780197773529.001.0001</w:t>
      </w:r>
    </w:p>
    <w:p>
      <w:pPr>
        <w:pStyle w:val="SourceNote"/>
      </w:pPr>
      <w:r>
        <w:rPr>
          <w:b/>
        </w:rPr>
        <w:t>Review status:</w:t>
      </w:r>
      <w:r>
        <w:t xml:space="preserve"> unchecked — possible relationship only</w:t>
      </w:r>
    </w:p>
    <w:p>
      <w:pPr>
        <w:pStyle w:val="Heading2"/>
      </w:pPr>
      <w:r>
        <w:t>383.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384. Claim + two later sources: Carrying out a multi-model integrated assessment of European energy transition pathways: Challenges and benefits</w:t>
      </w:r>
    </w:p>
    <w:p>
      <w:pPr>
        <w:pStyle w:val="SourceNote"/>
      </w:pPr>
      <w:r>
        <w:rPr>
          <w:b/>
        </w:rPr>
        <w:t>Group ID:</w:t>
      </w:r>
      <w:r>
        <w:t xml:space="preserve"> group-790afb9a59eb0016c557</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scenario-based risk assessment framework for tyre wear particles in European seas — https://doi.org/10.1016/j.jhazmat.2026.141335</w:t>
      </w:r>
    </w:p>
    <w:p>
      <w:pPr>
        <w:pStyle w:val="SourceNote"/>
      </w:pPr>
      <w:r>
        <w:rPr>
          <w:b/>
        </w:rPr>
        <w:t>Review status:</w:t>
      </w:r>
      <w:r>
        <w:t xml:space="preserve"> unchecked — possible relationship only</w:t>
      </w:r>
    </w:p>
    <w:p>
      <w:pPr>
        <w:pStyle w:val="Heading2"/>
      </w:pPr>
      <w:r>
        <w:t>385.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386. Claim + two later sources: Systemic Design for Policy-Making: Towards the Next Circular Regions</w:t>
      </w:r>
    </w:p>
    <w:p>
      <w:pPr>
        <w:pStyle w:val="SourceNote"/>
      </w:pPr>
      <w:r>
        <w:rPr>
          <w:b/>
        </w:rPr>
        <w:t>Group ID:</w:t>
      </w:r>
      <w:r>
        <w:t xml:space="preserve"> group-c67855e9495d40df182c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transition of European regions: The role of regulative, normative, and cultural–cognitive institutions — https://doi.org/10.1016/j.euroecorev.2026.105409</w:t>
      </w:r>
    </w:p>
    <w:p>
      <w:pPr/>
      <w:r>
        <w:rPr>
          <w:b/>
        </w:rPr>
        <w:t>Later source:</w:t>
      </w:r>
      <w:r>
        <w:t xml:space="preserve"> Circular Economy Practices and Barriers within European SMEs in the Construction Sector — https://doi.org/10.14207/ejsd.2026.v15n1p53</w:t>
      </w:r>
    </w:p>
    <w:p>
      <w:pPr>
        <w:pStyle w:val="SourceNote"/>
      </w:pPr>
      <w:r>
        <w:rPr>
          <w:b/>
        </w:rPr>
        <w:t>Review status:</w:t>
      </w:r>
      <w:r>
        <w:t xml:space="preserve"> unchecked — possible relationship only</w:t>
      </w:r>
    </w:p>
    <w:p>
      <w:pPr>
        <w:pStyle w:val="Heading2"/>
      </w:pPr>
      <w:r>
        <w:t>387. Claim + two later sources: O4-2.1 Foresight tackling obesities: future choices</w:t>
      </w:r>
    </w:p>
    <w:p>
      <w:pPr>
        <w:pStyle w:val="SourceNote"/>
      </w:pPr>
      <w:r>
        <w:rPr>
          <w:b/>
        </w:rPr>
        <w:t>Group ID:</w:t>
      </w:r>
      <w:r>
        <w:t xml:space="preserve"> group-3445a707a1936b3fadfa</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Subject-verb agreement in Down Syndrome: morphosyntactic analysis and cross-linguistic predictions on universal defaults — https://doi.org/10.3765/plsa.v11i1.6133</w:t>
      </w:r>
    </w:p>
    <w:p>
      <w:pPr/>
      <w:r>
        <w:rPr>
          <w:b/>
        </w:rPr>
        <w:t>Later source:</w:t>
      </w:r>
      <w:r>
        <w:t xml:space="preserve"> Can EMG-Derived Upper Limb Muscle Synergies Serve as Markers for Post-Stroke Motor Assessment and Prediction of Rehabilitation Outcome? — https://doi.org/10.3390/s25103170</w:t>
      </w:r>
    </w:p>
    <w:p>
      <w:pPr>
        <w:pStyle w:val="SourceNote"/>
      </w:pPr>
      <w:r>
        <w:rPr>
          <w:b/>
        </w:rPr>
        <w:t>Review status:</w:t>
      </w:r>
      <w:r>
        <w:t xml:space="preserve"> unchecked — possible relationship only</w:t>
      </w:r>
    </w:p>
    <w:p>
      <w:pPr>
        <w:pStyle w:val="Heading2"/>
      </w:pPr>
      <w:r>
        <w:t>388. Claim + two later sources: A 2050 perspective on the role for carbon capture and storage in the European power system and industry sector</w:t>
      </w:r>
    </w:p>
    <w:p>
      <w:pPr>
        <w:pStyle w:val="SourceNote"/>
      </w:pPr>
      <w:r>
        <w:rPr>
          <w:b/>
        </w:rPr>
        <w:t>Group ID:</w:t>
      </w:r>
      <w:r>
        <w:t xml:space="preserve"> group-5f957f942ab7a47b8e3e</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The FinTech effect: a comparative analysis of bank profitability in Europe and Asia — https://doi.org/10.1108/fdar-10-2025-0036</w:t>
      </w:r>
    </w:p>
    <w:p>
      <w:pPr/>
      <w:r>
        <w:rPr>
          <w:b/>
        </w:rPr>
        <w:t>Later source:</w:t>
      </w:r>
      <w:r>
        <w:t xml:space="preserve"> scClim: An interdisciplinary project for assessing hail risk and impacts across Europe in a changing climate — https://doi.org/10.5194/egusphere-egu26-20960</w:t>
      </w:r>
    </w:p>
    <w:p>
      <w:pPr>
        <w:pStyle w:val="SourceNote"/>
      </w:pPr>
      <w:r>
        <w:rPr>
          <w:b/>
        </w:rPr>
        <w:t>Review status:</w:t>
      </w:r>
      <w:r>
        <w:t xml:space="preserve"> unchecked — possible relationship only</w:t>
      </w:r>
    </w:p>
    <w:p>
      <w:pPr>
        <w:pStyle w:val="Heading2"/>
      </w:pPr>
      <w:r>
        <w:t>389. Claim + two later sources: Impact of climate change on ozone-related mortality and morbidity in Europe</w:t>
      </w:r>
    </w:p>
    <w:p>
      <w:pPr>
        <w:pStyle w:val="SourceNote"/>
      </w:pPr>
      <w:r>
        <w:rPr>
          <w:b/>
        </w:rPr>
        <w:t>Group ID:</w:t>
      </w:r>
      <w:r>
        <w:t xml:space="preserve"> group-4e1bbef7b8137c0979d6</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Extreme high temperatures and heatwave events across Europe in 2023 — https://doi.org/10.1088/2515-7620/adae60</w:t>
      </w:r>
    </w:p>
    <w:p>
      <w:pPr/>
      <w:r>
        <w:rPr>
          <w:b/>
        </w:rPr>
        <w:t>Later source:</w:t>
      </w:r>
      <w:r>
        <w:t xml:space="preserve"> New baselines, new extremes? Assessing the impact of reference periods on climate extremes in Central Europe — https://doi.org/10.5194/ems2025-601</w:t>
      </w:r>
    </w:p>
    <w:p>
      <w:pPr>
        <w:pStyle w:val="SourceNote"/>
      </w:pPr>
      <w:r>
        <w:rPr>
          <w:b/>
        </w:rPr>
        <w:t>Review status:</w:t>
      </w:r>
      <w:r>
        <w:t xml:space="preserve"> unchecked — possible relationship only</w:t>
      </w:r>
    </w:p>
    <w:p>
      <w:pPr>
        <w:pStyle w:val="Heading2"/>
      </w:pPr>
      <w:r>
        <w:t>390. Claim + two later sources: Perspectives from 2037—Can Environmental Impact Assessment be the Solution for an Early Consideration of Climate Change-related Impacts?</w:t>
      </w:r>
    </w:p>
    <w:p>
      <w:pPr>
        <w:pStyle w:val="SourceNote"/>
      </w:pPr>
      <w:r>
        <w:rPr>
          <w:b/>
        </w:rPr>
        <w:t>Group ID:</w:t>
      </w:r>
      <w:r>
        <w:t xml:space="preserve"> group-fa3a131002e45c94a7a1</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Mosaic narrative a poetics of cinematic new media narrative — https://doi.org/10.26192/9z55q</w:t>
      </w:r>
    </w:p>
    <w:p>
      <w:pPr/>
      <w:r>
        <w:rPr>
          <w:b/>
        </w:rPr>
        <w:t>Later source:</w:t>
      </w:r>
      <w:r>
        <w:t xml:space="preserve"> Behind The Superhero Façade : A Visual And Narrative Analysis Of Power And Genre In The Boys (2019) — https://openalex.org/W7128574996</w:t>
      </w:r>
    </w:p>
    <w:p>
      <w:pPr>
        <w:pStyle w:val="SourceNote"/>
      </w:pPr>
      <w:r>
        <w:rPr>
          <w:b/>
        </w:rPr>
        <w:t>Review status:</w:t>
      </w:r>
      <w:r>
        <w:t xml:space="preserve"> unchecked — possible relationship only</w:t>
      </w:r>
    </w:p>
    <w:p>
      <w:pPr>
        <w:pStyle w:val="Heading2"/>
      </w:pPr>
      <w:r>
        <w:t>391. Claim + two later sources: Including the temporal change in PM2.5 concentration in the assessment of human health impact: Illustration with renewable energy scenarios to 2050</w:t>
      </w:r>
    </w:p>
    <w:p>
      <w:pPr>
        <w:pStyle w:val="SourceNote"/>
      </w:pPr>
      <w:r>
        <w:rPr>
          <w:b/>
        </w:rPr>
        <w:t>Group ID:</w:t>
      </w:r>
      <w:r>
        <w:t xml:space="preserve"> group-7f925abcad128e9d938a</w:t>
      </w:r>
    </w:p>
    <w:p>
      <w:pPr>
        <w:pStyle w:val="SourceNote"/>
      </w:pPr>
      <w:r>
        <w:rPr>
          <w:b/>
        </w:rPr>
        <w:t>Original source:</w:t>
      </w:r>
      <w:r>
        <w:t xml:space="preserve"> https://doi.org/10.1016/j.eiar.2014.09.003</w:t>
      </w:r>
    </w:p>
    <w:p>
      <w:pPr/>
      <w:r>
        <w:rPr>
          <w:b/>
        </w:rPr>
        <w:t>Original future claim:</w:t>
      </w:r>
      <w:r>
        <w:t xml:space="preserve"> Its capabilities are demonstrated for two pathways of European energy system development up to 2050: the Baseline (BL) and the Low Carbon, Maximum Renewable Power (LC-MRP). This article proposes a new method to assess the health impact of populations exposed to fine particles (PM2.5) during their whole lifetime, which is suitable for comparative analysis of energy scenarios.</w:t>
      </w:r>
    </w:p>
    <w:p>
      <w:pPr/>
      <w:r>
        <w:rPr>
          <w:b/>
        </w:rPr>
        <w:t>Later source:</w:t>
      </w:r>
      <w:r>
        <w:t xml:space="preserve"> ReProv: Extending REANA with WaaS capabilities and data provenance on the European AI-on-Demand Platform — https://doi.org/10.12688/openreseurope.24424.1</w:t>
      </w:r>
    </w:p>
    <w:p>
      <w:pPr/>
      <w:r>
        <w:rPr>
          <w:b/>
        </w:rPr>
        <w:t>Later source:</w:t>
      </w:r>
      <w:r>
        <w:t xml:space="preserve"> Observing Mineral Dust in Northern Africa, the Middle East, and Europe: Current Capabilities and Challenges ahead for the Development of Dust Services — https://doi.org/10.1175/bams-d-23-0005.1</w:t>
      </w:r>
    </w:p>
    <w:p>
      <w:pPr>
        <w:pStyle w:val="SourceNote"/>
      </w:pPr>
      <w:r>
        <w:rPr>
          <w:b/>
        </w:rPr>
        <w:t>Review status:</w:t>
      </w:r>
      <w:r>
        <w:t xml:space="preserve"> unchecked — possible relationship only</w:t>
      </w:r>
    </w:p>
    <w:p>
      <w:pPr>
        <w:pStyle w:val="Heading2"/>
      </w:pPr>
      <w:r>
        <w:t>392.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393. Claim + two later sources: Forecasting turbulence in the Asian and European stock market using regime-switching models</w:t>
      </w:r>
    </w:p>
    <w:p>
      <w:pPr>
        <w:pStyle w:val="SourceNote"/>
      </w:pPr>
      <w:r>
        <w:rPr>
          <w:b/>
        </w:rPr>
        <w:t>Group ID:</w:t>
      </w:r>
      <w:r>
        <w:t xml:space="preserve"> group-cfc01b80c84c815ce488</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ECHO Early Warning System for Water Infrastructure Protection — https://doi.org/10.34190/iccws.21.1.4480</w:t>
      </w:r>
    </w:p>
    <w:p>
      <w:pPr/>
      <w:r>
        <w:rPr>
          <w:b/>
        </w:rPr>
        <w:t>Later source:</w:t>
      </w:r>
      <w:r>
        <w:t xml:space="preserve"> Evaluating a Prototype Europe-Wide Landslide Early Warning System: High-resolution comparative analysis in Catalonia and Alpes Maritimes — https://doi.org/10.5194/egusphere-egu26-20477</w:t>
      </w:r>
    </w:p>
    <w:p>
      <w:pPr>
        <w:pStyle w:val="SourceNote"/>
      </w:pPr>
      <w:r>
        <w:rPr>
          <w:b/>
        </w:rPr>
        <w:t>Review status:</w:t>
      </w:r>
      <w:r>
        <w:t xml:space="preserve"> unchecked — possible relationship only</w:t>
      </w:r>
    </w:p>
    <w:p>
      <w:pPr>
        <w:pStyle w:val="Heading2"/>
      </w:pPr>
      <w:r>
        <w:t>394.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395.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396. Claim + two later sources: Soft-linking of a behavioral model for transport with energy system cost optimization applied to hydrogen in EU</w:t>
      </w:r>
    </w:p>
    <w:p>
      <w:pPr>
        <w:pStyle w:val="SourceNote"/>
      </w:pPr>
      <w:r>
        <w:rPr>
          <w:b/>
        </w:rPr>
        <w:t>Group ID:</w:t>
      </w:r>
      <w:r>
        <w:t xml:space="preserve"> group-68863d6b771f79dc1d2e</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Later source:</w:t>
      </w:r>
      <w:r>
        <w:t xml:space="preserve"> Holistic design &amp; optimization of renewable energy systems - an african-european case study — https://doi.org/10.18154/rwth-2026-03350</w:t>
      </w:r>
    </w:p>
    <w:p>
      <w:pPr>
        <w:pStyle w:val="SourceNote"/>
      </w:pPr>
      <w:r>
        <w:rPr>
          <w:b/>
        </w:rPr>
        <w:t>Review status:</w:t>
      </w:r>
      <w:r>
        <w:t xml:space="preserve"> unchecked — possible relationship only</w:t>
      </w:r>
    </w:p>
    <w:p>
      <w:pPr>
        <w:pStyle w:val="Heading2"/>
      </w:pPr>
      <w:r>
        <w:t>397. Claim + two later sources: Facilitating transformative science education through futures thinking</w:t>
      </w:r>
    </w:p>
    <w:p>
      <w:pPr>
        <w:pStyle w:val="SourceNote"/>
      </w:pPr>
      <w:r>
        <w:rPr>
          <w:b/>
        </w:rPr>
        <w:t>Group ID:</w:t>
      </w:r>
      <w:r>
        <w:t xml:space="preserve"> group-b3ce1d1e705a11798f3d</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Dissecting the contribution of recent reward versus recent performance history on cognitive effort allocation — https://doi.org/10.1016/j.neuropsychologia.2026.109452</w:t>
      </w:r>
    </w:p>
    <w:p>
      <w:pPr/>
      <w:r>
        <w:rPr>
          <w:b/>
        </w:rPr>
        <w:t>Later source:</w:t>
      </w:r>
      <w:r>
        <w:t xml:space="preserve"> Using Learning Progressions to Guide AI Feedback for Science Learning — https://openalex.org/W7133571101</w:t>
      </w:r>
    </w:p>
    <w:p>
      <w:pPr>
        <w:pStyle w:val="SourceNote"/>
      </w:pPr>
      <w:r>
        <w:rPr>
          <w:b/>
        </w:rPr>
        <w:t>Review status:</w:t>
      </w:r>
      <w:r>
        <w:t xml:space="preserve"> unchecked — possible relationship only</w:t>
      </w:r>
    </w:p>
    <w:p>
      <w:pPr>
        <w:pStyle w:val="Heading2"/>
      </w:pPr>
      <w:r>
        <w:t>398.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399.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400.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401.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402. Claim + two later sources: Climate change, extreme weather events, air pollution and respiratory health in Europe</w:t>
      </w:r>
    </w:p>
    <w:p>
      <w:pPr>
        <w:pStyle w:val="SourceNote"/>
      </w:pPr>
      <w:r>
        <w:rPr>
          <w:b/>
        </w:rPr>
        <w:t>Group ID:</w:t>
      </w:r>
      <w:r>
        <w:t xml:space="preserve"> group-625d307316e0aa592bd6</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skin health in Europe and Central Asia — https://doi.org/10.24384/m94t-3428</w:t>
      </w:r>
    </w:p>
    <w:p>
      <w:pPr>
        <w:pStyle w:val="SourceNote"/>
      </w:pPr>
      <w:r>
        <w:rPr>
          <w:b/>
        </w:rPr>
        <w:t>Review status:</w:t>
      </w:r>
      <w:r>
        <w:t xml:space="preserve"> unchecked — possible relationship only</w:t>
      </w:r>
    </w:p>
    <w:p>
      <w:pPr>
        <w:pStyle w:val="Heading2"/>
      </w:pPr>
      <w:r>
        <w:t>403. Claim + two later sources: Implementation of the 2030 sustainable development goals - affordable and clean energy in the European Union</w:t>
      </w:r>
    </w:p>
    <w:p>
      <w:pPr>
        <w:pStyle w:val="SourceNote"/>
      </w:pPr>
      <w:r>
        <w:rPr>
          <w:b/>
        </w:rPr>
        <w:t>Group ID:</w:t>
      </w:r>
      <w:r>
        <w:t xml:space="preserve"> group-9d12b743ec174f392fad</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Environmental Benefits of a Free Flight Single European Sky (SES) for Airline Operators — https://doi.org/10.2514/6.2026-4197</w:t>
      </w:r>
    </w:p>
    <w:p>
      <w:pPr/>
      <w:r>
        <w:rPr>
          <w:b/>
        </w:rPr>
        <w:t>Later source:</w:t>
      </w:r>
      <w:r>
        <w:t xml:space="preserve"> HOW TO PREDICT GYMNASTICS’ RESULTS - A SIMPLE METHOD BASED ON THE 2022 EUROPEAN CHAMPIONSHIPS — https://doi.org/10.52165/sgj.17.1.35-50</w:t>
      </w:r>
    </w:p>
    <w:p>
      <w:pPr>
        <w:pStyle w:val="SourceNote"/>
      </w:pPr>
      <w:r>
        <w:rPr>
          <w:b/>
        </w:rPr>
        <w:t>Review status:</w:t>
      </w:r>
      <w:r>
        <w:t xml:space="preserve"> unchecked — possible relationship only</w:t>
      </w:r>
    </w:p>
    <w:p>
      <w:pPr>
        <w:pStyle w:val="Heading2"/>
      </w:pPr>
      <w:r>
        <w:t>404. Claim + two later sources: A Game for All Seasons: Lessons and Learnings from the JRC’s Scenario Exploration System</w:t>
      </w:r>
    </w:p>
    <w:p>
      <w:pPr>
        <w:pStyle w:val="SourceNote"/>
      </w:pPr>
      <w:r>
        <w:rPr>
          <w:b/>
        </w:rPr>
        <w:t>Group ID:</w:t>
      </w:r>
      <w:r>
        <w:t xml:space="preserve"> group-173e1fee5cc0d1e55460</w:t>
      </w:r>
    </w:p>
    <w:p>
      <w:pPr>
        <w:pStyle w:val="SourceNote"/>
      </w:pPr>
      <w:r>
        <w:rPr>
          <w:b/>
        </w:rPr>
        <w:t>Original source:</w:t>
      </w:r>
      <w:r>
        <w:t xml:space="preserve"> https://doi.org/10.1177/1946756719890524</w:t>
      </w:r>
    </w:p>
    <w:p>
      <w:pPr/>
      <w:r>
        <w:rPr>
          <w:b/>
        </w:rPr>
        <w:t>Original future claim:</w:t>
      </w:r>
      <w:r>
        <w:t xml:space="preserve"> It was originally geared at engaging EU policy-makers with scenarios in a facilitated process with a low learning curve.</w:t>
      </w:r>
    </w:p>
    <w:p>
      <w:pPr/>
      <w:r>
        <w:rPr>
          <w:b/>
        </w:rPr>
        <w:t>Later source:</w:t>
      </w:r>
      <w:r>
        <w:t xml:space="preserve"> How not to manage crises in the European Union — https://doi.org/10.1093/ia/iiac064</w:t>
      </w:r>
    </w:p>
    <w:p>
      <w:pPr/>
      <w:r>
        <w:rPr>
          <w:b/>
        </w:rPr>
        <w:t>Later source:</w:t>
      </w:r>
      <w:r>
        <w:t xml:space="preserve"> Metamorphosis: a different history of the Union — https://doi.org/10.1017/9781788214247.003</w:t>
      </w:r>
    </w:p>
    <w:p>
      <w:pPr>
        <w:pStyle w:val="SourceNote"/>
      </w:pPr>
      <w:r>
        <w:rPr>
          <w:b/>
        </w:rPr>
        <w:t>Review status:</w:t>
      </w:r>
      <w:r>
        <w:t xml:space="preserve"> unchecked — possible relationship only</w:t>
      </w:r>
    </w:p>
    <w:p>
      <w:pPr>
        <w:pStyle w:val="Heading2"/>
      </w:pPr>
      <w:r>
        <w:t>405. Claim + two later sources: Focused Futures from Finland</w:t>
      </w:r>
    </w:p>
    <w:p>
      <w:pPr>
        <w:pStyle w:val="SourceNote"/>
      </w:pPr>
      <w:r>
        <w:rPr>
          <w:b/>
        </w:rPr>
        <w:t>Group ID:</w:t>
      </w:r>
      <w:r>
        <w:t xml:space="preserve"> group-0a40a7ef0502346c55de</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European Security System after the End of the Russian–Ukrainian War in the Political Conceptions of Law and Justice and Civic Platform — https://doi.org/10.17951/we.2025.11.2.11-37</w:t>
      </w:r>
    </w:p>
    <w:p>
      <w:pPr/>
      <w:r>
        <w:rPr>
          <w:b/>
        </w:rPr>
        <w:t>Later source:</w:t>
      </w:r>
      <w:r>
        <w:t xml:space="preserve"> Quo Vadis Europe? — https://doi.org/10.1080/04353684.2023.2193346</w:t>
      </w:r>
    </w:p>
    <w:p>
      <w:pPr>
        <w:pStyle w:val="SourceNote"/>
      </w:pPr>
      <w:r>
        <w:rPr>
          <w:b/>
        </w:rPr>
        <w:t>Review status:</w:t>
      </w:r>
      <w:r>
        <w:t xml:space="preserve"> unchecked — possible relationship only</w:t>
      </w:r>
    </w:p>
    <w:p>
      <w:pPr>
        <w:pStyle w:val="Heading2"/>
      </w:pPr>
      <w:r>
        <w:t>406.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407. Claim + two later sources: Strategic European Integration Scenarios of Ukrainian and Polish Research, Education and Innovation Spaces</w:t>
      </w:r>
    </w:p>
    <w:p>
      <w:pPr>
        <w:pStyle w:val="SourceNote"/>
      </w:pPr>
      <w:r>
        <w:rPr>
          <w:b/>
        </w:rPr>
        <w:t>Group ID:</w:t>
      </w:r>
      <w:r>
        <w:t xml:space="preserve"> group-39d2e2d1aadef16a08a9</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Wicked Energy Transition: Integrating deployment, foresight, and financial barriers into energy transition pathway models — https://doi.org/10.3929/ethz-c-000800809</w:t>
      </w:r>
    </w:p>
    <w:p>
      <w:pPr>
        <w:pStyle w:val="SourceNote"/>
      </w:pPr>
      <w:r>
        <w:rPr>
          <w:b/>
        </w:rPr>
        <w:t>Review status:</w:t>
      </w:r>
      <w:r>
        <w:t xml:space="preserve"> unchecked — possible relationship only</w:t>
      </w:r>
    </w:p>
    <w:p>
      <w:pPr>
        <w:pStyle w:val="Heading2"/>
      </w:pPr>
      <w:r>
        <w:t>408. Claim + two later sources: A new approach on renewable energy as a support for regional economic development among the European Union</w:t>
      </w:r>
    </w:p>
    <w:p>
      <w:pPr>
        <w:pStyle w:val="SourceNote"/>
      </w:pPr>
      <w:r>
        <w:rPr>
          <w:b/>
        </w:rPr>
        <w:t>Group ID:</w:t>
      </w:r>
      <w:r>
        <w:t xml:space="preserve"> group-46d81050bbe7450adf2f</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 gridded dataset of European Forest Types to support forest monitoring, modelling and reporting — https://doi.org/10.5194/essd-18-6435-2026</w:t>
      </w:r>
    </w:p>
    <w:p>
      <w:pPr>
        <w:pStyle w:val="SourceNote"/>
      </w:pPr>
      <w:r>
        <w:rPr>
          <w:b/>
        </w:rPr>
        <w:t>Review status:</w:t>
      </w:r>
      <w:r>
        <w:t xml:space="preserve"> unchecked — possible relationship only</w:t>
      </w:r>
    </w:p>
    <w:p>
      <w:pPr>
        <w:pStyle w:val="Heading2"/>
      </w:pPr>
      <w:r>
        <w:t>409.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410.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411. Claim + two later sources: Situational analysis of EU renewable energy legislation</w:t>
      </w:r>
    </w:p>
    <w:p>
      <w:pPr>
        <w:pStyle w:val="SourceNote"/>
      </w:pPr>
      <w:r>
        <w:rPr>
          <w:b/>
        </w:rPr>
        <w:t>Group ID:</w:t>
      </w:r>
      <w:r>
        <w:t xml:space="preserve"> group-70110f0f1e460ea2a311</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Governing asylum seekers : logistics, differentiation, and failure in the European Union’s reception regime — https://doi.org/10.82444/warw.33757732</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pStyle w:val="SourceNote"/>
      </w:pPr>
      <w:r>
        <w:rPr>
          <w:b/>
        </w:rPr>
        <w:t>Review status:</w:t>
      </w:r>
      <w:r>
        <w:t xml:space="preserve"> unchecked — possible relationship only</w:t>
      </w:r>
    </w:p>
    <w:p>
      <w:pPr>
        <w:pStyle w:val="Heading2"/>
      </w:pPr>
      <w:r>
        <w:t>412.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413. Claim + two later sources: Grassland futures in Great Britain – Productivity assessment and scenarios for land use change opportunities</w:t>
      </w:r>
    </w:p>
    <w:p>
      <w:pPr>
        <w:pStyle w:val="SourceNote"/>
      </w:pPr>
      <w:r>
        <w:rPr>
          <w:b/>
        </w:rPr>
        <w:t>Group ID:</w:t>
      </w:r>
      <w:r>
        <w:t xml:space="preserve"> group-519a9e7f564ae4765eed</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Integrating aviation’s non-CO2 effects into EU ETS: Impact of CO2e accounting on operational and technological climate mitigation measures — https://doi.org/10.1016/j.trpro.2026.02.025</w:t>
      </w:r>
    </w:p>
    <w:p>
      <w:pPr/>
      <w:r>
        <w:rPr>
          <w:b/>
        </w:rPr>
        <w:t>Later source:</w:t>
      </w:r>
      <w:r>
        <w:t xml:space="preserve"> Next-Gen Monitoring: Technological Interventions for Climate-Adaptive Agriculture — https://doi.org/10.5281/zenodo.19417401</w:t>
      </w:r>
    </w:p>
    <w:p>
      <w:pPr>
        <w:pStyle w:val="SourceNote"/>
      </w:pPr>
      <w:r>
        <w:rPr>
          <w:b/>
        </w:rPr>
        <w:t>Review status:</w:t>
      </w:r>
      <w:r>
        <w:t xml:space="preserve"> unchecked — possible relationship only</w:t>
      </w:r>
    </w:p>
    <w:p>
      <w:pPr>
        <w:pStyle w:val="Heading2"/>
      </w:pPr>
      <w:r>
        <w:t>414. Claim + two later sources: Demographic change and the European income distribution</w:t>
      </w:r>
    </w:p>
    <w:p>
      <w:pPr>
        <w:pStyle w:val="SourceNote"/>
      </w:pPr>
      <w:r>
        <w:rPr>
          <w:b/>
        </w:rPr>
        <w:t>Group ID:</w:t>
      </w:r>
      <w:r>
        <w:t xml:space="preserve"> group-9f930a5bf8ea42bbb5d2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Fiscal drag in Europe: Key facts — https://openalex.org/W7142563241</w:t>
      </w:r>
    </w:p>
    <w:p>
      <w:pPr>
        <w:pStyle w:val="SourceNote"/>
      </w:pPr>
      <w:r>
        <w:rPr>
          <w:b/>
        </w:rPr>
        <w:t>Review status:</w:t>
      </w:r>
      <w:r>
        <w:t xml:space="preserve"> unchecked — possible relationship only</w:t>
      </w:r>
    </w:p>
    <w:p>
      <w:pPr>
        <w:pStyle w:val="Heading2"/>
      </w:pPr>
      <w:r>
        <w:t>415.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416. Claim + two later sources: GLOBAL FORECAST OF US NATIONAL INTELLIGENCE COUNCIL</w:t>
      </w:r>
    </w:p>
    <w:p>
      <w:pPr>
        <w:pStyle w:val="SourceNote"/>
      </w:pPr>
      <w:r>
        <w:rPr>
          <w:b/>
        </w:rPr>
        <w:t>Group ID:</w:t>
      </w:r>
      <w:r>
        <w:t xml:space="preserve"> group-bdb747b96cb29f10d3c8</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I-P10Sky Projection of the Free-State Background — https://doi.org/10.5281/zenodo.21548281</w:t>
      </w:r>
    </w:p>
    <w:p>
      <w:pPr>
        <w:pStyle w:val="SourceNote"/>
      </w:pPr>
      <w:r>
        <w:rPr>
          <w:b/>
        </w:rPr>
        <w:t>Review status:</w:t>
      </w:r>
      <w:r>
        <w:t xml:space="preserve"> unchecked — possible relationship only</w:t>
      </w:r>
    </w:p>
    <w:p>
      <w:pPr>
        <w:pStyle w:val="Heading2"/>
      </w:pPr>
      <w:r>
        <w:t>417.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418.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419.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420. Claim + two later sources: ‘Energy landscapes’: Meeting energy demands and human aspirations</w:t>
      </w:r>
    </w:p>
    <w:p>
      <w:pPr>
        <w:pStyle w:val="SourceNote"/>
      </w:pPr>
      <w:r>
        <w:rPr>
          <w:b/>
        </w:rPr>
        <w:t>Group ID:</w:t>
      </w:r>
      <w:r>
        <w:t xml:space="preserve"> group-cf3231f38d8cbbfc423f</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Hubble as a Unique Discovery Engine of the Fate of Massive Stars and Black Hole Formation — https://doi.org/10.48550/arxiv.2606.10710</w:t>
      </w:r>
    </w:p>
    <w:p>
      <w:pPr/>
      <w:r>
        <w:rPr>
          <w:b/>
        </w:rPr>
        <w:t>Later source:</w:t>
      </w:r>
      <w:r>
        <w:t xml:space="preserve"> Assembly of the most massive Black Holes in the Universe — https://doi.org/10.7488/era/7378</w:t>
      </w:r>
    </w:p>
    <w:p>
      <w:pPr>
        <w:pStyle w:val="SourceNote"/>
      </w:pPr>
      <w:r>
        <w:rPr>
          <w:b/>
        </w:rPr>
        <w:t>Review status:</w:t>
      </w:r>
      <w:r>
        <w:t xml:space="preserve"> unchecked — possible relationship only</w:t>
      </w:r>
    </w:p>
    <w:p>
      <w:pPr>
        <w:pStyle w:val="Heading2"/>
      </w:pPr>
      <w:r>
        <w:t>421. Claim + two later sources: Energy futures as societal futures: Co-evolutionary scenarios linking futures of society and decarbonized energy systems in Switzerland 2050</w:t>
      </w:r>
    </w:p>
    <w:p>
      <w:pPr>
        <w:pStyle w:val="SourceNote"/>
      </w:pPr>
      <w:r>
        <w:rPr>
          <w:b/>
        </w:rPr>
        <w:t>Group ID:</w:t>
      </w:r>
      <w:r>
        <w:t xml:space="preserve"> group-23f56039dcde5a48fd43</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Consensus-based optimization (CBO): Towards Global Optimality in Robotics — https://doi.org/10.15607/rss.2026.xxii.161</w:t>
      </w:r>
    </w:p>
    <w:p>
      <w:pPr/>
      <w:r>
        <w:rPr>
          <w:b/>
        </w:rPr>
        <w:t>Later source:</w:t>
      </w:r>
      <w:r>
        <w:t xml:space="preserve"> Consensus of marginally stable systems of reaction–diffusion equations with decentralized boundary control — https://doi.org/10.1016/j.automatica.2026.112887</w:t>
      </w:r>
    </w:p>
    <w:p>
      <w:pPr>
        <w:pStyle w:val="SourceNote"/>
      </w:pPr>
      <w:r>
        <w:rPr>
          <w:b/>
        </w:rPr>
        <w:t>Review status:</w:t>
      </w:r>
      <w:r>
        <w:t xml:space="preserve"> unchecked — possible relationship only</w:t>
      </w:r>
    </w:p>
    <w:p>
      <w:pPr>
        <w:pStyle w:val="Heading2"/>
      </w:pPr>
      <w:r>
        <w:t>422. Claim + two later sources: Imaginary scenarios: Literature and Democracy in Europe</w:t>
      </w:r>
    </w:p>
    <w:p>
      <w:pPr>
        <w:pStyle w:val="SourceNote"/>
      </w:pPr>
      <w:r>
        <w:rPr>
          <w:b/>
        </w:rPr>
        <w:t>Group ID:</w:t>
      </w:r>
      <w:r>
        <w:t xml:space="preserve"> group-6c28696562396c70f365</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Sociotechnical Imaginaries in Health and Biomedicine — https://doi.org/10.3390/encyclopedia6040090</w:t>
      </w:r>
    </w:p>
    <w:p>
      <w:pPr/>
      <w:r>
        <w:rPr>
          <w:b/>
        </w:rPr>
        <w:t>Later source:</w:t>
      </w:r>
      <w:r>
        <w:t xml:space="preserve"> Seeding Legitimacy, Framing the Future: Sociotechnical Imaginaries and European Governance of Agricultural Biotechnology (1990-2023) — https://openalex.org/W7165243110</w:t>
      </w:r>
    </w:p>
    <w:p>
      <w:pPr>
        <w:pStyle w:val="SourceNote"/>
      </w:pPr>
      <w:r>
        <w:rPr>
          <w:b/>
        </w:rPr>
        <w:t>Review status:</w:t>
      </w:r>
      <w:r>
        <w:t xml:space="preserve"> unchecked — possible relationship only</w:t>
      </w:r>
    </w:p>
    <w:p>
      <w:pPr>
        <w:pStyle w:val="Heading2"/>
      </w:pPr>
      <w:r>
        <w:t>423. Claim + two later sources: Possible Futures towards a Wood-Based Bioeconomy: A Scenario Analysis for Germany</w:t>
      </w:r>
    </w:p>
    <w:p>
      <w:pPr>
        <w:pStyle w:val="SourceNote"/>
      </w:pPr>
      <w:r>
        <w:rPr>
          <w:b/>
        </w:rPr>
        <w:t>Group ID:</w:t>
      </w:r>
      <w:r>
        <w:t xml:space="preserve"> group-304ff9d33017058058bf</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The Growing Business of Electric Vehicles: A Comprehensive Case Study in Europe — https://doi.org/10.20944/preprints202504.0457.v1</w:t>
      </w:r>
    </w:p>
    <w:p>
      <w:pPr/>
      <w:r>
        <w:rPr>
          <w:b/>
        </w:rPr>
        <w:t>Later source:</w:t>
      </w:r>
      <w:r>
        <w:t xml:space="preserve"> Economic Analysis of Fossil CO2 Emissions: A European Perspective on Sustainable Development — https://doi.org/10.3390/en18082106</w:t>
      </w:r>
    </w:p>
    <w:p>
      <w:pPr>
        <w:pStyle w:val="SourceNote"/>
      </w:pPr>
      <w:r>
        <w:rPr>
          <w:b/>
        </w:rPr>
        <w:t>Review status:</w:t>
      </w:r>
      <w:r>
        <w:t xml:space="preserve"> unchecked — possible relationship only</w:t>
      </w:r>
    </w:p>
    <w:p>
      <w:pPr>
        <w:pStyle w:val="Heading2"/>
      </w:pPr>
      <w:r>
        <w:t>424. Claim + two later sources: The Boundaries of Scientific Innovation in the EU Green Deal Context</w:t>
      </w:r>
    </w:p>
    <w:p>
      <w:pPr>
        <w:pStyle w:val="SourceNote"/>
      </w:pPr>
      <w:r>
        <w:rPr>
          <w:b/>
        </w:rPr>
        <w:t>Group ID:</w:t>
      </w:r>
      <w:r>
        <w:t xml:space="preserve"> group-044dcfe63ce93fb90d75</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Monetary standardization in the European Union — https://doi.org/10.47772/ijriss.2026.10100071</w:t>
      </w:r>
    </w:p>
    <w:p>
      <w:pPr/>
      <w:r>
        <w:rPr>
          <w:b/>
        </w:rPr>
        <w:t>Later source:</w:t>
      </w:r>
      <w:r>
        <w:t xml:space="preserve"> The European Union as a Political Hybrid — https://doi.org/10.1017/9781009682633.004</w:t>
      </w:r>
    </w:p>
    <w:p>
      <w:pPr>
        <w:pStyle w:val="SourceNote"/>
      </w:pPr>
      <w:r>
        <w:rPr>
          <w:b/>
        </w:rPr>
        <w:t>Review status:</w:t>
      </w:r>
      <w:r>
        <w:t xml:space="preserve"> unchecked — possible relationship only</w:t>
      </w:r>
    </w:p>
    <w:p>
      <w:pPr>
        <w:pStyle w:val="Heading2"/>
      </w:pPr>
      <w:r>
        <w:t>425.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426.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427.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428. Claim + two later sources: Potential implications of future climate and land‐cover changes for the fate and distribution of persistent organic pollutants in Europe</w:t>
      </w:r>
    </w:p>
    <w:p>
      <w:pPr>
        <w:pStyle w:val="SourceNote"/>
      </w:pPr>
      <w:r>
        <w:rPr>
          <w:b/>
        </w:rPr>
        <w:t>Group ID:</w:t>
      </w:r>
      <w:r>
        <w:t xml:space="preserve"> group-c057ef0acbe9fa78dd6f</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Europe’s extreme temperatures and rainfall in finer detail: strengths and limits of climate model downscaling — https://doi.org/10.1038/s41612-026-01504-7</w:t>
      </w:r>
    </w:p>
    <w:p>
      <w:pPr/>
      <w:r>
        <w:rPr>
          <w:b/>
        </w:rPr>
        <w:t>Later source:</w:t>
      </w:r>
      <w:r>
        <w:t xml:space="preserve"> Soil degradation in Europe is projected to accelerate under changing land use and climate — https://doi.org/10.1038/s44458-026-00064-4</w:t>
      </w:r>
    </w:p>
    <w:p>
      <w:pPr>
        <w:pStyle w:val="SourceNote"/>
      </w:pPr>
      <w:r>
        <w:rPr>
          <w:b/>
        </w:rPr>
        <w:t>Review status:</w:t>
      </w:r>
      <w:r>
        <w:t xml:space="preserve"> unchecked — possible relationship only</w:t>
      </w:r>
    </w:p>
    <w:p>
      <w:pPr>
        <w:pStyle w:val="Heading2"/>
      </w:pPr>
      <w:r>
        <w:t>429.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430.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431. Claim + two later sources: Application of the UK Foresight Obesity Model in Ireland: The Health and Economic Consequences of Projected Obesity Trends in Ireland</w:t>
      </w:r>
    </w:p>
    <w:p>
      <w:pPr>
        <w:pStyle w:val="SourceNote"/>
      </w:pPr>
      <w:r>
        <w:rPr>
          <w:b/>
        </w:rPr>
        <w:t>Group ID:</w:t>
      </w:r>
      <w:r>
        <w:t xml:space="preserve"> group-9bc0cb7a521298f5ed0b</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The Costs of Parkinson's Disease in Europe: Results of the Costs of Illness in Neurology Initiative — https://doi.org/10.1002/mds.70491</w:t>
      </w:r>
    </w:p>
    <w:p>
      <w:pPr>
        <w:pStyle w:val="SourceNote"/>
      </w:pPr>
      <w:r>
        <w:rPr>
          <w:b/>
        </w:rPr>
        <w:t>Review status:</w:t>
      </w:r>
      <w:r>
        <w:t xml:space="preserve"> unchecked — possible relationship only</w:t>
      </w:r>
    </w:p>
    <w:p>
      <w:pPr>
        <w:pStyle w:val="Heading2"/>
      </w:pPr>
      <w:r>
        <w:t>432.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433. Claim + two later sources: When will European Muslim population be majority and in which country?</w:t>
      </w:r>
    </w:p>
    <w:p>
      <w:pPr>
        <w:pStyle w:val="SourceNote"/>
      </w:pPr>
      <w:r>
        <w:rPr>
          <w:b/>
        </w:rPr>
        <w:t>Group ID:</w:t>
      </w:r>
      <w:r>
        <w:t xml:space="preserve"> group-b94538c4442b461cd512</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Migration resistance as border politics : counter-imaginaries of EUrope — https://doi.org/10.82444/warw.33687625</w:t>
      </w:r>
    </w:p>
    <w:p>
      <w:pPr/>
      <w:r>
        <w:rPr>
          <w:b/>
        </w:rPr>
        <w:t>Later source:</w:t>
      </w:r>
      <w:r>
        <w:t xml:space="preserve"> Exploring the genetic diversity of recent Ralstonia pseudosolanacearum phylotype I findings in Europe — https://doi.org/10.1007/s10658-026-03191-9</w:t>
      </w:r>
    </w:p>
    <w:p>
      <w:pPr>
        <w:pStyle w:val="SourceNote"/>
      </w:pPr>
      <w:r>
        <w:rPr>
          <w:b/>
        </w:rPr>
        <w:t>Review status:</w:t>
      </w:r>
      <w:r>
        <w:t xml:space="preserve"> unchecked — possible relationship only</w:t>
      </w:r>
    </w:p>
    <w:p>
      <w:pPr>
        <w:pStyle w:val="Heading2"/>
      </w:pPr>
      <w:r>
        <w:t>434. Claim + two later sources: Future life expectancy in 35 industrialised countries: projections with a Bayesian model ensemble</w:t>
      </w:r>
    </w:p>
    <w:p>
      <w:pPr>
        <w:pStyle w:val="SourceNote"/>
      </w:pPr>
      <w:r>
        <w:rPr>
          <w:b/>
        </w:rPr>
        <w:t>Group ID:</w:t>
      </w:r>
      <w:r>
        <w:t xml:space="preserve"> group-1f69d08d5a66e2798196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Centering working-class women’s knowledge: a feminist geography of lone-motherhood over life-course in Scotland’s urban peripheries — https://doi.org/10.1080/0966369x.2026.2695995</w:t>
      </w:r>
    </w:p>
    <w:p>
      <w:pPr/>
      <w:r>
        <w:rPr>
          <w:b/>
        </w:rPr>
        <w:t>Later source:</w:t>
      </w:r>
      <w:r>
        <w:t xml:space="preserve"> Decoding life expectancy gaps: a long-term decomposition analysis of three WHO European Region country groups — https://doi.org/10.1080/23311886.2025.2486561</w:t>
      </w:r>
    </w:p>
    <w:p>
      <w:pPr>
        <w:pStyle w:val="SourceNote"/>
      </w:pPr>
      <w:r>
        <w:rPr>
          <w:b/>
        </w:rPr>
        <w:t>Review status:</w:t>
      </w:r>
      <w:r>
        <w:t xml:space="preserve"> unchecked — possible relationship only</w:t>
      </w:r>
    </w:p>
    <w:p>
      <w:pPr>
        <w:pStyle w:val="Heading2"/>
      </w:pPr>
      <w:r>
        <w:t>435. Claim + two later sources: The Role of BECCS in Achieving Climate Neutrality in the European Union</w:t>
      </w:r>
    </w:p>
    <w:p>
      <w:pPr>
        <w:pStyle w:val="SourceNote"/>
      </w:pPr>
      <w:r>
        <w:rPr>
          <w:b/>
        </w:rPr>
        <w:t>Group ID:</w:t>
      </w:r>
      <w:r>
        <w:t xml:space="preserve"> group-e8615746b12b48d551ea</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MAIZE BREEDING FOR ENHANCED ADAPTABILITY TO CLIMATE CHANGE IN EUROPE — https://doi.org/10.37128/2707-5826-2026-1-12</w:t>
      </w:r>
    </w:p>
    <w:p>
      <w:pPr/>
      <w:r>
        <w:rPr>
          <w:b/>
        </w:rPr>
        <w:t>Later source:</w:t>
      </w:r>
      <w:r>
        <w:t xml:space="preserve"> Optimization of Climate Neutrality for a Low-Energy Residential Building Complex in Poland — https://doi.org/10.3390/en19061568</w:t>
      </w:r>
    </w:p>
    <w:p>
      <w:pPr>
        <w:pStyle w:val="SourceNote"/>
      </w:pPr>
      <w:r>
        <w:rPr>
          <w:b/>
        </w:rPr>
        <w:t>Review status:</w:t>
      </w:r>
      <w:r>
        <w:t xml:space="preserve"> unchecked — possible relationship only</w:t>
      </w:r>
    </w:p>
    <w:p>
      <w:pPr>
        <w:pStyle w:val="Heading2"/>
      </w:pPr>
      <w:r>
        <w:t>436.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437.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438.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439. Claim + two later sources: Long‐term trends of Nordic power market: A review</w:t>
      </w:r>
    </w:p>
    <w:p>
      <w:pPr>
        <w:pStyle w:val="SourceNote"/>
      </w:pPr>
      <w:r>
        <w:rPr>
          <w:b/>
        </w:rPr>
        <w:t>Group ID:</w:t>
      </w:r>
      <w:r>
        <w:t xml:space="preserve"> group-07baa1b194185408d1d5</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Outcome- and Impact-Based Professional Assessment Frameworks — https://doi.org/10.17605/osf.io/r3uyq</w:t>
      </w:r>
    </w:p>
    <w:p>
      <w:pPr>
        <w:pStyle w:val="SourceNote"/>
      </w:pPr>
      <w:r>
        <w:rPr>
          <w:b/>
        </w:rPr>
        <w:t>Review status:</w:t>
      </w:r>
      <w:r>
        <w:t xml:space="preserve"> unchecked — possible relationship only</w:t>
      </w:r>
    </w:p>
    <w:p>
      <w:pPr>
        <w:pStyle w:val="Heading2"/>
      </w:pPr>
      <w:r>
        <w:t>440.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441.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442.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443.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444. Claim + two later sources: The role of transmission and energy storage in European decarbonization towards 2050</w:t>
      </w:r>
    </w:p>
    <w:p>
      <w:pPr>
        <w:pStyle w:val="SourceNote"/>
      </w:pPr>
      <w:r>
        <w:rPr>
          <w:b/>
        </w:rPr>
        <w:t>Group ID:</w:t>
      </w:r>
      <w:r>
        <w:t xml:space="preserve"> group-124af57b6696c1575063</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Bidding Aggregated Flexibility in European Electricity Auctions — https://doi.org/10.1109/tempr.2026.3714683</w:t>
      </w:r>
    </w:p>
    <w:p>
      <w:pPr>
        <w:pStyle w:val="SourceNote"/>
      </w:pPr>
      <w:r>
        <w:rPr>
          <w:b/>
        </w:rPr>
        <w:t>Review status:</w:t>
      </w:r>
      <w:r>
        <w:t xml:space="preserve"> unchecked — possible relationship only</w:t>
      </w:r>
    </w:p>
    <w:p>
      <w:pPr>
        <w:pStyle w:val="Heading2"/>
      </w:pPr>
      <w:r>
        <w:t>445.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446. Claim + two later sources: Consistent economic cross-sectoral climate change impact scenario analysis: Method and application to Austria</w:t>
      </w:r>
    </w:p>
    <w:p>
      <w:pPr>
        <w:pStyle w:val="SourceNote"/>
      </w:pPr>
      <w:r>
        <w:rPr>
          <w:b/>
        </w:rPr>
        <w:t>Group ID:</w:t>
      </w:r>
      <w:r>
        <w:t xml:space="preserve"> group-b82572c4674b584f9d79</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European Energy Transition – Germany in the Heart of Europe — https://doi.org/10.34657/40040</w:t>
      </w:r>
    </w:p>
    <w:p>
      <w:pPr/>
      <w:r>
        <w:rPr>
          <w:b/>
        </w:rPr>
        <w:t>Later source:</w:t>
      </w:r>
      <w:r>
        <w:t xml:space="preserve"> In temperate Europe, fire is already here: The case of The Netherlands — https://doi.org/10.1007/s13280-023-01960-y</w:t>
      </w:r>
    </w:p>
    <w:p>
      <w:pPr>
        <w:pStyle w:val="SourceNote"/>
      </w:pPr>
      <w:r>
        <w:rPr>
          <w:b/>
        </w:rPr>
        <w:t>Review status:</w:t>
      </w:r>
      <w:r>
        <w:t xml:space="preserve"> unchecked — possible relationship only</w:t>
      </w:r>
    </w:p>
    <w:p>
      <w:pPr>
        <w:pStyle w:val="Heading2"/>
      </w:pPr>
      <w:r>
        <w:t>447. Claim + two later sources: POPULATION FORECAST WITH THE DATA PROCESSING GROUP METHOD (GMDH) type NEURAL NETWORK FOR EUROPEAN UNION COUNTRIES</w:t>
      </w:r>
    </w:p>
    <w:p>
      <w:pPr>
        <w:pStyle w:val="SourceNote"/>
      </w:pPr>
      <w:r>
        <w:rPr>
          <w:b/>
        </w:rPr>
        <w:t>Group ID:</w:t>
      </w:r>
      <w:r>
        <w:t xml:space="preserve"> group-fbe535bf239ded47d026</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Economic value of lost productivity attributable to premature cancer mortality and morbidity across Europe — https://doi.org/10.1080/13696998.2026.2633013</w:t>
      </w:r>
    </w:p>
    <w:p>
      <w:pPr/>
      <w:r>
        <w:rPr>
          <w:b/>
        </w:rPr>
        <w:t>Later source:</w:t>
      </w:r>
      <w:r>
        <w:t xml:space="preserve"> A database of eels and their freshwater habitats in southwestern Europe — https://doi.org/10.1038/s41597-026-07213-3</w:t>
      </w:r>
    </w:p>
    <w:p>
      <w:pPr>
        <w:pStyle w:val="SourceNote"/>
      </w:pPr>
      <w:r>
        <w:rPr>
          <w:b/>
        </w:rPr>
        <w:t>Review status:</w:t>
      </w:r>
      <w:r>
        <w:t xml:space="preserve"> unchecked — possible relationship only</w:t>
      </w:r>
    </w:p>
    <w:p>
      <w:pPr>
        <w:pStyle w:val="Heading2"/>
      </w:pPr>
      <w:r>
        <w:t>448.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group-68fdf0f1733c1fa8eaf3</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Electricity consumption in the mining sector in Spain: Key factors for the energy transition and the supply of critical raw materials to Europe — https://doi.org/10.1007/s13563-025-00567-x</w:t>
      </w:r>
    </w:p>
    <w:p>
      <w:pPr/>
      <w:r>
        <w:rPr>
          <w:b/>
        </w:rPr>
        <w:t>Later source:</w:t>
      </w:r>
      <w:r>
        <w:t xml:space="preserve"> Training for Operating Staff in Control Centres as One Key Factor for Operating Resilience — https://doi.org/10.2478/bhee-2026-0010</w:t>
      </w:r>
    </w:p>
    <w:p>
      <w:pPr>
        <w:pStyle w:val="SourceNote"/>
      </w:pPr>
      <w:r>
        <w:rPr>
          <w:b/>
        </w:rPr>
        <w:t>Review status:</w:t>
      </w:r>
      <w:r>
        <w:t xml:space="preserve"> unchecked — possible relationship only</w:t>
      </w:r>
    </w:p>
    <w:p>
      <w:pPr>
        <w:pStyle w:val="Heading2"/>
      </w:pPr>
      <w:r>
        <w:t>449. Claim + two later sources: The future of polarisation in Europe: relative cosmopolitanism and democracy</w:t>
      </w:r>
    </w:p>
    <w:p>
      <w:pPr>
        <w:pStyle w:val="SourceNote"/>
      </w:pPr>
      <w:r>
        <w:rPr>
          <w:b/>
        </w:rPr>
        <w:t>Group ID:</w:t>
      </w:r>
      <w:r>
        <w:t xml:space="preserve"> group-3609ef58b3f5d7dfa879</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Architecture in the context of socio-cultural polarisation: The case of Lviv (1991-2025) — https://doi.org/10.56318/as/1.2026.09</w:t>
      </w:r>
    </w:p>
    <w:p>
      <w:pPr/>
      <w:r>
        <w:rPr>
          <w:b/>
        </w:rPr>
        <w:t>Later source:</w:t>
      </w:r>
      <w:r>
        <w:t xml:space="preserve"> Martyrdom and Patience of Saint Eustathius of Mtskheta / Translation from Old Georgian, Introductory Article and Commentaries by N. Nazarov — https://doi.org/10.15407/orientw2026.03.109</w:t>
      </w:r>
    </w:p>
    <w:p>
      <w:pPr>
        <w:pStyle w:val="SourceNote"/>
      </w:pPr>
      <w:r>
        <w:rPr>
          <w:b/>
        </w:rPr>
        <w:t>Review status:</w:t>
      </w:r>
      <w:r>
        <w:t xml:space="preserve"> unchecked — possible relationship only</w:t>
      </w:r>
    </w:p>
    <w:p>
      <w:pPr>
        <w:pStyle w:val="Heading2"/>
      </w:pPr>
      <w:r>
        <w:t>450.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451. Claim + two later sources: Delphi Prospection on Additive Manufacturing in 2030: Implications for Education and Employment in Spain</w:t>
      </w:r>
    </w:p>
    <w:p>
      <w:pPr>
        <w:pStyle w:val="SourceNote"/>
      </w:pPr>
      <w:r>
        <w:rPr>
          <w:b/>
        </w:rPr>
        <w:t>Group ID:</w:t>
      </w:r>
      <w:r>
        <w:t xml:space="preserve"> group-4885dea519dde8a3439e</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History of sustainable finance regulation: the European Odyssey — https://doi.org/10.1108/jfrc-11-2024-0226</w:t>
      </w:r>
    </w:p>
    <w:p>
      <w:pPr>
        <w:pStyle w:val="SourceNote"/>
      </w:pPr>
      <w:r>
        <w:rPr>
          <w:b/>
        </w:rPr>
        <w:t>Review status:</w:t>
      </w:r>
      <w:r>
        <w:t xml:space="preserve"> unchecked — possible relationship only</w:t>
      </w:r>
    </w:p>
    <w:p>
      <w:pPr>
        <w:pStyle w:val="Heading2"/>
      </w:pPr>
      <w:r>
        <w:t>452. Claim + two later sources: Suitability of European climate for the Asian tiger mosquito Aedes albopictus : recent trends and future scenarios</w:t>
      </w:r>
    </w:p>
    <w:p>
      <w:pPr>
        <w:pStyle w:val="SourceNote"/>
      </w:pPr>
      <w:r>
        <w:rPr>
          <w:b/>
        </w:rPr>
        <w:t>Group ID:</w:t>
      </w:r>
      <w:r>
        <w:t xml:space="preserve"> group-36b2de1bde624d18107b</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Severe Convective Storms in a Changing Climate: Uncertainties in risk views across North America and Europe — https://doi.org/10.63024/dkee-9w5q</w:t>
      </w:r>
    </w:p>
    <w:p>
      <w:pPr/>
      <w:r>
        <w:rPr>
          <w:b/>
        </w:rPr>
        <w:t>Later source:</w:t>
      </w:r>
      <w:r>
        <w:t xml:space="preserve"> Trends in stroke prevalence caused by an elevated BMI in the European population — https://doi.org/10.5114/aoms/199362</w:t>
      </w:r>
    </w:p>
    <w:p>
      <w:pPr>
        <w:pStyle w:val="SourceNote"/>
      </w:pPr>
      <w:r>
        <w:rPr>
          <w:b/>
        </w:rPr>
        <w:t>Review status:</w:t>
      </w:r>
      <w:r>
        <w:t xml:space="preserve"> unchecked — possible relationship only</w:t>
      </w:r>
    </w:p>
    <w:p>
      <w:pPr>
        <w:pStyle w:val="Heading2"/>
      </w:pPr>
      <w:r>
        <w:t>453. Claim + two later sources: OPERATIONAL EARTHQUAKE FORECASTING. State of Knowledge and Guidelines for Utilization</w:t>
      </w:r>
    </w:p>
    <w:p>
      <w:pPr>
        <w:pStyle w:val="SourceNote"/>
      </w:pPr>
      <w:r>
        <w:rPr>
          <w:b/>
        </w:rPr>
        <w:t>Group ID:</w:t>
      </w:r>
      <w:r>
        <w:t xml:space="preserve"> group-7db9499a1575fe65b683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Methodology of Threats Outlooks Development to EU Civil Security — https://doi.org/10.64211/oidaijsd190705</w:t>
      </w:r>
    </w:p>
    <w:p>
      <w:pPr>
        <w:pStyle w:val="SourceNote"/>
      </w:pPr>
      <w:r>
        <w:rPr>
          <w:b/>
        </w:rPr>
        <w:t>Review status:</w:t>
      </w:r>
      <w:r>
        <w:t xml:space="preserve"> unchecked — possible relationship only</w:t>
      </w:r>
    </w:p>
    <w:p>
      <w:pPr>
        <w:pStyle w:val="Heading2"/>
      </w:pPr>
      <w:r>
        <w:t>454. Claim + two later sources: The European Health Union: European Union’s Concern about Health for All. Concepts, Definition, and Scenarios</w:t>
      </w:r>
    </w:p>
    <w:p>
      <w:pPr>
        <w:pStyle w:val="SourceNote"/>
      </w:pPr>
      <w:r>
        <w:rPr>
          <w:b/>
        </w:rPr>
        <w:t>Group ID:</w:t>
      </w:r>
      <w:r>
        <w:t xml:space="preserve"> group-001937a2b9f74427b7fd</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Insights into the development and key factors of five European governance innovations for forest ecosystem service provision — https://doi.org/10.1016/j.forpol.2026.103891</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455. Claim + two later sources: Could domestic soybean production avoid Europe’s protein imports in 2050?</w:t>
      </w:r>
    </w:p>
    <w:p>
      <w:pPr>
        <w:pStyle w:val="SourceNote"/>
      </w:pPr>
      <w:r>
        <w:rPr>
          <w:b/>
        </w:rPr>
        <w:t>Group ID:</w:t>
      </w:r>
      <w:r>
        <w:t xml:space="preserve"> group-91314e99ea084d264d0e</w:t>
      </w:r>
    </w:p>
    <w:p>
      <w:pPr>
        <w:pStyle w:val="SourceNote"/>
      </w:pPr>
      <w:r>
        <w:rPr>
          <w:b/>
        </w:rPr>
        <w:t>Original source:</w:t>
      </w:r>
      <w:r>
        <w:t xml:space="preserve"> https://doi.org/10.1051/ocl/2022031</w:t>
      </w:r>
    </w:p>
    <w:p>
      <w:pPr/>
      <w:r>
        <w:rPr>
          <w:b/>
        </w:rPr>
        <w:t>Original future claim:</w:t>
      </w:r>
      <w:r>
        <w:t xml:space="preserve"> INRAE (France), 159 p + Annexes) concluded that, in some parts of Europe (defined here as the European Union-27 plus other Balkan countries, Switzerland, Norway and the United Kingdom), cropland requirements in 2050 may be lower than “2010” cropland areas given possible changes in European food demand (related to glooming demographic growth and under the assumption of healthy diets) and in crop yields (influenced by technological developments and climate change). In this study, we examine to what extent this “cropland surplus” could be used to increase soybean production in Europe and reduce the dependency ratio on protein imports.</w:t>
      </w:r>
    </w:p>
    <w:p>
      <w:pPr/>
      <w:r>
        <w:rPr>
          <w:b/>
        </w:rPr>
        <w:t>Later source:</w:t>
      </w:r>
      <w:r>
        <w:t xml:space="preserve"> Review of the French Agency for Food, Environmental and Occupational Health &amp; Safety (ANSES) on Ten years of phytopharmacovigilance in France: Review of the only organisation of its kind in Europe for post‐MA vigilance of plant protection products — https://doi.org/10.2903/fr.efsa.2026.fr-0094</w:t>
      </w:r>
    </w:p>
    <w:p>
      <w:pPr/>
      <w:r>
        <w:rPr>
          <w:b/>
        </w:rPr>
        <w:t>Later source:</w:t>
      </w:r>
      <w:r>
        <w:t xml:space="preserve"> Research on pastoralism in France: state of knowledge and current issues — https://doi.org/10.1051/cagri/2025040</w:t>
      </w:r>
    </w:p>
    <w:p>
      <w:pPr>
        <w:pStyle w:val="SourceNote"/>
      </w:pPr>
      <w:r>
        <w:rPr>
          <w:b/>
        </w:rPr>
        <w:t>Review status:</w:t>
      </w:r>
      <w:r>
        <w:t xml:space="preserve"> unchecked — possible relationship only</w:t>
      </w:r>
    </w:p>
    <w:p>
      <w:pPr>
        <w:pStyle w:val="Heading2"/>
      </w:pPr>
      <w:r>
        <w:t>456.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457. Claim + two later sources: Analysing the potential of integrating wind and solar power in Europe using spatial optimisation under various scenarios</w:t>
      </w:r>
    </w:p>
    <w:p>
      <w:pPr>
        <w:pStyle w:val="SourceNote"/>
      </w:pPr>
      <w:r>
        <w:rPr>
          <w:b/>
        </w:rPr>
        <w:t>Group ID:</w:t>
      </w:r>
      <w:r>
        <w:t xml:space="preserve"> group-1fe13340d5702835d31c</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Fluorescence testing of European beech in the Northern Podillia National Nature Park — https://doi.org/10.33730/2310-4678.1.2026.359979</w:t>
      </w:r>
    </w:p>
    <w:p>
      <w:pPr>
        <w:pStyle w:val="SourceNote"/>
      </w:pPr>
      <w:r>
        <w:rPr>
          <w:b/>
        </w:rPr>
        <w:t>Review status:</w:t>
      </w:r>
      <w:r>
        <w:t xml:space="preserve"> unchecked — possible relationship only</w:t>
      </w:r>
    </w:p>
    <w:p>
      <w:pPr>
        <w:pStyle w:val="Heading2"/>
      </w:pPr>
      <w:r>
        <w:t>458. Claim + two later sources: How Sustainable Development Goals interlinkages influence European Union countries’ progress towards the 2030 Agenda</w:t>
      </w:r>
    </w:p>
    <w:p>
      <w:pPr>
        <w:pStyle w:val="SourceNote"/>
      </w:pPr>
      <w:r>
        <w:rPr>
          <w:b/>
        </w:rPr>
        <w:t>Group ID:</w:t>
      </w:r>
      <w:r>
        <w:t xml:space="preserve"> group-b2b0cab1d71f1087e6b3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The role of GDP and the macroeconomic environment in shaping international trade and agri-food sector restructuring in Europe — https://doi.org/10.9770/p8538646793</w:t>
      </w:r>
    </w:p>
    <w:p>
      <w:pPr>
        <w:pStyle w:val="SourceNote"/>
      </w:pPr>
      <w:r>
        <w:rPr>
          <w:b/>
        </w:rPr>
        <w:t>Review status:</w:t>
      </w:r>
      <w:r>
        <w:t xml:space="preserve"> unchecked — possible relationship only</w:t>
      </w:r>
    </w:p>
    <w:p>
      <w:pPr>
        <w:pStyle w:val="Heading2"/>
      </w:pPr>
      <w:r>
        <w:t>459. Claim + two later sources: Decoupling transport-related greenhouse gas emissions and economic growth in the European Union countries</w:t>
      </w:r>
    </w:p>
    <w:p>
      <w:pPr>
        <w:pStyle w:val="SourceNote"/>
      </w:pPr>
      <w:r>
        <w:rPr>
          <w:b/>
        </w:rPr>
        <w:t>Group ID:</w:t>
      </w:r>
      <w:r>
        <w:t xml:space="preserve"> group-3736da4061816409788d</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and Latin America : normative encounters — https://doi.org/10.82444/warw.33769111</w:t>
      </w:r>
    </w:p>
    <w:p>
      <w:pPr/>
      <w:r>
        <w:rPr>
          <w:b/>
        </w:rPr>
        <w:t>Later source:</w:t>
      </w:r>
      <w:r>
        <w:t xml:space="preserve"> Externalisation within the migration policy of the European Union — https://doi.org/10.15170/pjiel.2025.2.2</w:t>
      </w:r>
    </w:p>
    <w:p>
      <w:pPr>
        <w:pStyle w:val="SourceNote"/>
      </w:pPr>
      <w:r>
        <w:rPr>
          <w:b/>
        </w:rPr>
        <w:t>Review status:</w:t>
      </w:r>
      <w:r>
        <w:t xml:space="preserve"> unchecked — possible relationship only</w:t>
      </w:r>
    </w:p>
    <w:p>
      <w:pPr>
        <w:pStyle w:val="Heading2"/>
      </w:pPr>
      <w:r>
        <w:t>460. Claim + two later sources: CROATIAN RURAL FUTURES IN 2030: FOUR ALTERNATIVE SCENARIOS FOR POSTSOCIALIST COUNTRYSIDE IN THE NEWEST E.U. MEMBER STATE</w:t>
      </w:r>
    </w:p>
    <w:p>
      <w:pPr>
        <w:pStyle w:val="SourceNote"/>
      </w:pPr>
      <w:r>
        <w:rPr>
          <w:b/>
        </w:rPr>
        <w:t>Group ID:</w:t>
      </w:r>
      <w:r>
        <w:t xml:space="preserve"> group-c33c8190a04444e67c5c</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Study of asymptotes in upper secondary mathematics education: A praxeological analysis of textbooks in Croatia — https://doi.org/10.29333/iejme/18924</w:t>
      </w:r>
    </w:p>
    <w:p>
      <w:pPr>
        <w:pStyle w:val="SourceNote"/>
      </w:pPr>
      <w:r>
        <w:rPr>
          <w:b/>
        </w:rPr>
        <w:t>Review status:</w:t>
      </w:r>
      <w:r>
        <w:t xml:space="preserve"> unchecked — possible relationship only</w:t>
      </w:r>
    </w:p>
    <w:p>
      <w:pPr>
        <w:pStyle w:val="Heading2"/>
      </w:pPr>
      <w:r>
        <w:t>461.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462. Claim + two later sources: Futures of robotics. Human work in digital transformation</w:t>
      </w:r>
    </w:p>
    <w:p>
      <w:pPr>
        <w:pStyle w:val="SourceNote"/>
      </w:pPr>
      <w:r>
        <w:rPr>
          <w:b/>
        </w:rPr>
        <w:t>Group ID:</w:t>
      </w:r>
      <w:r>
        <w:t xml:space="preserve"> group-e5c1b06273cd67a81c53</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Global research on AI-empowering academic evaluation: advances, trends, and prospects — https://doi.org/10.1108/el-01-2026-0028</w:t>
      </w:r>
    </w:p>
    <w:p>
      <w:pPr>
        <w:pStyle w:val="SourceNote"/>
      </w:pPr>
      <w:r>
        <w:rPr>
          <w:b/>
        </w:rPr>
        <w:t>Review status:</w:t>
      </w:r>
      <w:r>
        <w:t xml:space="preserve"> unchecked — possible relationship only</w:t>
      </w:r>
    </w:p>
    <w:p>
      <w:pPr>
        <w:pStyle w:val="Heading2"/>
      </w:pPr>
      <w:r>
        <w:t>463. Claim + two later sources: Ensemble projections of future streamflow droughts in Europe</w:t>
      </w:r>
    </w:p>
    <w:p>
      <w:pPr>
        <w:pStyle w:val="SourceNote"/>
      </w:pPr>
      <w:r>
        <w:rPr>
          <w:b/>
        </w:rPr>
        <w:t>Group ID:</w:t>
      </w:r>
      <w:r>
        <w:t xml:space="preserve"> group-543dbbd5ec9a0dc310d5</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hydrological, geotechnical and machine learning models to enhance landslide prediction for an early warning system: application to Upper Garonne River Basin, Pyrenees, Spain — https://doi.org/10.1007/s10346-025-02685-7</w:t>
      </w:r>
    </w:p>
    <w:p>
      <w:pPr/>
      <w:r>
        <w:rPr>
          <w:b/>
        </w:rPr>
        <w:t>Later source:</w:t>
      </w:r>
      <w:r>
        <w:t xml:space="preserve"> Ecosystem service trade-offs of upstream afforestation: an integrated hydrological-economic assessment in the Sorraia basin, Portugal — https://doi.org/10.3389/fenvs.2026.1838037</w:t>
      </w:r>
    </w:p>
    <w:p>
      <w:pPr>
        <w:pStyle w:val="SourceNote"/>
      </w:pPr>
      <w:r>
        <w:rPr>
          <w:b/>
        </w:rPr>
        <w:t>Review status:</w:t>
      </w:r>
      <w:r>
        <w:t xml:space="preserve"> unchecked — possible relationship only</w:t>
      </w:r>
    </w:p>
    <w:p>
      <w:pPr>
        <w:pStyle w:val="Heading2"/>
      </w:pPr>
      <w:r>
        <w:t>464. Claim + two later sources: Improving the use of crop models for risk assessment and climate change adaptation</w:t>
      </w:r>
    </w:p>
    <w:p>
      <w:pPr>
        <w:pStyle w:val="SourceNote"/>
      </w:pPr>
      <w:r>
        <w:rPr>
          <w:b/>
        </w:rPr>
        <w:t>Group ID:</w:t>
      </w:r>
      <w:r>
        <w:t xml:space="preserve"> group-188a488c05849ec51263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Reliability Assessment and Statistical Calibration of SAI Ensemble Projections in Southeast Asia — https://doi.org/10.5194/egusphere-egu26-8408</w:t>
      </w:r>
    </w:p>
    <w:p>
      <w:pPr/>
      <w:r>
        <w:rPr>
          <w:b/>
        </w:rPr>
        <w:t>Later source:</w:t>
      </w:r>
      <w:r>
        <w:t xml:space="preserve"> More Frequent Extreme Floods Revealed by Observation-Constrained Projections — https://doi.org/10.5194/egusphere-egu26-6594</w:t>
      </w:r>
    </w:p>
    <w:p>
      <w:pPr>
        <w:pStyle w:val="SourceNote"/>
      </w:pPr>
      <w:r>
        <w:rPr>
          <w:b/>
        </w:rPr>
        <w:t>Review status:</w:t>
      </w:r>
      <w:r>
        <w:t xml:space="preserve"> unchecked — possible relationship only</w:t>
      </w:r>
    </w:p>
    <w:p>
      <w:pPr>
        <w:pStyle w:val="Heading2"/>
      </w:pPr>
      <w:r>
        <w:t>465.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466. Claim + two later sources: Analyst earnings forecast revision activity around profit warnings across four European countries</w:t>
      </w:r>
    </w:p>
    <w:p>
      <w:pPr>
        <w:pStyle w:val="SourceNote"/>
      </w:pPr>
      <w:r>
        <w:rPr>
          <w:b/>
        </w:rPr>
        <w:t>Group ID:</w:t>
      </w:r>
      <w:r>
        <w:t xml:space="preserve"> group-3cd5c124895829f136bc</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Circulation Patterns, Genetic Diversity, and Public Health Implications of Enterovirus D68, Europe, 2014–2024 — https://doi.org/10.3201/eid3204.251022</w:t>
      </w:r>
    </w:p>
    <w:p>
      <w:pPr>
        <w:pStyle w:val="SourceNote"/>
      </w:pPr>
      <w:r>
        <w:rPr>
          <w:b/>
        </w:rPr>
        <w:t>Review status:</w:t>
      </w:r>
      <w:r>
        <w:t xml:space="preserve"> unchecked — possible relationship only</w:t>
      </w:r>
    </w:p>
    <w:p>
      <w:pPr>
        <w:pStyle w:val="Heading2"/>
      </w:pPr>
      <w:r>
        <w:t>467.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468. Claim + two later sources: A comparison of low carbon investment needs between China and Europe in stringent climate policy scenarios</w:t>
      </w:r>
    </w:p>
    <w:p>
      <w:pPr>
        <w:pStyle w:val="SourceNote"/>
      </w:pPr>
      <w:r>
        <w:rPr>
          <w:b/>
        </w:rPr>
        <w:t>Group ID:</w:t>
      </w:r>
      <w:r>
        <w:t xml:space="preserve"> group-9e106f7e8dc2dad988e5</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469. Claim + two later sources: Will we reach the Sustainable Development Goals target for tuberculosis in the European Union/European Economic Area by 2030?</w:t>
      </w:r>
    </w:p>
    <w:p>
      <w:pPr>
        <w:pStyle w:val="SourceNote"/>
      </w:pPr>
      <w:r>
        <w:rPr>
          <w:b/>
        </w:rPr>
        <w:t>Group ID:</w:t>
      </w:r>
      <w:r>
        <w:t xml:space="preserve"> group-84115525b3a5027dc6c6</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Alarming decline in the carbon sink of European forests driven by disturbances — https://doi.org/10.1093/nsr/nwag354</w:t>
      </w:r>
    </w:p>
    <w:p>
      <w:pPr/>
      <w:r>
        <w:rPr>
          <w:b/>
        </w:rPr>
        <w:t>Later source:</w:t>
      </w:r>
      <w:r>
        <w:t xml:space="preserve"> Alarming decline in the carbon sink of European forests driven by disturbances. — https://doi.org/10.1093/nsr/nwag354</w:t>
      </w:r>
    </w:p>
    <w:p>
      <w:pPr>
        <w:pStyle w:val="SourceNote"/>
      </w:pPr>
      <w:r>
        <w:rPr>
          <w:b/>
        </w:rPr>
        <w:t>Review status:</w:t>
      </w:r>
      <w:r>
        <w:t xml:space="preserve"> unchecked — possible relationship only</w:t>
      </w:r>
    </w:p>
    <w:p>
      <w:pPr>
        <w:pStyle w:val="Heading2"/>
      </w:pPr>
      <w:r>
        <w:t>470. Claim + two later sources: Wood utilization scenarios and their sustainability impacts in Finland</w:t>
      </w:r>
    </w:p>
    <w:p>
      <w:pPr>
        <w:pStyle w:val="SourceNote"/>
      </w:pPr>
      <w:r>
        <w:rPr>
          <w:b/>
        </w:rPr>
        <w:t>Group ID:</w:t>
      </w:r>
      <w:r>
        <w:t xml:space="preserve"> group-cb163150ceeb926d07e8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Compounding hazards increase flood economic losses across Europe — https://doi.org/10.1038/s41467-026-73248-0</w:t>
      </w:r>
    </w:p>
    <w:p>
      <w:pPr/>
      <w:r>
        <w:rPr>
          <w:b/>
        </w:rPr>
        <w:t>Later source:</w:t>
      </w:r>
      <w:r>
        <w:t xml:space="preserve"> Social Sustainability Practices: A Balancing Act of Economic, Environmental, and Social Considerations — https://doi.org/10.1108/s1745-88622026000020a014</w:t>
      </w:r>
    </w:p>
    <w:p>
      <w:pPr>
        <w:pStyle w:val="SourceNote"/>
      </w:pPr>
      <w:r>
        <w:rPr>
          <w:b/>
        </w:rPr>
        <w:t>Review status:</w:t>
      </w:r>
      <w:r>
        <w:t xml:space="preserve"> unchecked — possible relationship only</w:t>
      </w:r>
    </w:p>
    <w:p>
      <w:pPr>
        <w:pStyle w:val="Heading2"/>
      </w:pPr>
      <w:r>
        <w:t>471.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472. Claim + two later sources: European Scenario Studies on Future In-Stream Nutrient Concentrations</w:t>
      </w:r>
    </w:p>
    <w:p>
      <w:pPr>
        <w:pStyle w:val="SourceNote"/>
      </w:pPr>
      <w:r>
        <w:rPr>
          <w:b/>
        </w:rPr>
        <w:t>Group ID:</w:t>
      </w:r>
      <w:r>
        <w:t xml:space="preserve"> group-89cccc85f1a7cc75bd85</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The Critical Role of Wetland Conservation and Restoration in Mitigating Nitrogen Pollution Across European River Basins — https://doi.org/10.5194/egusphere-egu26-23188</w:t>
      </w:r>
    </w:p>
    <w:p>
      <w:pPr>
        <w:pStyle w:val="SourceNote"/>
      </w:pPr>
      <w:r>
        <w:rPr>
          <w:b/>
        </w:rPr>
        <w:t>Review status:</w:t>
      </w:r>
      <w:r>
        <w:t xml:space="preserve"> unchecked — possible relationship only</w:t>
      </w:r>
    </w:p>
    <w:p>
      <w:pPr>
        <w:pStyle w:val="Heading2"/>
      </w:pPr>
      <w:r>
        <w:t>473. Claim + two later sources: Imagining the future with citizens: participatory foresight and democratic policy design in Marcoussis, France</w:t>
      </w:r>
    </w:p>
    <w:p>
      <w:pPr>
        <w:pStyle w:val="SourceNote"/>
      </w:pPr>
      <w:r>
        <w:rPr>
          <w:b/>
        </w:rPr>
        <w:t>Group ID:</w:t>
      </w:r>
      <w:r>
        <w:t xml:space="preserve"> group-94f1ea4efa8e39d9c018</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Regulating AI-Driven Triage: Fundamental Rights and Compliance Challenges in the European Union — https://doi.org/10.3390/ai7030086</w:t>
      </w:r>
    </w:p>
    <w:p>
      <w:pPr>
        <w:pStyle w:val="SourceNote"/>
      </w:pPr>
      <w:r>
        <w:rPr>
          <w:b/>
        </w:rPr>
        <w:t>Review status:</w:t>
      </w:r>
      <w:r>
        <w:t xml:space="preserve"> unchecked — possible relationship only</w:t>
      </w:r>
    </w:p>
    <w:p>
      <w:pPr>
        <w:pStyle w:val="Heading2"/>
      </w:pPr>
      <w:r>
        <w:t>474. Claim + two later sources: Brexit adds to gloom over long‐term growth prospects</w:t>
      </w:r>
    </w:p>
    <w:p>
      <w:pPr>
        <w:pStyle w:val="SourceNote"/>
      </w:pPr>
      <w:r>
        <w:rPr>
          <w:b/>
        </w:rPr>
        <w:t>Group ID:</w:t>
      </w:r>
      <w:r>
        <w:t xml:space="preserve"> group-8e8a23f7c770c92304fc</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The ecological forecast limit revisited: Potential, absolute and relative system predictability — https://doi.org/10.1111/2041-210x.70049</w:t>
      </w:r>
    </w:p>
    <w:p>
      <w:pPr>
        <w:pStyle w:val="SourceNote"/>
      </w:pPr>
      <w:r>
        <w:rPr>
          <w:b/>
        </w:rPr>
        <w:t>Review status:</w:t>
      </w:r>
      <w:r>
        <w:t xml:space="preserve"> unchecked — possible relationship only</w:t>
      </w:r>
    </w:p>
    <w:p>
      <w:pPr>
        <w:pStyle w:val="Heading2"/>
      </w:pPr>
      <w:r>
        <w:t>475.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476.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477. Claim + two later sources: The Future of Rural Poland: the Main Trends and Possible Scenarios.</w:t>
      </w:r>
    </w:p>
    <w:p>
      <w:pPr>
        <w:pStyle w:val="SourceNote"/>
      </w:pPr>
      <w:r>
        <w:rPr>
          <w:b/>
        </w:rPr>
        <w:t>Group ID:</w:t>
      </w:r>
      <w:r>
        <w:t xml:space="preserve"> group-8f9c56bdbc4925b65675</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On national and civilizational identification: polemical notes on R. Brubaker’s concept, drawing on the ideas of L.M. Drobizheva — https://doi.org/10.22378/he.2026-11-1.101-115</w:t>
      </w:r>
    </w:p>
    <w:p>
      <w:pPr>
        <w:pStyle w:val="SourceNote"/>
      </w:pPr>
      <w:r>
        <w:rPr>
          <w:b/>
        </w:rPr>
        <w:t>Review status:</w:t>
      </w:r>
      <w:r>
        <w:t xml:space="preserve"> unchecked — possible relationship only</w:t>
      </w:r>
    </w:p>
    <w:p>
      <w:pPr>
        <w:pStyle w:val="Heading2"/>
      </w:pPr>
      <w:r>
        <w:t>478. Claim + two later sources: Future Projections of Heat Mortality Risk for Major European Cities</w:t>
      </w:r>
    </w:p>
    <w:p>
      <w:pPr>
        <w:pStyle w:val="SourceNote"/>
      </w:pPr>
      <w:r>
        <w:rPr>
          <w:b/>
        </w:rPr>
        <w:t>Group ID:</w:t>
      </w:r>
      <w:r>
        <w:t xml:space="preserve"> group-b51e8b68b5b176dc8c4a</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Frailty and Socioeconomic Development in the European Region—Associations with Mortality in Middle-Aged and Older Adults — https://doi.org/10.3390/ijerph23030307</w:t>
      </w:r>
    </w:p>
    <w:p>
      <w:pPr>
        <w:pStyle w:val="SourceNote"/>
      </w:pPr>
      <w:r>
        <w:rPr>
          <w:b/>
        </w:rPr>
        <w:t>Review status:</w:t>
      </w:r>
      <w:r>
        <w:t xml:space="preserve"> unchecked — possible relationship only</w:t>
      </w:r>
    </w:p>
    <w:p>
      <w:pPr>
        <w:pStyle w:val="Heading2"/>
      </w:pPr>
      <w:r>
        <w:t>479.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480.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481.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482. Claim + two later sources: Regional growth and disparities in a post‐COVID Europe: A new normality scenario</w:t>
      </w:r>
    </w:p>
    <w:p>
      <w:pPr>
        <w:pStyle w:val="SourceNote"/>
      </w:pPr>
      <w:r>
        <w:rPr>
          <w:b/>
        </w:rPr>
        <w:t>Group ID:</w:t>
      </w:r>
      <w:r>
        <w:t xml:space="preserve"> group-0d7ed826283110160868</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The European Green Deal and Sustainability: A Model for Better Governance Solutions for Latvia — https://doi.org/10.20900/jsr20260022</w:t>
      </w:r>
    </w:p>
    <w:p>
      <w:pPr/>
      <w:r>
        <w:rPr>
          <w:b/>
        </w:rPr>
        <w:t>Later source:</w:t>
      </w:r>
      <w:r>
        <w:t xml:space="preserve"> Addressing food and nutrition insecurity in European countries: a scoping review of strategies and policies. — https://doi.org/10.4415/ann_26_02_09</w:t>
      </w:r>
    </w:p>
    <w:p>
      <w:pPr>
        <w:pStyle w:val="SourceNote"/>
      </w:pPr>
      <w:r>
        <w:rPr>
          <w:b/>
        </w:rPr>
        <w:t>Review status:</w:t>
      </w:r>
      <w:r>
        <w:t xml:space="preserve"> unchecked — possible relationship only</w:t>
      </w:r>
    </w:p>
    <w:p>
      <w:pPr>
        <w:pStyle w:val="Heading2"/>
      </w:pPr>
      <w:r>
        <w:t>483. Claim + two later sources: Developing scenarios for the Norwegian travel industry 2025</w:t>
      </w:r>
    </w:p>
    <w:p>
      <w:pPr>
        <w:pStyle w:val="SourceNote"/>
      </w:pPr>
      <w:r>
        <w:rPr>
          <w:b/>
        </w:rPr>
        <w:t>Group ID:</w:t>
      </w:r>
      <w:r>
        <w:t xml:space="preserve"> group-e7a9e2010f836edace23</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Navigating Inclusive Education: Understanding the Common Challenges Faced by Regular Teachers in an Inclusive Classroom Environment — https://openalex.org/W7161658658</w:t>
      </w:r>
    </w:p>
    <w:p>
      <w:pPr/>
      <w:r>
        <w:rPr>
          <w:b/>
        </w:rPr>
        <w:t>Later source:</w:t>
      </w:r>
      <w:r>
        <w:t xml:space="preserve"> Understanding negative feedback and classical conditioning of autonomic responses in physiological regulation — https://doi.org/10.3389/fphys.2026.1912305</w:t>
      </w:r>
    </w:p>
    <w:p>
      <w:pPr>
        <w:pStyle w:val="SourceNote"/>
      </w:pPr>
      <w:r>
        <w:rPr>
          <w:b/>
        </w:rPr>
        <w:t>Review status:</w:t>
      </w:r>
      <w:r>
        <w:t xml:space="preserve"> unchecked — possible relationship only</w:t>
      </w:r>
    </w:p>
    <w:p>
      <w:pPr>
        <w:pStyle w:val="Heading2"/>
      </w:pPr>
      <w:r>
        <w:t>484.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485.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486.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487. Claim + two later sources: Perspective of comprehensive and comprehensible multi-model energy and climate science in Europe</w:t>
      </w:r>
    </w:p>
    <w:p>
      <w:pPr>
        <w:pStyle w:val="SourceNote"/>
      </w:pPr>
      <w:r>
        <w:rPr>
          <w:b/>
        </w:rPr>
        <w:t>Group ID:</w:t>
      </w:r>
      <w:r>
        <w:t xml:space="preserve"> group-a1471bb0913852669a4c</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Learning under pressure: Welfare state responses to Covid-19 in Southern Europe — https://doi.org/10.1177/09589287261419976</w:t>
      </w:r>
    </w:p>
    <w:p>
      <w:pPr>
        <w:pStyle w:val="SourceNote"/>
      </w:pPr>
      <w:r>
        <w:rPr>
          <w:b/>
        </w:rPr>
        <w:t>Review status:</w:t>
      </w:r>
      <w:r>
        <w:t xml:space="preserve"> unchecked — possible relationship only</w:t>
      </w:r>
    </w:p>
    <w:p>
      <w:pPr>
        <w:pStyle w:val="Heading2"/>
      </w:pPr>
      <w:r>
        <w:t>488.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489. Claim + two later sources: By 2050 the Mitigation Effects of EU Forests Could Nearly Double through Climate Smart Forestry</w:t>
      </w:r>
    </w:p>
    <w:p>
      <w:pPr>
        <w:pStyle w:val="SourceNote"/>
      </w:pPr>
      <w:r>
        <w:rPr>
          <w:b/>
        </w:rPr>
        <w:t>Group ID:</w:t>
      </w:r>
      <w:r>
        <w:t xml:space="preserve"> group-6e6c9519be020aad96b9</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Mechanisms for monitoring the implementation of the European Social Charter and their significance for the Member States — https://doi.org/10.63341/naia-herald/1.2025.60</w:t>
      </w:r>
    </w:p>
    <w:p>
      <w:pPr/>
      <w:r>
        <w:rPr>
          <w:b/>
        </w:rPr>
        <w:t>Later source:</w:t>
      </w:r>
      <w:r>
        <w:t xml:space="preserve"> The Right to Abortion – Between the Need for Protection at the European Level and Respect for the Constitutional Traditions of the Member States — https://doi.org/10.54148/eltelj.2025.2.9</w:t>
      </w:r>
    </w:p>
    <w:p>
      <w:pPr>
        <w:pStyle w:val="SourceNote"/>
      </w:pPr>
      <w:r>
        <w:rPr>
          <w:b/>
        </w:rPr>
        <w:t>Review status:</w:t>
      </w:r>
      <w:r>
        <w:t xml:space="preserve"> unchecked — possible relationship only</w:t>
      </w:r>
    </w:p>
    <w:p>
      <w:pPr>
        <w:pStyle w:val="Heading2"/>
      </w:pPr>
      <w:r>
        <w:t>490.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491. Claim + two later sources: Towards the 2030 Agenda: Measuring the Progress of the European Union Countries through the SDGs Achievement Index</w:t>
      </w:r>
    </w:p>
    <w:p>
      <w:pPr>
        <w:pStyle w:val="SourceNote"/>
      </w:pPr>
      <w:r>
        <w:rPr>
          <w:b/>
        </w:rPr>
        <w:t>Group ID:</w:t>
      </w:r>
      <w:r>
        <w:t xml:space="preserve"> group-452f6717ce3f3801d4e2</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Assessing Farm-Level Digital Maturity in European Agriculture: The Digital Farm Index and Investment Barriers to Agriculture 4.0 — https://doi.org/10.3390/agriculture16141565</w:t>
      </w:r>
    </w:p>
    <w:p>
      <w:pPr/>
      <w:r>
        <w:rPr>
          <w:b/>
        </w:rPr>
        <w:t>Later source:</w:t>
      </w:r>
      <w:r>
        <w:t xml:space="preserve"> Causal effects of body mass index on glycaemic traits in African and European populations: a Mendelian randomization study — https://doi.org/10.64898/2026.10.02.26364581</w:t>
      </w:r>
    </w:p>
    <w:p>
      <w:pPr>
        <w:pStyle w:val="SourceNote"/>
      </w:pPr>
      <w:r>
        <w:rPr>
          <w:b/>
        </w:rPr>
        <w:t>Review status:</w:t>
      </w:r>
      <w:r>
        <w:t xml:space="preserve"> unchecked — possible relationship only</w:t>
      </w:r>
    </w:p>
    <w:p>
      <w:pPr>
        <w:pStyle w:val="Heading2"/>
      </w:pPr>
      <w:r>
        <w:t>492.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493. Claim + two later sources: Climate change mitigation: evidences from the European scenario</w:t>
      </w:r>
    </w:p>
    <w:p>
      <w:pPr>
        <w:pStyle w:val="SourceNote"/>
      </w:pPr>
      <w:r>
        <w:rPr>
          <w:b/>
        </w:rPr>
        <w:t>Group ID:</w:t>
      </w:r>
      <w:r>
        <w:t xml:space="preserve"> group-42dd37105576decab46e</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494.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495. Claim + two later sources: PROJEKCJA ZMIAN WIELKOŚCI PLONÓW PSZENICY W POLSCE I UNII EUROPEJSKIEJ W LATACH 2030 I 2050 NA PODSTAWIE MODELU CAPRI</w:t>
      </w:r>
    </w:p>
    <w:p>
      <w:pPr>
        <w:pStyle w:val="SourceNote"/>
      </w:pPr>
      <w:r>
        <w:rPr>
          <w:b/>
        </w:rPr>
        <w:t>Group ID:</w:t>
      </w:r>
      <w:r>
        <w:t xml:space="preserve"> group-eadd580b555c383fb325</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Emission Scenarios for Europe under the CATALYSE Project: Beyond the Green Deal — https://openalex.org/W7125621332</w:t>
      </w:r>
    </w:p>
    <w:p>
      <w:pPr/>
      <w:r>
        <w:rPr>
          <w:b/>
        </w:rPr>
        <w:t>Later source:</w:t>
      </w:r>
      <w:r>
        <w:t xml:space="preserve"> TIME-SERIES ANALYSIS AND ARIMA-BASED FORECASTING OF AGRICULTURAL RAW MATERIAL IMPORTS IN CENTRAL AND EASTERN EUROPE — https://doi.org/10.52846/mnmk.24.1.11</w:t>
      </w:r>
    </w:p>
    <w:p>
      <w:pPr>
        <w:pStyle w:val="SourceNote"/>
      </w:pPr>
      <w:r>
        <w:rPr>
          <w:b/>
        </w:rPr>
        <w:t>Review status:</w:t>
      </w:r>
      <w:r>
        <w:t xml:space="preserve"> unchecked — possible relationship only</w:t>
      </w:r>
    </w:p>
    <w:p>
      <w:pPr>
        <w:pStyle w:val="Heading2"/>
      </w:pPr>
      <w:r>
        <w:t>496. Claim + two later sources: Recycling of European plastic is a pathway for plastic debris in the ocean</w:t>
      </w:r>
    </w:p>
    <w:p>
      <w:pPr>
        <w:pStyle w:val="SourceNote"/>
      </w:pPr>
      <w:r>
        <w:rPr>
          <w:b/>
        </w:rPr>
        <w:t>Group ID:</w:t>
      </w:r>
      <w:r>
        <w:t xml:space="preserve"> group-919bbf782154e01931c4</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Economic Policy Uncertainty and Income Inequality Across Europe — https://openalex.org/W7128567058</w:t>
      </w:r>
    </w:p>
    <w:p>
      <w:pPr/>
      <w:r>
        <w:rPr>
          <w:b/>
        </w:rPr>
        <w:t>Later source:</w:t>
      </w:r>
      <w:r>
        <w:t xml:space="preserve"> 3D Glacial Isostatic Adjustment along the deglacial forebulge of the Atlantic coasts of North America and Europe — https://doi.org/10.5194/egusphere-egu26-15680</w:t>
      </w:r>
    </w:p>
    <w:p>
      <w:pPr>
        <w:pStyle w:val="SourceNote"/>
      </w:pPr>
      <w:r>
        <w:rPr>
          <w:b/>
        </w:rPr>
        <w:t>Review status:</w:t>
      </w:r>
      <w:r>
        <w:t xml:space="preserve"> unchecked — possible relationship only</w:t>
      </w:r>
    </w:p>
    <w:p>
      <w:pPr>
        <w:pStyle w:val="Heading2"/>
      </w:pPr>
      <w:r>
        <w:t>497.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498. Claim + two later sources: Land use implications of future energy system trajectories—The case of the UK 2050 Carbon Plan</w:t>
      </w:r>
    </w:p>
    <w:p>
      <w:pPr>
        <w:pStyle w:val="SourceNote"/>
      </w:pPr>
      <w:r>
        <w:rPr>
          <w:b/>
        </w:rPr>
        <w:t>Group ID:</w:t>
      </w:r>
      <w:r>
        <w:t xml:space="preserve"> group-dfdb406a5469fc78f6f3</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Institutional pathways to TCM psychological acceptance abroad: A fuzzy Delphi evaluation of four Chinese colleges — https://doi.org/10.1016/j.actpsy.2026.106659</w:t>
      </w:r>
    </w:p>
    <w:p>
      <w:pPr/>
      <w:r>
        <w:rPr>
          <w:b/>
        </w:rPr>
        <w:t>Later source:</w:t>
      </w:r>
      <w:r>
        <w:t xml:space="preserve"> Robotic artistry: Four surprise pathways for generative artificial intelligence-assisted abductive theorization — https://doi.org/10.1177/14761270261448648</w:t>
      </w:r>
    </w:p>
    <w:p>
      <w:pPr>
        <w:pStyle w:val="SourceNote"/>
      </w:pPr>
      <w:r>
        <w:rPr>
          <w:b/>
        </w:rPr>
        <w:t>Review status:</w:t>
      </w:r>
      <w:r>
        <w:t xml:space="preserve"> unchecked — possible relationship only</w:t>
      </w:r>
    </w:p>
    <w:p>
      <w:pPr>
        <w:pStyle w:val="Heading2"/>
      </w:pPr>
      <w:r>
        <w:t>499. Claim + two later sources: Future projections of temperature and mixing regime of  European temperate lakes</w:t>
      </w:r>
    </w:p>
    <w:p>
      <w:pPr>
        <w:pStyle w:val="SourceNote"/>
      </w:pPr>
      <w:r>
        <w:rPr>
          <w:b/>
        </w:rPr>
        <w:t>Group ID:</w:t>
      </w:r>
      <w:r>
        <w:t xml:space="preserve"> group-9590a6b8bd5715794b32</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Northern Greenland transect stacked ice cores as a proxy for winter extreme events in Europe — https://doi.org/10.5194/cp-22-935-2026</w:t>
      </w:r>
    </w:p>
    <w:p>
      <w:pPr/>
      <w:r>
        <w:rPr>
          <w:b/>
        </w:rPr>
        <w:t>Later source:</w:t>
      </w:r>
      <w:r>
        <w:t xml:space="preserve"> Forced reorganisation of the North Atlantic SST–NAO relationship and implications for European winter predictability — https://doi.org/10.5194/egusphere-2026-2686</w:t>
      </w:r>
    </w:p>
    <w:p>
      <w:pPr>
        <w:pStyle w:val="SourceNote"/>
      </w:pPr>
      <w:r>
        <w:rPr>
          <w:b/>
        </w:rPr>
        <w:t>Review status:</w:t>
      </w:r>
      <w:r>
        <w:t xml:space="preserve"> unchecked — possible relationship only</w:t>
      </w:r>
    </w:p>
    <w:p>
      <w:pPr>
        <w:pStyle w:val="Heading2"/>
      </w:pPr>
      <w:r>
        <w:t>500. Claim + two later sources: Lyme Disease Risks in Europe under Multiple Uncertain Drivers of Change</w:t>
      </w:r>
    </w:p>
    <w:p>
      <w:pPr>
        <w:pStyle w:val="SourceNote"/>
      </w:pPr>
      <w:r>
        <w:rPr>
          <w:b/>
        </w:rPr>
        <w:t>Group ID:</w:t>
      </w:r>
      <w:r>
        <w:t xml:space="preserve"> group-026bfb33637288f2dd25</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Machine Learning-Based Bias-Corrected Future Projections of Ozone Concentrations from a Chemistry-Climate Model — https://doi.org/10.1021/acs.est.5c11992</w:t>
      </w:r>
    </w:p>
    <w:p>
      <w:pPr/>
      <w:r>
        <w:rPr>
          <w:b/>
        </w:rPr>
        <w:t>Later source:</w:t>
      </w:r>
      <w:r>
        <w:t xml:space="preserve"> Widespread increase in frequency and duration of European wind droughts based on CMIP6 projections — https://doi.org/10.1016/j.isci.2026.115075</w:t>
      </w:r>
    </w:p>
    <w:p>
      <w:pPr>
        <w:pStyle w:val="SourceNote"/>
      </w:pPr>
      <w:r>
        <w:rPr>
          <w:b/>
        </w:rPr>
        <w:t>Review status:</w:t>
      </w:r>
      <w:r>
        <w:t xml:space="preserve"> unchecked — possible relationship only</w:t>
      </w:r>
    </w:p>
    <w:p>
      <w:pPr>
        <w:pStyle w:val="Heading2"/>
      </w:pPr>
      <w:r>
        <w:t>501. Claim + two later sources: Imagining energy futures: Sociotechnical imaginaries of the future Smart Grid in Norway</w:t>
      </w:r>
    </w:p>
    <w:p>
      <w:pPr>
        <w:pStyle w:val="SourceNote"/>
      </w:pPr>
      <w:r>
        <w:rPr>
          <w:b/>
        </w:rPr>
        <w:t>Group ID:</w:t>
      </w:r>
      <w:r>
        <w:t xml:space="preserve"> group-3821d3644338be0eb1da</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Smart Grids and Renewable Energy Communities in Pakistan and the Middle East: Present Situation, Perspectives, Future Developments, and Comparison with EU — https://doi.org/10.3390/en19020535</w:t>
      </w:r>
    </w:p>
    <w:p>
      <w:pPr/>
      <w:r>
        <w:rPr>
          <w:b/>
        </w:rPr>
        <w:t>Later source:</w:t>
      </w:r>
      <w:r>
        <w:t xml:space="preserve"> Towards consumer-oriented smart grids : investigating consumer perspectives on the adoption of smart technologies and services — https://openalex.org/W7222853900</w:t>
      </w:r>
    </w:p>
    <w:p>
      <w:pPr>
        <w:pStyle w:val="SourceNote"/>
      </w:pPr>
      <w:r>
        <w:rPr>
          <w:b/>
        </w:rPr>
        <w:t>Review status:</w:t>
      </w:r>
      <w:r>
        <w:t xml:space="preserve"> unchecked — possible relationship only</w:t>
      </w:r>
    </w:p>
    <w:p>
      <w:pPr>
        <w:pStyle w:val="Heading2"/>
      </w:pPr>
      <w:r>
        <w:t>502. Claim + two later sources: Long-Term Projection of Renewable Energy Technology Diffusion</w:t>
      </w:r>
    </w:p>
    <w:p>
      <w:pPr>
        <w:pStyle w:val="SourceNote"/>
      </w:pPr>
      <w:r>
        <w:rPr>
          <w:b/>
        </w:rPr>
        <w:t>Group ID:</w:t>
      </w:r>
      <w:r>
        <w:t xml:space="preserve"> group-624da3c55c5512b18b99</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Global Energy Project for the Future of Humanity — https://doi.org/10.5281/zenodo.20648321</w:t>
      </w:r>
    </w:p>
    <w:p>
      <w:pPr/>
      <w:r>
        <w:rPr>
          <w:b/>
        </w:rPr>
        <w:t>Later source:</w:t>
      </w:r>
      <w:r>
        <w:t xml:space="preserve"> MODELLING ENERGY CONSUMPTION IN TEA MANUFACTURING FACILITY — https://doi.org/10.58257/ijprems51610</w:t>
      </w:r>
    </w:p>
    <w:p>
      <w:pPr>
        <w:pStyle w:val="SourceNote"/>
      </w:pPr>
      <w:r>
        <w:rPr>
          <w:b/>
        </w:rPr>
        <w:t>Review status:</w:t>
      </w:r>
      <w:r>
        <w:t xml:space="preserve"> unchecked — possible relationship only</w:t>
      </w:r>
    </w:p>
    <w:p>
      <w:pPr>
        <w:pStyle w:val="Heading2"/>
      </w:pPr>
      <w:r>
        <w:t>503. Claim + two later sources: Climate change mitigation: evidences from the European scenario</w:t>
      </w:r>
    </w:p>
    <w:p>
      <w:pPr>
        <w:pStyle w:val="SourceNote"/>
      </w:pPr>
      <w:r>
        <w:rPr>
          <w:b/>
        </w:rPr>
        <w:t>Group ID:</w:t>
      </w:r>
      <w:r>
        <w:t xml:space="preserve"> group-2d6cd5256347aaca5a4c</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504.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group-7bc7fa9f5b5949081f8a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ESG and Its Components: Impact on Stock Returns Across Firm Sizes in Europe and the United States — https://doi.org/10.3390/risks14010004</w:t>
      </w:r>
    </w:p>
    <w:p>
      <w:pPr/>
      <w:r>
        <w:rPr>
          <w:b/>
        </w:rPr>
        <w:t>Later source:</w:t>
      </w:r>
      <w:r>
        <w:t xml:space="preserve"> United States and European Union aid cuts risk exacerbating links between aid, trade, and human and environmental crises — https://doi.org/10.1038/s44458-025-00011-9</w:t>
      </w:r>
    </w:p>
    <w:p>
      <w:pPr>
        <w:pStyle w:val="SourceNote"/>
      </w:pPr>
      <w:r>
        <w:rPr>
          <w:b/>
        </w:rPr>
        <w:t>Review status:</w:t>
      </w:r>
      <w:r>
        <w:t xml:space="preserve"> unchecked — possible relationship only</w:t>
      </w:r>
    </w:p>
    <w:p>
      <w:pPr>
        <w:pStyle w:val="Heading2"/>
      </w:pPr>
      <w:r>
        <w:t>505. Claim + two later sources: Assessing the EU’s 2030 Climate and Energy Policy Framework: Incremental change toward radical transformation?</w:t>
      </w:r>
    </w:p>
    <w:p>
      <w:pPr>
        <w:pStyle w:val="SourceNote"/>
      </w:pPr>
      <w:r>
        <w:rPr>
          <w:b/>
        </w:rPr>
        <w:t>Group ID:</w:t>
      </w:r>
      <w:r>
        <w:t xml:space="preserve"> group-0ed9092df2000bc27b86</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Addressing Medical Deserts in Europe: Lessons From a Comparative Analysis — https://doi.org/10.1111/hex.70606</w:t>
      </w:r>
    </w:p>
    <w:p>
      <w:pPr>
        <w:pStyle w:val="SourceNote"/>
      </w:pPr>
      <w:r>
        <w:rPr>
          <w:b/>
        </w:rPr>
        <w:t>Review status:</w:t>
      </w:r>
      <w:r>
        <w:t xml:space="preserve"> unchecked — possible relationship only</w:t>
      </w:r>
    </w:p>
    <w:p>
      <w:pPr>
        <w:pStyle w:val="Heading2"/>
      </w:pPr>
      <w:r>
        <w:t>506. Claim + two later sources: Society in need of transformation. Citizen-Foresight as a method to co-create urban future</w:t>
      </w:r>
    </w:p>
    <w:p>
      <w:pPr>
        <w:pStyle w:val="SourceNote"/>
      </w:pPr>
      <w:r>
        <w:rPr>
          <w:b/>
        </w:rPr>
        <w:t>Group ID:</w:t>
      </w:r>
      <w:r>
        <w:t xml:space="preserve"> group-de7f6126da9f9bd53d11</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The Third Path: The Fiction of Sytze Backer — https://doi.org/10.5281/zenodo.19139896</w:t>
      </w:r>
    </w:p>
    <w:p>
      <w:pPr>
        <w:pStyle w:val="SourceNote"/>
      </w:pPr>
      <w:r>
        <w:rPr>
          <w:b/>
        </w:rPr>
        <w:t>Review status:</w:t>
      </w:r>
      <w:r>
        <w:t xml:space="preserve"> unchecked — possible relationship only</w:t>
      </w:r>
    </w:p>
    <w:p>
      <w:pPr>
        <w:pStyle w:val="Heading2"/>
      </w:pPr>
      <w:r>
        <w:t>507.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508. Claim + two later sources: European carbon storage resource requirements of climate change mitigation targets</w:t>
      </w:r>
    </w:p>
    <w:p>
      <w:pPr>
        <w:pStyle w:val="SourceNote"/>
      </w:pPr>
      <w:r>
        <w:rPr>
          <w:b/>
        </w:rPr>
        <w:t>Group ID:</w:t>
      </w:r>
      <w:r>
        <w:t xml:space="preserve"> group-5c611a94b04b6e168244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Operationalising the Climate Change Action Plan of the European Central Bank — https://doi.org/10.1017/9781009450423.013</w:t>
      </w:r>
    </w:p>
    <w:p>
      <w:pPr/>
      <w:r>
        <w:rPr>
          <w:b/>
        </w:rPr>
        <w:t>Later source:</w:t>
      </w:r>
      <w:r>
        <w:t xml:space="preserve"> Climate plan for municipality of Utsjoki — https://openalex.org/W7152954980</w:t>
      </w:r>
    </w:p>
    <w:p>
      <w:pPr>
        <w:pStyle w:val="SourceNote"/>
      </w:pPr>
      <w:r>
        <w:rPr>
          <w:b/>
        </w:rPr>
        <w:t>Review status:</w:t>
      </w:r>
      <w:r>
        <w:t xml:space="preserve"> unchecked — possible relationship only</w:t>
      </w:r>
    </w:p>
    <w:p>
      <w:pPr>
        <w:pStyle w:val="Heading2"/>
      </w:pPr>
      <w:r>
        <w:t>509.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510. Claim + two later sources: European packaging industry foresight study—identifying global drivers and driven packaging industry implications of the global megatrends</w:t>
      </w:r>
    </w:p>
    <w:p>
      <w:pPr>
        <w:pStyle w:val="SourceNote"/>
      </w:pPr>
      <w:r>
        <w:rPr>
          <w:b/>
        </w:rPr>
        <w:t>Group ID:</w:t>
      </w:r>
      <w:r>
        <w:t xml:space="preserve"> group-9ccab0c0f9cf673c94d0</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Draghi Plan and Implications for the European Legislative Framework — https://doi.org/10.24818/eblj/2025/4/1.06</w:t>
      </w:r>
    </w:p>
    <w:p>
      <w:pPr/>
      <w:r>
        <w:rPr>
          <w:b/>
        </w:rPr>
        <w:t>Later source:</w:t>
      </w:r>
      <w:r>
        <w:t xml:space="preserve"> Food waste in European Households: A Meta-Analysis of behavioural drivers and quantitative trends — https://doi.org/10.1016/j.wasman.2026.115536</w:t>
      </w:r>
    </w:p>
    <w:p>
      <w:pPr>
        <w:pStyle w:val="SourceNote"/>
      </w:pPr>
      <w:r>
        <w:rPr>
          <w:b/>
        </w:rPr>
        <w:t>Review status:</w:t>
      </w:r>
      <w:r>
        <w:t xml:space="preserve"> unchecked — possible relationship only</w:t>
      </w:r>
    </w:p>
    <w:p>
      <w:pPr>
        <w:pStyle w:val="Heading2"/>
      </w:pPr>
      <w:r>
        <w:t>511.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512.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513. Individual research leads — not grouped</w:t>
      </w:r>
    </w:p>
    <w:p>
      <w:pPr/>
      <w:r>
        <w:t>These are single claim–paper research leads, not claim + paper A + paper B proposals. A paper in a rejected group may still be useful in a different combination.</w:t>
      </w:r>
    </w:p>
    <w:p>
      <w:pPr>
        <w:pStyle w:val="Heading2"/>
      </w:pPr>
      <w:r>
        <w:t>514.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2026:</w:t>
      </w:r>
      <w:r>
        <w:t xml:space="preserve"> The Earth Cannot Be Saved by Management Alone: The Omega Heat Dome and the Ontological Limits of European Environmentalism The Nominalization of European Environmentalism and the Transition toward an E = ΦR Climate Ethics — https://doi.org/10.5281/zenodo.21097288</w:t>
      </w:r>
    </w:p>
    <w:p>
      <w:pPr/>
      <w:r>
        <w:rPr>
          <w:b/>
        </w:rPr>
        <w:t>Shared claim-specific concepts:</w:t>
      </w:r>
      <w:r>
        <w:t xml:space="preserve"> concepts, environmental, discourse, them; EU scope visible. This is a provisional connection, not an outcome finding.</w:t>
      </w:r>
    </w:p>
    <w:p>
      <w:pPr>
        <w:pStyle w:val="SourceNote"/>
      </w:pPr>
      <w:r>
        <w:rPr>
          <w:b/>
        </w:rPr>
        <w:t>Available abstract (not full text):</w:t>
      </w:r>
      <w:r>
        <w:t xml:space="preserve"> Central Claim in One Sentence The central claim of this paper is that the limit of European environmentalism lies not in its attempt to protect the Earth, but in its crystallization of that ideal into nominal objects such as CO2, decarbonization, renewables, EVs, energy efficiency, and sustainability, thereby losing contact with the dynamic generative resonance of the Earth-system, including human life. Description This paper develops an ontological critique of European environmentalism through the case of the Omega Heat Dome and heatwave-related deaths in Europe. Rather than rejecting environmentalism, decarbonization, renewable energy, energy efficiency, or sustainability, the paper argues that these concepts become problematic when they are treated as final ethical nouns rather than provisional structures serving the living relations of the Earth-system. Drawing on Universal Phase Crystallization Theory, the paper distinguishes between an E = S ontology, in which existence is reduced to objects, metrics, systems, and manageable structures, and an E = ΦR ontology, in which existence is understood as the dynamic movement of generative possibility and relational resonance. The paper argues that heatwave deaths reveal more than meteorological abnormality. They expose failures in the relations among bodies, homes, cities, cooling technologies, labour routines, care networks, publ</w:t>
      </w:r>
    </w:p>
    <w:p>
      <w:pPr/>
      <w:r>
        <w:rPr>
          <w:b/>
        </w:rPr>
        <w:t>POSSIBLE 2026:</w:t>
      </w:r>
      <w:r>
        <w:t xml:space="preserve"> Sustainable environmentally-oriented development of the Ukrainian Carpathians as a key direction of the european integration progress of post-war Ukraine — https://doi.org/10.26565/1727-6667-2026-1-09</w:t>
      </w:r>
    </w:p>
    <w:p>
      <w:pPr/>
      <w:r>
        <w:rPr>
          <w:b/>
        </w:rPr>
        <w:t>Shared claim-specific concepts:</w:t>
      </w:r>
      <w:r>
        <w:t xml:space="preserve"> based, environmental, territorial; EU scope visible. This is a provisional connection, not an outcome finding.</w:t>
      </w:r>
    </w:p>
    <w:p>
      <w:pPr>
        <w:pStyle w:val="SourceNote"/>
      </w:pPr>
      <w:r>
        <w:rPr>
          <w:b/>
        </w:rPr>
        <w:t>Available abstract (not full text):</w:t>
      </w:r>
      <w:r>
        <w:t xml:space="preserve"> The article presents the results of a scientific and applied analysis of the problems and prospects for sustainable environmentally-oriented development of territorial communities in the Ukrainian Carpathians in the context of decentralization, European integration, and post-war recovery. The research is conducted within the framework of deepening decentralization processes, implementing the European integration course, and addressing the needs of post-war reconstruction. The aim of the work is to generalize the current state of mountain communities, identify key constraints on their socio-economic and environmental capacity, and substantiate directions for improving local development policies through the implementation of European approaches to supporting mountain areas. It is argued that the local government reform has expanded the administrative and financial capacities of communities in the Carpathian region; however, their practical implementation is complicated by a shortage of qualified personnel, misalignment of priorities between the population and authorities, demographic and migration shifts, as well as the escalation of environmental risks exacerbated by military actions. The necessity of integrating environmental constraints and territorial potential into strategic planning processes is substantiated. This involves combining infrastructure restoration with the deve</w:t>
      </w:r>
    </w:p>
    <w:p>
      <w:pPr/>
      <w:r>
        <w:rPr>
          <w:b/>
        </w:rPr>
        <w:t>POSSIBLE 2026:</w:t>
      </w:r>
      <w:r>
        <w:t xml:space="preserve"> Environmental inspection in Europe: comparative analysis and methodological proposal based on the spanish case — https://doi.org/10.1007/s41207-026-01093-0</w:t>
      </w:r>
    </w:p>
    <w:p>
      <w:pPr/>
      <w:r>
        <w:rPr>
          <w:b/>
        </w:rPr>
        <w:t>Shared claim-specific concepts:</w:t>
      </w:r>
      <w:r>
        <w:t xml:space="preserve"> based, environmental, three, show; EU scope visible. This is a provisional connection, not an outcome finding.</w:t>
      </w:r>
    </w:p>
    <w:p>
      <w:pPr>
        <w:pStyle w:val="SourceNote"/>
      </w:pPr>
      <w:r>
        <w:rPr>
          <w:b/>
        </w:rPr>
        <w:t>Available abstract (not full text):</w:t>
      </w:r>
      <w:r>
        <w:t xml:space="preserve"> Abstract This study comparatively analyses the environmental inspection systems implemented in different European countries with the aim of contextualising and strengthening the evaluation of the model developed in Spain, taking the case of the Valencian Community as a reference. Based on an applied, comparative and mixed approach, the research is structured in three phases: a documentary and regulatory review of the European and regional legal framework; a technical and comparative analysis of environmental inspection programmes, considering their degree of compliance, prioritisation by risk and transparency; and the design of an improved methodological proposal aimed at optimising the planning and execution of inspections. The results show similarities with the most advanced European models, such as those in the Netherlands and Denmark, and highlight the need to strengthen institutional coordination, transparency and the evaluation of results in environmental management. The proposed methodology allows for the rationalisation of resources, the prioritisation of interventions according to risk and the establishment of mechanisms for continuous improvement, contributing to more effective and adaptive environmental governance. Overall, the study provides a practical and transferable tool for moving towards more strategic and integrated environmental oversight that is consistent </w:t>
      </w:r>
    </w:p>
    <w:p>
      <w:pPr/>
      <w:r>
        <w:rPr>
          <w:b/>
        </w:rPr>
        <w:t>POSSIBLE 2026:</w:t>
      </w:r>
      <w:r>
        <w:t xml:space="preserve"> Science-based targets for material use: A systematic review of analytical concepts and approaches in Europe — https://doi.org/10.1016/j.resconrec.2026.109111</w:t>
      </w:r>
    </w:p>
    <w:p>
      <w:pPr/>
      <w:r>
        <w:rPr>
          <w:b/>
        </w:rPr>
        <w:t>Shared claim-specific concepts:</w:t>
      </w:r>
      <w:r>
        <w:t xml:space="preserve"> based, concepts, environmental, three; EU scope visible. This is a provisional connection, not an outcome finding.</w:t>
      </w:r>
    </w:p>
    <w:p>
      <w:pPr>
        <w:pStyle w:val="SourceNote"/>
      </w:pPr>
      <w:r>
        <w:rPr>
          <w:b/>
        </w:rPr>
        <w:t>Available abstract (not full text):</w:t>
      </w:r>
      <w:r>
        <w:t xml:space="preserve"> Science-based targets (SBTs) are increasingly proposed to align raw material use with environmental and societal goals, yet no consensus exists on what constitutes sustainable levels of material use. This paper reviews the scientific literature on material-use targets (2000–2025) and combines it with a dedicated review of resource-use and circular-economy targets in European policy documents. Three main approaches to setting material targets are identified: retrospective boundaries based on historically “safe” extraction levels; materials availability focusing on the accessibility and availability of resources; and impact-based approaches that derive targets from planetary boundaries or from the material requirements of sustainability scenarios. Impact-based approaches have become most prominent, supported by advances in scenario analysis, while retrospective boundaries remain influential in policy debates. The European policy inventory reveals widespread but highly heterogeneous material and wider resource targets. Most targets are strategic and non-binding, centered on economy-wide indicators (e.g., material footprints or circular use rates), with fewer sectoral or sub-national targets and substantial variation in baselines, reference years, and accounting perspectives. We find that the scientific basis behind these targets is often not clearly articulated. We argue that SBTs</w:t>
      </w:r>
    </w:p>
    <w:p>
      <w:pPr/>
      <w:r>
        <w:rPr>
          <w:b/>
        </w:rPr>
        <w:t>POSSIBLE 2026:</w:t>
      </w:r>
      <w:r>
        <w:t xml:space="preserve"> Leisure-time physical activity motives and gains for individuals with spinal cord injury: A qualitative study — https://doi.org/10.1016/j.ssaho.2026.103380</w:t>
      </w:r>
    </w:p>
    <w:p>
      <w:pPr/>
      <w:r>
        <w:rPr>
          <w:b/>
        </w:rPr>
        <w:t>Shared claim-specific concepts:</w:t>
      </w:r>
      <w:r>
        <w:t xml:space="preserve"> motives, them, three; EU scope not established. This is a provisional connection, not an outcome finding.</w:t>
      </w:r>
    </w:p>
    <w:p>
      <w:pPr>
        <w:pStyle w:val="SourceNote"/>
      </w:pPr>
      <w:r>
        <w:rPr>
          <w:b/>
        </w:rPr>
        <w:t>Available abstract (not full text):</w:t>
      </w:r>
      <w:r>
        <w:t xml:space="preserve"> Objective To explore the motives for, and perceived gains from, leisure-time physical activity (LTPA) participation in people with spinal cord injury (SCI). Methods This qualitative study consisted of six focus groups, each comprising six individuals. We used a phenomenological theoretical approach to describe the experiences of those living with an SCI when engaging in LTPA. Purposive participant selection was used to ensure participants were proportionately represented from the broader Australian population with an SCI. Data was analysed using Reflexive Thematic Analysis. Results A total of nine themes were identified in the analysis. Four themes pertained to motives, three to perceived gains, and two to both motives and perceived gains. Whilst health promotion and prevention of injury and illness were frequently reported as both motives for and gains from LTPA, other psychosocial aspects had a significant influence over LTPA behaviour for people with SCI. These included positive, preventive physical changes, a sense of autonomy and reduced burden on those around them, rebuilding identity, and a sense of belonging and inclusion. Conclusions The motives for, and perceived gains of, participation in LTPA among people with SCI encompassed multiple physical and psychosocial health domains, extending beyond the commonly assumed physical health improvements. Service providers shoul</w:t>
      </w:r>
    </w:p>
    <w:p>
      <w:pPr/>
      <w:r>
        <w:rPr>
          <w:b/>
        </w:rPr>
        <w:t>POSSIBLE 2026:</w:t>
      </w:r>
      <w:r>
        <w:t xml:space="preserve"> Ambient air quality assessment in the Kremenchuk Territorial Community based on the environmental risk concept — https://doi.org/10.63341/esbur/1.2026.101</w:t>
      </w:r>
    </w:p>
    <w:p>
      <w:pPr/>
      <w:r>
        <w:rPr>
          <w:b/>
        </w:rPr>
        <w:t>Shared claim-specific concepts:</w:t>
      </w:r>
      <w:r>
        <w:t xml:space="preserve"> based, environmental, territorial; EU scope not established. This is a provisional connection, not an outcome finding.</w:t>
      </w:r>
    </w:p>
    <w:p>
      <w:pPr>
        <w:pStyle w:val="SourceNote"/>
      </w:pPr>
      <w:r>
        <w:rPr>
          <w:b/>
        </w:rPr>
        <w:t>Available abstract (not full text):</w:t>
      </w:r>
      <w:r>
        <w:t xml:space="preserve"> Under conditions of urban transformation and increasing anthropogenic pressure, the assessment of ambient air quality and associated environmental risks is becoming increasingly important. A significant role in the formation of environmental hazards is played by short-term peaks in pollutant concentrations, which are often not taken into account by conventional monitoring methods. The aim of this study was to substantiate an approach to the operational assessment of environmental hazard states of ambient air at the territorial community level, taking into account natural and anthropogenic factors. The study employed methods of logical analysis of scientific research findings, system analysis of factors influencing air quality formation, elements of mathematical modelling of pollutant dispersion processes, and a risk-oriented approach to assessing the impact of pollution on the population. The concept of natural-anthropogenic fluctuations in ambient air quality within a territorial community was substantiated, taking into account natural factors, emergency and war-related events, and anthropogenic hazard sources. An Increased Environmental Risk Index (IER) was introduced as an analytical indicator for assessing the short-term effects of air pollution on public health. An integrated model for environmental assessment was proposed, combining mathematical modelling (Gaussian, jet, </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pStyle w:val="Heading2"/>
      </w:pPr>
      <w:r>
        <w:t>515.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516.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517.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518.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519.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show, least-cost, countries, energy, less, system;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Modelling land use transition through social learning — https://openalex.org/W7158432336</w:t>
      </w:r>
    </w:p>
    <w:p>
      <w:pPr/>
      <w:r>
        <w:rPr>
          <w:b/>
        </w:rPr>
        <w:t>Shared claim-specific concepts:</w:t>
      </w:r>
      <w:r>
        <w:t xml:space="preserve"> show, land, both, less; EU scope not established. This is a provisional connection, not an outcome finding.</w:t>
      </w:r>
    </w:p>
    <w:p>
      <w:pPr>
        <w:pStyle w:val="SourceNote"/>
      </w:pPr>
      <w:r>
        <w:rPr>
          <w:b/>
        </w:rPr>
        <w:t>Available abstract (not full text):</w:t>
      </w:r>
      <w:r>
        <w:t xml:space="preserve"> Land use transition toward multifunctional practices is greatly affected by social learning, yet the temporal interaction between learning mechanisms and network structure remains underexplored. This study examines two social learning channels, information exchange and normative pressure, and how network architecture shapes their effects on transition outcomes. We developed SALT (Social learning in Agent-based Land use Transitions), a spatially explicit model that integrates the Consumat framework and reinforcement learning. The model is parameterized using a Swedish forestry context, simulating landowner adaptive decisions under integrated and modular social networks. Results show that the two channels play distinct roles across transition phases. Lack of knowledge limits adoption in early adoption. Individual experience is the main source of knowledge accumulation, and social learning alone cannot close the knowledge gap. As adoption spreads, normative pressure constrains implementation intensity to the prevailing local average, explaining the gap between behavioral and actual landscape changes. Network architecture shapes both channels. Integrated networks widen information exchange and allow alternative-use norms to strengthen over time, while modular networks restrict information circulation and lock in low-implementation local norms. Landscape change organizes along socia</w:t>
      </w:r>
    </w:p>
    <w:p>
      <w:pPr/>
      <w:r>
        <w:rPr>
          <w:b/>
        </w:rPr>
        <w:t>POSSIBLE 2026:</w:t>
      </w:r>
      <w:r>
        <w:t xml:space="preserve"> Interannual weather variability reshapes Europe’s cost-optimal hydrogen supply strategy — https://doi.org/10.1016/j.crsus.2026.100836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design of the future European energy system depends heavily on how Europe balances its domestic hydrogen production against its reliance on imports. This study reveals that neither extreme—full self-sufficiency nor complete reliance on imports—is economically optimal through 2050. Using a high-resolution energy system model accounting for interannual weather variability, we find import cost thresholds favoring green domestic production decrease from €90/MWh (2030) to €75/MWh (2050). However, weather can shift the optimal import share by up to 60% points at constant prices. Strategies with a high import share minimize the need for domestic renewable energy and electrolyzers but require significant investment in long-distance transportation, backup electricity capacity, and storage. Conversely, achieving full self-sufficiency demands massive domestic infrastructure, including around 1,300 GW of electrolysis by 2050. These findings highlight the critical need for diversified hydrogen strategies that balance cost, system flexibility, and energy sovereignty.</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pStyle w:val="Heading2"/>
      </w:pPr>
      <w:r>
        <w:t>520.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521.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2026:</w:t>
      </w:r>
      <w:r>
        <w:t xml:space="preserve"> Foundations of Maritime Decarbonization — https://doi.org/10.58830/ozgur.pub1212</w:t>
      </w:r>
    </w:p>
    <w:p>
      <w:pPr/>
      <w:r>
        <w:rPr>
          <w:b/>
        </w:rPr>
        <w:t>Shared claim-specific concepts:</w:t>
      </w:r>
      <w:r>
        <w:t xml:space="preserve"> decarbonization, industry, current, technological;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Decarbonizing the Chemical Industry Through Sustainable Hydrogen Production Pathway — https://doi.org/10.1002/ceat.70329</w:t>
      </w:r>
    </w:p>
    <w:p>
      <w:pPr/>
      <w:r>
        <w:rPr>
          <w:b/>
        </w:rPr>
        <w:t>Shared claim-specific concepts:</w:t>
      </w:r>
      <w:r>
        <w:t xml:space="preserve"> industry, greenhouse, gas, emissions; EU scope not established. This is a provisional connection, not an outcome finding.</w:t>
      </w:r>
    </w:p>
    <w:p>
      <w:pPr>
        <w:pStyle w:val="SourceNote"/>
      </w:pPr>
      <w:r>
        <w:rPr>
          <w:b/>
        </w:rPr>
        <w:t>Available abstract (not full text):</w:t>
      </w:r>
      <w:r>
        <w:t xml:space="preserve"> ABSTRACT Hydrogen is key to decarbonizing the chemical industry. This study compares future hydrogen production scenarios for 2030 and 2045. Global warming potential from emerging technologies is quantified using prospective life cycle assessments. The Annuity Method is used to calculate the levelized cost of hydrogen. By 2030, electrolysis can reduce greenhouse gas emissions by over 50%, though costs rise drastically. By 2045, combining electrolysis with hydrogen derivatives may reduce emissions, but hydrogen costs remain high. Electricity and CO 2 emissions costs are major factors. Our findings indicate that a sustainable hydrogen production pathway for the chemical industry requires support from policymakers by adapting legislative frameworks and initiating global purchase agreements.</w:t>
      </w:r>
    </w:p>
    <w:p>
      <w:pPr/>
      <w:r>
        <w:rPr>
          <w:b/>
        </w:rPr>
        <w:t>POSSIBLE 2026:</w:t>
      </w:r>
      <w:r>
        <w:t xml:space="preserve"> Railway Intermittent Electrification: A Cost-Effective Strategy for Scalable Decarbonization — https://doi.org/10.1109/tte.2026.3716647</w:t>
      </w:r>
    </w:p>
    <w:p>
      <w:pPr/>
      <w:r>
        <w:rPr>
          <w:b/>
        </w:rPr>
        <w:t>Shared claim-specific concepts:</w:t>
      </w:r>
      <w:r>
        <w:t xml:space="preserve"> decarbonization, current, emissions; EU scope not established. This is a provisional connection, not an outcome finding.</w:t>
      </w:r>
    </w:p>
    <w:p>
      <w:pPr>
        <w:pStyle w:val="SourceNote"/>
      </w:pPr>
      <w:r>
        <w:rPr>
          <w:b/>
        </w:rPr>
        <w:t>Available abstract (not full text):</w:t>
      </w:r>
      <w:r>
        <w:t xml:space="preserve"> Decarbonization is the primary objective of current railway development in the United Kingdom, and continuous electrification has long been the predominant approach adopted to achieve this goal. However, the large-scale deployment of continuous electrification is severely hindered by high capital investment, lengthy construction periods, and the extensive scope of infrastructure upgrades. To address these challenges, this study develops a bi-level optimization framework for station-centric intermittent electrification, in which only short track segments before and after selected stations are electrified, enabling Battery Electric Multiple Units (BEMU) to draw power and charge their batteries at selected station-area electrified sections to support operation over the full route. In the upper level, the locations and configuration parameters of electrified stations are optimized to minimize the cost of intermittent electrification. At the lower level, BEMU battery capacity and charging control strategies are optimized to minimize operational cost. A case study is conducted based on the route from Cardiff to Nottingham. The results verify that the proposed strategy can reduce initial investment cost by 87.3% and decrease carbon emissions from route upgrade activities by 97.6% compared with continuous electrification, while reliably satisfying operational requirements. Overall, the</w:t>
      </w:r>
    </w:p>
    <w:p>
      <w:pPr/>
      <w:r>
        <w:rPr>
          <w:b/>
        </w:rPr>
        <w:t>POSSIBLE 2026:</w:t>
      </w:r>
      <w:r>
        <w:t xml:space="preserve"> HOW CAN INNOVATION ECOSYSTEMS ACCELERATE DECARBONIZATION AND GREEN GROWTH? — https://doi.org/10.2478/eoik-2026-0008</w:t>
      </w:r>
    </w:p>
    <w:p>
      <w:pPr/>
      <w:r>
        <w:rPr>
          <w:b/>
        </w:rPr>
        <w:t>Shared claim-specific concepts:</w:t>
      </w:r>
      <w:r>
        <w:t xml:space="preserve"> decarbonization, greenhouse, gas, emissions, economy, developed; EU scope visible. This is a provisional connection, not an outcome finding.</w:t>
      </w:r>
    </w:p>
    <w:p>
      <w:pPr>
        <w:pStyle w:val="SourceNote"/>
      </w:pPr>
      <w:r>
        <w:rPr>
          <w:b/>
        </w:rPr>
        <w:t>Available abstract (not full text):</w:t>
      </w:r>
      <w:r>
        <w:t xml:space="preserve"> Abstract Eco-innovation, as a new business approach that promotes sustainability throughout the product life cycle, is shaping the green transition and the pace of growth. Green growth and decarbonization are strategic imperatives aiming for a high-income economy. To achieve long-term goals, it is necessary to establish a stimulating innovation ecosystem, supported by a developed infrastructure, which can accelerate decarbonization and green growth. European Union countries have made significant progress in shaping the eco-innovation environment, measured by the Eco-innovation Index, which can be a landmark for the countries of the Western Balkans. In this regard, the focus of the paper is on the analysis of the situation in the countries of the Western Balkans. Decisions taken today influence the Western Balkan ability to meet decarbonization and green growth. The authors investigate how far the Western Balkan countries are along the road to decarbonization, and what remains to be done in the innovation ecosystem in the strategic framework and policy recommendations. The paper will investigate whether Western Balkan countries that have more developed innovation ecosystem measured by the AI Preparedness Index (AIPI) published by International Monetary Fund, achieve greater Green Growth and lower Global Greenhouse Gas (GHG) total emissions and GHG per GDP emissions. The results </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decarbonization, emissions, further, developed;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pStyle w:val="Heading2"/>
      </w:pPr>
      <w:r>
        <w:t>522.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523.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524.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525.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526.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527. Could domestic soybean production avoid Europe’s protein imports in 2050?</w:t>
      </w:r>
    </w:p>
    <w:p>
      <w:pPr>
        <w:pStyle w:val="SourceNote"/>
      </w:pPr>
      <w:r>
        <w:rPr>
          <w:b/>
        </w:rPr>
        <w:t>Original source (2022):</w:t>
      </w:r>
      <w:r>
        <w:t xml:space="preserve"> https://doi.org/10.1051/ocl/2022031</w:t>
      </w:r>
    </w:p>
    <w:p>
      <w:pPr/>
      <w:r>
        <w:t>Original wording (abstract; indexed_source_text_not_full_document_verified): INRAE (France), 159 p + Annexes) concluded that, in some parts of Europe (defined here as the European Union-27 plus other Balkan countries, Switzerland, Norway and the United Kingdom), cropland requirements in 2050 may be lower than “2010” cropland areas given possible changes in European food demand (related to glooming demographic growth and under the assumption of healthy diets) and in crop yields (influenced by technological developments and climate change). In this study, we examine to what extent this “cropland surplus” could be used to increase soybean production in Europe and reduce the dependency ratio on protein imports.</w:t>
      </w:r>
    </w:p>
    <w:p>
      <w:pPr/>
      <w:r>
        <w:rPr>
          <w:b/>
        </w:rPr>
        <w:t>POSSIBLE 2026:</w:t>
      </w:r>
      <w:r>
        <w:t xml:space="preserve"> Review of the French Agency for Food, Environmental and Occupational Health &amp; Safety (ANSES) on Ten years of phytopharmacovigilance in France: Review of the only organisation of its kind in Europe for post‐MA vigilance of plant protection products — https://doi.org/10.2903/fr.efsa.2026.fr-0094</w:t>
      </w:r>
    </w:p>
    <w:p>
      <w:pPr/>
      <w:r>
        <w:rPr>
          <w:b/>
        </w:rPr>
        <w:t>Shared claim-specific concepts:</w:t>
      </w:r>
      <w:r>
        <w:t xml:space="preserve"> france, other, given, food; EU scope visible. This is a provisional connection, not an outcome finding.</w:t>
      </w:r>
    </w:p>
    <w:p>
      <w:pPr>
        <w:pStyle w:val="SourceNote"/>
      </w:pPr>
      <w:r>
        <w:rPr>
          <w:b/>
        </w:rPr>
        <w:t>Available abstract (not full text):</w:t>
      </w:r>
      <w:r>
        <w:t xml:space="preserve"> Abstract Phytopharmacovigilance consists in identifying signals of adverse effects on human, animal and plant populations and the environment associated with the use of plant protection products, and reporting them to the various bodies responsible for assessing and managing risks. To do this, the PPV scheme collects and analyses data, and classifies the nature of the signals accordingly. These data come from the network of phytopharmacovigilance partners and the literature monitoring conducted by ANSES, which mainly focuses on research into chronic health effects. The PPV scheme also receives reports directly from professionals and private individuals. On several occasions, signals of adverse effects assessed by phytopharmacovigilance have led ANSES to amend the conditions for use in marketing authorisations (MAs), or even to withdraw the MAs, in application of Article 44 of European Regulation (EC) No 1107/2009. Phytopharmacovigilance produces summaries of the surveillance and vigilance data available for active substances, in particular when their MAs are periodically re‐examined and in addition to the a priori assessments updated in this context. These summaries can help highlight any specific problematic situations that were not identified through the representative uses predefined at European level for conducting European re‐assessments of active substances. Phytopharmaco</w:t>
      </w:r>
    </w:p>
    <w:p>
      <w:pPr/>
      <w:r>
        <w:rPr>
          <w:b/>
        </w:rPr>
        <w:t>POSSIBLE 2026:</w:t>
      </w:r>
      <w:r>
        <w:t xml:space="preserve"> Research on pastoralism in France: state of knowledge and current issues — https://doi.org/10.1051/cagri/2025040</w:t>
      </w:r>
    </w:p>
    <w:p>
      <w:pPr/>
      <w:r>
        <w:rPr>
          <w:b/>
        </w:rPr>
        <w:t>Shared claim-specific concepts:</w:t>
      </w:r>
      <w:r>
        <w:t xml:space="preserve"> france, parts, other, areas; EU scope visible. This is a provisional connection, not an outcome finding.</w:t>
      </w:r>
    </w:p>
    <w:p>
      <w:pPr>
        <w:pStyle w:val="SourceNote"/>
      </w:pPr>
      <w:r>
        <w:rPr>
          <w:b/>
        </w:rPr>
        <w:t>Available abstract (not full text):</w:t>
      </w:r>
      <w:r>
        <w:t xml:space="preserve"> This article provides an overview of the current state of knowledge on pastoral systems and territories in France, focusing on the key issues that affect them. It provides a comprehensive analysis of the factors contributing to the decline of pastoralism in a context of intensified production and herd expansion, adaptation to climate change and market fluctuations, and the return of wild predators. Five priority areas for research are identified: animal selection and breeding in pastoral environments; pastoralism as a specific agroecological model, with its strengths and weaknesses; multi‐stakeholder pastoral territories, as spaces for confrontation and development of collective projects; pastoralism occupations and their attractiveness; and data derived from methods for monitoring changes in vegetation, biodiversity, and livestock systems. While not identical, many of these issues are notably similar to those in pastoral contexts in other parts of the world, particularly West Africa.</w:t>
      </w:r>
    </w:p>
    <w:p>
      <w:pPr/>
      <w:r>
        <w:rPr>
          <w:b/>
        </w:rPr>
        <w:t>POSSIBLE 2025:</w:t>
      </w:r>
      <w:r>
        <w:t xml:space="preserve"> Regional nature parks in France as agents of regional sustainability transformation — https://doi.org/10.1007/s43621-025-01603-0</w:t>
      </w:r>
    </w:p>
    <w:p>
      <w:pPr/>
      <w:r>
        <w:rPr>
          <w:b/>
        </w:rPr>
        <w:t>Shared claim-specific concepts:</w:t>
      </w:r>
      <w:r>
        <w:t xml:space="preserve"> france, parts, other, requirements, areas, possible; EU scope visible. This is a provisional connection, not an outcome finding.</w:t>
      </w:r>
    </w:p>
    <w:p>
      <w:pPr>
        <w:pStyle w:val="SourceNote"/>
      </w:pPr>
      <w:r>
        <w:rPr>
          <w:b/>
        </w:rPr>
        <w:t>Available abstract (not full text):</w:t>
      </w:r>
      <w:r>
        <w:t xml:space="preserve"> In addition to the conservation and enhancement of biodiversity, settled protected areas serve other missions depending on their respective national and international requirements. The generic term ‘sustainable development’ has been established to encompass these additional tasks and protected areas should contribute to sustainable development. Despite many years of efforts, it is not foreseeable that the biodiversity goals and nature and environmental protection goals can be achieved. A new paradigm is emerging: some stakeholders consider social transformation to be unavoidable in achieving goals. This raises the question of whether and under what conditions protected areas can become agents of change. The goal of this study is to gain knowledge in this regard and thus contribute to the discussion on the transformative potential of protected areas. To address this overarching issue, regional nature parks in France—hereafter abbreviated as PNRs for Parcs naturels régionaux —were selected as the research objects. PNRs have a long history with sustainable development and are influential stakeholders in promoting societal change in their territories. Following a systematic literature and document search on the PNR and based on transformation theory, the relevant texts were analysed using a comprehensive qualitative content analysis. A structured portrait was drawn up for each PNR,</w:t>
      </w:r>
    </w:p>
    <w:p>
      <w:pPr/>
      <w:r>
        <w:rPr>
          <w:b/>
        </w:rPr>
        <w:t>POSSIBLE 2024:</w:t>
      </w:r>
      <w:r>
        <w:t xml:space="preserve"> Evaluation of two indicators according to the objectives of the sustainable use of pesticides directive (SUD). A French case study. — https://doi.org/10.31220/agrirxiv.2024.00248</w:t>
      </w:r>
    </w:p>
    <w:p>
      <w:pPr/>
      <w:r>
        <w:rPr>
          <w:b/>
        </w:rPr>
        <w:t>Shared claim-specific concepts:</w:t>
      </w:r>
      <w:r>
        <w:t xml:space="preserve"> france, other, possible; EU scope visible. This is a provisional connection, not an outcome finding.</w:t>
      </w:r>
    </w:p>
    <w:p>
      <w:pPr>
        <w:pStyle w:val="SourceNote"/>
      </w:pPr>
      <w:r>
        <w:rPr>
          <w:b/>
        </w:rPr>
        <w:t>Available abstract (not full text):</w:t>
      </w:r>
      <w:r>
        <w:t xml:space="preserve"> The European agricultural protests of 2023/2024 have prompted a reassessment of public policies at the EU level with the SUR put on a stand still. In France, in early 2024, the government replaced the historical monitoring indicator "NoDU'' with the European Harmonized Risk Indicator HRI1 to monitor the progress in the use of Plant Protection Products (PPP) in its National Action Plan (NAP). This study aimed to assess the relevance of these two indicators regarding the objectives outlined in the Sustainable Use of pesticides Directive (“SUD”) that defines the framework within which they operate. To this effect, we analyzed the PPPs they consider, the official calculation formulas, but also their past evolution and possible future evolutions through putative scenarios of changes in PPP use and regulation: ban or not; substitution or not; for the top 5 synthetic insecticides; all synthetic insecticides; glyphosate; mancozeb; and the top five active ingredients from HRI1 risk group 3 (candidates for substitution). French PPP sales data from 2011 to 2021 were used for past evolutions and we used the last available figures in France, 2021, for simulations.Designed to monitor the use of PPPs by farmers, the NoDU mostly monitors achievement with regards to one aim of the SUD: to "reduce dependency on the use of pesticides" and promote "the use of Integrated Pest Management". Its value</w:t>
      </w:r>
    </w:p>
    <w:p>
      <w:pPr/>
      <w:r>
        <w:rPr>
          <w:b/>
        </w:rPr>
        <w:t>POSSIBLE 2023:</w:t>
      </w:r>
      <w:r>
        <w:t xml:space="preserve"> Adipokines expression in reproductive tract, egg white and embryonic annexes in hen — https://doi.org/10.1016/j.psj.2023.102908</w:t>
      </w:r>
    </w:p>
    <w:p>
      <w:pPr/>
      <w:r>
        <w:rPr>
          <w:b/>
        </w:rPr>
        <w:t>Shared claim-specific concepts:</w:t>
      </w:r>
      <w:r>
        <w:t xml:space="preserve"> annexes, here, other; EU scope not established. This is a provisional connection, not an outcome finding.</w:t>
      </w:r>
    </w:p>
    <w:p>
      <w:pPr>
        <w:pStyle w:val="SourceNote"/>
      </w:pPr>
      <w:r>
        <w:rPr>
          <w:b/>
        </w:rPr>
        <w:t>Available abstract (not full text):</w:t>
      </w:r>
      <w:r>
        <w:t xml:space="preserve"> In mammals, molecules mainly secreted by white adipose tissue named adipokines are also synthetized locally in the reproductive tract and are able to influence reproductive functions. In avian species, previous studies indicated that the adipokine chemerin is highly abundant in the albumen, compared to the yolk and this was associated to high chemerin expression in the magnum. In addition, the authors observed that chemerin and its receptors are expressed by allantoic and amniotic membranes and chemerin is present in fluids during the embryo development. Here, we studied other adipokines, including adiponectin, visfatin, apelin, and adipolin in egg white and their known receptors in the active (egg-laying hen) and regressed (hen not laying) oviduct and embryonic annexes during embryo development. By using Western blot, RT-qPCR analysis and immunohistochemistry, we demonstrated the expression of different adipokines in the egg albumen (visfatin) and the reproductive tract (adiponectin, visfatin, apelin, adipolin, and their cognate receptors) according the position of egg in the oviduct. We showed that the expression of adipokines and adipokines receptors was strongly reduced in the regressed oviducts (arrested laying hen). Results indicated that visfatin and adiponectin appeared at ED11 to 14 and increased until ED18 in amniotic fluid whereas it was found from ED7 and was unchan</w:t>
      </w:r>
    </w:p>
    <w:p>
      <w:pPr/>
      <w:r>
        <w:rPr>
          <w:b/>
        </w:rPr>
        <w:t>POSSIBLE 2023:</w:t>
      </w:r>
      <w:r>
        <w:t xml:space="preserve"> School Meals Case Study: France — https://doi.org/10.17037/pubs.04671091</w:t>
      </w:r>
    </w:p>
    <w:p>
      <w:pPr/>
      <w:r>
        <w:rPr>
          <w:b/>
        </w:rPr>
        <w:t>Shared claim-specific concepts:</w:t>
      </w:r>
      <w:r>
        <w:t xml:space="preserve"> inrae, france, food; EU scope visible. This is a provisional connection, not an outcome finding.</w:t>
      </w:r>
    </w:p>
    <w:p>
      <w:pPr>
        <w:pStyle w:val="SourceNote"/>
      </w:pPr>
      <w:r>
        <w:rPr>
          <w:b/>
        </w:rPr>
        <w:t>Available abstract (not full text):</w:t>
      </w:r>
      <w:r>
        <w:t xml:space="preserve"> This school meals case study forms part of a collection led by the Research Consortium for School Health and Nutrition’s "Good Examples" Community of Practice. Developed by L’Institut Agro, OECD and INRAE, the School Meals Case Study of France serves to document how the national school meals programme is organized, funded, and monitored throughout the country. The objectives of this case study include presenting an introduction to the country profile, outlining the design and implementation of school feeding programmes, describing their monitoring and evaluation processes, and highlighting lessons learned, best practices, and challenges. This case study is written as a working paper, and can be updated to reflect evolving circumstances. The ‘Good Examples’ Community of Practice supports the evidence generation of the Research Consortium for School Health and Nutrition, the evidence-generating arm of the School Meals Coalition. The Research Consortium’s objective is to carry out independent research across diverse sectors and generate solid, compelling, and actionable evidence regarding the benefits of school food programs to inform evidence-based decision-making on school health and nutrition policies and practices.</w:t>
      </w:r>
    </w:p>
    <w:p>
      <w:pPr>
        <w:pStyle w:val="Heading2"/>
      </w:pPr>
      <w:r>
        <w:t>528.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2026:</w:t>
      </w:r>
      <w:r>
        <w:t xml:space="preserve"> Developing a general research framework for long COVID using causal modelling — https://doi.org/10.1038/s43856-026-01488-8</w:t>
      </w:r>
    </w:p>
    <w:p>
      <w:pPr/>
      <w:r>
        <w:rPr>
          <w:b/>
        </w:rPr>
        <w:t>Shared claim-specific concepts:</w:t>
      </w:r>
      <w:r>
        <w:t xml:space="preserve"> based, two, questions, causal; EU scope not established. This is a provisional connection, not an outcome finding.</w:t>
      </w:r>
    </w:p>
    <w:p>
      <w:pPr>
        <w:pStyle w:val="SourceNote"/>
      </w:pPr>
      <w:r>
        <w:rPr>
          <w:b/>
        </w:rPr>
        <w:t>Available abstract (not full text):</w:t>
      </w:r>
      <w:r>
        <w:t xml:space="preserve"> Long COVID is an infection-associated chronic condition with uncertain evolution, leading to ambiguity in case definitions and various hypotheses about its pathophysiology. Despite this diversity, causal models may offer a unified understanding of post-acute COVID-19 mechanisms. This study aimed to examine whether dynamic Bayesian networks could facilitate inferences on long COVID. Using a causal engineering approach, we developed directed acyclic graphs and qualitatively parametrised them as Bayesian networks to depict the hypothesised mechanisms of long COVID in a theory-agnostic manner. Based on the literature and expert knowledge, we created a general modelling framework summarising biological pathways from mild or severe COVID-19 to the development of respiratory symptoms and fatigue over four key periods (t1 to t4). We used qualitative parametrisation for design and validation, and tested the framework against four scenarios: A) mild COVID-19 at t1 (start of acute infection); B) severe acute COVID-19 at t1; C) symptoms reported at t1 (acute COVID-19 disease); and D) symptoms reported at t1 and t3 (e.g., 3-to-6 months post-acute infection), indicating long COVID. Here we show that, in scenario A, the probability of progressing to severe disease and developing persistent organ dysfunction 1-to-2 years post-acute COVID-19 was lower than in scenario C. Those reporting symptom</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two, questions, yet;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The European Multidisciplinary Evidence‐Based Guideline on Pancreatic Cancer: Methodological Protocol — https://doi.org/10.1002/gin2.70074</w:t>
      </w:r>
    </w:p>
    <w:p>
      <w:pPr/>
      <w:r>
        <w:rPr>
          <w:b/>
        </w:rPr>
        <w:t>Shared claim-specific concepts:</w:t>
      </w:r>
      <w:r>
        <w:t xml:space="preserve"> based, questions, efforts; EU scope visible. This is a provisional connection, not an outcome finding.</w:t>
      </w:r>
    </w:p>
    <w:p>
      <w:pPr>
        <w:pStyle w:val="SourceNote"/>
      </w:pPr>
      <w:r>
        <w:rPr>
          <w:b/>
        </w:rPr>
        <w:t>Available abstract (not full text):</w:t>
      </w:r>
      <w:r>
        <w:t xml:space="preserve"> Background: Pancreatic cancer remains one of the most lethal cancers despite extensive efforts and research conducted over the past decades. To effectuate groundbreaking improvements in pancreatic cancer treatment, interdisciplinary and international collaboration is essential. Evidence-based guidelines, including state-of-the-art evidence and expert opinion, are crucial to guide medical specialists, researchers, and patients, especially on issues where consensus is still lacking. This article describes the methodological protocol for the development of the European Multidisciplinary Evidence-Based Guideline on Pancreatic Cancer. The guideline aims to identify current knowledge gaps on pancreatic cancer management, develop questions based on these knowledge gaps, and answer these questions with evidence-based recommendations supplemented, when evidence is lacking, with expert advice for treatment and future research. Methods: This guideline development protocol is developed according to the Grading of Recommendations Assessment, Development, and Evaluation (GRADE) methodology. The process is structured into six stages: First, 13 theme-based multidisciplinary working groups are established, comprising representatives from 30 European medical and patient societies. Second, these working groups identify the most relevant current knowledge gaps on pancreatic cancer within their the</w:t>
      </w:r>
    </w:p>
    <w:p>
      <w:pPr/>
      <w:r>
        <w:rPr>
          <w:b/>
        </w:rPr>
        <w:t>POSSIBLE 2026:</w:t>
      </w:r>
      <w:r>
        <w:t xml:space="preserve"> European Funds and sustainable development: mapping the research landscape and future directions — https://doi.org/10.53486/dri2026.52</w:t>
      </w:r>
    </w:p>
    <w:p>
      <w:pPr/>
      <w:r>
        <w:rPr>
          <w:b/>
        </w:rPr>
        <w:t>Shared claim-specific concepts:</w:t>
      </w:r>
      <w:r>
        <w:t xml:space="preserve"> based, become; EU scope visible. This is a provisional connection, not an outcome finding.</w:t>
      </w:r>
    </w:p>
    <w:p>
      <w:pPr>
        <w:pStyle w:val="SourceNote"/>
      </w:pPr>
      <w:r>
        <w:rPr>
          <w:b/>
        </w:rPr>
        <w:t>Available abstract (not full text):</w:t>
      </w:r>
      <w:r>
        <w:t xml:space="preserve"> In the broader context of European integration and regional convergence, European Structural and Investment Funds have become the main channels through which the European Union achieves balanced territorial development and, progressively, the transition to sustainability. Besides the impressive number of academic papers on these instruments, the structure of this field of research has been rarely mapped systematically. This paper aims to fill this gap by conducting a bibliometric study of the scientific literature based on the publications in the Web of Science Core Collection covering the period 1998-2026. The study finds that the field has experienced a major thematic reshuffle: whereas initially the focus was on the macroeconomic impact and regional convergence, the current scholarly works identify sustainable development as the most pivotal topic in the academic debate, thus signifying the increasing congruence between the EU funding instruments and the European Green Deal as well as the 2030 Agenda. The results also show that governance, management, and quality have become the main themes in the recent research, thereby indicating a move to the institutional and procedural aspects of fund implementation. Geographically, the research highlights a continuing imbalance in scientific output, mainly from beneficiary countries such as Romania and Poland. On the other hand, the a</w:t>
      </w:r>
    </w:p>
    <w:p>
      <w:pPr/>
      <w:r>
        <w:rPr>
          <w:b/>
        </w:rPr>
        <w:t>POSSIBLE 2026:</w:t>
      </w:r>
      <w:r>
        <w:t xml:space="preserve"> Key principles for planning and conducting clinical trials: the European Medicines Agency's vision for 2030 — https://doi.org/10.37489/2782-3784-myrwd-100</w:t>
      </w:r>
    </w:p>
    <w:p>
      <w:pPr/>
      <w:r>
        <w:rPr>
          <w:b/>
        </w:rPr>
        <w:t>Shared claim-specific concepts:</w:t>
      </w:r>
      <w:r>
        <w:t xml:space="preserve"> based, questions, become; EU scope visible. This is a provisional connection, not an outcome finding.</w:t>
      </w:r>
    </w:p>
    <w:p>
      <w:pPr>
        <w:pStyle w:val="SourceNote"/>
      </w:pPr>
      <w:r>
        <w:rPr>
          <w:b/>
        </w:rPr>
        <w:t>Available abstract (not full text):</w:t>
      </w:r>
      <w:r>
        <w:t xml:space="preserve"> Introduction . Every year, clinicians and researchers face a growing volume of scientific publications, necessitating a critical appraisal of the quality and validity of clinical data. On one hand, the pharmaceutical industry demands accelerated clinical trial timelines; on the other hand, it cannot accept reduced accuracy and reliability of the results. Striking a balance between speed and quality has become a key challenge in modern evidence-based medicine. Objective . Based on the European Medicines Agency (EMA) document “Clinical Evidence 2030”, to systematize and analyze six key principles that enable high-quality, methodologically rigorous and clinically relevant design and conduct of clinical trials. Main points . The article sequentially discusses the following principles: patient-centered trial design; leveraging existing data to identify knowledge gaps; clear formulation of research questions (including the use of the PICO framework); rational selection of data sources and methods (including real-world data and artificial intelligence); early alignment of approaches with all stakeholders; and ensuring transparency and openness as the foundation of public trust. Each principle is illustrated with practical examples and references to current methodological standards (CONSORT, ICH guidelines). Conclusion . Consistent application of the six principles improves the quality</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pStyle w:val="Heading2"/>
      </w:pPr>
      <w:r>
        <w:t>529.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530.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2026:</w:t>
      </w:r>
      <w:r>
        <w:t xml:space="preserve"> Priorities for change for autistic people across Europe — https://doi.org/10.1186/s13229-026-00706-3</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pStyle w:val="Heading2"/>
      </w:pPr>
      <w:r>
        <w:t>531.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2026:</w:t>
      </w:r>
      <w:r>
        <w:t xml:space="preserve"> Exploring national support mechanisms for European reference network centres — https://doi.org/10.1016/j.ejmg.2026.105099</w:t>
      </w:r>
    </w:p>
    <w:p>
      <w:pPr/>
      <w:r>
        <w:rPr>
          <w:b/>
        </w:rPr>
        <w:t>Shared claim-specific concepts:</w:t>
      </w:r>
      <w:r>
        <w:t xml:space="preserve"> work, domains, findings; EU scope visible. This is a provisional connection, not an outcome finding.</w:t>
      </w:r>
    </w:p>
    <w:p>
      <w:pPr>
        <w:pStyle w:val="SourceNote"/>
      </w:pPr>
      <w:r>
        <w:rPr>
          <w:b/>
        </w:rPr>
        <w:t>Available abstract (not full text):</w:t>
      </w:r>
      <w:r>
        <w:t xml:space="preserve"> Integrating European Reference Networks (ERNs) into national health systems is crucial for rare disease care but remains challenging due to inconsistent support structures across countries. This study used a 2024-2025 multi-stakeholder survey of ERN clinical centre leads, hospital administrators, and national health authorities (JARDIN Joint Action, Work Package 9) to evaluate national support for ERN centres across six domains: staffing, education, formal recognition, funding, quality assurance, and strategic planning. Survey results revealed inconsistent national legal frameworks for recognizing ERN centres, major staffing deficits, and limited dedicated funding for ERN activities. Strategic planning for rare disease networks was often lacking, and institutional support for ERN-related quality assurance and continuing education remained low. Notably, ERN membership was associated with increased educational activities for health professionals, but these initiatives often lacked sustainability due to insufficient protected time and resources. Overall, the findings highlight that embedding ERNs into national health systems will require formal recognition of ERN centres in policy, consistent funding, stronger institutional backing, and structured support mechanisms to address workforce and quality gaps, ensuring long-term sustainability of this collaborative rare disease network.</w:t>
      </w:r>
    </w:p>
    <w:p>
      <w:pPr/>
      <w:r>
        <w:rPr>
          <w:b/>
        </w:rPr>
        <w:t>POSSIBLE 2026:</w:t>
      </w:r>
      <w:r>
        <w:t xml:space="preserve"> Exploring the Utility of ChatGPT in Psychology: Applications in Domains of Education, Research, and Practice — https://doi.org/10.46328/ijte.5737</w:t>
      </w:r>
    </w:p>
    <w:p>
      <w:pPr/>
      <w:r>
        <w:rPr>
          <w:b/>
        </w:rPr>
        <w:t>Shared claim-specific concepts:</w:t>
      </w:r>
      <w:r>
        <w:t xml:space="preserve"> domains, policies, findings; EU scope not established. This is a provisional connection, not an outcome finding.</w:t>
      </w:r>
    </w:p>
    <w:p>
      <w:pPr>
        <w:pStyle w:val="SourceNote"/>
      </w:pPr>
      <w:r>
        <w:rPr>
          <w:b/>
        </w:rPr>
        <w:t>Available abstract (not full text):</w:t>
      </w:r>
      <w:r>
        <w:t xml:space="preserve"> The applications of ChatGPT in psychology show its promising potential in education, practice and research when the AI opportunities are discussed and concerns are addressed. This systematic review aims to examine the benefits and limitations in utility of ChatGPT in psychology, based on analysis of recent relevant literature in accordance with the PRISMA guidelines. Analyzed studies allowed for the following findings and conclusions: In psychological education ChatGPT has demonstrated impact by facilitating learning, creating interactive learning environments, supporting assignments, providing support for students in managing their emotional and mental health issues, sharing immediate feedback, and reducing the workload of educators. In the research field ChatGPT was effective in generating hypotheses, collecting and analyzing data, identifying relevant literature, and enhancing knowledge. In psychological practice the ChatGPT demonstrated its impact in increasing awareness of various psychological problems, delivering the opportunity to receive personalized experience and generating treatment strategies. However, we should be aware of the ethical concerns, potential misuse of ChatGPT, the accuracy of generated information, occasional inaccuracies in references, lack of contextual comprehension and low emotional sensitivity in ChatGPT generated responses. Moreover, to enhance </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pStyle w:val="Heading2"/>
      </w:pPr>
      <w:r>
        <w:t>532.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2026:</w:t>
      </w:r>
      <w:r>
        <w:t xml:space="preserve"> Impact of climate change on the epidemiology of tick-borne encephalitis in Europe – a narrative review — https://doi.org/10.26444/ms/237403</w:t>
      </w:r>
    </w:p>
    <w:p>
      <w:pPr/>
      <w:r>
        <w:rPr>
          <w:b/>
        </w:rPr>
        <w:t>Shared claim-specific concepts:</w:t>
      </w:r>
      <w:r>
        <w:t xml:space="preserve"> current, knowledge, predictive; EU scope visible. This is a provisional connection, not an outcome finding.</w:t>
      </w:r>
    </w:p>
    <w:p>
      <w:pPr>
        <w:pStyle w:val="SourceNote"/>
      </w:pPr>
      <w:r>
        <w:rPr>
          <w:b/>
        </w:rPr>
        <w:t>Available abstract (not full text):</w:t>
      </w:r>
      <w:r>
        <w:t xml:space="preserve"> Introduction and Objective.Tick-borne encephalitis (TBE) is an important viral infection caused by Flavivirus, primarily transmitted by Ixodes ricinus ticks.Its incidence and geographic range are increasing across Europe.The aim of the review is to assess currently available evidence on the dynamics of climate change and TBE epidemiology, following a One Health perspective that considers vectors, hosts, environment, and human behaviour.Particular attention is paid to the situation in Poland.Brief description of the state of knowledge.Rising temperatures are prolonging cumulative growing degree days (GDD), leading to acceleration of tick development and extension of questing seasons.Milder winters reduce tick mortality during diapause, while saturation deficit mediates regional desiccation risk.The most crucial mechanism for amplification is non-viremic co-feeding transmission.This process explains how infected nymphs transmit TBEV locally to larvae on the same host.It is also sensitive to temperaturedriven synchrony between tick life stages.Taken together, these factors have led to expansion of Ixodes Ricinus to higher latitudes and altitudes, as well as introducing new endemic foci.The national incidence in Poland has risen from 265 cases in 2019 to 805 in 2024, while the vaccination rate remains at a low level.Use of machine learning-based risk models that help identifying em</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pStyle w:val="Heading2"/>
      </w:pPr>
      <w:r>
        <w:t>533.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2025:</w:t>
      </w:r>
      <w:r>
        <w:t xml:space="preserve"> The Poverty of the World: Rediscovering the Poor at Home and Abroad, 1941–1968 by Sheyda F. A. Jahanbani — https://doi.org/10.1162/jinh_r_02081</w:t>
      </w:r>
    </w:p>
    <w:p>
      <w:pPr/>
      <w:r>
        <w:rPr>
          <w:b/>
        </w:rPr>
        <w:t>Shared claim-specific concepts:</w:t>
      </w:r>
      <w:r>
        <w:t xml:space="preserve"> incisive, fundamental, bring; EU scope not established. This is a provisional connection, not an outcome finding.</w:t>
      </w:r>
    </w:p>
    <w:p>
      <w:pPr>
        <w:pStyle w:val="SourceNote"/>
      </w:pPr>
      <w:r>
        <w:rPr>
          <w:b/>
        </w:rPr>
        <w:t>Available abstract (not full text):</w:t>
      </w:r>
      <w:r>
        <w:t xml:space="preserve"> This is an original and seminal work that explores the intellectual origins and strategies of what the author refers to as America’s “global war on poverty” (3). In it, the author posits that liberal intellectuals in postwar America argued that American wealth and power could be used as a way to combat poverty throughout the globe. Thus, Jahanbani’s book links recent scholarship on America’s war on poverty to works exploring the American empire in the postwar years.Jahanbani structures her book around the writings and careers of key liberal thinkers who contributed fundamental ideas to the foundation of the global war on poverty—John Collier, Oscar Lewis, John Kenneth Galbraith, Michael Harrington, and Sargent Shriver. Their ideas, in her narrative, formed what eventually became America’s global war on poverty.Focus on these liberal intellectuals is not new. For decades, scholars have noted the influence of such ideas and writings on the origins of President Johnson’s war on poverty. What sets Jahanbani’s discussion of these men and their ideas apart, though, is her argument that they were focused not on poverty in America, but poverty in the world. And, concomitantly, she notes that these intellectuals believed that America, as the preeminent postwar power, had the duty and responsibility to share its wealth and resources to address poverty outside of the United States. Key to</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2024:</w:t>
      </w:r>
      <w:r>
        <w:t xml:space="preserve"> ETHICAL IMPLICATIONS &amp; ISSUES IN HIGHER EDUCATION - A MULTIDISCIPLINARY APPROACH — https://doi.org/10.52458/9788197762055.nsp.2024.eb</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Higher education is at a critical juncture in an era characterized by rapid technological advancements, globalization, and evolving societal expectations. Universities and colleges are responsible for not only educating students and developing their knowledge and skills, but also for cultivating their ethical sensibilities in order to prepare them to become the leaders and professionals of the future. The objective of this book, "Ethical Implications &amp; Issues in Higher Education: A Multidisciplinary Approach," is to investigate the intricate and multifaceted ethical challenges that are currently prevalent in higher education. A confluence of diverse factors—technological integration, cultural pluralism, financial constraints, and policy reforms—is progressively influencing the landscape of higher education. As these intricacies are navigated by institutions, ethical considerations become increasingly important. Critical attention is required to address matters such as academic integrity, inclusivity, equitable access to education, data privacy, and the commercialization of education. This book unites a diverse array of viewpoints from academicians, practitioners, and thought leaders from a variety of fields, each of which contributes to a more profound comprehension of the ethical dimensions of higher education. This multidisciplinary approach is not merely an academic exercise</w:t>
      </w:r>
    </w:p>
    <w:p>
      <w:pPr/>
      <w:r>
        <w:rPr>
          <w:b/>
        </w:rPr>
        <w:t>POSSIBLE 2024:</w:t>
      </w:r>
      <w:r>
        <w:t xml:space="preserve"> Unpacking “Social Vulnerability” and “Equity”: Critical Insights From Stormwater Climate Adaptation Research in the US Gulf Coast — https://doi.org/10.1029/2023csj000068</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Abstract This paper assesses how the concepts of social vulnerability and equity are discursively constructed in co‐production research settings with a co‐created decision support tool. The data was collected during workshops (32 communities represented) and interviews (24 communities represented) with stormwater managers and stakeholders (SMS) working in small cities, counties/parishes, and villages and towns within 100 miles of the US Gulf Coast. Findings from participant observation of workshops show that SMS express similar viewpoints regarding indicators of social vulnerability to climate‐related hazards, often defining vulnerable people as less physically mobile or as having few monetary resources. Individuals articulated “community” through a lens of homeownership and often described their relationship to residents as strained. Findings from interviews reveal divergent viewpoints on the imperative and rationale for integrating social vulnerability data into stormwater assessments and planning. Interviews also generated more critical reflection than was present in workshops regarding racial disparities in flood hazard exposure. A key insight from this article is that tools and team composition matter but there is nuance in the degree to which they matter considering a range of contextual factors. The article argues that co‐production teams must plan for alternatives and 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pStyle w:val="Heading2"/>
      </w:pPr>
      <w:r>
        <w:t>534.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2026:</w:t>
      </w:r>
      <w:r>
        <w:t xml:space="preserve"> India &amp; G-20: The organisation for global north-south consensus — https://doi.org/10.33545/26646021.2026.v8.i3b.949</w:t>
      </w:r>
    </w:p>
    <w:p>
      <w:pPr/>
      <w:r>
        <w:rPr>
          <w:b/>
        </w:rPr>
        <w:t>Shared claim-specific concepts:</w:t>
      </w:r>
      <w:r>
        <w:t xml:space="preserve"> consensus, many; EU scope not established. This is a provisional connection, not an outcome finding.</w:t>
      </w:r>
    </w:p>
    <w:p>
      <w:pPr>
        <w:pStyle w:val="SourceNote"/>
      </w:pPr>
      <w:r>
        <w:rPr>
          <w:b/>
        </w:rPr>
        <w:t>Available abstract (not full text):</w:t>
      </w:r>
      <w:r>
        <w:t xml:space="preserve"> The Washington Consensus, formulated by economist John Williamson in 1989, was designed to revive and strengthen the economies of many developing countries. But in 1997-98, the Asian Financial Crisis cast doubt on policies primarily designed to address it. This study will examine why and how the creation of the G-20 deeply impacted the global economy, and later, it became one of the pivotal economic arrangements shaping and addressing the economic, social, and political aspirations of the Global South &amp; Global North.</w:t>
      </w:r>
    </w:p>
    <w:p>
      <w:pPr>
        <w:pStyle w:val="Heading2"/>
      </w:pPr>
      <w:r>
        <w:t>535.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536.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2026:</w:t>
      </w:r>
      <w:r>
        <w:t xml:space="preserve"> Application of BIM in the Refined Management of Prefabricated Building Design Phase — https://doi.org/10.54097/v4031382</w:t>
      </w:r>
    </w:p>
    <w:p>
      <w:pPr/>
      <w:r>
        <w:rPr>
          <w:b/>
        </w:rPr>
        <w:t>Shared claim-specific concepts:</w:t>
      </w:r>
      <w:r>
        <w:t xml:space="preserve"> building, phase, case; EU scope not established. This is a provisional connection, not an outcome finding.</w:t>
      </w:r>
    </w:p>
    <w:p>
      <w:pPr>
        <w:pStyle w:val="SourceNote"/>
      </w:pPr>
      <w:r>
        <w:rPr>
          <w:b/>
        </w:rPr>
        <w:t>Available abstract (not full text):</w:t>
      </w:r>
      <w:r>
        <w:t xml:space="preserve"> This thesis will explore the application mechanism of BIM technology in the design phase of prefabricated buildings, focusing on the construction of standardized prefabricated component libraries, efficient multidisciplinary collaborative design, intelligent clash detection, professional detailed design and accurate engineering quantity calculation. By integrating theoretical analysis with typical engineering case studies, this paper analyzes the core advantages of BIM applied in prefabricated building design, including shortened project cycles, enhanced design refinement and remarkable cost reduction. The research demonstrates that compared with conventional design modes, BIM can effectively address major pain points in prefabricated building design. It provides reliable technical support for improving design efficiency and engineering quality, and presents great potential for accelerating the sustainable and standardized development of prefabricated architecture in China’s construction industry.</w:t>
      </w:r>
    </w:p>
    <w:p>
      <w:pPr/>
      <w:r>
        <w:rPr>
          <w:b/>
        </w:rPr>
        <w:t>POSSIBLE 2026:</w:t>
      </w:r>
      <w:r>
        <w:t xml:space="preserve"> Technical Factor Analysis that Impacts Building Maintenance in the Retention Phase — https://doi.org/10.53623/csue.v6i1.947</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Building maintenance during the retention phase (Defects Liability Period) was a critical stage in construction projects because defects frequently emerged after handover and could cause delays, cost overruns, and disputes between owners and contractors. In Indonesia, although a retention fund mechanism was applied, maintenance performance during this phase often remained suboptimal. This study aimed to identify and quantify the influence of technical factors on building maintenance success in high-rise projects during the retention phase in Surabaya. Data were collected through a structured questionnaire using a five-point Likert scale from 31 project staff members with relevant professional experience, selected using purposive sampling. The analysis was conducted using Partial Least Squares–Structural Equation Modeling (PLS-SEM) to evaluate both the measurement and structural models, supported by supplementary regression analysis. The results showed that technical factors had a strong and significant effect on building maintenance success, with material availability emerging as the most influential technical factor, while schedule planning was the most dominant success criterion. The high R² and effect size values indicated that technical factors played a substantial practical role in determining maintenance performance during the retention phase. These findings highlighted t</w:t>
      </w:r>
    </w:p>
    <w:p>
      <w:pPr/>
      <w:r>
        <w:rPr>
          <w:b/>
        </w:rPr>
        <w:t>POSSIBLE 2026:</w:t>
      </w:r>
      <w:r>
        <w:t xml:space="preserve"> Optimizing Energy Efficiency by Integrating Phase Change Materials into Building Envelopes — https://doi.org/10.14750/me.2026.054</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Ammar Saliby is a Ph.D. candidate specializing in mechanical engineering with a focus on energy-efficient building systems and thermal energy storage technologies.During his master studies, he developed expertise in building energy management and thermal modelling, which provided a strong foundation for his doctoral research.He commenced his Ph.D. studies at the University of Miskolc in the autumn of 2021, supported by the Stipendium Hungaricum scholarship program.Throughout his doctoral work, Ammar has demonstrated outstanding academic performance, completed all coursework, and actively contributed to scientific research within the field of sustainable building technologies.His research focuses on the integration and optimization of PCMs in building envelopes to enhance thermal performance and reduce energy consumption.He has made significant contributions to this field by developing validated CFD simulation models to analyze PCM behaviour, optimizing PCM layer configurations, and investigating encapsulation geometry for improved energy efficiency.Notably, his work explores the novel integration of PCMs into traditional masonry structures, such as Flemish bond walls, demonstrating a unique combination of architectural heritage and modern thermal storage solutions.Ammar has authored multiple scientific publications, including peer-reviewed journal articles and conference papers</w:t>
      </w:r>
    </w:p>
    <w:p>
      <w:pPr/>
      <w:r>
        <w:rPr>
          <w:b/>
        </w:rPr>
        <w:t>POSSIBLE 2026:</w:t>
      </w:r>
      <w:r>
        <w:t xml:space="preserve"> Recent Advances in Microencapsulated Phase Change Materials for Energy Efficiency in Buildings: A Review — https://doi.org/10.3390/polym18040451</w:t>
      </w:r>
    </w:p>
    <w:p>
      <w:pPr/>
      <w:r>
        <w:rPr>
          <w:b/>
        </w:rPr>
        <w:t>Shared claim-specific concepts:</w:t>
      </w:r>
      <w:r>
        <w:t xml:space="preserve"> building, phase, response; EU scope not established. This is a provisional connection, not an outcome finding.</w:t>
      </w:r>
    </w:p>
    <w:p>
      <w:pPr>
        <w:pStyle w:val="SourceNote"/>
      </w:pPr>
      <w:r>
        <w:rPr>
          <w:b/>
        </w:rPr>
        <w:t>Available abstract (not full text):</w:t>
      </w:r>
      <w:r>
        <w:t xml:space="preserve"> Phase change materials (PCMs) have attracted significant attention for their capacity to store and release large amounts of latent heat in response to ambient temperature variations, offering an effective strategy for thermal regulation in buildings. Meanwhile, recent research is focused on microencapsulated phase change materials (MPCMs), which provide enhanced thermal efficiency, improved stability, and easier integration into construction materials. This study stands apart from offering a structured comparative analysis of PCM and MPCM systems. Using detailed synthesis tables, the review systematically evaluates materials, encapsulation approaches, and performance indicators. The review presents an integrative framework that correlates materials' thermophysical properties with specialized simulation software and region-specific climatic conditions. MPCMs are assessed in terms of composition, phase change characteristics, and encapsulation techniques, with complex information condensed into practical selection criteria. Furthermore, MPCM products covering phase change temperature ranges from 18 °C to 32 °C are systematically aligned with specific climate zones and life cycle assessment outcomes, offering a clear framework for optimization. The polymers play a vital role in MPCM technology, and their applications for buildings have been studied thoroughly. This work also aims </w:t>
      </w:r>
    </w:p>
    <w:p>
      <w:pPr/>
      <w:r>
        <w:rPr>
          <w:b/>
        </w:rPr>
        <w:t>POSSIBLE 2026:</w:t>
      </w:r>
      <w:r>
        <w:t xml:space="preserve"> Analyses of the building insulation performance of double-layer walls with a phase change material in the hot summer and cold winter region — https://doi.org/10.1177/1420326x251388677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article studies the temperature regulation requirements of buildings in the hot summer and cold winter (HSCW) region through a combination of experiments and numerical simulations. The bidirectional heat transfer process in phase change material (PCM) walls was visualized using heatlines, and the thermal transfer behaviour characteristics between PCM walls and conventional walls were compared and analysed. The findings showed that double-layer PCM walls could effectively regulate energy, including reducing the peak temperature of the interior surface by 0.9–1.2°C in summer and increasing its minimum temperature by 0.8–1.7°C in winter, while the average interior temperatures for east, south, west and north-facing walls could be increased by 0°C, 1°C, 0.7°C and 0.5°C, respectively. Energy consumption analyses revealed that the optimal phase change temperatures for double-layer PCM walls in Changsha's climate are 23°C and 18°C. A PCM layer that is 30 mm thick could result in the biggest energy savings, lowering cold and hot loads by 39.3% and 23.1%, respectively. With a payback period ranging from 3.9 to 5.2 years, double-layer PCM walls have a high potential for widespread adoption across the 11 cities in the HSCW region. This study provides experimental support and recommendations for PCM wall design optimization in challenging climates.</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pStyle w:val="Heading2"/>
      </w:pPr>
      <w:r>
        <w:t>537.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538.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2026:</w:t>
      </w:r>
      <w:r>
        <w:t xml:space="preserve"> European Strategic Autonomy and France — https://doi.org/10.36250/01328_11</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pStyle w:val="Heading2"/>
      </w:pPr>
      <w:r>
        <w:t>539.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Operating room planning problem under uncertainty: A regret minimization model — https://doi.org/10.1016/j.cor.2026.107614</w:t>
      </w:r>
    </w:p>
    <w:p>
      <w:pPr/>
      <w:r>
        <w:rPr>
          <w:b/>
        </w:rPr>
        <w:t>Shared claim-specific concepts:</w:t>
      </w:r>
      <w:r>
        <w:t xml:space="preserve"> room, further; EU scope not established. This is a provisional connection, not an outcome finding.</w:t>
      </w:r>
    </w:p>
    <w:p>
      <w:pPr>
        <w:pStyle w:val="SourceNote"/>
      </w:pPr>
      <w:r>
        <w:rPr>
          <w:b/>
        </w:rPr>
        <w:t>Available abstract (not full text):</w:t>
      </w:r>
      <w:r>
        <w:t xml:space="preserve"> Operating room (OR) planning presents a significant challenge for hospital managers due to inherent uncertainty in surgery durations, which are unknown at the time of scheduling. Decisions regarding the number of ORs to open and the assignment of surgeries must be made in advance, and inaccurate estimates can lead to idle capacity, excessive overtime, or delayed procedures. This study develops and compares three complementary optimization frameworks for OR planning under uncertainty: classical robust optimization (RO), regret minimization (RM), and a data-driven distributionally robust optimization (DRO) approach termed mean robust optimization (MRO). The RM model is designed to limit the maximum performance loss relative to an ex post optimal benchmark, thereby reducing excessive conservatism associated with worst-case planning. We show that both the RO and RM formulations admit equivalent robust counterparts and propose efficient column-and-constraint generation (C&amp;CG) algorithms to solve large-scale instances. To leverage historical surgery duration data, we further incorporate the MRO framework, which constructs data-driven ambiguity sets through clustering and provides a tunable balance between robustness and data adaptivity. Extensive computational experiments demonstrate clear behavioral differences among the models. While RO yields the most conservative schedules, RM ac</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540.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2026:</w:t>
      </w:r>
      <w:r>
        <w:t xml:space="preserve"> A tissue time machine to forward-predict single-timepoint data applied to tuberculosis granulomas — https://doi.org/10.64898/2026.10.09.758083</w:t>
      </w:r>
    </w:p>
    <w:p>
      <w:pPr/>
      <w:r>
        <w:rPr>
          <w:b/>
        </w:rPr>
        <w:t>Shared claim-specific concepts:</w:t>
      </w:r>
      <w:r>
        <w:t xml:space="preserve"> predict, single, based, develop; EU scope not established. This is a provisional connection, not an outcome finding.</w:t>
      </w:r>
    </w:p>
    <w:p>
      <w:pPr>
        <w:pStyle w:val="SourceNote"/>
      </w:pPr>
      <w:r>
        <w:rPr>
          <w:b/>
        </w:rPr>
        <w:t>Available abstract (not full text):</w:t>
      </w:r>
      <w:r>
        <w:t xml:space="preserve"> Abstract Recent advances have improved understanding of infection; however many detailed datasets are based on single timepoints post-infection and cannot generate longitudinal insights needed to predict infection outcomes. For example, pulmonary infection with Mycobacterium tuberculosis (Mtb) initiates a complex system of immune and bacterial interactions that leads to granuloma formation, yet single snapshots in time need elaboration long-term. We develop a new approach, the tissue time machine , applied to predict outcomes of non-human primate granulomas from initiation to endpoint using single timepoint tissue datasets including high-dimensional spatial features. This involves identifying granuloma digital partners , simulations most closely resembling real granulomas from a virtual library of over 50,000. By analyzing digital partners, we predict infection outcomes of 22/28 granulomas, and that Mtb-specific, IFN-γ-producing T cell recruitment rates influence uncertainty for the 6/28. This method is applicable to any system that allows for mechanistic predictions over time using heterogeneous, incomplete, and high-dimensional datasets.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2025:</w:t>
      </w:r>
      <w:r>
        <w:t xml:space="preserve"> Multi-Output Classification for Predicting Stock Market Trend in the Electronic Sector of Thailand — https://doi.org/10.3233/atde250583</w:t>
      </w:r>
    </w:p>
    <w:p>
      <w:pPr/>
      <w:r>
        <w:rPr>
          <w:b/>
        </w:rPr>
        <w:t>Shared claim-specific concepts:</w:t>
      </w:r>
      <w:r>
        <w:t xml:space="preserve"> tries, predict, single, several; EU scope not established. This is a provisional connection, not an outcome finding.</w:t>
      </w:r>
    </w:p>
    <w:p>
      <w:pPr>
        <w:pStyle w:val="SourceNote"/>
      </w:pPr>
      <w:r>
        <w:rPr>
          <w:b/>
        </w:rPr>
        <w:t>Available abstract (not full text):</w:t>
      </w:r>
      <w:r>
        <w:t xml:space="preserve"> General classification task in machine learning aims at predicting outcome of a single target, whereas multi-output classification tries to predict possible outcome of several targets simultaneously. In this research we propose a method of multi-output classification applied to the financial area. Historical trading data focusing only the electronic sector of Thailand’s stock exchange market have been used as an input feeding into our novel data augmentation framework to generate various features including financial indicators, movement trends within a short period of three days, and a set of three target fields that predict trend in the next two days. Our study contributes to the field by demonstrating the effectiveness of feature engineering method and multi-output classification algorithm in capturing the complex relationships and dependencies within the electronic sector, thereby aiding investors and analysts in making informed decisions.</w:t>
      </w:r>
    </w:p>
    <w:p>
      <w:pPr/>
      <w:r>
        <w:rPr>
          <w:b/>
        </w:rPr>
        <w:t>POSSIBLE 2025:</w:t>
      </w:r>
      <w:r>
        <w:t xml:space="preserve"> A two-stage randomized basket trial with latent baskets based on a single predictive biomarker — https://openalex.org/W7139423024</w:t>
      </w:r>
    </w:p>
    <w:p>
      <w:pPr/>
      <w:r>
        <w:rPr>
          <w:b/>
        </w:rPr>
        <w:t>Shared claim-specific concepts:</w:t>
      </w:r>
      <w:r>
        <w:t xml:space="preserve"> single, based, develop; EU scope not established. This is a provisional connection, not an outcome finding.</w:t>
      </w:r>
    </w:p>
    <w:p>
      <w:pPr>
        <w:pStyle w:val="SourceNote"/>
      </w:pPr>
      <w:r>
        <w:rPr>
          <w:b/>
        </w:rPr>
        <w:t>Available abstract (not full text):</w:t>
      </w:r>
      <w:r>
        <w:t xml:space="preserve"> Background: Randomized basket trials can evaluate the efficacy of a common experimental inter-vention versus a control intervention across multiple diseases, or “baskets”. Treatment effects may vary across patient subgroups for a predictive biomarker. We extend the basket design for a single disease with different “baskets” of patients with different biomarker values. Further, we consider the biomarker-based baskets as latent at the start of the trial. There are few published methods that have addressed subgroup identification in basket trials. Objective: For a single, known, con- tinuous biomarker with an unknown cutpoint, we aim to develop a method to identify the optimal cutpoint and apply it to a two-stage randomized basket design with a binary outcome. Methods: We conducted a simulation study to evaluate the power and type I error of our two-stage basket design with a binary outcome. In Stage 1, we enrol and randomize 50% of the target sample size. Using interim data, we estimate the optimal biomarker cutpoint that best identifies heterogeneous treatment effects and partition patients into two baskets. Then, we prune inactive baskets with low treatment efficacy. In Stage 2, we enrol additional patients in the remaining baskets until the target sample size. For the final pooled analysis, we declare superiority of the experimental intervention using the empirically-determine</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pStyle w:val="Heading2"/>
      </w:pPr>
      <w:r>
        <w:t>541.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2026:</w:t>
      </w:r>
      <w:r>
        <w:t xml:space="preserve"> COMPARATIVE ANALYSIS OF THE MAIN PRINCIPLES OF DOMESTIC CRIMINAL LAW — https://doi.org/10.14258/ralj(2026)1.12</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article provides a comparative analysis of the main starting points and principles of domesticcriminal legislation. It examines the principles of legality, equality of citizens before the law, guilt, justice, andhumanism, which are currently enshrined in the Criminal Code of the Russian Federation. The article alsoexplores the relationship between these principles and the main starting points found in the previous criminallaws of the RSFSR. It identifies the constructive and positive aspects of the criminal laws of previous historicaleras. The article concludes that the principles of the Criminal Code of the Russian Federation are a result ofthe development of the main starting points and principles of the criminal laws of previous historical periods.</w:t>
      </w:r>
    </w:p>
    <w:p>
      <w:pPr/>
      <w:r>
        <w:rPr>
          <w:b/>
        </w:rPr>
        <w:t>POSSIBLE 2026:</w:t>
      </w:r>
      <w:r>
        <w:t xml:space="preserve"> Rubrics for assessing clinical competencies in simulation-based nursing education: An integrative review — https://doi.org/10.1016/j.teln.2026.08.009</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Background Evaluation rubrics are essential for systematizing and measuring clinical competency progression in nursing simulation. Aim To identify the rubrics used to assess clinical competencies and skills in nursing simulation. Method An integrative review was conducted across nine databases in August 2025. Study selection was double-blind. Methodological quality was assessed using the Medical Education Research Quality Assessment Instrument. Results Initially, 905 studies were identified, and 41 comprised the final sample. Thirteen different rubrics were found, with a prevalence of studies using the Lasater Clinical Judgment Rubric. Most studies had moderate methodological quality. The evidence shows that the use of rubrics favors clinical judgment, self-confidence, and the structuring of formative feedback. Conclusion Rubrics are gaining pedagogical maturity in simulation, consolidating themselves as essential tools for competency-based nursing curricula. However, the lack of psychometric validation in specific instruments and the need for tools for new digital modalities represent the main challenges for the area.</w:t>
      </w:r>
    </w:p>
    <w:p>
      <w:pPr/>
      <w:r>
        <w:rPr>
          <w:b/>
        </w:rPr>
        <w:t>POSSIBLE 2026:</w:t>
      </w:r>
      <w:r>
        <w:t xml:space="preserve"> Transformational Leadership by Department Heads in Enhancing the Digital Competencies of Civil Servants — https://doi.org/10.58905/saluspublica.v4i2.749</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Digital transformation in the field of public administration needs high digital competences in civil servants, where leadership becomes a key in this process. This research tries to build up analysis of transformational leadership of the department head in enhancing the digital competences of civil servants, the barriers found, and how the barriers have been overcome. The research was conducted through qualitative research with semi-structured interviews on three informants, namely department head, structural officers, and civil servants of the Cirebon City Department of Cooperatives, SMEs, Trade and Industry. The results of this research prove that the transformational leadership of the Department Head can be seen from the exemplary use of digital technology, consistent vision and motivation communication, innovation, and differences in digital competence of civil servants. Nevertheless, there are some barriers for enhancing digital competencies, which consist of the gaps in digital literacy between employees, a lack of internal training programs, and technological barriers. According to the findings of this study, it is possible to say that transformational leadership plays an important role in promoting the enhancement of digital competencies of civil servants; however, for increasing the effectiveness of this strategy, it should be supported by a continuous training program</w:t>
      </w:r>
    </w:p>
    <w:p>
      <w:pPr/>
      <w:r>
        <w:rPr>
          <w:b/>
        </w:rPr>
        <w:t>POSSIBLE 2026:</w:t>
      </w:r>
      <w:r>
        <w:t xml:space="preserve"> Developing Mathematics Teachers’ TPACK Competencies through Technology-Enhanced Learning Approaches — https://doi.org/10.58355/dirosat.v4i1.228</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ability of teachers to effectively integrate technology into the learning process has become essential for the development of students' competencies in STEM fields, especially in mathematics. The purpose of this study is to analyze the development of Technological Competencies, Pedagogical and Content Knowledge (TPACK) in mathematics teachers through Technology-Enhanced Learning (TEL). Effective integration of technology into teaching has become an essential component in teacher professional development and in improving the quality of learning in STEM fields. The study uses a mixed-methods approach, integrating quantitative data from a questionnaire with 52 teachers and qualitative data from eight semi-structured interviews. The results showed that teachers possess high levels of pedagogical and content knowledge, but technological competencies are still developing. Correlation analysis Pearson found a strong positive relationship between TEL use and TPACK level (r = .70, p &lt; .01), while linear regression showed that TEL use explains 39% of the variance in TPACK development (β = 0.62, p &lt; .001). On the other hand, qualitative data revealed that teachers perceive TEL as an approach that increases student motivation and engagement, although they encounter infrastructural barriers and a lack of consistent training. The study concludes that the systematic use of TEL positively </w:t>
      </w:r>
    </w:p>
    <w:p>
      <w:pPr>
        <w:pStyle w:val="Heading2"/>
      </w:pPr>
      <w:r>
        <w:t>542.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2026:</w:t>
      </w:r>
      <w:r>
        <w:t xml:space="preserve"> Comparative analysis of healthcare systems in European Union countries based on socio-economic and demographic indicators — https://doi.org/10.46299/j.isjmef.20260504.03</w:t>
      </w:r>
    </w:p>
    <w:p>
      <w:pPr/>
      <w:r>
        <w:rPr>
          <w:b/>
        </w:rPr>
        <w:t>Shared claim-specific concepts:</w:t>
      </w:r>
      <w:r>
        <w:t xml:space="preserve"> demographic; EU scope visible. This is a provisional connection, not an outcome finding.</w:t>
      </w:r>
    </w:p>
    <w:p>
      <w:pPr>
        <w:pStyle w:val="SourceNote"/>
      </w:pPr>
      <w:r>
        <w:rPr>
          <w:b/>
        </w:rPr>
        <w:t>Available abstract (not full text):</w:t>
      </w:r>
      <w:r>
        <w:t xml:space="preserve"> The growing importance of healthcare in human capital development, enhancing labor productivity, and fostering long-term economic growth highlights the need to evaluate the performance of national healthcare systems amid population aging, increasing demand for healthcare services, and constrained financial resources. Despite a substantial body of research devoted to healthcare system models and their performance assessment, a comprehensive cross-country comparison integrating socioeconomic and demographic indicators using multivariate statistical methods remains underexplored. The aim of this study is to compare the healthcare systems of the European Union countries and evaluate their economic efficiency using correlation and cluster analysis. The study focuses on the healthcare systems of the European Union countries and Ukraine as institutional, organizational, and financial arrangements for the provision of healthcare services. It examines the relationships between indicators of economic development, healthcare financing, and healthcare system performance, as well as the methodological approaches used to assess these relationships. The study is based on statistical data obtained from Eurostat, OECD Health Statistics, the World Health Organization, and the World Bank. The methodological framework comprises comparative analysis, correlation analysis, hierarchical cluster analy</w:t>
      </w:r>
    </w:p>
    <w:p>
      <w:pPr/>
      <w:r>
        <w:rPr>
          <w:b/>
        </w:rPr>
        <w:t>POSSIBLE 2026:</w:t>
      </w:r>
      <w:r>
        <w:t xml:space="preserve"> An enhanced, nationally consistent, travel mode choice model:NZ Transport Agency research report 741 — https://openalex.org/W7203593076</w:t>
      </w:r>
    </w:p>
    <w:p>
      <w:pPr/>
      <w:r>
        <w:rPr>
          <w:b/>
        </w:rPr>
        <w:t>Shared claim-specific concepts:</w:t>
      </w:r>
      <w:r>
        <w:t xml:space="preserve"> demographic, traditional; EU scope not established. This is a provisional connection, not an outcome finding.</w:t>
      </w:r>
    </w:p>
    <w:p>
      <w:pPr>
        <w:pStyle w:val="SourceNote"/>
      </w:pPr>
      <w:r>
        <w:rPr>
          <w:b/>
        </w:rPr>
        <w:t>Available abstract (not full text):</w:t>
      </w:r>
      <w:r>
        <w:t xml:space="preserve"> This comprehensive report thoroughly reviews the literature on modelling and evidence related to travel mode choice. The key findings and insights from this review are summarised below. The report begins with a broad review of traditional and emerging approaches to mode choice modelling. Traditionally, mode choice models have relied on objective factors such as demographics, trip characteristics, and transportation mode attributes (eg, travel time, cost, reliability). These models, often based on discrete choice theory, aim to predict the probability of an individual choosing a particular mode of transportation. However, recent research has highlighted the importance of incorporating psychological variables, such as attitudes, perceived behavioural control, and subjective norms, in mode choice modelling. Hybrid choice models that combine traditional attributes with psychological variables have demonstrated improved predictive power and the ability to uncover causal relationships in mode choice. In addition, the scientific literature emphasises the critical role of habit, defined as the tendency to use a particular mode of transportation, as a strong predictor of mode choice that should be directly measured alongside intention. The review also addresses modelling complex travel behaviour, including multimodal, multi-leg, multi-user, and multi-purpose journeys. Capturing the inte</w:t>
      </w:r>
    </w:p>
    <w:p>
      <w:pPr/>
      <w:r>
        <w:rPr>
          <w:b/>
        </w:rPr>
        <w:t>POSSIBLE 2026:</w:t>
      </w:r>
      <w:r>
        <w:t xml:space="preserve"> Produce and reproduce! Understanding multidimensionality in contemporary radical right populist ideology — https://doi.org/10.1080/13569317.2026.2671673</w:t>
      </w:r>
    </w:p>
    <w:p>
      <w:pPr/>
      <w:r>
        <w:rPr>
          <w:b/>
        </w:rPr>
        <w:t>Shared claim-specific concepts:</w:t>
      </w:r>
      <w:r>
        <w:t xml:space="preserve"> multidimensional, demographic, introduced; EU scope visible. This is a provisional connection, not an outcome finding.</w:t>
      </w:r>
    </w:p>
    <w:p>
      <w:pPr>
        <w:pStyle w:val="SourceNote"/>
      </w:pPr>
      <w:r>
        <w:rPr>
          <w:b/>
        </w:rPr>
        <w:t>Available abstract (not full text):</w:t>
      </w:r>
      <w:r>
        <w:t xml:space="preserve"> Radical right populism represents a multidimensional and transforming ideology. This contribution tackles the complexity of radical right populism by drawing a theoretical framework based upon two related concepts: producerism and reproducerism. While the first is a well-known notion in the literature on populism, the second is introduced here as a complementary concept that involves reproductive politics, including natality and the family. This paper aims to highlight the theoretical advantage afforded by the related concepts of producerism and reproducerism, first by connecting the economic, cultural, and demographic dimensions of radical right populism. Then, it will illustrate their usefulness in capturing the contextually sensitive configurations of producerism and reproducerism enacted by current political and social actors in Europe and the United States.</w:t>
      </w:r>
    </w:p>
    <w:p>
      <w:pPr>
        <w:pStyle w:val="Heading2"/>
      </w:pPr>
      <w:r>
        <w:t>543.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about, identify, based;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management, developed;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pStyle w:val="Heading2"/>
      </w:pPr>
      <w:r>
        <w:t>544.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2026:</w:t>
      </w:r>
      <w:r>
        <w:t xml:space="preserve"> Emerging Zoonotic Viral Diseases: Urgent Need for One Health Perspective — https://doi.org/10.2478/am-2026-0012</w:t>
      </w:r>
    </w:p>
    <w:p>
      <w:pPr/>
      <w:r>
        <w:rPr>
          <w:b/>
        </w:rPr>
        <w:t>Shared claim-specific concepts:</w:t>
      </w:r>
      <w:r>
        <w:t xml:space="preserve"> urgent, need, climate, pathways, trade; EU scope not established. This is a provisional connection, not an outcome finding.</w:t>
      </w:r>
    </w:p>
    <w:p>
      <w:pPr>
        <w:pStyle w:val="SourceNote"/>
      </w:pPr>
      <w:r>
        <w:rPr>
          <w:b/>
        </w:rPr>
        <w:t>Available abstract (not full text):</w:t>
      </w:r>
      <w:r>
        <w:t xml:space="preserve"> Abstract Zoonotic diseases are infectious diseases that are naturally transmitted between vertebrate animals and humans, either directly or indirectly. It has been estimated that over 60% of human pathogens originate in animals. These include bacteria, viruses, fungi, protozoa, parasites, and other pathogens. Newly emerging zoonotic viral diseases can greatly complicate the public health situation, primarily because such pathogens typically have high lethality, can cause large-scale outbreaks, and severely affect the socioeconomic conditions of societies. At the same time, the frequency of zoonotic outbreaks has been increasing at an alarming rate in recent decades, largely as a result of human actions such as increasing agricultural productivity, clearing forests, animal trade, and climate change. Cases such as the H1N1 influenza pandemic, Nipah virus infection, monkeypox, Ebola, and SARS-CoV-2 have clearly demonstrated the significant epidemic potential of zoonotic infections in human populations. Because recent experiences with emerging zoonotic diseases have been challenging, it is imperative that the One Health concept be strongly supported through effective implementation. This concept helps connect the human-animal-plant-environment interface, which is vitally important for preventing, detecting, and responding to health threats. It also ensures that development remains </w:t>
      </w:r>
    </w:p>
    <w:p>
      <w:pPr/>
      <w:r>
        <w:rPr>
          <w:b/>
        </w:rPr>
        <w:t>POSSIBLE 2026:</w:t>
      </w:r>
      <w:r>
        <w:t xml:space="preserve"> System innovation to address the urgency, scale and complexity of climate action: Climate KIC’s European vision and experience — https://doi.org/10.5802/crgeos.329</w:t>
      </w:r>
    </w:p>
    <w:p>
      <w:pPr/>
      <w:r>
        <w:rPr>
          <w:b/>
        </w:rPr>
        <w:t>Shared claim-specific concepts:</w:t>
      </w:r>
      <w:r>
        <w:t xml:space="preserve"> climate, decarbonization; EU scope visible. This is a provisional connection, not an outcome finding.</w:t>
      </w:r>
    </w:p>
    <w:p>
      <w:pPr>
        <w:pStyle w:val="SourceNote"/>
      </w:pPr>
      <w:r>
        <w:rPr>
          <w:b/>
        </w:rPr>
        <w:t>Available abstract (not full text):</w:t>
      </w:r>
      <w:r>
        <w:t xml:space="preserve"> Juxtaposing incremental solutions can no longer respond to the climate emergency. This requires integrated approaches that take into account the interdependencies between actors and combine the levers of transformation—technological, behavioral, regulatory, and financial. The European Commission has created five Missions under Horizon Europe, reinforcing the coherence of objectives and means in support of the Green Deal. Notably, the “Smart and climate-neutral cities” and “Adaptation to climate change” Missions support cities, metropolitan areas, communities and regions that are aiming for decarbonization and climate resilience by 2030. In this paper, we discuss some structuring projects for these Missions, and other systemic innovation initiatives anchored in specific places, in particular Deep Demonstration programs led by Climate KIC in support of national and regional governments.</w:t>
      </w:r>
    </w:p>
    <w:p>
      <w:pPr/>
      <w:r>
        <w:rPr>
          <w:b/>
        </w:rPr>
        <w:t>POSSIBLE 2026:</w:t>
      </w:r>
      <w:r>
        <w:t xml:space="preserve"> Conservation at risk: the urgent need for political action to protect river dolphins in South America — https://doi.org/10.55565/nhac.stjb9605</w:t>
      </w:r>
    </w:p>
    <w:p>
      <w:pPr/>
      <w:r>
        <w:rPr>
          <w:b/>
        </w:rPr>
        <w:t>Shared claim-specific concepts:</w:t>
      </w:r>
      <w:r>
        <w:t xml:space="preserve"> urgent, need, climate, trade; EU scope not established. This is a provisional connection, not an outcome finding.</w:t>
      </w:r>
    </w:p>
    <w:p>
      <w:pPr>
        <w:pStyle w:val="SourceNote"/>
      </w:pPr>
      <w:r>
        <w:rPr>
          <w:b/>
        </w:rPr>
        <w:t>Available abstract (not full text):</w:t>
      </w:r>
      <w:r>
        <w:t xml:space="preserve"> River dolphins in South America face critical threats including illegal hunting for bait, accidental bycatch, mercury pollution, habitat fragmentation from dams, and extreme droughts driven by climate change. Consequently, species such as Inia geoffrensis and Sotalia fluviatilis have been recategorized as endangered following decades of consolidated monitoring in the Amazon and Orinoco basins. To address this crisis, political advocacy led to the South American Action Plan (2010-2020) and the implementation of national management plans in Brazil, Colombia, Bolivia, Peru, Ecuador, and Venezuela. These efforts are supported by the River Dolphins Initiative SARDI, a consortium of organizations that leads and generates data on dolphin abundance and threats to guide science-based policy decisions. At a global level, conservation has advanced through the Conservation Management Plan (CMP) of the International Whaling Commission and the Global Declaration for River Dolphins (2023), which seeks to halt population declines and protect critical habitats. Furthermore, river dolphins have been integrated into international treaties like the Ramsar Convention, which recognizes them as indicator species for the health of freshwater ecosystems. However, the sources highlight that effective implementation is hindered by legal asymmetries between countries—such as differing regulations on the p</w:t>
      </w:r>
    </w:p>
    <w:p>
      <w:pPr/>
      <w:r>
        <w:rPr>
          <w:b/>
        </w:rPr>
        <w:t>POSSIBLE 2026:</w:t>
      </w:r>
      <w:r>
        <w:t xml:space="preserve"> Economic Burden of Physical Inactivity in Europe — https://doi.org/10.71125/sporteconres.25</w:t>
      </w:r>
    </w:p>
    <w:p>
      <w:pPr/>
      <w:r>
        <w:rPr>
          <w:b/>
        </w:rPr>
        <w:t>Shared claim-specific concepts:</w:t>
      </w:r>
      <w:r>
        <w:t xml:space="preserve"> urgent, need, relevance;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Climate risk assessment of China’s Cultural World Heritage highlights urgent need for adaptation — https://doi.org/10.1038/s40494-026-02512-9</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Abstract Climate change poses escalating risks to cultural heritage with substantial implications for adaptation to minimize losses and damages. Integrating expert elicitation with projected changes in mean and extreme temperature and precipitation, we assess climate risk for 148 heritage sites and buffer zones within 39 Cultural World Heritage properties in China. Even under a moderate-emissions pathway (SSP245), risk increases for 82% of sites by mid‑century, with all sites reaching moderate to extreme risk by the 2070 s; by century’s end, over one‑third shift from low to high, or extreme risk. Ancient Architectural Structures are at risk in the near term, including Mount Wutai and the Yungang Grottoes. Over half of the sites are located in urban or peri‑urban areas, with nine urban sites facing extreme risk by 2100 regardless of scenario. These findings underscore the urgent need for adaptation across properties and buffer zones and offer guidance for scheduling site‑specific interventions.</w:t>
      </w:r>
    </w:p>
    <w:p>
      <w:pPr>
        <w:pStyle w:val="Heading2"/>
      </w:pPr>
      <w:r>
        <w:t>545.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546.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547.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2026:</w:t>
      </w:r>
      <w:r>
        <w:t xml:space="preserve"> Circular Economy Synergies and Trade-offs in Data Centres — https://doi.org/10.48550/arxiv.2608.04571</w:t>
      </w:r>
    </w:p>
    <w:p>
      <w:pPr/>
      <w:r>
        <w:rPr>
          <w:b/>
        </w:rPr>
        <w:t>Shared claim-specific concepts:</w:t>
      </w:r>
      <w:r>
        <w:t xml:space="preserve"> between, all, synergies, little; EU scope not established. This is a provisional connection, not an outcome finding.</w:t>
      </w:r>
    </w:p>
    <w:p>
      <w:pPr>
        <w:pStyle w:val="SourceNote"/>
      </w:pPr>
      <w:r>
        <w:rPr>
          <w:b/>
        </w:rPr>
        <w:t>Available abstract (not full text):</w:t>
      </w:r>
      <w:r>
        <w:t xml:space="preserve"> This report analyses data centre (DC) sustainability and circularity, revealing existing synergies and trade-offs: The PUE is too coarse, mixing cooling and power provisioning. It wrongly attributes server fan consumption and transformation losses to IT energy. It does not measure compute but infrastructure efficiency, which is already outstanding. Compute energy, however, is exploding. Better energy metrics for DCs would thus cover i) compute efficiency, ii) transformation efficiency, and iii) cooling overhead. Trade-offs exist between cooling energy and water as well as on-site and upstream water: Consuming water on-site lowers the cooling energy, which also lowers the water consumed upstream in power generation. For 'wet' electricity, there is little competition: It is worth spending more on-site energy to save both electricity and related upstream water. For 'dry' electricity, there is a trade-off. Waste heat recovery brings energy circularity but has limited uses and is not the same energy quality, a fact not reflected by current metrics. A better metric would consider the avoided energy through heat recovery instead of the amount recovered. Material circularity can be achieved by interpreting the 9R framework in the context of DCs. Circularity-enhancing measures can be categorised into product design, process design and business models, choice of materials, and operating </w:t>
      </w:r>
    </w:p>
    <w:p>
      <w:pPr/>
      <w:r>
        <w:rPr>
          <w:b/>
        </w:rPr>
        <w:t>POSSIBLE 2026:</w:t>
      </w:r>
      <w:r>
        <w:t xml:space="preserve"> Tax harmonization and the innovation–FDI trade-off: A quantitative analysis — https://doi.org/10.1016/j.jimonfin.2026.103682</w:t>
      </w:r>
    </w:p>
    <w:p>
      <w:pPr/>
      <w:r>
        <w:rPr>
          <w:b/>
        </w:rPr>
        <w:t>Shared claim-specific concepts:</w:t>
      </w:r>
      <w:r>
        <w:t xml:space="preserve"> between, countries, interactions; EU scope visible. This is a provisional connection, not an outcome finding.</w:t>
      </w:r>
    </w:p>
    <w:p>
      <w:pPr>
        <w:pStyle w:val="SourceNote"/>
      </w:pPr>
      <w:r>
        <w:rPr>
          <w:b/>
        </w:rPr>
        <w:t>Available abstract (not full text):</w:t>
      </w:r>
      <w:r>
        <w:t xml:space="preserve"> This paper examines how international tax harmonization affects the trade-off between domestic innovation and foreign direct investment (FDI) in small open economies. We develop a Schumpeterian dynamic stochastic general equilibrium (S-DSGE) model featuring endogenous innovation by domestic firms and frontier technology entry by multinational enterprises (MNEs). The model distinguishes between headline and effective corporate tax rates and captures interactions between domestic R&amp;D and foreign firm entry. Focusing on Hungary and Ireland—two countries with low corporate tax rates and high FDI exposure—we simulate reforms inspired by the European Union’s global minimum tax initiative. Our results reveal that higher corporate taxes reduce FDI and frontier innovation and generate private welfare losses. At the same time, higher fiscal revenues and public spending can offset these losses in the model’s total welfare measure, although the magnitude of this effect depends on the assumptions governing the valuation and scaling of public goods. These findings underscore the importance of balancing dynamic efficiency, distributional considerations, and fiscal capacity in international tax policy.</w:t>
      </w:r>
    </w:p>
    <w:p>
      <w:pPr/>
      <w:r>
        <w:rPr>
          <w:b/>
        </w:rPr>
        <w:t>POSSIBLE 2026:</w:t>
      </w:r>
      <w:r>
        <w:t xml:space="preserve"> Between agroecological objectives and political realities: governance, structural constraints and trade-offs of transition in Tunisia — https://doi.org/10.3389/fsufs.2026.1755644</w:t>
      </w:r>
    </w:p>
    <w:p>
      <w:pPr/>
      <w:r>
        <w:rPr>
          <w:b/>
        </w:rPr>
        <w:t>Shared claim-specific concepts:</w:t>
      </w:r>
      <w:r>
        <w:t xml:space="preserve"> between, agenda, objectives, all, hinder; EU scope not established. This is a provisional connection, not an outcome finding.</w:t>
      </w:r>
    </w:p>
    <w:p>
      <w:pPr>
        <w:pStyle w:val="SourceNote"/>
      </w:pPr>
      <w:r>
        <w:rPr>
          <w:b/>
        </w:rPr>
        <w:t>Available abstract (not full text):</w:t>
      </w:r>
      <w:r>
        <w:t xml:space="preserve"> This paper explores the policy framework and the structural barriers that shape Tunisia’s transition to agroecology. The study builds on an analysis of strategies recently issued by the Ministry of Agriculture, Hydraulic Resources and Fisheries and the Ministry of Environment, complemented by a literature review, and insights from farmers collected from participatory workshops conducted under the NATAE project’s Living Lab in Siliana. Eleven strategies were selected and analyzed to identify explicit mention of agroecology and references to the 10 FAO elements of agroecology. For each element, the degree of integration within agricultural and environmental strategies was assessed. While only six strategies explicitly mention agroecology, agroecological FAO elements are embedded in all of them, reflecting the State’s increasing commitment to integrating this approach into its development agenda. Despite this awareness, several barriers hinder the effective transition. These include compartmentalized and disconnected policy visions, institutional weaknesses, and the exclusion of farmers from the decision-making process. Furthermore, the prioritization of food self-sufficiency policies, coupled with land tenure challenges and financial limitations, constrain the implementation of agroecology. The findings highlight a paradox: despite a long history of agroecological initiatives and</w:t>
      </w:r>
    </w:p>
    <w:p>
      <w:pPr>
        <w:pStyle w:val="Heading2"/>
      </w:pPr>
      <w:r>
        <w:t>548.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2026:</w:t>
      </w:r>
      <w:r>
        <w:t xml:space="preserve"> Estimated incidence and number of new cases with prenatal alcohol exposure and fetal alcohol spectrum disorders in Finland 1990–2025 — https://doi.org/10.1371/journal.pone.0349964</w:t>
      </w:r>
    </w:p>
    <w:p>
      <w:pPr/>
      <w:r>
        <w:rPr>
          <w:b/>
        </w:rPr>
        <w:t>Shared claim-specific concepts:</w:t>
      </w:r>
      <w:r>
        <w:t xml:space="preserve"> estimated, number, cases, until, use, between; EU scope visible. This is a provisional connection, not an outcome finding.</w:t>
      </w:r>
    </w:p>
    <w:p>
      <w:pPr>
        <w:pStyle w:val="SourceNote"/>
      </w:pPr>
      <w:r>
        <w:rPr>
          <w:b/>
        </w:rPr>
        <w:t>Available abstract (not full text):</w:t>
      </w:r>
      <w:r>
        <w:t xml:space="preserve"> BACKGROUND: Fetal alcohol spectrum disorders (FASD) arising from prenatal alcohol exposure (PAE) are the leading preventable cause of neurobehavioral disorders. Early pregnancy is particularly vulnerable to ethanol toxicity, yet alcohol use often continues until pregnancy recognition. In Finland, national incidence estimates of PAE and FASD remain limited. OBJECTIVE: To estimate the incidence of any PAE and heavy PAE in Finland between 1990 and 2025, and to model the annual number of children with FASD born in Finland. METHODS: We developed a mathematical modelling framework integrating studies on alcohol use during pregnancy in Finland, biomarker-based estimates of heavy PAE, national population statistics, and international active case ascertainment studies on FASD prevalence. Incidence of any PAE was estimated from self-reported alcohol use, including pre-recognition exposure. Heavy PAE was estimated by combining binge-drinking prevalence, delayed pregnancy recognition, biomarker data and anonymous self-reports. FASD incidence was modelled using two approaches: 1) an international multiplier linking FASD prevalence to heavy episodic drinking prevalence among women (Model M), and 2) a conventional epidemiological ratio between any PAE and FASD (Model L). RESULTS: Self-reported alcohol use during pregnancy declined following abstinence recommendations in the early 2000s, while</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pStyle w:val="Heading2"/>
      </w:pPr>
      <w:r>
        <w:t>549.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2026:</w:t>
      </w:r>
      <w:r>
        <w:t xml:space="preserve"> Assessing Urban Sustainable Competitiveness and Happiness From the Perspective of Socio‐Economic Environment — https://doi.org/10.1111/rode.70218</w:t>
      </w:r>
    </w:p>
    <w:p>
      <w:pPr/>
      <w:r>
        <w:rPr>
          <w:b/>
        </w:rPr>
        <w:t>Shared claim-specific concepts:</w:t>
      </w:r>
      <w:r>
        <w:t xml:space="preserve"> socio, environmental, multiple, based, approach; EU scope not established. This is a provisional connection, not an outcome finding.</w:t>
      </w:r>
    </w:p>
    <w:p>
      <w:pPr>
        <w:pStyle w:val="SourceNote"/>
      </w:pPr>
      <w:r>
        <w:rPr>
          <w:b/>
        </w:rPr>
        <w:t>Available abstract (not full text):</w:t>
      </w:r>
      <w:r>
        <w:t xml:space="preserve"> ABSTRACT This study examines the sustainable competitiveness of Taiwan's 22 counties and cities between 2016 and 2020. We develop and apply a parallel dynamic two‐stage slacks‐based measure data envelopment analysis framework that integrates Shannon entropy to measure sustainability performance across social, economic, and environmental dimensions, and to evaluate how effectively these outcomes translate into residents' quality of life. Our approach consolidates multiple indicators into subsystem‐specific measures while directionally adjusting for undesirable outputs—such as pollution, waste, and crime—thus ensuring that efficiency estimates fully reflect these critical constraints. The results reveal that persistent inefficiency in the economic subsystem represents the main barrier to sustainable competitiveness. In contrast, environmental governance and social inclusion exhibit a stronger, more direct relationship with well‐being. Spatial regression models further indicate that differences in quality of life are primarily explained by local governance capacity, with limited spillover effects from neighboring regions. A striking finding is that smaller, less industrialized jurisdictions frequently outperform major metropolitan areas, indicating that sustainable competitiveness stems not from administrative scale, but from balanced advancement across all sustainability domains.</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Environmental and nutritional implications of replacing meat and dairy with alternatives — https://doi.org/10.1038/s44458-026-00075-1</w:t>
      </w:r>
    </w:p>
    <w:p>
      <w:pPr/>
      <w:r>
        <w:rPr>
          <w:b/>
        </w:rPr>
        <w:t>Shared claim-specific concepts:</w:t>
      </w:r>
      <w:r>
        <w:t xml:space="preserve"> here, environmental, implications; EU scope not established. This is a provisional connection, not an outcome finding.</w:t>
      </w:r>
    </w:p>
    <w:p>
      <w:pPr>
        <w:pStyle w:val="SourceNote"/>
      </w:pPr>
      <w:r>
        <w:rPr>
          <w:b/>
        </w:rPr>
        <w:t>Available abstract (not full text):</w:t>
      </w:r>
      <w:r>
        <w:t xml:space="preserve"> The environmental burden of meat and dairy has drawn attention to alternatives, although their capacity to fulfil similar dietary roles remains uncertain. Here, we evaluate the effects of replacing meat and jointly replacing meat and dairy with alternatives on the environmental impacts and nutrient profiles of current and recommended diets. We consolidate environmental inventory and food composition databases in a product- and diet-level analysis to evaluate various impact categories and nutrients. The results show that replacing meat with alternatives can lower environmental impacts by up to 52%, though adequate intake of some critical nutrients, particularly vitamin B12, needs to be ensured. Compared to dairy products, dairy alternatives more frequently lack nutrients, such as calcium and iodine, and certain ingredients, such as almond and coconut, may increase specific environmental impacts. Our findings highlight the challenges of reducing environmental impacts without compromising nutrition, with implications for high-income countries pursuing sustainable dietary transitions. Replacing meat with more sustainable alternatives can halve environmental impacts, but adequate intake of key nutrients such as vitamin B12 must be ensured, suggest integrated assessments of environmental inventories and food composition data.</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pStyle w:val="Heading2"/>
      </w:pPr>
      <w:r>
        <w:t>550.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AI as a contractor: an economy where transactions are concluded without humans — https://doi.org/10.36871/26189976.2026.06-4.007</w:t>
      </w:r>
    </w:p>
    <w:p>
      <w:pPr/>
      <w:r>
        <w:rPr>
          <w:b/>
        </w:rPr>
        <w:t>Shared claim-specific concepts:</w:t>
      </w:r>
      <w:r>
        <w:t xml:space="preserve"> conclude, potential, transformation; EU scope not established. This is a provisional connection, not an outcome finding.</w:t>
      </w:r>
    </w:p>
    <w:p>
      <w:pPr>
        <w:pStyle w:val="SourceNote"/>
      </w:pPr>
      <w:r>
        <w:rPr>
          <w:b/>
        </w:rPr>
        <w:t>Available abstract (not full text):</w:t>
      </w:r>
      <w:r>
        <w:t xml:space="preserve"> This article examines the phenomenon of an emerging economy driven by autonomous artificial intelligence systems acting as independent economic entities. It analyzes the transition from systems that execute human instructions to decentralized ecosystems where algorithms conclude transactions with one another. The study investigates the decision-making mechanisms of AI agents that possess their own resources and objective functions. Particular attention is paid to the transformation of traditional market relations within the context of a machine-to-machine economy. Emerging systemic risks–including potential algorithmic crises and legal regulation challenges–are also discussed. The article outlines key challenges associated with integrating non-human agents into the economic system and proposes avenues for future research.</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conclude, foresight, other;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pStyle w:val="Heading2"/>
      </w:pPr>
      <w:r>
        <w:t>551.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552.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553.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2026:</w:t>
      </w:r>
      <w:r>
        <w:t xml:space="preserve"> Climate and farming system dominate wheat yield responses across European pedoclimatic zones, despite widespread soil nutrient surpluses — https://doi.org/10.1007/s11104-026-08526-3</w:t>
      </w:r>
    </w:p>
    <w:p>
      <w:pPr/>
      <w:r>
        <w:rPr>
          <w:b/>
        </w:rPr>
        <w:t>Shared claim-specific concepts:</w:t>
      </w:r>
      <w:r>
        <w:t xml:space="preserve"> retention, reduced, tillage, average; EU scope visible. This is a provisional connection, not an outcome finding.</w:t>
      </w:r>
    </w:p>
    <w:p>
      <w:pPr>
        <w:pStyle w:val="SourceNote"/>
      </w:pPr>
      <w:r>
        <w:rPr>
          <w:b/>
        </w:rPr>
        <w:t>Available abstract (not full text):</w:t>
      </w:r>
      <w:r>
        <w:t xml:space="preserve"> Abstract Background and aims European wheat production faces the challenge of maintaining yields while reducing environmental impacts from agrochemicals. Organic farming is often considered a sustainable alternative to promote soil health and reduce chemical inputs. This study assessed nutrient status in wheat soils across nine European pedoclimatic zones, comparing conventional and organic systems and evaluating management practices such as crop rotation, tillage and fertilization type. Methods A total of 188 soils were analyzed for macro- and micronutrients, and wheat yield data were evaluated in relation to soil nutrients, climate, wheat type (winter- vs. spring-sown), and management using correlation, random forest, and regression analyses. Results Soils showed excess P, K, Mg, Cu, Fe, Mn, and Zn, but S and B deficiencies. Organic systems increased total N, while conventional farming enhanced nitrate, sulfate, and boron. Wheat yield was primarily driven by temperature, precipitation, wheat type (winter- vs. spring-sown), and farming system, with additional contributions from fertilization and nutrients (particularly exchangeable Ca, Fe, Mn, and Zn). On average, organic yields were 37% significantly lower than conventional, but these differences were smaller in Mediterranean zones due to reduced pest pressure and improved water retention and infiltration. Practices such as c</w:t>
      </w:r>
    </w:p>
    <w:p>
      <w:pPr/>
      <w:r>
        <w:rPr>
          <w:b/>
        </w:rPr>
        <w:t>POSSIBLE 2026:</w:t>
      </w:r>
      <w:r>
        <w:t xml:space="preserve"> A Review of Common Crop Residue Management Practices in Grain Production — https://doi.org/10.3390/agronomy16060625</w:t>
      </w:r>
    </w:p>
    <w:p>
      <w:pPr/>
      <w:r>
        <w:rPr>
          <w:b/>
        </w:rPr>
        <w:t>Shared claim-specific concepts:</w:t>
      </w:r>
      <w:r>
        <w:t xml:space="preserve"> residues, retention, reduced, tillage, approach; EU scope not established. This is a provisional connection, not an outcome finding.</w:t>
      </w:r>
    </w:p>
    <w:p>
      <w:pPr>
        <w:pStyle w:val="SourceNote"/>
      </w:pPr>
      <w:r>
        <w:rPr>
          <w:b/>
        </w:rPr>
        <w:t>Available abstract (not full text):</w:t>
      </w:r>
      <w:r>
        <w:t xml:space="preserve"> Crop residue plays a significant role on soil health, nutrient cycling, and crop yield, making residue management a key consideration in agricultural production. This review aims to synthesize current knowledge on two different aspects of crop residue in grain production systems: common management practices and their effects. A comprehensive literature survey was conducted using the Scopus database, covering worldwide publications from 1990 to 2025. First, this review explores various crop residue management practices, including burning, stubble retention, and different tillage methods (conservation tillage vs. conventional tillage). This section mainly focuses on tillage practices with an emphasis on the environmental, economic, and agronomic consequences of each approach. Then this review paper explores the effects of crop residue on soils and ecosystems, including the role of crop residues in improving soil quality and enhancing soil organic carbon sequestration. The interaction between crop residues and hydrological processes such as water infiltration and runoff is also examined in this section. The relationships between residue management practices and crop growth and yield responses are also critically assessed. This review highlights the shift from conventional, environmentally detrimental practices toward conservation-oriented approaches, especially reduced tillage, no</w:t>
      </w:r>
    </w:p>
    <w:p>
      <w:pPr/>
      <w:r>
        <w:rPr>
          <w:b/>
        </w:rPr>
        <w:t>POSSIBLE 2026:</w:t>
      </w:r>
      <w:r>
        <w:t xml:space="preserve"> Biodegradation of insecticide residue by lactic acid bacteria — https://doi.org/10.1038/s41598-025-34844-0</w:t>
      </w:r>
    </w:p>
    <w:p>
      <w:pPr/>
      <w:r>
        <w:rPr>
          <w:b/>
        </w:rPr>
        <w:t>Shared claim-specific concepts:</w:t>
      </w:r>
      <w:r>
        <w:t xml:space="preserve"> residues, reduced, over; EU scope not established. This is a provisional connection, not an outcome finding.</w:t>
      </w:r>
    </w:p>
    <w:p>
      <w:pPr>
        <w:pStyle w:val="SourceNote"/>
      </w:pPr>
      <w:r>
        <w:rPr>
          <w:b/>
        </w:rPr>
        <w:t>Available abstract (not full text):</w:t>
      </w:r>
      <w:r>
        <w:t xml:space="preserve"> The persistence of insecticide residues on food crops poses a significant risk to human health and the environment, necessitating effective residue mitigation strategies. This study evaluates the potential of lactic acid bacteria (LAB) strains, Lactobacillus pentosus and Lactococcus lactis subsp. lactis, for degrading residues of cyantraniliprole and chlorantraniliprole under laboratory conditions, and further assessed their degradation potential for cyantraniliprole under field conditions. Residue levels were quantified using liquid chromatography-tandem mass spectrometry, allowing precise measurement of degradation rates. In minimal broth, both strains reduced cyantraniliprole residues up to 33.07% and chlorantraniliprole residues by up to 23.44% over 12 days, with Lactobacillus pentosus demonstrating a higher degradation efficiency. Nutrient broth significantly enhanced biodegradation efficiency, with both LAB strains removing more than 98% of cyantraniliprole within 4 days and achieving complete degradation by 10th day. Controlled field evaluation demonstrated the practical efficacy of LAB application, where Lactobacillus pentosus and Lactococcus lactis reduced insecticide residues by up to 40.99 and 34.52% respectively, after 8 h of spraying. Overall, these findings highlight the potential of LAB as a natural, eco-friendly solution for mitigating pesticide residues in food</w:t>
      </w:r>
    </w:p>
    <w:p>
      <w:pPr/>
      <w:r>
        <w:rPr>
          <w:b/>
        </w:rPr>
        <w:t>POSSIBLE 2026:</w:t>
      </w:r>
      <w:r>
        <w:t xml:space="preserve"> Spectral Alert mining for Nontarget Screening of Contaminants and Residues — https://doi.org/10.26434/chemrxiv.15000999/v1</w:t>
      </w:r>
    </w:p>
    <w:p>
      <w:pPr/>
      <w:r>
        <w:rPr>
          <w:b/>
        </w:rPr>
        <w:t>Shared claim-specific concepts:</w:t>
      </w:r>
      <w:r>
        <w:t xml:space="preserve"> residues, approach, resolution; EU scope not established. This is a provisional connection, not an outcome finding.</w:t>
      </w:r>
    </w:p>
    <w:p>
      <w:pPr>
        <w:pStyle w:val="SourceNote"/>
      </w:pPr>
      <w:r>
        <w:rPr>
          <w:b/>
        </w:rPr>
        <w:t>Available abstract (not full text):</w:t>
      </w:r>
      <w:r>
        <w:t xml:space="preserve"> Nontargeted liquid chromatography high resolution tandem mass spectrometry approaches have gained substantial attention to detect unknown or unexpected contaminants in environmental and food safety analysis. With liquid chromatography high resolution tandem mass spectrometry routinely detecting thousands of features, prioritizing contaminant features through nontargeted screening remains a major challenge. Current approaches often trade interpretability for scalability, or vice versa. Using pesticides as a case study, we bridge this gap by applying MS2LDA 2.0 to around 5200 selected consensus mass spectra from public mass spectral libraries, extracting and curating 50 annotated Mass2Motif fragmentation patterns, here termed spectral alerts, that capture diverse pesticide substructures. When benchmarked against manually curated fragmentation patterns, spectral alerts retrieved a larger number of compounds containing the targeted pesticide substructures in MassBank. In tomato and orange samples spiked with a pesticide mixture, spectral alerts prioritized fewer than 1.7% of all detected features (between 5,194 and 7,523). Blank matrices produced at most three prioritized features, indicating a low false-positive rate. Although the current set of spectral alerts does not yet cover the full chemical diversity of pesticides and spectral alerts are no guarantee that all compounds cont</w:t>
      </w:r>
    </w:p>
    <w:p>
      <w:pPr>
        <w:pStyle w:val="Heading2"/>
      </w:pPr>
      <w:r>
        <w:t>554.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2026:</w:t>
      </w:r>
      <w:r>
        <w:t xml:space="preserve"> Embracing Emerging and Disruptive Technologies: A Multidimensional Strategy for Resilience and Innovation — https://doi.org/10.33423/mc9npf70</w:t>
      </w:r>
    </w:p>
    <w:p>
      <w:pPr/>
      <w:r>
        <w:rPr>
          <w:b/>
        </w:rPr>
        <w:t>Shared claim-specific concepts:</w:t>
      </w:r>
      <w:r>
        <w:t xml:space="preserve"> disruptive, contribution, two; EU scope not established. This is a provisional connection, not an outcome finding.</w:t>
      </w:r>
    </w:p>
    <w:p>
      <w:pPr>
        <w:pStyle w:val="SourceNote"/>
      </w:pPr>
      <w:r>
        <w:rPr>
          <w:b/>
        </w:rPr>
        <w:t>Available abstract (not full text):</w:t>
      </w:r>
      <w:r>
        <w:t xml:space="preserve"> This research addresses absorptive capacity in maintaining technological advantage amidst Emerging and Disruptive Technologies (EDTs). While traditional models focus on incremental integration, this study introduces the construct of transformative capability to account for the systemic reconfiguration necessitated by Artificial Intelligence and Big Data as two out of nine EDTs. Utilizing a structured policy research methodology, the study evaluates a purposive sample of 56 NATO policy documents, triangulated with semi-structured stakeholder interviews to identify high-priority catalysts for adoption. Findings identify four interconnected factors—technological, human, organizational, and societal—functioning as a recursive, systemic feedback loop. A distinctive contribution is the identification of the psychological unimaginability of EDTs as a primary barrier to diffusion, necessitating cognitive anchors through robust standardization, ethical governance and social institutionalization. By positioning ethics and societal assimilation as functional prerequisites, this research offers a multidimensional framework for fostering double-loop learning and organizational resilience in 21st-century defense ecosystems.</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pStyle w:val="Heading2"/>
      </w:pPr>
      <w:r>
        <w:t>555.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556.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557.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2026:</w:t>
      </w:r>
      <w:r>
        <w:t xml:space="preserve"> The Role of Sociodemographic Characteristics in Expert Perceptions of the Ecological Impacts of Forest Roads — https://doi.org/10.33904/ejfe.1929934</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This study examined whether experts’ perceptions of the ecological impacts of forest roads differed by age, gender, professional experience, and sector of employment. The research involved 120 participants from civil engineering, forestry engineering, landscape architecture, and urban and regional planning. Data were collected using a structured questionnaire consisting of three sections: sociodemographic characteristics, open-ended questions, and a set of 36 questionnaire statements specifically developed for this to assess expert perceptions of the ecological impacts of roads in natural ecosystems. The data were analysed using frequency analysis, the independent samples t-test, one-way analysis of variance (ANOVA), and post hoc multiple comparison tests. The findings indicated that participants generally had at least a moderate level of knowledge regarding the ecological impacts of forest roads. Significant differences in responses were observed by gender, age, professional experience, and sector of employment. In particular, differences in sociodemographic variables emerged for habitat integrity, fragmentation, stream improvement, road density, ecological design solutions, and wildlife corridors. The finding that most experts demonstrated at least a moderate knowledge suggests that sociodemographic differences in expert evaluations may provide useful input for improving ecol</w:t>
      </w:r>
    </w:p>
    <w:p>
      <w:pPr/>
      <w:r>
        <w:rPr>
          <w:b/>
        </w:rPr>
        <w:t>POSSIBLE 2026:</w:t>
      </w:r>
      <w:r>
        <w:t xml:space="preserve"> Exploring the Soundscape Perception of Streets: A Thematic Analysis of Focus Groups with Experts — https://doi.org/10.3390/su18094369</w:t>
      </w:r>
    </w:p>
    <w:p>
      <w:pPr/>
      <w:r>
        <w:rPr>
          <w:b/>
        </w:rPr>
        <w:t>Shared claim-specific concepts:</w:t>
      </w:r>
      <w:r>
        <w:t xml:space="preserve"> experts, perceptions, four, environmental; EU scope not established. This is a provisional connection, not an outcome finding.</w:t>
      </w:r>
    </w:p>
    <w:p>
      <w:pPr>
        <w:pStyle w:val="SourceNote"/>
      </w:pPr>
      <w:r>
        <w:rPr>
          <w:b/>
        </w:rPr>
        <w:t>Available abstract (not full text):</w:t>
      </w:r>
      <w:r>
        <w:t xml:space="preserve"> Street soundscapes significantly shape communities’ environmental perceptions, behaviour and urban sustainability. Previous research has mainly focused on physical and acoustic aspects, while limited attention has been given to emotional and behavioural dimensions. This study explores how expert participants perceive street soundscapes through personal, physical, behavioural, and emotional dimensions, using international online focus groups with soundscape experts, urban planners, and policymakers (n = 12). Analysis followed a deductive thematic approach establishing four main a priori themes, with additional inductive coding used to refine these themes. The findings reveal that perception is shaped by contextual, cultural, temporal, multisensory, and environmental affordance factors. Notably, silence was found to carry a dilemma—perceived as either safe or unsafe depending on pedestrian density—and religious and cultural soundmarks were identified as evoking place attachment and belonging, areas largely overlooked in existing literature. These soundscapes were associated with emotional responses, including comfort, safety, restoration, and belonging, and with pedestrian behaviour encompassing mobility choices, coping strategies, and social interactions. Furthermore, seven out of ten Healthy Streets metrics were directly referenced by participants, highlighting the close relati</w:t>
      </w:r>
    </w:p>
    <w:p>
      <w:pPr>
        <w:pStyle w:val="Heading2"/>
      </w:pPr>
      <w:r>
        <w:t>558.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2026:</w:t>
      </w:r>
      <w:r>
        <w:t xml:space="preserve"> Outdoor Learning in Europe: A Comparative Analysis of Selected Initiatives for Personal and Social Development — https://doi.org/10.3390/educsci16071158</w:t>
      </w:r>
    </w:p>
    <w:p>
      <w:pPr/>
      <w:r>
        <w:rPr>
          <w:b/>
        </w:rPr>
        <w:t>Shared claim-specific concepts:</w:t>
      </w:r>
      <w:r>
        <w:t xml:space="preserve"> developed, main; EU scope visible. This is a provisional connection, not an outcome finding.</w:t>
      </w:r>
    </w:p>
    <w:p>
      <w:pPr>
        <w:pStyle w:val="SourceNote"/>
      </w:pPr>
      <w:r>
        <w:rPr>
          <w:b/>
        </w:rPr>
        <w:t>Available abstract (not full text):</w:t>
      </w:r>
      <w:r>
        <w:t xml:space="preserve"> Outdoor learning has been used in different European contexts to support personal and social development. However, the ways in which these initiatives are organised and implemented can vary according to the target group, the educational purpose, and the local context. The aim of this study was to comparatively analyze selected Outdoor Learning initiatives for young people and adults in Europe, focusing on their main characteristics and on the forms of development they promote. A qualitative exploratory review was carried out using websites of educational networks, NGOs, training centers, and institutional projects. Seven initiatives were selected from an initial set of 27 cases identified through the search process. The selected initiatives were Venture Trust, Venture Out, Forest School, KOA Aventura, Moc Warmii, Die Seminarschneider, and LIFE Trekking. The results show a diversity of program durations, pedagogical approaches, and participant profiles, but also some common elements, such as experiential learning, reflection, cooperation, and contact with nature. The analysis suggests that Outdoor Learning initiatives may support different forms of personal and social development, although their design and aims are strongly influenced by the context in which they are developed.</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pStyle w:val="Heading2"/>
      </w:pPr>
      <w:r>
        <w:t>559.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2026:</w:t>
      </w:r>
      <w:r>
        <w:t xml:space="preserve"> Comparison of virtual energy sharing schemes for renewable energy communities under European regulations: A mixed-use case study in Italy — https://doi.org/10.1016/j.egyr.2026.109785</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The Renewable Energy Directive (RED II) introduced Renewable Energy Communities (RECs) as a mechanism to empower local actors in the energy transition through collective renewable energy sharing. European Member States have transposed RED II into diverse regulatory frameworks and incentive schemes, leading to different approaches to electricity sharing. This study analyses the techno-economic performance of a mixed-use REC composed of a university campus and a residential district, using City Energy Analyst to simulate six scenarios combining two virtual energy sharing schemes, Virtual Self-Consumption (VSC) and Virtual Net Metering (VNM), and three ownership configurations, ranging from a centralized external producer to a distribution of prosumers. Sensitivity analyses on PV sizing and electricity market prices are also performed. Results show that VSC schemes achieve higher energy performance than static VNM schemes due to more effective matching between generation and demand, while economic outcomes remain comparable across schemes. Compared to the baseline, energy sharing increases self-consumption by up to 35% in VSC schemes and up to 25% in VNM schemes, with revenue increases of up to 20% under both schemes. Configurations involving non-residential prosumers improve self-consumption and enable higher PV penetration without a proportional loss in economic viability. At th</w:t>
      </w:r>
    </w:p>
    <w:p>
      <w:pPr/>
      <w:r>
        <w:rPr>
          <w:b/>
        </w:rPr>
        <w:t>POSSIBLE 2026:</w:t>
      </w:r>
      <w:r>
        <w:t xml:space="preserve"> Assessment of Bottom Trawl Impacts on the Status of Seabed Communities in European Seas — https://doi.org/10.1111/faf.70054</w:t>
      </w:r>
    </w:p>
    <w:p>
      <w:pPr/>
      <w:r>
        <w:rPr>
          <w:b/>
        </w:rPr>
        <w:t>Shared claim-specific concepts:</w:t>
      </w:r>
      <w:r>
        <w:t xml:space="preserve"> objectives, community, use, provides, needed, sustainable; EU scope visible. This is a provisional connection, not an outcome finding.</w:t>
      </w:r>
    </w:p>
    <w:p>
      <w:pPr>
        <w:pStyle w:val="SourceNote"/>
      </w:pPr>
      <w:r>
        <w:rPr>
          <w:b/>
        </w:rPr>
        <w:t>Available abstract (not full text):</w:t>
      </w:r>
      <w:r>
        <w:t xml:space="preserve"> ABSTRACT Bottom trawling affects seabed habitats, but its large‐scale impacts remain poorly quantified. Assessment of trawling impacts is essential to support monitoring and achieving sustainability objectives under international conventions, sustainable development goals, and seafood certification programs. We present a Europe‐wide quantitative assessment of bottom trawling impacts, accounting for regional seabed‐community sensitivity drivers, across the Baltic, Atlantic, Mediterranean and Black Sea continental shelves. Using two risk‐based indicators of seabed status—Relative Benthic Status determined as benthic community biomass relative to seabed fauna carrying capacity (RBS tot ) and RBS sen (biomass of the 10% most sensitive fauna relative to carrying capacity)—we found substantial regional and habitat differences. The Black, Baltic and Aegean‐Levantine Seas showed low trawling intensity and high seabed status across habitats. In contrast, the Western Mediterranean, Ionian and Central Mediterranean and Adriatic Seas were the most severely impacted. Trawling affected the sensitive species biomass fraction more strongly than the total community biomass. RBS tot was in good condition (here chosen as RBS &gt; 75% for epifauna) for over 79% of habitat‐ecoregion combinations. In contrast, RBS sen met this threshold in only 46% of these. A strong correlation emerged between the mea</w:t>
      </w:r>
    </w:p>
    <w:p>
      <w:pPr>
        <w:pStyle w:val="Heading2"/>
      </w:pPr>
      <w:r>
        <w:t>560.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2026:</w:t>
      </w:r>
      <w:r>
        <w:t xml:space="preserve"> The drivers and the barriers of incoming remittance flows in Europe: Analysis at the regional level — https://doi.org/10.12775/bgss-2026-0011</w:t>
      </w:r>
    </w:p>
    <w:p>
      <w:pPr/>
      <w:r>
        <w:rPr>
          <w:b/>
        </w:rPr>
        <w:t>Shared claim-specific concepts:</w:t>
      </w:r>
      <w:r>
        <w:t xml:space="preserve"> corresponding, regional, demographic, findings, not, regions; EU scope visible. This is a provisional connection, not an outcome finding.</w:t>
      </w:r>
    </w:p>
    <w:p>
      <w:pPr>
        <w:pStyle w:val="SourceNote"/>
      </w:pPr>
      <w:r>
        <w:rPr>
          <w:b/>
        </w:rPr>
        <w:t>Available abstract (not full text):</w:t>
      </w:r>
      <w:r>
        <w:t xml:space="preserve"> The paper compiles a Poisson Pseudo-Maximum Likelihood econometric model aiming at detecting and assessing the drivers and the barriers of incoming remittance flows in Europe. The analysis focuses on 297 NUTS 2 level regions and covers the period 2010–2018. For the needs of the analysis, the paper compiles a dataset with interregional remittance flows “regionalising” the corresponding country-level data. The findings of the paper offer substantial insight into the roles of economic, demographic, geographical and institutional factors, not only enriching the discourse in economic integration theory but also presenting practical implications for policymakers engaged in regional economic planning and integration strategies.</w:t>
      </w:r>
    </w:p>
    <w:p>
      <w:pPr/>
      <w:r>
        <w:rPr>
          <w:b/>
        </w:rPr>
        <w:t>POSSIBLE 2026:</w:t>
      </w:r>
      <w:r>
        <w:t xml:space="preserve"> Nowcasting maps of F2-layer basic maximum usable frequency and corresponding skip distances over the European region — https://doi.org/10.1016/j.asr.2026.09.053</w:t>
      </w:r>
    </w:p>
    <w:p>
      <w:pPr/>
      <w:r>
        <w:rPr>
          <w:b/>
        </w:rPr>
        <w:t>Shared claim-specific concepts:</w:t>
      </w:r>
      <w:r>
        <w:t xml:space="preserve"> calculate, corresponding, not; EU scope visible. This is a provisional connection, not an outcome finding.</w:t>
      </w:r>
    </w:p>
    <w:p>
      <w:pPr>
        <w:pStyle w:val="SourceNote"/>
      </w:pPr>
      <w:r>
        <w:rPr>
          <w:b/>
        </w:rPr>
        <w:t>Available abstract (not full text):</w:t>
      </w:r>
      <w:r>
        <w:t xml:space="preserve"> This work presents the IRI&amp;LKW new UP procedure, which generates nowcasting maps of the F2-layer basic maximum usable frequency (MUF) and corresponding skip distances over Europe. IRI&amp;LKW new UP is a four-step procedure based on: (1) deriving two effective values of the 12-month running mean of the sunspot number ( R 12) according to autoscaled fo F2 and M (3000)F2 ionosonde measurements; (2) using these two values of R 12 as input for the International Reference Ionosphere (IRI) model to calculate the ordinary critical frequencies fo E and fo F2 of the E and F2 layers, respectively, and the obliquity factor M (3000)F2; (3) feeding the Lockwood algorithm with these values of fo E, fo F2, and M (3000)F2 to compute a discrete grid of MUF values; and (4) mapping these grids of values to generate nowcasting maps of MUF and corresponding skip distances. The maps cover the European sector from 9°W to 45°E in longitude and from 34°N to 65°N in latitude, with a 1°×1° spatial resolution, with 15-minute time resolution. They are centered on six selected transmitting points: Stockholm (18.1°E, 59.3°N), Warsaw (21.1°E, 52.2°N), Pruhonice (14.6°E, 50.0°N), Paris (2.3°E, 48.8°N), Rome (12.5°E, 41.9°N), and Athens (23.7°E, 37.9°N). The internal consistency of the IRI&amp;LKW new UP procedure and its sensitivity to storm-time departures from climatology are assessed by comparing MUF maps retrospec</w:t>
      </w:r>
    </w:p>
    <w:p>
      <w:pPr/>
      <w:r>
        <w:rPr>
          <w:b/>
        </w:rPr>
        <w:t>POSSIBLE 2026:</w:t>
      </w:r>
      <w:r>
        <w:t xml:space="preserve"> The effects of family caregiving on depression outcomes among older adults in Europe — https://doi.org/10.82308/55794</w:t>
      </w:r>
    </w:p>
    <w:p>
      <w:pPr/>
      <w:r>
        <w:rPr>
          <w:b/>
        </w:rPr>
        <w:t>Shared claim-specific concepts:</w:t>
      </w:r>
      <w:r>
        <w:t xml:space="preserve"> estimation, not; EU scope visible. This is a provisional connection, not an outcome finding.</w:t>
      </w:r>
    </w:p>
    <w:p>
      <w:pPr>
        <w:pStyle w:val="SourceNote"/>
      </w:pPr>
      <w:r>
        <w:rPr>
          <w:b/>
        </w:rPr>
        <w:t>Available abstract (not full text):</w:t>
      </w:r>
      <w:r>
        <w:t xml:space="preserve"> BackgroundWith adults aged 60 and over projected to comprise 22% of the global population by 2050, the reliance on unpaid family caregiving is increasing, as most care work for older adults is done by family members. Existing studies estimating the mental health consequences of caregiving often apply traditional regression adjustment approaches; however, this approach is likely biased when a confounder is influenced by prior caregiving status. This project evaluates the effect of caregiving on depression using g-methods to account for time-varying confounding and further examines the effects of paid family leave (PFL) policies in different European countries on the depression and quality of life measures using a difference-in-differences (DiD) approach. Objectives• Estimate the causal effect of caregiving on probable depression using an inverse probability weighted (IPW) marginal structural model (MSM).• Assess the cumulative effect of caregiving on depression and simulate the effect of an unconditional cash transfer policy using the parametric g-formula.• Evaluate the impact of national paid family leave (PFL) policies on caregivers’ depression and quality of life outcomes using a DiD approach.MethodsAll analyses used harmonized data from 8 waves (2004–2022) of the Survey of Health, Ageing and Retirement in Europe (SHARE) of adults aged 50 or above. Caregiving exposure was cat</w:t>
      </w:r>
    </w:p>
    <w:p>
      <w:pPr/>
      <w:r>
        <w:rPr>
          <w:b/>
        </w:rPr>
        <w:t>POSSIBLE 2026:</w:t>
      </w:r>
      <w:r>
        <w:t xml:space="preserve"> Exploring the Next Level of Boardroom Independence: Are Boards and Committees Driving Firm Performance or Risk in Western Europe? — https://doi.org/10.3390/jrfm19060387</w:t>
      </w:r>
    </w:p>
    <w:p>
      <w:pPr/>
      <w:r>
        <w:rPr>
          <w:b/>
        </w:rPr>
        <w:t>Shared claim-specific concepts:</w:t>
      </w:r>
      <w:r>
        <w:t xml:space="preserve"> next, findings, suggest; EU scope visible. This is a provisional connection, not an outcome finding.</w:t>
      </w:r>
    </w:p>
    <w:p>
      <w:pPr>
        <w:pStyle w:val="SourceNote"/>
      </w:pPr>
      <w:r>
        <w:rPr>
          <w:b/>
        </w:rPr>
        <w:t>Available abstract (not full text):</w:t>
      </w:r>
      <w:r>
        <w:t xml:space="preserve"> This research responds to recent calls to explore the independence conditions under which boards’ leadership becomes economically meaningful for performance and risk in continental European governance systems. Using an unbalanced panel dataset of 223 non-financial publicly listed companies from Western Europe over 10 years between 2015 and 2024, this research examines how boards and their committee independence influence return on assets and return on equity, return volatility, indebtedness and liquidity volatility. Econometric methods include OLS regressions, industry fixed effects, linear and nonlinear models, including alternative specifications. The results highlight a U-shaped relationship between board and audit committee independence and operational efficiency, consistent with the critical mass interpretation. Board, audit and nomination committee independence reduce return volatility, reflected in a linear relationship. Audit committee independence is likely to reduce indebtedness beyond a balanced level, while the relationship of nomination committee independence with debt level is linear and negative across specifications. All governance mechanisms related to independence exhibit nonlinear relationships with liquidity volatility, with an immediate negative effect, while excessive independence oversight reduces their marginal effect. The findings suggest the existence </w:t>
      </w:r>
    </w:p>
    <w:p>
      <w:pPr>
        <w:pStyle w:val="Heading2"/>
      </w:pPr>
      <w:r>
        <w:t>561.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2026:</w:t>
      </w:r>
      <w:r>
        <w:t xml:space="preserve"> The Inoperability of Investment Treaties within Europe: CJEU Jurisprudence and Its Impact on Investment Arbitration — https://openalex.org/W7113066800</w:t>
      </w:r>
    </w:p>
    <w:p>
      <w:pPr/>
      <w:r>
        <w:rPr>
          <w:b/>
        </w:rPr>
        <w:t>Shared claim-specific concepts:</w:t>
      </w:r>
      <w:r>
        <w:t xml:space="preserve"> presents, union, context; EU scope visible. This is a provisional connection, not an outcome finding.</w:t>
      </w:r>
    </w:p>
    <w:p>
      <w:pPr>
        <w:pStyle w:val="SourceNote"/>
      </w:pPr>
      <w:r>
        <w:rPr>
          <w:b/>
        </w:rPr>
        <w:t>Available abstract (not full text):</w:t>
      </w:r>
      <w:r>
        <w:t xml:space="preserve"> Starting with Van Gend en Loos, the Court of Justice of the European (hereinafter "CJEU") has played an important role in ensuring that the European legal order is consistent with international law. 3 However, some CJEU decisions potentially contradict EU Member States' obligations under investment treaties.Beginning with the landmark ruling in the Achmea case, the much-discussed Komstroy line of decisions further demonstrates the incompatibility between the European Union legal order and the obligations that Member States have undertaken in certain international treaties.4 This article argues that the jurisprudence of the CJEU had a reverse effect on the application of the competence-competence and arbitrability principles within the EU in the context of arbitral jurisdiction.Specifically, when matters involving European Union law are at stake, the principles are applied more restrictively than in the United States or other jurisdictions globally.As a result, arbitral tribunals are effectively deprived of the authority to determine their jurisdiction when interpreting or applying EU law.In such cases, the answer to whether arbitral tribunals may assert jurisdiction becomes, by default, negative.Moreover, it decreased the scope of matters that are arbitrable.As discussed in this article, all these developments arising from recent CJEU judgments further exacerbate the legitimacy</w:t>
      </w:r>
    </w:p>
    <w:p>
      <w:pPr/>
      <w:r>
        <w:rPr>
          <w:b/>
        </w:rPr>
        <w:t>POSSIBLE 2026:</w:t>
      </w:r>
      <w:r>
        <w:t xml:space="preserve"> Internal Audit Function and Investment Efficiency in Nigerian Manufacturing Companies — https://doi.org/10.67862/nahj.2026.9qpm39t7</w:t>
      </w:r>
    </w:p>
    <w:p>
      <w:pPr/>
      <w:r>
        <w:rPr>
          <w:b/>
        </w:rPr>
        <w:t>Shared claim-specific concepts:</w:t>
      </w:r>
      <w:r>
        <w:t xml:space="preserve"> presents, efficiency, context; EU scope not established. This is a provisional connection, not an outcome finding.</w:t>
      </w:r>
    </w:p>
    <w:p>
      <w:pPr>
        <w:pStyle w:val="SourceNote"/>
      </w:pPr>
      <w:r>
        <w:rPr>
          <w:b/>
        </w:rPr>
        <w:t>Available abstract (not full text):</w:t>
      </w:r>
      <w:r>
        <w:t xml:space="preserve"> This study examined the relationship between Internal Audit Function (risk management, internal control, governance) and Investment Efficiency in Nigerian manufacturing companies. Globally, investment efficiency is recognized as vital in the financial success and sustainability of businesses across various industries. Despite this recognized importance, there is scant research specifically examining its determinants. While internal audit is widely acknowledged as a critical function within organizations, its specific role in influencing investment efficiency remains largely unexplored, particularly in the context of Nigerian manufacturing companies. This knowledge gap presents a significant challenge for manufacturing companies seeking to enhance investment decision-making processes and sustainable growth within the sector, hence this research. The study employed a cross-sectional field survey research design and primary data was used. Data was collected through the administration of copies of questionnaire to staff of selected companies. Population of the study comprised 1,959 staff of the 4 manufacturing companies examined - two in the southern and the other two in the northern part of the country. Slovin’s formula was used to determine a sample size of 332. Multiple Linear Regression was applied. Result revealed that there is significant relationship between risk management,</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pStyle w:val="Heading2"/>
      </w:pPr>
      <w:r>
        <w:t>562.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563.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pollution, increase, population;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r>
        <w:rPr>
          <w:b/>
        </w:rPr>
        <w:t>POSSIBLE 2026:</w:t>
      </w:r>
      <w:r>
        <w:t xml:space="preserve"> Environmental courts, industrial pollution, and grain production: the reach of judicial environmental enforcement in Chinese cities — https://doi.org/10.3389/fsufs.2026.1939331</w:t>
      </w:r>
    </w:p>
    <w:p>
      <w:pPr/>
      <w:r>
        <w:rPr>
          <w:b/>
        </w:rPr>
        <w:t>Shared claim-specific concepts:</w:t>
      </w:r>
      <w:r>
        <w:t xml:space="preserve"> pollution, cities, expected; EU scope not established. This is a provisional connection, not an outcome finding.</w:t>
      </w:r>
    </w:p>
    <w:p>
      <w:pPr>
        <w:pStyle w:val="SourceNote"/>
      </w:pPr>
      <w:r>
        <w:rPr>
          <w:b/>
        </w:rPr>
        <w:t>Available abstract (not full text):</w:t>
      </w:r>
      <w:r>
        <w:t xml:space="preserve"> Judicial environmental enforcement operates through litigation, therefore the entitlements it protects are only binding when a discharge can be traced to an identified source within the jurisdiction that adjudicates it. This delineation logic implies that specialized environmental courts reduce pollution selectively, and that their reach stops short of sectors they do not adjudicate. The second implication is important for food systems, because increasing environmental governance in agrarian economies is widely expected to cost local food production. We test both using the staggered establishment of environmental courts in Chinese prefecture-level cities during 2003–2018, utilizing a common sample of 4,168 city-year data from 285 cities, 109 of which had a court. Two-way fixed-effects and Callaway–Sant’Anna estimates are shown on identical samples, together with a balanced panel, event-time paths, adoption-hazard and trend diagnostics, and HonestDiD sensitivity. Both estimators include industrial wastewater density, which is a point-source discharge that occurs within municipal boundaries. Sulfur dioxide, which disperses across jurisdictions, is only considered in pooled estimate, and the formal contrast between the two responses is negative in every cohort-aware specification. Sensitivity analysis limits how far these conclusions travel: the wastewater sign holds under trend a</w:t>
      </w:r>
    </w:p>
    <w:p>
      <w:pPr/>
      <w:r>
        <w:rPr>
          <w:b/>
        </w:rPr>
        <w:t>POSSIBLE 2026:</w:t>
      </w:r>
      <w:r>
        <w:t xml:space="preserve"> Prioritizing light-vehicle electrification cities through real-world pollution-based GIS assessment — https://doi.org/10.1016/j.trd.2026.105242</w:t>
      </w:r>
    </w:p>
    <w:p>
      <w:pPr/>
      <w:r>
        <w:rPr>
          <w:b/>
        </w:rPr>
        <w:t>Shared claim-specific concepts:</w:t>
      </w:r>
      <w:r>
        <w:t xml:space="preserve"> pollution, cities, strategies; EU scope visible. This is a provisional connection, not an outcome finding.</w:t>
      </w:r>
    </w:p>
    <w:p>
      <w:pPr>
        <w:pStyle w:val="SourceNote"/>
      </w:pPr>
      <w:r>
        <w:rPr>
          <w:b/>
        </w:rPr>
        <w:t>Available abstract (not full text):</w:t>
      </w:r>
      <w:r>
        <w:t xml:space="preserve"> • Geo-based simulation of traffic patterns in a densely populated region. • Road-level estimation of pollutant emissions using graph-based methods. • Calculation of a traffic-weighted mobility index with municipal resolution. • Multi-criteria evaluation of localized environmental impact indicators. Achieving decarbonization targets requires major reductions in fossil-fuel use. Electrifying light-duty vehicles offers substantial environmental benefits, yet quantifying these gains is challenging due to heterogeneous traffic patterns and pollution levels. This study introduces a GIS-based method that maps pollutant emissions and traffic volumes onto the road network to produce municipal-level mobility-impact indexes. Daily travel routines derived from mobility surveys are combined with real pollution maps to compute segment-level emissions, which are then aggregated for spatial comparison and policy prioritisation. Applied to Lombardy, Italy, the method shows that although Milan and other dense cities benefit markedly, numerous peri-urban and semi-rural municipalities also show high potential due to large intermunicipal commuting flows. Overall, 13% of municipalities are classified as highest-priority areas, accounting for nearly a quarter of regional traffic-related emissions. The results reveal non-linear urbanisation-benefit relationships and underscore the need to include less</w:t>
      </w:r>
    </w:p>
    <w:p>
      <w:pPr/>
      <w:r>
        <w:rPr>
          <w:b/>
        </w:rPr>
        <w:t>POSSIBLE 2026:</w:t>
      </w:r>
      <w:r>
        <w:t xml:space="preserve"> Fostering energy transition and transport fluidity in European port cities — https://doi.org/10.4324/9781003639589-3</w:t>
      </w:r>
    </w:p>
    <w:p>
      <w:pPr/>
      <w:r>
        <w:rPr>
          <w:b/>
        </w:rPr>
        <w:t>Shared claim-specific concepts:</w:t>
      </w:r>
      <w:r>
        <w:t xml:space="preserve"> pollution, energy, cities;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pStyle w:val="Heading2"/>
      </w:pPr>
      <w:r>
        <w:t>564.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2026:</w:t>
      </w:r>
      <w:r>
        <w:t xml:space="preserve"> Monetary standardization in the European Union — https://doi.org/10.47772/ijriss.2026.10100071</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This study investigates the design and production of Euro banknotes and coins, focusing on their role in shaping European identity, enhancing security, and promoting sustainability. The aim is to explore how integrating advanced security features with culturally rich narratives can transform the Euro into a symbol of unity and environmental responsibility. The research employs a mixed-methods approach, combining a comprehensive literature review, case studies of successful currency designs from various regions, and qualitative data gathered through surveys and interviews with stakeholders, including central bankers, designers, and the public. Findings indicate that the current design elements of Euro currency significantly influence public perceptions of European identity, with a strong preference for incorporating cultural and historical motifs. Additionally, the study reveals that advanced security features can enhance the durability and trustworthiness of the Euro, while environmentally sustainable materials can be adopted to reduce the ecological footprint of currency production. Overall, the conclusions suggest that a reimagined Euro, which harmonizes design, security, and sustainability, can serve not only as a medium of exchange but also as a powerful vehicle for fostering a shared European identity. This approach has the potential to enhance public trust in the currency</w:t>
      </w:r>
    </w:p>
    <w:p>
      <w:pPr/>
      <w:r>
        <w:rPr>
          <w:b/>
        </w:rPr>
        <w:t>POSSIBLE 2026:</w:t>
      </w:r>
      <w:r>
        <w:t xml:space="preserve"> role of economic development and quality of governance in enhancing digitalization in the European Union — https://doi.org/10.61089/abej.2026.4.208</w:t>
      </w:r>
    </w:p>
    <w:p>
      <w:pPr/>
      <w:r>
        <w:rPr>
          <w:b/>
        </w:rPr>
        <w:t>Shared claim-specific concepts:</w:t>
      </w:r>
      <w:r>
        <w:t xml:space="preserve"> union, role, strategies; EU scope visible. This is a provisional connection, not an outcome finding.</w:t>
      </w:r>
    </w:p>
    <w:p>
      <w:pPr>
        <w:pStyle w:val="SourceNote"/>
      </w:pPr>
      <w:r>
        <w:rPr>
          <w:b/>
        </w:rPr>
        <w:t>Available abstract (not full text):</w:t>
      </w:r>
      <w:r>
        <w:t xml:space="preserve"> This study addresses the underrepresentation of empirical research on female entrepreneurship in informal urban settlements in the Western Cape, South Africa. The objective of this research is to explore the entrepreneurial challenges and opportunities encountered by women managing businesses in the Masiphumelele informal settlement in Cape Town and to establish a context-specific multi-pillar empowerment framework that enhances the viability of their businesses. The research adopted a qualitative, interpretivist research design that entailed carrying out semi-structured interviews with 17 female entrepreneurs recruited through purposive and convenience sampling. The data were analysed using a hybrid inductive–deductive thematic analysis supported by QSR NVivo 12 Pro. Three interconnected themes emerged: entrepreneurial challenges, including financial exclusion, inadequate business space, digital literacy deficits, family responsibility, crime, and load-shedding; opportunities for business sustainability, encompassing new equipment, mentorship, digital platforms, and tourism access; and strategies for overcoming challenges, including diversification, social media marketing, and peer networking. Financial constraints are identified as the most pervasive barrier, cited by 15 of 17 participants. The study demonstrates that these barriers operate through a compounding dynamic in wh</w:t>
      </w:r>
    </w:p>
    <w:p>
      <w:pPr>
        <w:pStyle w:val="Heading2"/>
      </w:pPr>
      <w:r>
        <w:t>565.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2026:</w:t>
      </w:r>
      <w:r>
        <w:t xml:space="preserve"> Development of Agriculture in Mountain Areas in Europe: Organisational and Economic Versus Environmental Aspects — https://doi.org/10.3390/agriculture16010127</w:t>
      </w:r>
    </w:p>
    <w:p>
      <w:pPr/>
      <w:r>
        <w:rPr>
          <w:b/>
        </w:rPr>
        <w:t>Shared claim-specific concepts:</w:t>
      </w:r>
      <w:r>
        <w:t xml:space="preserve"> varying, directions, within, need, common, between; EU scope visible. This is a provisional connection, not an outcome finding.</w:t>
      </w:r>
    </w:p>
    <w:p>
      <w:pPr>
        <w:pStyle w:val="SourceNote"/>
      </w:pPr>
      <w:r>
        <w:rPr>
          <w:b/>
        </w:rPr>
        <w:t>Available abstract (not full text):</w:t>
      </w:r>
      <w:r>
        <w:t xml:space="preserve"> The article analyses the direction and intensity of changes occurring in agriculture in mountain areas in Europe between 2000 and 2022. For the calculations, the ESA CCI Land Cover global land-use map set was used. This dataset was established by the European Space Agency (ESA) through the classification of satellite images from sources (MERIS, AVHRR, SPOT, PROBA, and Sentinel-3). In the next step, the organisational features and economic performance of farms located in mountain areas of the European Union were determined for the period 2004–2022. For this purpose, data from the European Farms Accountancy Data Network (FADN-FSDN) were used. Subsequently, using Poland as a case study, the capacity of mountain agriculture to implement key environmental interventions under the Common Agricultural Policy (CAP) 2023–2027 was assessed. The results highlight the varying directions and intensity of organisational changes occurring in mountain agriculture across Europe. They also show that farms can operate successfully in these areas, although their economic situation varies between EU countries. The findings indicate the need for further adaptation of CAP instruments to better reflect the ecological and economic conditions of mountain areas. Strengthening support mechanisms for these regions within the current and future CAP is of crucial importance for protecting biodiversity, promot</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2025:</w:t>
      </w:r>
      <w:r>
        <w:t xml:space="preserve"> A functionally graded Green-Naghdi (type-III) thermoelastic medium with varying properties along two directions — https://doi.org/10.1007/s00161-025-01395-8</w:t>
      </w:r>
    </w:p>
    <w:p>
      <w:pPr/>
      <w:r>
        <w:rPr>
          <w:b/>
        </w:rPr>
        <w:t>Shared claim-specific concepts:</w:t>
      </w:r>
      <w:r>
        <w:t xml:space="preserve"> varying, directions, between; EU scope not established. This is a provisional connection, not an outcome finding.</w:t>
      </w:r>
    </w:p>
    <w:p>
      <w:pPr>
        <w:pStyle w:val="SourceNote"/>
      </w:pPr>
      <w:r>
        <w:rPr>
          <w:b/>
        </w:rPr>
        <w:t>Available abstract (not full text):</w:t>
      </w:r>
      <w:r>
        <w:t xml:space="preserve"> Abstract This study examines the two-dimensional deformation of a functionally graded Green Naghdi (type-III) thermoelastic half-space under hydrostatic initial stress. The material properties of the medium are assumed to vary along two directions. Such type of problem has not been attempted earlier. Using the normal mode technique, analytical expressions for displacement components, temperature distribution, and force stress are derived. The numerical evaluation of these field variables reveals the impact of initial stress and material inhomogeneity on thermoelastic behavior. Graphical representations illustrate the variations in displacement and stress fields, emphasizing the intricate interplay between mechanical and thermal responses. These findings provide valuable insights for stress-strain analysis and the design of advanced engineering materials in thermoelastic applications.</w:t>
      </w:r>
    </w:p>
    <w:p>
      <w:pPr>
        <w:pStyle w:val="Heading2"/>
      </w:pPr>
      <w:r>
        <w:t>566.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2025:</w:t>
      </w:r>
      <w:r>
        <w:t xml:space="preserve"> Business Ethics in Europe: What Can We Learn from Each Other? — https://doi.org/10.5465/amproc.2025.21213symposium</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The proposed panel symposium focuses on business ethics Europe and aims (1) to identify the commonalities and particularities of business ethics in European countries and (2) to investigate “what we can learn from each other?” Reporters from European countries are invited to participate in-person. The conversation is structured in line with the Global Business Ethics Study 2022-2024 framework that was developed in consultation with approximately 100 experts of business ethics around the world and makes the country-reports comparable with each other. Given the limitation of this overview, only a few features will be selected in the panel discussion by each presenter. The framework distinguishes three areas of business ethics activities: teaching and research in academia, and training in business enterprises. The “horizon of business ethics” includes 13 themes (to which reporters could add further themes relevant for their own countries): Business and Human Rights / Business and Sustainability / Business and Just Energy Transition / Business and Wealth Creation / Corporate Governance / Digital Transformation / Corruption / Whistleblowing / Conflict and Terrorism / Religion and Spirituality / Diversity / Micro, Small and Medium Enterprises (MSME) / Leadership and Ethics Management. Each reporter had to prioritize these themes on the scale of “very important” / “important” / “neutr</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ways, union, able, long-term, targets;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pStyle w:val="Heading2"/>
      </w:pPr>
      <w:r>
        <w:t>567.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2026:</w:t>
      </w:r>
      <w:r>
        <w:t xml:space="preserve"> Who Belongs the Border? Narratives and Counter-Narratives of Migration in Southern European Border Societies — https://doi.org/10.35662/unine-thesis-3258</w:t>
      </w:r>
    </w:p>
    <w:p>
      <w:pPr/>
      <w:r>
        <w:rPr>
          <w:b/>
        </w:rPr>
        <w:t>Shared claim-specific concepts:</w:t>
      </w:r>
      <w:r>
        <w:t xml:space="preserve"> societies, fully, use; EU scope visible. This is a provisional connection, not an outcome finding.</w:t>
      </w:r>
    </w:p>
    <w:p>
      <w:pPr>
        <w:pStyle w:val="SourceNote"/>
      </w:pPr>
      <w:r>
        <w:rPr>
          <w:b/>
        </w:rPr>
        <w:t>Available abstract (not full text):</w:t>
      </w:r>
      <w:r>
        <w:t xml:space="preserve"> I will write my acknowledgements in the language of each person I want to mention.In some cases, this is the language I have used throughout my experience with them, and which I therefore prefer to use.In other cases, it is the language these people understand best, since I want them to fully understand what I've written about them.Un ringraziamento speciale va al mio supervisore di tesi, Matteo Gianni, per la sua costante fiducia e il suo supporto in questo percorso faticoso.Si tratta di una fiducia riposta in me da Matteo, nel selezionarmi come parte di questo progetto nccr, presente dall'inizio alla fine e fondamentale per la continuazione di questa esperienza, soprattutto nei suoi momenti più duri.Matteo ha dato la possibilità a una studentessa interdisciplinare (sappiamo che è una parola che piace usare in accademia, molto più nel discorso che nella pratica), studentessa che non definirei eccellente secondo rigidi standard accademici e non propriamente esperta di teoria politica.Matteo ha preso questo rischio e lo ringrazio per la sua apertura e curiosità.Ricorderò per sempre ciò che ha fatto per me in questi anni, dalla mia selezione a giugno 2022 fino ad oggi.E spero di poter avere l'onore di lavorare ancora con lui in futuro.En segundo lugar, y no en términos de importancia ni de influencia en mi trabajo, quiero agradecer a mi compañera y mentora, que se ha convertido e</w:t>
      </w:r>
    </w:p>
    <w:p>
      <w:pPr>
        <w:pStyle w:val="Heading2"/>
      </w:pPr>
      <w:r>
        <w:t>568.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Evaluating Alpha-1 Antitrypsin Deficiency testing across Europe to ensure diagnostic accuracy: an EARCO multicentre project — https://doi.org/10.1186/s12931-026-03796-y</w:t>
      </w:r>
    </w:p>
    <w:p>
      <w:pPr/>
      <w:r>
        <w:rPr>
          <w:b/>
        </w:rPr>
        <w:t>Shared claim-specific concepts:</w:t>
      </w:r>
      <w:r>
        <w:t xml:space="preserve"> background, concentrations, demonstrated; EU scope visible. This is a provisional connection, not an outcome finding.</w:t>
      </w:r>
    </w:p>
    <w:p>
      <w:pPr>
        <w:pStyle w:val="SourceNote"/>
      </w:pPr>
      <w:r>
        <w:rPr>
          <w:b/>
        </w:rPr>
        <w:t>Available abstract (not full text):</w:t>
      </w:r>
      <w:r>
        <w:t xml:space="preserve"> BACKGROUND: Alpha-1 Antitrypsin Deficiency (AATD) is a rare, underdiagnosed genetic disorder caused by pathogenic variants of the SERPINA1 gene, which can lead to reduced levels and/or dysfunctional forms of the Alpha-1 Antitrypsin (AAT) protein. Accurate AATD diagnosis is critical due to its implications for pulmonary and hepatic health. However, diagnostic practices vary across laboratories, particularly in the detection and reporting of rare variants. This study aimed to evaluate the consistency and reliability of AATD diagnostic testing across European laboratories through a non-commercial external quality assessment (EQA)-like initiative. METHODS: Seven European laboratories participated in six assessment rounds between 2019 and 2021. Each round involved blinded analysis of serum and dried blood spot (DBS) samples using local standard operating procedures. Tests included AAT and C-reactive protein quantification, isoelectric focusing for AAT phenotyping, and genotyping/sequencing for common and rare SERPINA1 variants. Interrater agreement was assessed using Fleiss' kappa statistic. Allele error rates were calculated for each variant and Kruskal-Wallis tests were used to compare AAT concentrations across laboratories. RESULTS: [p.P393S]) was inconsistent, with error rates ranging from 0.14 to 0.29. Sequencing was more effective than phenotyping or simple genotyping for rare</w:t>
      </w:r>
    </w:p>
    <w:p>
      <w:pPr/>
      <w:r>
        <w:rPr>
          <w:b/>
        </w:rPr>
        <w:t>POSSIBLE 2026:</w:t>
      </w:r>
      <w:r>
        <w:t xml:space="preserve"> Background-state dependence of aerosol responses in CESM2 boreal-summer climate — https://doi.org/10.5194/egusphere-2026-5006</w:t>
      </w:r>
    </w:p>
    <w:p>
      <w:pPr/>
      <w:r>
        <w:rPr>
          <w:b/>
        </w:rPr>
        <w:t>Shared claim-specific concepts:</w:t>
      </w:r>
      <w:r>
        <w:t xml:space="preserve"> background, climate, including, demonstrated; EU scope not established. This is a provisional connection, not an outcome finding.</w:t>
      </w:r>
    </w:p>
    <w:p>
      <w:pPr>
        <w:pStyle w:val="SourceNote"/>
      </w:pPr>
      <w:r>
        <w:rPr>
          <w:b/>
        </w:rPr>
        <w:t>Available abstract (not full text):</w:t>
      </w:r>
      <w:r>
        <w:t xml:space="preserve"> Abstract. Anthropogenic aerosol forcing is commonly estimated using aerosol-only single-forcing experiments, but can also be inferred as a residual from all-forcing and fixed-aerosol simulations. Although previous studies have demonstrated nonlinear interactions among climate forcings, it remains unclear whether these approaches provide dynamically equivalent aerosol responses, particularly at regional scale. Here, we compare the directly simulated aerosol response (AAER) with the residual estimate (ALL−xAER) in Community Earth System Model version 2 (CESM2) across two contrasting periods: 1965–1985 relative to 1920–1940, representing the historical increase in anthropogenic aerosol loading, and 2030–2050 relative to 1965–1985, representing the subsequent decline and geographical redistribution of aerosol emissions. We focus on boreal summer, when aerosol forcing strongly interacts with monsoon circulation and large-scale atmospheric dynamics. During the historical transition, AAER and ALL−xAER produce broadly similar Northern Hemisphere responses, particularly in near-surface temperature, although regional differences occur in precipitation and circulation. During the future transition, the two estimates diverge substantially, especially in precipitation over the Indo-Pacific and Asian monsoon regions. These differences are associated with reorganised low-level moisture transp</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pStyle w:val="Heading2"/>
      </w:pPr>
      <w:r>
        <w:t>569.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570.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2026:</w:t>
      </w:r>
      <w:r>
        <w:t xml:space="preserve"> Driving the circular economy: How artificial intelligence could empower transportation and logistics companies to lead the transition — https://doi.org/10.1016/j.clscn.2026.100300</w:t>
      </w:r>
    </w:p>
    <w:p>
      <w:pPr/>
      <w:r>
        <w:rPr>
          <w:b/>
        </w:rPr>
        <w:t>Shared claim-specific concepts:</w:t>
      </w:r>
      <w:r>
        <w:t xml:space="preserve"> driving, potential, current; EU scope not established. This is a provisional connection, not an outcome finding.</w:t>
      </w:r>
    </w:p>
    <w:p>
      <w:pPr>
        <w:pStyle w:val="SourceNote"/>
      </w:pPr>
      <w:r>
        <w:rPr>
          <w:b/>
        </w:rPr>
        <w:t>Available abstract (not full text):</w:t>
      </w:r>
      <w:r>
        <w:t xml:space="preserve"> Artificial Intelligence (AI) has great potential to contribute to the operational, environmental, and social performance of supply chains. The purpose of this study is to examine the implications of AI adoption and implementation for the supply chains of logistics-intensive companies, with the aim of stimulating discussion on the future of transportation and logistics. A systematic review of the literature, following the PRISMA protocol, was conducted to identify AI applications in supply chains. A distinction was made between logistics-intensive companies for which transportation and logistics are a supporting function, and transportation and logistics companies for which this is their main business model. We extrapolated from the existing literature to identify opportunities for digital transformation for transportation and logistics companies. Of the 244 studies retained for analysis, the majority were review studies or focused on developing Machine Learning algorithms and models. The few articles documenting AI applications in supply chains focused on digitalization, neglecting opportunities for digital transformation. The study argues that the adoption of AI has the potential to negatively impact the current business model of transportation and logistics companies by (1) reducing the need for transportation and warehousing activities, and (2) increasing competition from ot</w:t>
      </w:r>
    </w:p>
    <w:p>
      <w:pPr/>
      <w:r>
        <w:rPr>
          <w:b/>
        </w:rPr>
        <w:t>POSSIBLE 2026:</w:t>
      </w:r>
      <w:r>
        <w:t xml:space="preserve"> Vision Slovakia 2040: Towards a Better Quality of Life — https://doi.org/10.31577/2026.9788022421812</w:t>
      </w:r>
    </w:p>
    <w:p>
      <w:pPr/>
      <w:r>
        <w:rPr>
          <w:b/>
        </w:rPr>
        <w:t>Shared claim-specific concepts:</w:t>
      </w:r>
      <w:r>
        <w:t xml:space="preserve"> megatrends, long-term, current; EU scope visible. This is a provisional connection, not an outcome finding.</w:t>
      </w:r>
    </w:p>
    <w:p>
      <w:pPr>
        <w:pStyle w:val="SourceNote"/>
      </w:pPr>
      <w:r>
        <w:rPr>
          <w:b/>
        </w:rPr>
        <w:t>Available abstract (not full text):</w:t>
      </w:r>
      <w:r>
        <w:t xml:space="preserve"> Vision Slovakia 2040 provides a long-term framework for Slovakia’s development towards 2040. Its overarching objective is to improve people’s quality of life while strengthening economic performance, social cohesion, environmental sustainability and the capacity of the state to respond to changing conditions. The document builds on an assessment of Slovakia’s current position, global megatrends and alternative scenarios of future development. It defines the desired state of the country through four interconnected pillars – Dignified Life, Successful Economy, Sustainable Country and Modern State. The pathway towards these objectives is organised around six areas of transformation: reforming the state, transforming the economy, investing in people, preventing disease, connecting and cultivating society, and protecting Slovakia against threats. The Vision provides the conceptual foundation for the subsequent Strategy Slovakia 2040, which will translate its priorities into concrete reforms and measures and establish their sequencing, financing, implementation and monitoring arrangements.</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pStyle w:val="Heading2"/>
      </w:pPr>
      <w:r>
        <w:t>571. The health potential of urban water: Future scenarios on local risks and opportunities</w:t>
      </w:r>
    </w:p>
    <w:p>
      <w:pPr>
        <w:pStyle w:val="SourceNote"/>
      </w:pPr>
      <w:r>
        <w:rPr>
          <w:b/>
        </w:rPr>
        <w:t>Original source (2022):</w:t>
      </w:r>
      <w:r>
        <w:t xml:space="preserve"> https://doi.org/10.1016/j.cities.2022.103639</w:t>
      </w:r>
    </w:p>
    <w:p>
      <w:pPr/>
      <w:r>
        <w:t>Original wording (abstract; indexed_source_text_not_full_document_verified): Future scenarios have been developed based on the question: How can blue spaces contribute to a healthier city population, given the long term trends? The future scenarios deliver information that could serve as useful input for local planning processes.</w:t>
      </w:r>
    </w:p>
    <w:p>
      <w:pPr/>
      <w:r>
        <w:rPr>
          <w:b/>
        </w:rPr>
        <w:t>POSSIBLE 2025:</w:t>
      </w:r>
      <w:r>
        <w:t xml:space="preserve"> Developing A Question-Answering System In The Uzbek Language Based On The Xlm-Roberta Model — https://doi.org/10.37547/ajast/volume05issue12-14</w:t>
      </w:r>
    </w:p>
    <w:p>
      <w:pPr/>
      <w:r>
        <w:rPr>
          <w:b/>
        </w:rPr>
        <w:t>Shared claim-specific concepts:</w:t>
      </w:r>
      <w:r>
        <w:t xml:space="preserve"> developed, based, question; EU scope not established. This is a provisional connection, not an outcome finding.</w:t>
      </w:r>
    </w:p>
    <w:p>
      <w:pPr>
        <w:pStyle w:val="SourceNote"/>
      </w:pPr>
      <w:r>
        <w:rPr>
          <w:b/>
        </w:rPr>
        <w:t>Available abstract (not full text):</w:t>
      </w:r>
      <w:r>
        <w:t xml:space="preserve"> This article presents the issue of testing the XML-RoBERTa model for generating questions and answers in the Uzbek language. In the study, the XML-RoBERTa model was adapted to the Uzbek language from a dataset consisting of context, question and answer pairs in the Uzbek language and, as a result, a model was developed to generate a fragment of the answer to the user's question from the context. ROUGE, EM (Exact Match) and F1 control metrics were used to determine the performance of the model.</w:t>
      </w:r>
    </w:p>
    <w:p>
      <w:pPr/>
      <w:r>
        <w:rPr>
          <w:b/>
        </w:rPr>
        <w:t>POSSIBLE 2024:</w:t>
      </w:r>
      <w:r>
        <w:t xml:space="preserve"> Developing an Entity Linking Model for Geographic Knowledge Base Question Answering — https://doi.org/10.1109/bigcomp60711.2024.00081</w:t>
      </w:r>
    </w:p>
    <w:p>
      <w:pPr/>
      <w:r>
        <w:rPr>
          <w:b/>
        </w:rPr>
        <w:t>Shared claim-specific concepts:</w:t>
      </w:r>
      <w:r>
        <w:t xml:space="preserve"> question, spaces, information; EU scope not established. This is a provisional connection, not an outcome finding.</w:t>
      </w:r>
    </w:p>
    <w:p>
      <w:pPr>
        <w:pStyle w:val="SourceNote"/>
      </w:pPr>
      <w:r>
        <w:rPr>
          <w:b/>
        </w:rPr>
        <w:t>Available abstract (not full text):</w:t>
      </w:r>
      <w:r>
        <w:t xml:space="preserve"> Knowledge Base Question Answering (KBQA) integrates multiple disciplines, enabling users to retrieve answers from a knowledge base (KB) without specialized query language skills. However, KBQA systems depend on the information within their respective KBs, limiting their ability to answer questions involving facts or data not present in the KB. To address this, Geographic KBQA (GeoKBQA) systems have been designed to learn from and respond to geographic questions using a specialized Geographic Knowledge Base (GeoKB). This includes specific facts and information about geographic spaces, enabling them to handle complex geographic queries. Nevertheless, current GeoKBQA systems face significant challenges due to their reliance on rule-based Entity Linking models. These challenges are threefold: First, the rule-based Entity Linking approach limits adaptability to datasets beyond the original studies. Second, the rule-based structure of Mention Detection impedes accurate word semantics interpretation, requiring extra steps for understanding. Third, the absence of Entity Disambiguation hinders resolving typos and interpreting abbreviations in queries. Our study addresses these issues by developing a model that employs the BERT model for training geographic questionmention label datasets. This approach enhances Mention Detection and includes an Entity Disambiguation process, achieving hi</w:t>
      </w:r>
    </w:p>
    <w:p>
      <w:pPr/>
      <w:r>
        <w:rPr>
          <w:b/>
        </w:rPr>
        <w:t>POSSIBLE 2023:</w:t>
      </w:r>
      <w:r>
        <w:t xml:space="preserve"> Developing and Evaluating a Model-Based Metric for Legal Question Answering Systems — https://doi.org/10.1109/bigdata59044.2023.10386689</w:t>
      </w:r>
    </w:p>
    <w:p>
      <w:pPr/>
      <w:r>
        <w:rPr>
          <w:b/>
        </w:rPr>
        <w:t>Shared claim-specific concepts:</w:t>
      </w:r>
      <w:r>
        <w:t xml:space="preserve"> based, question, useful; EU scope not established. This is a provisional connection, not an outcome finding.</w:t>
      </w:r>
    </w:p>
    <w:p>
      <w:pPr>
        <w:pStyle w:val="SourceNote"/>
      </w:pPr>
      <w:r>
        <w:rPr>
          <w:b/>
        </w:rPr>
        <w:t>Available abstract (not full text):</w:t>
      </w:r>
      <w:r>
        <w:t xml:space="preserve"> In the complicated world of legal law, Question Answering (QA) systems only work if they can give correct, situation-aware, and logically sound answers. Traditional evaluation methods, which rely on superficial similarity measures, can’t catch the complex accuracy and reasoning needed in legal answers. This means that evaluation methods need to change completely. To fix the problems with current methods, this study presents a new model-based evaluation metric that is designed to work well with legal QA systems. We are looking into the basic ideas that are needed for this kind of metric, as well as the problems of putting it into practice in the real world, finding the right technological frameworks, creating good evaluation methods. We talk about a theory framework that is based on legal standards and computational linguistics. We also talk about how the metric was created and how it can be used in real life. Our results, which come from thorough tests, show that our suggested measure is better than existing ones. It is more reliable, accurate, and useful for judging legal quality assurance systems.</w:t>
      </w:r>
    </w:p>
    <w:p>
      <w:pPr/>
      <w:r>
        <w:rPr>
          <w:b/>
        </w:rPr>
        <w:t>POSSIBLE 2023:</w:t>
      </w:r>
      <w:r>
        <w:t xml:space="preserve"> Computer Based Assessment in Medical Education: Evolving Trends and Developing Digitalized Question Items — https://doi.org/10.53708/hpej.v6i1.2634</w:t>
      </w:r>
    </w:p>
    <w:p>
      <w:pPr/>
      <w:r>
        <w:rPr>
          <w:b/>
        </w:rPr>
        <w:t>Shared claim-specific concepts:</w:t>
      </w:r>
      <w:r>
        <w:t xml:space="preserve"> based, question, trends; EU scope not established. This is a provisional connection, not an outcome finding.</w:t>
      </w:r>
    </w:p>
    <w:p>
      <w:pPr>
        <w:pStyle w:val="SourceNote"/>
      </w:pPr>
      <w:r>
        <w:rPr>
          <w:b/>
        </w:rPr>
        <w:t>Available abstract (not full text):</w:t>
      </w:r>
      <w:r>
        <w:t xml:space="preserve"> The use of computers is being adopted in all fields of Medical Education including assessment. This paper sheds light on the difference between Computer Based (CBA) and Computer Assisted Assessment (CAA). It proposes how different multimedia tools may be used to develop digitalized question items and presents a system of classification for these question items based on the level of interaction and the educational role played by the media tools in these question items.</w:t>
      </w:r>
    </w:p>
    <w:p>
      <w:pPr>
        <w:pStyle w:val="Heading2"/>
      </w:pPr>
      <w:r>
        <w:t>572.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573.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index, also, effect;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Assessing Farm-Level Digital Maturity in European Agriculture: The Digital Farm Index and Investment Barriers to Agriculture 4.0 — https://doi.org/10.3390/agriculture16141565</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transition toward Agriculture 4.0 aims to improve farm performance and sustainability; however, existing macroeconomic indicators do not fully capture the depth of farm-level digital adoption. This study proposes the Digital Farm Index (DFI) as a tool for assessing digital maturity and regional disparities in European agriculture. The research combines bibliometric mapping of the scientific literature with an empirical DFI assessment for 18 European Union Member States using Eurostat data. The empirical assessment utilizes multiple linear regression, log-linear scale modeling, and hierarchical clustering to analyze adoption patterns and structural determinants. The index integrates four dimensions: connectivity, precision agriculture, robotics, and farm management information systems (FMIS). Results indicate that adoption is concentrated in larger farms, as area-weighted digital maturity (DFI-Hectares) consistently exceeds farm-level adoption (DFI-Farms). CAPEX-based cost modeling suggests the existence of a technological indivisibility threshold, whereby digitalization may become an entry barrier for fragmented farms with limited economies of scale. Multiple linear regression suggests an East–West structural trend: while farm size influences the territorial diffusion of technology, a more consolidated regional innovation ecosystem appears more relevant for farm-level adopt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pStyle w:val="Heading2"/>
      </w:pPr>
      <w:r>
        <w:t>574.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2026:</w:t>
      </w:r>
      <w:r>
        <w:t xml:space="preserve"> The Shadow of Crime: The Effect of Victimization on Perceived Safety and Subjective Well-Being in Europe (2002–2023) — https://doi.org/10.1515/peps-2026-0027</w:t>
      </w:r>
    </w:p>
    <w:p>
      <w:pPr/>
      <w:r>
        <w:rPr>
          <w:b/>
        </w:rPr>
        <w:t>Shared claim-specific concepts:</w:t>
      </w:r>
      <w:r>
        <w:t xml:space="preserve"> two, indicate, data, between; EU scope visible. This is a provisional connection, not an outcome finding.</w:t>
      </w:r>
    </w:p>
    <w:p>
      <w:pPr>
        <w:pStyle w:val="SourceNote"/>
      </w:pPr>
      <w:r>
        <w:rPr>
          <w:b/>
        </w:rPr>
        <w:t>Available abstract (not full text):</w:t>
      </w:r>
      <w:r>
        <w:t xml:space="preserve"> Abstract This research provides evidence of the multidimensional costs of crime victimization in Europe. Using data from 11 rounds of the European Social Survey (ESS) collected between 2002 and 2023, the study aims to estimate the effect of experienced victimization on two distinct domains of human perception: perceived safety and subjective well-being. The results indicate that crime victimization leads to a significant and enduring reduction in all explored metrics. Furthermore, gender-disaggregated analysis through interaction models reveals a gender-specific impact on perceived safety, which is 47 % larger for women than for men. Finally, the analysis identifies a significant temporal evolution of the consequences of victimization: the subjective well-being penalty associated with being a victim nearly doubled between 2002 and 2023. These findings challenge current policy paradigms that prioritize raw crime reduction over victim recovery and subjective security management.</w:t>
      </w:r>
    </w:p>
    <w:p>
      <w:pPr>
        <w:pStyle w:val="Heading2"/>
      </w:pPr>
      <w:r>
        <w:t>575.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576.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2026:</w:t>
      </w:r>
      <w:r>
        <w:t xml:space="preserve"> Less is More: Controlled Visual Evidence Routing and Redundancy Compression for Key Information Extraction — https://doi.org/10.18653/v1/2026.magmar-main.10</w:t>
      </w:r>
    </w:p>
    <w:p>
      <w:pPr/>
      <w:r>
        <w:rPr>
          <w:b/>
        </w:rPr>
        <w:t>Shared claim-specific concepts:</w:t>
      </w:r>
      <w:r>
        <w:t xml:space="preserve"> key, less, transport; EU scope not established. This is a provisional connection, not an outcome finding.</w:t>
      </w:r>
    </w:p>
    <w:p>
      <w:pPr>
        <w:pStyle w:val="SourceNote"/>
      </w:pPr>
      <w:r>
        <w:rPr>
          <w:b/>
        </w:rPr>
        <w:t>Available abstract (not full text):</w:t>
      </w:r>
      <w:r>
        <w:t xml:space="preserve"> Key Information Extraction (KIE) in visuallyrich documents is inherently token-centric, yet prevailing multimodal encoders often fuse dense visual patches with text tokens indiscriminately, which can introduce low-density visual noise, intensify modality competition, and cause robustness collapse under distribution shifts.We propose OTCR, a lightweight and architecture-agnostic framework that turns vision from a competitor into a selective supporter for extraction.OTCR learns sparse, interpretable cross-modal coupling via optimal transport to route local visual evidence to the most relevant text tokens, applies token-level gating to control injection strength, and further suppresses spurious correlations through a variational information bottleneck.Experiments on FUNSD, CORD, and SROIE show consistent gains when OTCR is plugged into LayoutLMv3 and GeoLayoutLM, and ablations verify the complementary contributions of coupling, gating, and bottlenecking.Under distribution shifts from Do-GOOD(He et al., 2023a) and EC-FUNSD (Zhang et al., 2024), OTCR markedly mitigates performance degradation, indicating that controlled visual evidence can effectively compensate when text/layout shortcuts become unreliable.</w:t>
      </w:r>
    </w:p>
    <w:p>
      <w:pPr/>
      <w:r>
        <w:rPr>
          <w:b/>
        </w:rPr>
        <w:t>POSSIBLE 2026:</w:t>
      </w:r>
      <w:r>
        <w:t xml:space="preserve"> A Decade of Research on the Inventory of Problems-29 (IOP-29): Key Findings and Implications for Clinical and Forensic Assessment — https://doi.org/10.1007/s40501-026-00396-x</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Abstract Purpose of Review This review examines the evidence accumulated over the past decade on the Inventory of Problems-29 (IOP-29) in order to provide an updated appraisal of its scientific status and clinical and forensic role. Particular attention is given to classification accuracy, comparative validity, cut scores, cross-cultural applicability, and related extensions. Recent Findings The IOP-29 literature now includes both simulation and criterion-group studies, independent replications, quantitative reviews, cross-cultural investigations, and comparative validity studies. Overall, findings across different symptom domains, research designs, countries, and language versions indicate that the IOP-29 discriminates credible from noncredible symptom presentations with very large mean effect sizes. In addition, updated pooled estimates showed that the standard cutoff of ≥ 0.50 yielded sensitivity and specificity estimates of 0.84 and 0.90, respectively. Summary The IOP-29 should no longer be viewed primarily as a new or emerging symptom validity test. Rather, the evidence reviewed here supports its use as a brief, psychometrically sound measure in clinical, forensic, psychological, and psychiatric assessment. Future research should now focus less on whether the IOP-29 works and more on how, when, and under what conditions it is most effectively used within a multimethod asse</w:t>
      </w:r>
    </w:p>
    <w:p>
      <w:pPr/>
      <w:r>
        <w:rPr>
          <w:b/>
        </w:rPr>
        <w:t>POSSIBLE 2026:</w:t>
      </w:r>
      <w:r>
        <w:t xml:space="preserve"> Does auditor−client geographic proximity influence key audit matters disclosures? — https://doi.org/10.1108/arj-08-2025-0284</w:t>
      </w:r>
    </w:p>
    <w:p>
      <w:pPr/>
      <w:r>
        <w:rPr>
          <w:b/>
        </w:rPr>
        <w:t>Shared claim-specific concepts:</w:t>
      </w:r>
      <w:r>
        <w:t xml:space="preserve"> key, findings, reported, rely, less; EU scope not established. This is a provisional connection, not an outcome finding.</w:t>
      </w:r>
    </w:p>
    <w:p>
      <w:pPr>
        <w:pStyle w:val="SourceNote"/>
      </w:pPr>
      <w:r>
        <w:rPr>
          <w:b/>
        </w:rPr>
        <w:t>Available abstract (not full text):</w:t>
      </w:r>
      <w:r>
        <w:t xml:space="preserve"> Purpose This study investigates whether auditor−client geographic proximity (ACGP) affects the key audit matters (KAMs) disclosures in the context of an emerging economy. Design/methodology/approach ACGP is measured using physical distance (kilometers) and travel time (minutes) between head offices, following prior studies, while KAMs are measured based on the quantity and words to explain KAMs disclosures. Data from 465 firm-year observations for the period 2018–2021 are collected and analyzed using panel regression and the results are explained in line with the communication theory. Findings The authors document a significant and negative association between ACGP, and both the number and the extent of KAMs reported. These results are robust to alternative measures of KAMs and ACGP. Geographic proximity between auditors and clients facilitates enhanced communication and provides auditors with an informational advantage, which can reduce perceived client risk and, in turn, lead to fewer and less extensive KAM disclosures. This negative association is particularly pronounced for smaller and lower-risk firms, likely because auditors of these firms face fewer complexities and challenges in assessing risk, allowing them to rely more on proximity-driven information advantages. Practical implications The findings have important implications for boards and audit committees, regulators</w:t>
      </w:r>
    </w:p>
    <w:p>
      <w:pPr/>
      <w:r>
        <w:rPr>
          <w:b/>
        </w:rPr>
        <w:t>POSSIBLE 2026:</w:t>
      </w:r>
      <w:r>
        <w:t xml:space="preserve"> Aortic Injury and Hemopericardium: Key Findings and Evaluation — https://doi.org/10.3348/jksr.2026.0065</w:t>
      </w:r>
    </w:p>
    <w:p>
      <w:pPr/>
      <w:r>
        <w:rPr>
          <w:b/>
        </w:rPr>
        <w:t>Shared claim-specific concepts:</w:t>
      </w:r>
      <w:r>
        <w:t xml:space="preserve"> key, findings, facilitate; EU scope not established. This is a provisional connection, not an outcome finding.</w:t>
      </w:r>
    </w:p>
    <w:p>
      <w:pPr>
        <w:pStyle w:val="SourceNote"/>
      </w:pPr>
      <w:r>
        <w:rPr>
          <w:b/>
        </w:rPr>
        <w:t>Available abstract (not full text):</w:t>
      </w:r>
      <w:r>
        <w:t xml:space="preserve"> Traumatic thoracic aortic injury and hemopericardium are among the most life-threatening conditions encountered in acute thoracic trauma care. CT angiography (CTA) is the cornerstone of evaluation in such cases, providing essential information for diagnosis, triage, and treatment planning. In traumatic aortic injury, key CTA findings, including the presence of an intimal flap, intramural hematoma, pseudoaneurysm, and contrast extravasation, form the basis of the Society for Vascular Surgery grading system and guide management. In patients with traumatic hemopericardium, CT attenuation characteristics, imaging features of cardiac tamponade, and associated cardiac injuries help determine the urgency and approach to intervention. Familiarity with common pitfalls and mimickers, including ductus diverticulum, mediastinal hematoma without aortic injury, and motion-related artifacts, is essential to avoid diagnostic errors. Structured reporting can facilitate communication of management-relevant findings and support timely decision-making. This review summarizes the imaging findings, grading systems, management implications, pitfalls, and structured reporting considerations for traumatic aortic injury and hemopericardium.</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pStyle w:val="Heading2"/>
      </w:pPr>
      <w:r>
        <w:t>577.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2026:</w:t>
      </w:r>
      <w:r>
        <w:t xml:space="preserve"> scClim: An interdisciplinary project for assessing hail risk and impacts across Europe in a changing climate — https://doi.org/10.5194/egusphere-egu26-20960</w:t>
      </w:r>
    </w:p>
    <w:p>
      <w:pPr/>
      <w:r>
        <w:rPr>
          <w:b/>
        </w:rPr>
        <w:t>Shared claim-specific concepts:</w:t>
      </w:r>
      <w:r>
        <w:t xml:space="preserve"> unique, modelling, framework, analyses, climate; EU scope visible. This is a provisional connection, not an outcome finding.</w:t>
      </w:r>
    </w:p>
    <w:p>
      <w:pPr>
        <w:pStyle w:val="SourceNote"/>
      </w:pPr>
      <w:r>
        <w:rPr>
          <w:b/>
        </w:rPr>
        <w:t>Available abstract (not full text):</w:t>
      </w:r>
      <w:r>
        <w:t xml:space="preserve"> Hail is the costliest weather-related hazard in Switzerland and a major driver of convective storm losses across Europe, yet large uncertainties remain about how hail and its impacts will evolve in a warming climate. Stakeholders, decision-makers, and public authorities require actionable information on hail risk to strengthen risk management and climate adaptation. This need motivated the Swiss research initiative scClim, which integrates expertise from multiple disciplines to advance the understanding of hail risk and its impacts in a changing climate across Europe. Over four years, scClim brought together research institutions, insurers, and public agencies to develop an integrated framework combining a unique hail observation network, open-source impact modelling, convection-permitting climate simulations, and a real-time interactive demonstrator platform developed with stakeholders. The platform provides hindcasts, forecasts, and impact estimates for vehicles, buildings, and crops using the CLIMADA risk-modelling framework. The climate simulations, generating 11-year hail climatologies for both present-day conditions and a +3 °C warming scenario, indicate increasing hail frequencies in northeastern Europe and decreasing frequencies in southwestern Europe. Hailstorm track analyses further reveal larger maximum hail sizes, more extensive hail swaths, and intensified precipit</w:t>
      </w:r>
    </w:p>
    <w:p>
      <w:pPr/>
      <w:r>
        <w:rPr>
          <w:b/>
        </w:rPr>
        <w:t>POSSIBLE 2026:</w:t>
      </w:r>
      <w:r>
        <w:t xml:space="preserve"> The FinTech effect: a comparative analysis of bank profitability in Europe and Asia — https://doi.org/10.1108/fdar-10-2025-0036</w:t>
      </w:r>
    </w:p>
    <w:p>
      <w:pPr/>
      <w:r>
        <w:rPr>
          <w:b/>
        </w:rPr>
        <w:t>Shared claim-specific concepts:</w:t>
      </w:r>
      <w:r>
        <w:t xml:space="preserve"> unique, same, infrastructure; EU scope visible. This is a provisional connection, not an outcome finding.</w:t>
      </w:r>
    </w:p>
    <w:p>
      <w:pPr>
        <w:pStyle w:val="SourceNote"/>
      </w:pPr>
      <w:r>
        <w:rPr>
          <w:b/>
        </w:rPr>
        <w:t>Available abstract (not full text):</w:t>
      </w:r>
      <w:r>
        <w:t xml:space="preserve"> Purpose This study investigates the divergent impact of financial technology (FinTech) on the profitability of incumbent commercial banks in Europe and Asia. It resolves contradictory findings in existing literature by demonstrating that FinTech's effect is context-contingent—moderated by regulatory stringency, customer entrenchment, and capital depth—rather than universally disruptive or complementary. Design/methodology/approach We analyze a unique panel dataset of 16 Global Systemically Important Banks (G-SIBs) and national champions across Europe and Asia from 2013 to 2023. To address endogeneity and the constraints of a small sample size (N = 16), we employ a parsimonious Dynamic Panel IV (Anderson-Hsiao) estimator alongside a static First-Difference model. Robustness is tested using Return on Assets (ROA). Findings The results reveal a stark regional divergence. In mature European markets, FinTech development shows no statistically significant impact on bank profitability (p = 0.7765), supporting the “Incumbent Resilience” hypothesis. Stringent frameworks like General Data Protection Regulation (GDPR) and PSD2 function as a “regulatory moat,” enabling European banks to co-opt innovation through superior capital resources and strategic acquisitions. Conversely, in dynamic Asian markets, FinTech exerts a highly significant negative impact on profitability (β = −0.1005, p = </w:t>
      </w:r>
    </w:p>
    <w:p>
      <w:pPr/>
      <w:r>
        <w:rPr>
          <w:b/>
        </w:rPr>
        <w:t>POSSIBLE 2026:</w:t>
      </w:r>
      <w:r>
        <w:t xml:space="preserve"> Towards a new model of asthma care in pharmacy: Assessing feasibility and enabling conditions — https://doi.org/10.82348/our-archive.00238</w:t>
      </w:r>
    </w:p>
    <w:p>
      <w:pPr/>
      <w:r>
        <w:rPr>
          <w:b/>
        </w:rPr>
        <w:t>Shared claim-specific concepts:</w:t>
      </w:r>
      <w:r>
        <w:t xml:space="preserve"> unique, framework, feasibility, three, available; EU scope not established. This is a provisional connection, not an outcome finding.</w:t>
      </w:r>
    </w:p>
    <w:p>
      <w:pPr>
        <w:pStyle w:val="SourceNote"/>
      </w:pPr>
      <w:r>
        <w:rPr>
          <w:b/>
        </w:rPr>
        <w:t>Available abstract (not full text):</w:t>
      </w:r>
      <w:r>
        <w:t xml:space="preserve"> BackgroundAsthma remains a major global public health challenge, affecting over 300 million individuals and contributing to significant morbidity, healthcare utilization, and avoidable mortality. Despite the availability of effective treatments, asthma control remains suboptimal for many patients due to a range of factors including poor adherence, environmental exposures, disparities in care access, and the heterogeneous nature of the disease. New Zealand has a high prevalence of asthma and one of the highest hospital admission rates for asthma among OECD countries. However, the impact on New Zealand Europeans is less so than on other ethnic groups, especially Māori and Pasifika, reflecting broad inequities in healthcare. AimThe aim of this research was to assess the feasibility of a new model of care in pharmacy for patients with asthma through a multifaceted approach that incorporates stakeholder engagement and patient-centred interventions. The overall research was guided by the findings from each study described in the individual chapters. Key objectives included the codesign of the model of care to implementation and assessment of its feasibility. The impact of the pharmacist-led intervention on medication adherence and symptom monitoring was secondary. By addressing biomedical and social determinants of health together with the engagement of the patient and their primary </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modelling, climate, available;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pStyle w:val="Heading2"/>
      </w:pPr>
      <w:r>
        <w:t>578.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579.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2026:</w:t>
      </w:r>
      <w:r>
        <w:t xml:space="preserve"> Development of biobanking infrastructure in Armenia: opportunities and challenges — https://doi.org/10.3389/fpubh.2025.1749588</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Biobanking has become a cornerstone of biomedical research and precision medicine, enabling population studies, biomarker discovery, and translational research. However, while high-income countries operate mature biobanking systems, middle-income and transitional economies encounter distinct barriers to establishing sustainable and internationally compatible infrastructures. This mini review examines the development of biobanking in Armenia as a representative middle-income case. It highlights key opportunities, such as strong diaspora scientific networks, a growing biotechnology sector, increasing national interest in precision medicine, and Armenia's strategic geographic position between Europe and Asia. At the same time, significant challenges persist, including limited funding, regulatory and ethical gaps, infrastructure constraints, shortages in specialized technical personnel, and socio-cultural barriers related to sample donation and data sharing. The review outlines strategic approaches adopted in Armenia, including international collaboration, capacity-building initiatives, and alignment with global best practices. Lessons from Armenia's experience may guide other middle-income and post-Soviet countries in developing effective and resilient biobanking systems.</w:t>
      </w:r>
    </w:p>
    <w:p>
      <w:pPr/>
      <w:r>
        <w:rPr>
          <w:b/>
        </w:rPr>
        <w:t>POSSIBLE 2026:</w:t>
      </w:r>
      <w:r>
        <w:t xml:space="preserve"> Empirical Insights into Multidimensional Development in European Regions — https://openalex.org/W7202434102</w:t>
      </w:r>
    </w:p>
    <w:p>
      <w:pPr/>
      <w:r>
        <w:rPr>
          <w:b/>
        </w:rPr>
        <w:t>Shared claim-specific concepts:</w:t>
      </w:r>
      <w:r>
        <w:t xml:space="preserve"> challenges, depend, progress; EU scope visible. This is a provisional connection, not an outcome finding.</w:t>
      </w:r>
    </w:p>
    <w:p>
      <w:pPr>
        <w:pStyle w:val="SourceNote"/>
      </w:pPr>
      <w:r>
        <w:rPr>
          <w:b/>
        </w:rPr>
        <w:t>Available abstract (not full text):</w:t>
      </w:r>
      <w:r>
        <w:t xml:space="preserve"> This doctoral thesis, Empirical Insights into Multidimensional Development in European Regions, examines how development can be more effectively conceptualized, measured, and analyzed in the context of contemporary economic, social, and environmental challenges. Moving beyond solely GDP as the dominant measure of progress, the thesis adopts a multidimensional perspective drawing on the human development paradigm, sustainable development, ecological economics, and regional science. It argues that economic growth alone does not adequately capture well-being, sustainability, equity, or environmental quality, and that development should instead be understood as an interconnected process involving economic, social, environmental, and institutional dimensions. A central contribution is the construction of a regional database covering all EU-27 NUTS2 regions over the period 2010–2019. The database integrates indicators of economic performance, social conditions, environmental impacts, and institutional quality, enabling analysis at a spatial scale that captures substantial within-country differences often overlooked by national-level measures. This regional perspective is particularly relevant to the European Union’s emphasis on place-based development and initiatives such as the European Green Deal and European Pillar of Social Rights. The empirical research comprises four interconne</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pStyle w:val="Heading2"/>
      </w:pPr>
      <w:r>
        <w:t>580.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2026:</w:t>
      </w:r>
      <w:r>
        <w:t xml:space="preserve"> Building anticipatory capacity for transformative resilience: Lessons from UK and EU applying strategic foresight in grand societal challenge-oriented regional policy — https://doi.org/10.1016/j.techsoc.2026.103453</w:t>
      </w:r>
    </w:p>
    <w:p>
      <w:pPr/>
      <w:r>
        <w:rPr>
          <w:b/>
        </w:rPr>
        <w:t>Shared claim-specific concepts:</w:t>
      </w:r>
      <w:r>
        <w:t xml:space="preserve"> strategic, foresight, goals; EU scope visible. This is a provisional connection, not an outcome finding.</w:t>
      </w:r>
    </w:p>
    <w:p>
      <w:pPr>
        <w:pStyle w:val="SourceNote"/>
      </w:pPr>
      <w:r>
        <w:rPr>
          <w:b/>
        </w:rPr>
        <w:t>Available abstract (not full text):</w:t>
      </w:r>
      <w:r>
        <w:t xml:space="preserve"> ABSTRACT Grand Societal Challenges (GSCs) require regional policymakers to develop new forms of anticipatory capacity. This is defined as the ability to navigate uncertainty, align diverse stakeholders and direct development towards long-term societal goals. This study argues that, when implemented throughout the entire policy cycle, strategic foresight is a vital tool for building such capacity and positioning regions for transformative resilience. Using an abductive, qualitative comparative case study design, the research examines three regional foresight processes in the Helsinki-Uusimaa region (Finland), Scotland (UK) and the Basque Country (Spain). The analysis is structured around three integrated dimensions: shared place-based understanding, anticipatory capacity, and reflexivity and monitoring. Rather than introducing new foresight components, the primary contribution lies in the integrated operationalisation of these established dimensions across the full policy cycle within GSC-oriented regional policy contexts. The findings suggest that all three regions use foresight to identify crisis-induced opportunities and align their assets with development priorities driven by challenges. However, their positions differ along the reorientation–transformation continuum. Helsinki-Uusimaa and Scotland primarily demonstrate reorientation, redirecting existing innovation system as</w:t>
      </w:r>
    </w:p>
    <w:p>
      <w:pPr/>
      <w:r>
        <w:rPr>
          <w:b/>
        </w:rPr>
        <w:t>POSSIBLE 2026:</w:t>
      </w:r>
      <w:r>
        <w:t xml:space="preserve"> Finnish pharmaceutical sector in the shifting geopolitics : European Union’s role in managing strategic dependencies — https://openalex.org/W7220772580</w:t>
      </w:r>
    </w:p>
    <w:p>
      <w:pPr/>
      <w:r>
        <w:rPr>
          <w:b/>
        </w:rPr>
        <w:t>Shared claim-specific concepts:</w:t>
      </w:r>
      <w:r>
        <w:t xml:space="preserve"> strategic, possible, responses; EU scope visible. This is a provisional connection, not an outcome finding.</w:t>
      </w:r>
    </w:p>
    <w:p>
      <w:pPr>
        <w:pStyle w:val="SourceNote"/>
      </w:pPr>
      <w:r>
        <w:rPr>
          <w:b/>
        </w:rPr>
        <w:t>Available abstract (not full text):</w:t>
      </w:r>
      <w:r>
        <w:t xml:space="preserve"> The main object of this research is to provide an understanding of the EU’s intermediate role of managing Finland’s strategic dependencies in pharmaceuticals, and how it reflects on the national economic security and security of supply. EU’s risk mitigating role is assessed in the light of stressed transatlantic relations followed by the tariff wars of early 2025 and China’s involvement in the active pharmaceutical ingredients’ (API) production as well as the trade war with the U.S. First, Finland’s position in the pharmaceutical supply chains is examined through Global Production Network (GPN) and network embeddedness theories. This provides a background on the structures behind the dependencies and power dynamics. After that, the nature of dependencies and possible interdependencies, as well as possibilities for weaponization are examined. Then these findings are framed into the political economy framework, and the vulnerabilities are observed through the process of securitization, linking the vulnerabilities to economic security and security of supply. Lastly, the EU level mechanisms are applied to the phenomenon. The literature review shows that political economy framework’s explanation of both the socio-economic and political factors stemming inside and outside the observed economy affect the industry performance and market outcome of the GPN. The internal socio-economic 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pStyle w:val="Heading2"/>
      </w:pPr>
      <w:r>
        <w:t>581.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2026:</w:t>
      </w:r>
      <w:r>
        <w:t xml:space="preserve"> Autochthonous transmission of dengue in Europe, with special attention to the Spanish context — https://doi.org/10.1017/s095026882610123x</w:t>
      </w:r>
    </w:p>
    <w:p>
      <w:pPr/>
      <w:r>
        <w:rPr>
          <w:b/>
        </w:rPr>
        <w:t>Shared claim-specific concepts:</w:t>
      </w:r>
      <w:r>
        <w:t xml:space="preserve"> presents, different, mobility, climate; EU scope visible. This is a provisional connection, not an outcome finding.</w:t>
      </w:r>
    </w:p>
    <w:p>
      <w:pPr>
        <w:pStyle w:val="SourceNote"/>
      </w:pPr>
      <w:r>
        <w:rPr>
          <w:b/>
        </w:rPr>
        <w:t>Available abstract (not full text):</w:t>
      </w:r>
      <w:r>
        <w:t xml:space="preserve"> Abstract Autochthonous transmission of dengue in southern Europe has emerged as a growing public health concern, especially in regions such as Spain, due to the expansion of mosquito vector species, such as Aedes albopictus and Aedes aegypti , introduced into these regions. This article presents an overview of the situation based on the analysis of the different reports published by international and national health agencies, together with key scientific studies on autochthonous transmission of dengue in Europe and Spain. Through this work, the factors considered to be contributing or hypothesized drivers of the spread of the virus on the European continent, such as climate change, human mobility, and the proliferation of mosquito vectors, are described. It explores the cases of autochthonous transmission documented in several European countries and Spain. In addition, the surveillance protocols implemented by Spanish health authorities and the health responses to outbreaks in Spain are also examined. Finally, the risk of future transmission in Spain is assessed, and strategies are proposed to strengthen epidemiological surveillance, improve preparedness for possible outbreaks, and optimize vector-control policies in the context of global change.</w:t>
      </w:r>
    </w:p>
    <w:p>
      <w:pPr/>
      <w:r>
        <w:rPr>
          <w:b/>
        </w:rPr>
        <w:t>POSSIBLE 2026:</w:t>
      </w:r>
      <w:r>
        <w:t xml:space="preserve"> Practices and Policies in the Sustainable Climate Transition of VOD. Avenues for European Union - Latin America cooperation — https://doi.org/10.5281/zenodo.20408754</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This publication presents key insights from the StreamSCAPES project, exploring the sustainable climate transition (SCT) within the European Video-on-Demand (VOD) ecosystem. Presented at the Cannes Film Market on May 13, 2026, the brief combines policy mapping across nine European nations with empirical data from five industry workshops and a series of expert interviews. By analysing sustainability challenges across production, distribution, and consumption, the text identifies critical regulatory gaps, outlines three urgent policy needs for European stakeholders (knowledge exchange, harmonisation, and addressing sectoral asymmetries), and proposes three strategic avenues to strengthen EU-Latin America cooperation in greening the digital infrastructure.</w:t>
      </w:r>
    </w:p>
    <w:p>
      <w:pPr/>
      <w:r>
        <w:rPr>
          <w:b/>
        </w:rPr>
        <w:t>POSSIBLE 2026:</w:t>
      </w:r>
      <w:r>
        <w:t xml:space="preserve"> A regulatory roadmap for electricity distribution remuneration under decarbonization: A European perspective — https://openalex.org/W7170992093</w:t>
      </w:r>
    </w:p>
    <w:p>
      <w:pPr/>
      <w:r>
        <w:rPr>
          <w:b/>
        </w:rPr>
        <w:t>Shared claim-specific concepts:</w:t>
      </w:r>
      <w:r>
        <w:t xml:space="preserve"> presents, series, different; EU scope visible. This is a provisional connection, not an outcome finding.</w:t>
      </w:r>
    </w:p>
    <w:p>
      <w:pPr>
        <w:pStyle w:val="SourceNote"/>
      </w:pPr>
      <w:r>
        <w:rPr>
          <w:b/>
        </w:rPr>
        <w:t>Available abstract (not full text):</w:t>
      </w:r>
      <w:r>
        <w:t xml:space="preserve"> The decarbonization objectives require substantial investment in electricity networks. In this context, combining traditional investment in grid infrastructure with smart-grid solutions is required to minimize consumers’ costs. Because electricity distribution is a regulated monopoly, the efficient combination of both solutions critically depends on the incentives embedded in remuneration schemes. This paper presents a regulatory roadmap to guide the reform of electricity distribution remuneration schemes in the European context. The roadmap establishes a series of priorities, ordered by their potential impact. The first step of the roadmap highlights the need to move from cost-of-service or hybrid approaches to revenue-cap or price-cap regulation to promote productive efficiency. The second step is to decouple ex-ante revenue or price calculation from the regulated company´s investment plans to mitigate allocative inefficiency. The third step is to promote efficient plans by enabling adaptable planning. The fourth step is to implement neutral OPEX/CAPEX neutral incentives by establishing different incentives for OPEX and CAPEX. The first two steps are urgent in the current decarbonization context. The third step has the potential to deliver significant savings if the previous steps are well addressed. Finally, the fourth step proposes a novel mechanism to establish neutral OPE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pStyle w:val="Heading2"/>
      </w:pPr>
      <w:r>
        <w:t>582.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2026:</w:t>
      </w:r>
      <w:r>
        <w:t xml:space="preserve"> Change from within? The strategies used by public officials to advance post-growth approaches — https://doi.org/10.48550/arxiv.2606.24439</w:t>
      </w:r>
    </w:p>
    <w:p>
      <w:pPr/>
      <w:r>
        <w:rPr>
          <w:b/>
        </w:rPr>
        <w:t>Shared claim-specific concepts:</w:t>
      </w:r>
      <w:r>
        <w:t xml:space="preserve"> government, officials, promote; EU scope visible. This is a provisional connection, not an outcome finding.</w:t>
      </w:r>
    </w:p>
    <w:p>
      <w:pPr>
        <w:pStyle w:val="SourceNote"/>
      </w:pPr>
      <w:r>
        <w:rPr>
          <w:b/>
        </w:rPr>
        <w:t>Available abstract (not full text):</w:t>
      </w:r>
      <w:r>
        <w:t xml:space="preserve"> Current societies face interconnected environmental and social crises. Post-growth research argues that addressing these challenges requires a reorganization of society around the priorities of environmental sustainability, social equity, and human wellbeing over economic growth. While scholars highlight the state's potential role in enabling post-growth transformations through changes from within government institutions, post-growth-minded public officials face tensions between aspiring for radical changes of established structures while working within these structures. To understand how public officials across contexts navigate this tension, we ask: How do post-growth-minded public officials promote post-growth approaches in their work? How do the strategies differ between civil servants and elected officials? What do these strategies reveal about the capacity of the state to advance post-growth transformations? To answer these questions, we interviewed 41 post-growth-minded civil servants and elected officials. Interviews covered seven European countries and local to supranational governance scales. We find that public officials aim to influence thinking and discourses as well as decision-making processes and the implementation of policies. Overall, elected officials tend to feel that they can be more outspoken in their activities whereas civil servants are more inclined to </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2025:</w:t>
      </w:r>
      <w:r>
        <w:t xml:space="preserve"> Environmental Institutional Determinants of Climate Behavior Among Taiwan’s Public Officials — https://doi.org/10.3390/cli13110219</w:t>
      </w:r>
    </w:p>
    <w:p>
      <w:pPr/>
      <w:r>
        <w:rPr>
          <w:b/>
        </w:rPr>
        <w:t>Shared claim-specific concepts:</w:t>
      </w:r>
      <w:r>
        <w:t xml:space="preserve"> officials, literacy; EU scope not established. This is a provisional connection, not an outcome finding.</w:t>
      </w:r>
    </w:p>
    <w:p>
      <w:pPr>
        <w:pStyle w:val="SourceNote"/>
      </w:pPr>
      <w:r>
        <w:rPr>
          <w:b/>
        </w:rPr>
        <w:t>Available abstract (not full text):</w:t>
      </w:r>
      <w:r>
        <w:t xml:space="preserve"> This study investigates how climate change literacy (CCL) and institutional contexts shape the climate-related behaviors of Taiwan’s public officials. Drawing on a 2024 national survey of 1,940 civil servants, we apply hierarchical and comparative regression analyses to examine the relative influence of knowledge, affective dispositions, and organizational supports. Results show that solution-oriented knowledge exerts greater behavioral influence than factual awareness. At the same time, affective resources—particularly self-efficacy and environmental identity—are the strongest and most consistent drivers of engagement. Institutional factors further condition these relationships: central officials’ behaviors are shaped by departmental mandates and bureaucratic constraints, whereas local officials rely more on supervisor support and prior project involvement. These findings integrate literacy research with institutional perspectives, demonstrating that effective climate governance requires both individual agency and enabling organizational contexts. Policy implications include strengthening leadership training, creating experiential learning opportunities, and streamlining administrative structures across governance levels to accelerate climate action.</w:t>
      </w:r>
    </w:p>
    <w:p>
      <w:pPr/>
      <w:r>
        <w:rPr>
          <w:b/>
        </w:rPr>
        <w:t>POSSIBLE 2025:</w:t>
      </w:r>
      <w:r>
        <w:t xml:space="preserve"> Public library services for migrants in national government policies across eight European countries: a comparative analysis — https://doi.org/10.47989/ir30colis52282</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Introduction. This study is the first to explore how public library services for migrants are prioritised in national government policies across eight European countries: Denmark, Finland, Germany, Hungary, Iceland, Norway, Poland and Sweden. Method. Using a comparative case study approach, the study analyses national library and immigration policy documents from the 1970s to the present, with qualitative content analysis identifying key themes and policy developments. Analysis. The research examines policy trends, recurring themes and country-specific differences, focusing on library services for migrants in national policies. Results. The study highlights variations in how library services are incorporated into national migration policies, and how library services for migrants are included in national library policies. Influencing factors include economic migration, humanitarian crises and policy shifts. Finland, Norway and Sweden have comprehensive national policies, while Denmark and Iceland have largely relied on local initiatives, and Hungary, Germany and Poland offer limited guidance. Conclusion. This paper lays the groundwork for future research, suggesting in-depth case studies to examine national challenges and the alignment between national policies and local practices.</w:t>
      </w:r>
    </w:p>
    <w:p>
      <w:pPr>
        <w:pStyle w:val="Heading2"/>
      </w:pPr>
      <w:r>
        <w:t>583.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584.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585.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2026:</w:t>
      </w:r>
      <w:r>
        <w:t xml:space="preserve"> Transition to the Green Economy. A Comparative Analysis of the European Program Life in Romania and Spain on the Greenhouse Gas Emissions — https://doi.org/10.25115/h29ty930</w:t>
      </w:r>
    </w:p>
    <w:p>
      <w:pPr/>
      <w:r>
        <w:rPr>
          <w:b/>
        </w:rPr>
        <w:t>Shared claim-specific concepts:</w:t>
      </w:r>
      <w:r>
        <w:t xml:space="preserve"> continue, two, transition, spain, between, green; EU scope visible. This is a provisional connection, not an outcome finding.</w:t>
      </w:r>
    </w:p>
    <w:p>
      <w:pPr>
        <w:pStyle w:val="SourceNote"/>
      </w:pPr>
      <w:r>
        <w:rPr>
          <w:b/>
        </w:rPr>
        <w:t>Available abstract (not full text):</w:t>
      </w:r>
      <w:r>
        <w:t xml:space="preserve"> Rising greenhouse gas emissions have led to extreme weather events, which have become increasingly frequent in recent years. These have serious consequences for people's lives and the global economy. In 2023, the European Union was the fourth largest emitter of greenhouse gases in the world. It is against this background that the Union is proposing a European Green Deal, aiming for climate neutrality, resource efficiency and economic competitiveness by 2050. This paper studies the impact of the European LIFE program which is one of the funding mechanisms of the Green Deal on the reduction of greenhouse gas emissions, focusing on the case study of Romania and Spain. The main aim is to determine whether LIFE funding contributes significantly to emission reductions by using econometric modeling to analyze various factors influencing emissions in the two selected countries, taking into account their socio-economic differences. The results of such a comparison between an economically developed country in Western Europe and an emerging economy in Eastern Europe may provide valuable insights into the impact of the EU's efforts to transition to a green economy, as well as the factors that continue to influence emissions in these distinct economies.</w:t>
      </w:r>
    </w:p>
    <w:p>
      <w:pPr/>
      <w:r>
        <w:rPr>
          <w:b/>
        </w:rPr>
        <w:t>POSSIBLE 2026:</w:t>
      </w:r>
      <w:r>
        <w:t xml:space="preserve"> Kuramoto Phase Synchronization in Regional Epidemic Dynamics: Two Test Cases from European COVID-19 and Influenza Surveillance — https://doi.org/10.48550/arxiv.2609.06899</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We test whether the Kuramoto model quantitatively describes spatial synchronization in regional epidemic waves, using daily COVID-19 incidence for 400 German \emph{Kreise} (2021--2023) and weekly ILI rates for 12 European countries (ECDC, 2021--2026). Bandpass filtering and Hilbert-transform phase extraction yield high global order parameters ($\langle r\rangle\approx0.87$ for Germany; $\langle r\rangle\approx0.97$ for Europe), yet both are dominated by a common-mode driver rather than pairwise local coupling. Removing the common mode reveals genuine short-range synchronization: an exponentially decaying residual local order with correlation length $ξ=152\pm6$~km in Germany, and a significant neighbor-vs.-non-neighbor contrast (Mann--Whitney $p=0.005$) in the European panel. We interpret this convergent pattern across two diseases and two spatial scales as a universal two-scale structure: a long-range common-mode field superimposed on shorter-range diffusive coupling. Cross-validation against a companion gauge-mediated Doi--Peliti framework shows that district-level effective screening mass $m_R$ is uncorrelated with local~$r$ (null result), the national $(m_R,r)$ phase portrait independently reproduces a previously reported hysteresis loop, and pairwise phase lags quantitatively match fractional-calculus predictions. A frequency--degree correlation provides the structural sign</w:t>
      </w:r>
    </w:p>
    <w:p>
      <w:pPr/>
      <w:r>
        <w:rPr>
          <w:b/>
        </w:rPr>
        <w:t>POSSIBLE 2026:</w:t>
      </w:r>
      <w:r>
        <w:t xml:space="preserve"> Distribution and Shared Pathogenicity of Small‐Spored Alternaria on Solanaceous Crops in Europe — https://doi.org/10.1111/ppa.70296</w:t>
      </w:r>
    </w:p>
    <w:p>
      <w:pPr/>
      <w:r>
        <w:rPr>
          <w:b/>
        </w:rPr>
        <w:t>Shared claim-specific concepts:</w:t>
      </w:r>
      <w:r>
        <w:t xml:space="preserve"> two, ecological, based; EU scope visible. This is a provisional connection, not an outcome finding.</w:t>
      </w:r>
    </w:p>
    <w:p>
      <w:pPr>
        <w:pStyle w:val="SourceNote"/>
      </w:pPr>
      <w:r>
        <w:rPr>
          <w:b/>
        </w:rPr>
        <w:t>Available abstract (not full text):</w:t>
      </w:r>
      <w:r>
        <w:t xml:space="preserve"> ABSTRACT Small‐spored Alternaria species such as A. alternata and A. arborescens are frequently isolated from diseased potato and tomato plants. However, their respective host ranges and pathogenic behaviours remain poorly resolved, and it is unclear whether their occurrence across hosts reflects true specialisation or ecological opportunism. Limited genetic differentiation among these closely related taxa further complicates their classification as primary necrotrophs or secondary colonisers. In this study, we analysed natural populations of small‐spored Alternaria from Germany, Poland and Serbia using molecular phylogenetics, morphological characterisation and controlled infection assays to clarify species identity, host associations and pathogenic potential. Both A. alternata and A. arborescens were detected across all regions and hosts, indicating broad distribution and ecological overlap. The two species were consistently isolated from foliar lesions and were each capable of causing characteristic Alternaria brown‐spot (ABS) symptoms, thereby fulfilling Koch's postulates. Phylogenetic analyses based on Alt A1 and RPB2 loci resolved two well‐supported species clades and revealed extensive haplotype sharing across more than 1300 km, multiple hosts and diverse climates, suggesting high gene flow and limited population structure. The consistent co‐occurrence and comparable pat</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Contribution to an Ecological Worldview: Adaptation and validation of the New Ecological Paradigm Scale to the European Portuguese language — https://doi.org/10.1016/j.erap.2023.100964</w:t>
      </w:r>
    </w:p>
    <w:p>
      <w:pPr/>
      <w:r>
        <w:rPr>
          <w:b/>
        </w:rPr>
        <w:t>Shared claim-specific concepts:</w:t>
      </w:r>
      <w:r>
        <w:t xml:space="preserve"> two, ecological, between; EU scope visible. This is a provisional connection, not an outcome finding.</w:t>
      </w:r>
    </w:p>
    <w:p>
      <w:pPr>
        <w:pStyle w:val="SourceNote"/>
      </w:pPr>
      <w:r>
        <w:rPr>
          <w:b/>
        </w:rPr>
        <w:t>Available abstract (not full text):</w:t>
      </w:r>
      <w:r>
        <w:t xml:space="preserve"> The growing need for societies to adopt a more ecological and sustainable mindset highlights the importance of instruments such as the 15-item New Ecological Paradigm Scale (NEP Scale). The scale measures the individuals’ endorsement of an ecological worldview, contrasting with the perspective of human dominance and exemptionalism. This study aimed to validate the European Portuguese version of the NEP Scale using a cross-validation approach. The total sample, consisting of 511 participants (56.4% women; aged between 18-73 years old), was split into two halves, with the first half used to perform an exploratory factor analysis (EFA) to refine the scale, and the second half to perform a confirmatory factor analysis (CFA). The EFA revealed a 14- item two-factor latent structure, which was subsequently confirmed through CFA (CFI = 0.98; TLI = 0.97; RMSEA = 0.04; SRMR = 0.06). Internal consistency was assessed using Cronbach's alpha (α) and McDonald's omega (ωs), with factor 1 (Ecocentrism; α = .88; ωs = .87), and factor 2 (Anthropocentrism; α = .80; ωs = .81) showing strong internal consistency. Significant moderate correlations between both NEP Scale dimensions and the Ecologically Conscious Consumer Behavior (ECCB) scale (r1 = .383; r2 = .313) provided convergent evidence for construct validity. The correlation between NEP dimensions was .70, indicating an acceptable discriminan</w:t>
      </w:r>
    </w:p>
    <w:p>
      <w:pPr/>
      <w:r>
        <w:rPr>
          <w:b/>
        </w:rPr>
        <w:t>POSSIBLE 2025:</w:t>
      </w:r>
      <w:r>
        <w:t xml:space="preserve"> The health-economic burden of hip and knee periprosthetic joint infections in Europe — https://doi.org/10.1302/2633-1462.63.bjo-2024-0225.r1</w:t>
      </w:r>
    </w:p>
    <w:p>
      <w:pPr/>
      <w:r>
        <w:rPr>
          <w:b/>
        </w:rPr>
        <w:t>Shared claim-specific concepts:</w:t>
      </w:r>
      <w:r>
        <w:t xml:space="preserve"> based, calculation, evaluate; EU scope visible. This is a provisional connection, not an outcome finding.</w:t>
      </w:r>
    </w:p>
    <w:p>
      <w:pPr>
        <w:pStyle w:val="SourceNote"/>
      </w:pPr>
      <w:r>
        <w:rPr>
          <w:b/>
        </w:rPr>
        <w:t>Available abstract (not full text):</w:t>
      </w:r>
      <w:r>
        <w:t xml:space="preserve"> Aims: Periprosthetic joint infections (PJIs) pose significant challenges to patients and healthcare systems worldwide. The aim of this study was to estimate the health-economic burden of reimbursement payment in Europe for PJIs following primary hip and knee arthroplasty. Methods: The calculation was based on health-economic modelling using data on primary hip and knee arthroplasties for the year 2019 from the Statistical Office of the European Union (Eurostat) and published infection rates to estimate the total number of hip and knee PJIs in 30 European countries. Revision procedures were stratified into: 1) debridement, antibiotics, and implant retention (DAIR); 2) one-stage exchange; and 3) two-stage revision procedures. The cases were then multiplied by the respective healthcare system reimbursement payments. Payment data were acquired from a survey of 13 countries (Austria, Croatia, France, Germany, Italy, Lithuania, Netherlands, Norway, Portugal, Slovenia, Switzerland, Turkey, and the UK) and extrapolated for the remaining countries. Results: In 2019, a total of 2,048,778 primary total joint replacements were performed (total hip arthroplasty (THA) = 1,147,316 and total knee arthroplasty (TKA) = 901,462), with an estimated 20,416 cases of PJIs (11,131 hip and 9,285 knee) in Europe. This results in an estimated total reimbursement burden of €346,262,026 for European health</w:t>
      </w:r>
    </w:p>
    <w:p>
      <w:pPr>
        <w:pStyle w:val="Heading2"/>
      </w:pPr>
      <w:r>
        <w:t>586. Assessing future sustainability and resilience of farming systems with a participatory method: A case study on extensive sheep farming in Huesca, Spain</w:t>
      </w:r>
    </w:p>
    <w:p>
      <w:pPr>
        <w:pStyle w:val="SourceNote"/>
      </w:pPr>
      <w:r>
        <w:rPr>
          <w:b/>
        </w:rPr>
        <w:t>Original source (2021):</w:t>
      </w:r>
      <w:r>
        <w:t xml:space="preserve"> https://doi.org/10.1016/j.ecolind.2021.108236</w:t>
      </w:r>
    </w:p>
    <w:p>
      <w:pPr/>
      <w:r>
        <w:t>Original wording (abstract; indexed_source_text_not_full_document_verified):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POSSIBLE 2026:</w:t>
      </w:r>
      <w:r>
        <w:t xml:space="preserve"> WHO/Euro HIS assessment methodology — https://doi.org/10.1093/eurpub/ckag169.370</w:t>
      </w:r>
    </w:p>
    <w:p>
      <w:pPr/>
      <w:r>
        <w:rPr>
          <w:b/>
        </w:rPr>
        <w:t>Shared claim-specific concepts:</w:t>
      </w:r>
      <w:r>
        <w:t xml:space="preserve"> methodology, includes, assessment, performance, system, systems; EU scope visible. This is a provisional connection, not an outcome finding.</w:t>
      </w:r>
    </w:p>
    <w:p>
      <w:pPr>
        <w:pStyle w:val="SourceNote"/>
      </w:pPr>
      <w:r>
        <w:rPr>
          <w:b/>
        </w:rPr>
        <w:t>Available abstract (not full text):</w:t>
      </w:r>
      <w:r>
        <w:t xml:space="preserve"> Abstract WHO’s ‘Support tool to strengthen health information systems: Guidance for health information system assessment and strategy development’ was first published in 2015 and updated in 2021 and 2024. At the time of writing, it has been applied almost 40 times in 26 Member States of the WHO European Region. The tool has two main parts: guidance for performing an HIS assessment and guidance for the subsequent stepwise development of an HIS strategy. The assessment methodology aims to achieve a good balance between data collection and actual data use and reflects the growing importance of electronic health records and other digital solutions. It comprises a core module, which provides an overall assessment of the performance of the entire national HIS, and several add-on modules, which provide support for a more in-depth assessment of specific HIS functions. The core module covers five domains: data collection; analysis; health reporting; knowledge translation; and governance and resources. Data for the assessment is collected by means of a combination of desk review and semi-structured key informant interviews. Data gathering is supported by an item sheet, which includes for each domain a set of main questions, which are subdivided into more detailed probing questions. For each probing question, a description is given of what the situation would be like in a fully matured HI</w:t>
      </w:r>
    </w:p>
    <w:p>
      <w:pPr/>
      <w:r>
        <w:rPr>
          <w:b/>
        </w:rPr>
        <w:t>POSSIBLE 2026:</w:t>
      </w:r>
      <w:r>
        <w:t xml:space="preserve"> Cross-border healthcare system function, performance and cooperation in Europe: a scoping review protocol — https://doi.org/10.1136/bmjopen-2026-117613</w:t>
      </w:r>
    </w:p>
    <w:p>
      <w:pPr/>
      <w:r>
        <w:rPr>
          <w:b/>
        </w:rPr>
        <w:t>Shared claim-specific concepts:</w:t>
      </w:r>
      <w:r>
        <w:t xml:space="preserve"> methodology, assessment, performance, system; EU scope visible. This is a provisional connection, not an outcome finding.</w:t>
      </w:r>
    </w:p>
    <w:p>
      <w:pPr>
        <w:pStyle w:val="SourceNote"/>
      </w:pPr>
      <w:r>
        <w:rPr>
          <w:b/>
        </w:rPr>
        <w:t>Available abstract (not full text):</w:t>
      </w:r>
      <w:r>
        <w:t xml:space="preserve"> INTRODUCTION: Cross-border collaboration in healthcare has become increasingly important in the context of European integration, particularly in border regions where institutional and health system interactions are most pronounced. These regions offer opportunities for joint healthcare provision, patient and workforce mobility and shared use of resources. However, healthcare governance largely remains a national responsibility, introducing administrative, legal and institutional barriers to coordinated care. This review will examine the structures and mechanisms in place for cooperation and will map the available evidence relevant to the functions of cross-border healthcare in Europe using the Health System Performance Assessment framework. METHODS AND ANALYSIS: This scoping review will follow the Joanna Briggs Institute methodology and the Preferred Reporting Items for Systematic Reviews and Meta-Analyses extension for Scoping Reviews. Eligibility will be determined using the Population-Concept-Context approach. A three-step search strategy will include an initial limited search, comprehensive searches across six databases (PubMed, Web of Science, Medline, Embase, Global Health, Scopus) and grey literature searching. Two reviewers will independently screen studies via Covidence. Data will be extracted using a standardised form and synthesised descriptively. AI tools can assist</w:t>
      </w:r>
    </w:p>
    <w:p>
      <w:pPr/>
      <w:r>
        <w:rPr>
          <w:b/>
        </w:rPr>
        <w:t>POSSIBLE 2026:</w:t>
      </w:r>
      <w:r>
        <w:t xml:space="preserve"> Methodological considerations in plastics-related life cycle assessment — https://openalex.org/W7213573784</w:t>
      </w:r>
    </w:p>
    <w:p>
      <w:pPr/>
      <w:r>
        <w:rPr>
          <w:b/>
        </w:rPr>
        <w:t>Shared claim-specific concepts:</w:t>
      </w:r>
      <w:r>
        <w:t xml:space="preserve"> methodology, includes, assessment; EU scope visible. This is a provisional connection, not an outcome finding.</w:t>
      </w:r>
    </w:p>
    <w:p>
      <w:pPr>
        <w:pStyle w:val="SourceNote"/>
      </w:pPr>
      <w:r>
        <w:rPr>
          <w:b/>
        </w:rPr>
        <w:t>Available abstract (not full text):</w:t>
      </w:r>
      <w:r>
        <w:t xml:space="preserve"> This report includes guidance for dealing with key issues in the assessment of environmental impacts of products and processes within the framework of the PlastLIFE project, which aims to establish a safe and sustainable circular economy for plastics in Finland by 2035. The starting point for the assessment methodology is the Product Environmental Footprint (PEF) framework developed by the European Union. The report clarifies this framework and discusses whether deviations from the PEF methodology should be made in the PlastLIFE project. The focus is on key issues identified in a dialogue with project participants, such as the assessment of littering and microplastics, the choice between attributional and consequential LCA, co-product allocation, waste management and recycling, dynamic modelling, electricity, and chain-of-custody (CoC) approaches. The report discusses the pros and cons of different methodological options but leaves the final decision on methods to the LCA practitioner in PlastLIFE. The PEF framework should be considered the default approach and deviations from this framework should be transparently reported and justified. Further research is warranted on most of these methodological issues. It would be particularly interesting to: - investigate when the Circular Footprint Formula (CFF) can be replaced by a simpler method without loss of important information (s</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 Methodological Approach to Address Economic Vulnerability to Wildfires in Europe — https://doi.org/10.3390/fire8100379</w:t>
      </w:r>
    </w:p>
    <w:p>
      <w:pPr/>
      <w:r>
        <w:rPr>
          <w:b/>
        </w:rPr>
        <w:t>Shared claim-specific concepts:</w:t>
      </w:r>
      <w:r>
        <w:t xml:space="preserve"> assessment, step, critical, resilience; EU scope visible. This is a provisional connection, not an outcome finding.</w:t>
      </w:r>
    </w:p>
    <w:p>
      <w:pPr>
        <w:pStyle w:val="SourceNote"/>
      </w:pPr>
      <w:r>
        <w:rPr>
          <w:b/>
        </w:rPr>
        <w:t>Available abstract (not full text):</w:t>
      </w:r>
      <w:r>
        <w:t xml:space="preserve"> The assessment of the economic vulnerability of natural disasters is a necessary step in the evaluation of any risks. This study proposes the approach implemented under the H2020 FirEurisk project to value the economic damage of wildfires on a European scale. Economic damage is assessed as the net value change in natural (agricultural and forestry resources and their ecosystem services) and manufactured assets under simulated fire intensity, taking into consideration the time necessary for natural capital to recover to the pre-damaged conditions. We show minimum, maximum, and average damage for European countries and map the critical areas. Damages to provisioning-ecosystem services are more pronounced in Central Europe because of the lower resilience of ecosystems compared to the Mediterranean, suggesting that mitigation measures (such as managing vegetation to reduce fuel; improving access to fire services; and engaging communities through education, agriculture, and forest management participation) must be enforced. We are confident that the approach proposed may stimulate further research to test the goodness of the estimates proposed and suggest where it is more appropriate to invest in fire prevention.</w:t>
      </w:r>
    </w:p>
    <w:p>
      <w:pPr/>
      <w:r>
        <w:rPr>
          <w:b/>
        </w:rPr>
        <w:t>POSSIBLE 2025:</w:t>
      </w:r>
      <w:r>
        <w:t xml:space="preserve"> ESG Performance and Economic Growth in Europe — https://doi.org/10.1002/sd.70141</w:t>
      </w:r>
    </w:p>
    <w:p>
      <w:pPr/>
      <w:r>
        <w:rPr>
          <w:b/>
        </w:rPr>
        <w:t>Shared claim-specific concepts:</w:t>
      </w:r>
      <w:r>
        <w:t xml:space="preserve"> performance, large, alternative; EU scope visible. This is a provisional connection, not an outcome finding.</w:t>
      </w:r>
    </w:p>
    <w:p>
      <w:pPr>
        <w:pStyle w:val="SourceNote"/>
      </w:pPr>
      <w:r>
        <w:rPr>
          <w:b/>
        </w:rPr>
        <w:t>Available abstract (not full text):</w:t>
      </w:r>
      <w:r>
        <w:t xml:space="preserve"> ABSTRACT This study evaluates environmental, social, and governance (ESG) performance at the country level as well as the relationship between this factor and economic growth by reference to a large sample of European countries over the period 2011–2020. As the measurement of ESG performance is an emerging concept, we consider a range of indicators that can be used to evaluate this factor on the basis of alternative methodologies, thus allowing us to check the robustness of the results. This approach reveals that countries that joined the European Union (EU) in 2004 or later exhibited lower levels of ESG performance than did countries in Western Europe; however, the decisive factors in this context are social and governance issues rather than environmental issues. These indications are robust across various settings. Further results reveal the existence of Granger causality between ESG performance and economic growth; however, ESG performance is revealed to impact economic growth only in the middle to long term.</w:t>
      </w:r>
    </w:p>
    <w:p>
      <w:pPr/>
      <w:r>
        <w:rPr>
          <w:b/>
        </w:rPr>
        <w:t>POSSIBLE 2025:</w:t>
      </w:r>
      <w:r>
        <w:t xml:space="preserve"> D4.6-LCA-methodology-to-include-secondary-flows-in-CPS — https://doi.org/10.5281/zenodo.23096804</w:t>
      </w:r>
    </w:p>
    <w:p>
      <w:pPr/>
      <w:r>
        <w:rPr>
          <w:b/>
        </w:rPr>
        <w:t>Shared claim-specific concepts:</w:t>
      </w:r>
      <w:r>
        <w:t xml:space="preserve"> methodology, assessment, critical, system, sustainability; EU scope visible. This is a provisional connection, not an outcome finding.</w:t>
      </w:r>
    </w:p>
    <w:p>
      <w:pPr>
        <w:pStyle w:val="SourceNote"/>
      </w:pPr>
      <w:r>
        <w:rPr>
          <w:b/>
        </w:rPr>
        <w:t>Available abstract (not full text):</w:t>
      </w:r>
      <w:r>
        <w:t xml:space="preserve"> This document provides methodological guidance for conducting life cycle assessments (LCAs) within the context of the CERA 4in1 certification system, facilitating compliance with the EU Battery Regulation and Critical Raw Materials Act and enhancing interoperability with other existing standards and guidelines. The guidance is tailored to the domain surrounding critical raw materials for energy applications, namely batteries and rare earth magnets. The guidance is classified into general aspects concerning the complete supply chain of batteries and magnets, and specific aspects concerning the supply chain of four key commodities: lithium, cobalt, natural graphite, and neodymium. The addressed aspects include considerations relevant to primary and secondary materials. To develop this document, we first performed a focused literature review of a selection of European regulations, guidelines and standards. The main objective of the review was to ensure that the LCA methodology proposed in MaDiTraCe aligns with established LCA standards and guidelines to an optimal degree and to identify methodological areas of opportunity. The screened literature consisted of focused exploratory queries that were expanded with the input of an interdisciplinary group of experts. Many sustainability framework documents refer to the LCA thinking framework. However, we excluded most of these framework</w:t>
      </w:r>
    </w:p>
    <w:p>
      <w:pPr/>
      <w:r>
        <w:rPr>
          <w:b/>
        </w:rPr>
        <w:t>POSSIBLE 2024:</w:t>
      </w:r>
      <w:r>
        <w:t xml:space="preserve"> Multi-hazard risk assessment methodology for European coastal cities — https://openalex.org/W7152947666</w:t>
      </w:r>
    </w:p>
    <w:p>
      <w:pPr/>
      <w:r>
        <w:rPr>
          <w:b/>
        </w:rPr>
        <w:t>Shared claim-specific concepts:</w:t>
      </w:r>
      <w:r>
        <w:t xml:space="preserve"> methodology, includes, assessment, critical, resilience; EU scope visible. This is a provisional connection, not an outcome finding.</w:t>
      </w:r>
    </w:p>
    <w:p>
      <w:pPr>
        <w:pStyle w:val="SourceNote"/>
      </w:pPr>
      <w:r>
        <w:rPr>
          <w:b/>
        </w:rPr>
        <w:t>Available abstract (not full text):</w:t>
      </w:r>
      <w:r>
        <w:t xml:space="preserve"> The focus of this thesis is on the risk assessment of multiple climate-related hazards in European coastal cities, a crucial issue given the intensifying impacts of climate change. European coastal cities are particularly vulnerable to a variety of climate-related hazards, such as sea-level rise, coastal erosion, and extreme weather events, which are becoming more frequent and severe due to global warming. Despite the pressing nature of these risks, there has been a notable lack of comprehensive tools to evaluate and compare the risks faced by different cities. This research addresses that gap by developing a novel index-based methodology for climate risk assessment that is specifically tailored to European coastal cities. One of the key features of the methodology developed in this thesis is its universality within the context of European coastal cities. Unlike other approaches that may be limited to specific types of hazards or localized contexts, this methodology encompasses a wide range of climate-related hazards, making it applicable to diverse coastal environments across Europe. This broad scope allows for a systematic and homogenized analysis of climate risks, which in turn facilitates direct comparisons between cities. Such comparative analysis is essential for informing policy decisions related to resource distribution and climate risk management. By identifying which </w:t>
      </w:r>
    </w:p>
    <w:p>
      <w:pPr/>
      <w:r>
        <w:rPr>
          <w:b/>
        </w:rPr>
        <w:t>POSSIBLE 2024:</w:t>
      </w:r>
      <w:r>
        <w:t xml:space="preserve"> ELSMOR – towards European Licensing of Small Modular Reactors: Methodology recommendations for light-water small modular reactors safety assessment — https://doi.org/10.12688/openreseurope.16360.2</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•Methodological standpoints: safety goals, safety requirements, safety principles (defence-in-depth implementation);•Main safety functions of reactivity control, decay heat removal and confinement management;•Se</w:t>
      </w:r>
    </w:p>
    <w:p>
      <w:pPr/>
      <w:r>
        <w:rPr>
          <w:b/>
        </w:rPr>
        <w:t>POSSIBLE 2024:</w:t>
      </w:r>
      <w:r>
        <w:t xml:space="preserve"> Towards harmonising energy performance certificate indicators in Europe — https://doi.org/10.1016/j.jobe.2024.110323</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2024:</w:t>
      </w:r>
      <w:r>
        <w:t xml:space="preserve"> The methodology of quantitative risk assessment studies — https://doi.org/10.1186/s12940-023-01039-x</w:t>
      </w:r>
    </w:p>
    <w:p>
      <w:pPr/>
      <w:r>
        <w:rPr>
          <w:b/>
        </w:rPr>
        <w:t>Shared claim-specific concepts:</w:t>
      </w:r>
      <w:r>
        <w:t xml:space="preserve"> methodology, assessment, expected; EU scope not established. This is a provisional connection, not an outcome finding.</w:t>
      </w:r>
    </w:p>
    <w:p>
      <w:pPr>
        <w:pStyle w:val="SourceNote"/>
      </w:pPr>
      <w:r>
        <w:rPr>
          <w:b/>
        </w:rPr>
        <w:t>Available abstract (not full text):</w:t>
      </w:r>
      <w:r>
        <w:t xml:space="preserve"> Once an external factor has been deemed likely to influence human health and a dose response function is available, an assessment of its health impact or that of policies aimed at influencing this and possibly other factors in a specific population can be obtained through a quantitative risk assessment, or health impact assessment (HIA) study. The health impact is usually expressed as a number of disease cases or disability-adjusted life-years (DALYs) attributable to or expected from the exposure or policy. We review the methodology of quantitative risk assessment studies based on human data. The main steps of such studies include definition of counterfactual scenarios related to the exposure or policy, exposure(s) assessment, quantification of risks (usually relying on literature-based dose response functions), possibly economic assessment, followed by uncertainty analyses. We discuss issues and make recommendations relative to the accuracy and geographic scale at which factors are assessed, which can strongly influence the study results. If several factors are considered simultaneously, then correlation, mutual influences and possibly synergy between them should be taken into account. Gaps or issues in the methodology of quantitative risk assessment studies include 1) proposing a formal approach to the quantitative handling of the level of evidence regarding each exposure-hea</w:t>
      </w:r>
    </w:p>
    <w:p>
      <w:pPr/>
      <w:r>
        <w:rPr>
          <w:b/>
        </w:rPr>
        <w:t>POSSIBLE 2024:</w:t>
      </w:r>
      <w:r>
        <w:t xml:space="preserve"> European Partnership on the Assessment of Risks from Chemicals (PARC): Focus on New Approach Methodologies (NAMs) in Risk Assessment — https://doi.org/10.3389/978-2-8325-5338-1</w:t>
      </w:r>
    </w:p>
    <w:p>
      <w:pPr/>
      <w:r>
        <w:rPr>
          <w:b/>
        </w:rPr>
        <w:t>Shared claim-specific concepts:</w:t>
      </w:r>
      <w:r>
        <w:t xml:space="preserve"> assessment, current, permanent, system; EU scope visible.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pStyle w:val="Heading2"/>
      </w:pPr>
      <w:r>
        <w:t>587.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2026:</w:t>
      </w:r>
      <w:r>
        <w:t xml:space="preserve"> Asset prices and durable spending in Central and Eastern Europe — https://doi.org/10.1007/s10663-026-09676-4</w:t>
      </w:r>
    </w:p>
    <w:p>
      <w:pPr/>
      <w:r>
        <w:rPr>
          <w:b/>
        </w:rPr>
        <w:t>Shared claim-specific concepts:</w:t>
      </w:r>
      <w:r>
        <w:t xml:space="preserve"> further, lower, consumption; EU scope visible. This is a provisional connection, not an outcome finding.</w:t>
      </w:r>
    </w:p>
    <w:p>
      <w:pPr>
        <w:pStyle w:val="SourceNote"/>
      </w:pPr>
      <w:r>
        <w:rPr>
          <w:b/>
        </w:rPr>
        <w:t>Available abstract (not full text):</w:t>
      </w:r>
      <w:r>
        <w:t xml:space="preserve"> Abstract This paper analyses the effect of asset price changes on durable consumption in 11 Central and Eastern European economies from the European Union from 2000Q1 to 2023Q2. Using the method of moments quantile regression for panel data, we find that declines in house prices lead to decreases in durable consumption spending, which are more pronounced among lower-spending households who also show greater sensitivity to stock price declines than higher-spending ones. In contrast, higher-spending households react more prominently to house price increases, underscoring the asymmetric nature of wealth effects. Additionally, monetary and fiscal indicators, such as rising interest rates and public debt, are associated with reduced consumer confidence, further dampening consumption across all durable spending levels. Wealth inequality constrains durable spending, especially in the lower quantiles, while an ageing population slightly boosts consumption in lower expenditure quantiles, reflecting a more cautious approach to spending. These findings highlight the importance of targeted policy measures to stabilise consumption, address wealth inequality, and mitigate the financial vulnerabilities of households at the lower end of the durable spending distribution.</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pStyle w:val="Heading2"/>
      </w:pPr>
      <w:r>
        <w:t>588.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2026:</w:t>
      </w:r>
      <w:r>
        <w:t xml:space="preserve"> Global and Regional Burden of Crohn’s Disease (1990-2023): A Global Burden of Disease Study Analysis — https://doi.org/10.7759/cureus.113724</w:t>
      </w:r>
    </w:p>
    <w:p>
      <w:pPr/>
      <w:r>
        <w:rPr>
          <w:b/>
        </w:rPr>
        <w:t>Shared claim-specific concepts:</w:t>
      </w:r>
      <w:r>
        <w:t xml:space="preserve"> data, burden, disease, gbd, between, conclusion; EU scope not established. This is a provisional connection, not an outcome finding.</w:t>
      </w:r>
    </w:p>
    <w:p>
      <w:pPr>
        <w:pStyle w:val="SourceNote"/>
      </w:pPr>
      <w:r>
        <w:rPr>
          <w:b/>
        </w:rPr>
        <w:t>Available abstract (not full text):</w:t>
      </w:r>
      <w:r>
        <w:t xml:space="preserve"> BACKGROUND: Crohn's disease (CD) is an inflammatory bowel disease (IBD) that has evolved into a global health concern, with a rising cumulative burden that makes periodic, up-to-date quantification essential for health-system planning. In recent decades, its incidence has stabilized in early-industrialized regions while rising rapidly in newly industrialized ones, resulting in an increasing cumulative disease burden in high-income regions. This epidemiological transition necessitates precise burden estimation to inform strategic health policies. METHODS: The study was conducted using openly available modeled estimates from the Global Burden of Disease (GBD) 2023 study, in an independent effort to analyze the regional and global burden of CD from 1990 to 2023. This analysis was conducted in accordance with the Guidelines for Accurate and Transparent Health Estimates Reporting. Main outcome measures were disability-adjusted life years (DALYs), years of life lost (YLLs), and years lived with disability (YLDs), expressed as absolute values and age-standardized rates per 100,000 people across 21 GBD regions. The contributions of population growth and age-standardized rate change to the observed DALY were examined after being separated using a two-component decomposition, in addition to the temporal patterns across the whole period. YLLs and YLDs were calculated for each year, and fo</w:t>
      </w:r>
    </w:p>
    <w:p>
      <w:pPr/>
      <w:r>
        <w:rPr>
          <w:b/>
        </w:rPr>
        <w:t>POSSIBLE 2026:</w:t>
      </w:r>
      <w:r>
        <w:t xml:space="preserve"> Nonfatal Burden of Disease and Risk-Attributable Burden in Romania, 1990 to 2023: A Secondary Analysis of Global Burden of Disease 2023 Estimates — https://doi.org/10.3390/healthcare14183035</w:t>
      </w:r>
    </w:p>
    <w:p>
      <w:pPr/>
      <w:r>
        <w:rPr>
          <w:b/>
        </w:rPr>
        <w:t>Shared claim-specific concepts:</w:t>
      </w:r>
      <w:r>
        <w:t xml:space="preserve"> burden, disease, gbd, between; EU scope visible. This is a provisional connection, not an outcome finding.</w:t>
      </w:r>
    </w:p>
    <w:p>
      <w:pPr>
        <w:pStyle w:val="SourceNote"/>
      </w:pPr>
      <w:r>
        <w:rPr>
          <w:b/>
        </w:rPr>
        <w:t>Available abstract (not full text):</w:t>
      </w:r>
      <w:r>
        <w:t xml:space="preserve"> Background/Objectives: We assessed changes in nonfatal disease burden and risk attribution in Romania between 1990 and 2023. Methods: We analysed Global Burden of Disease (GBD) 2023 estimates of years lived with disability (YLDs), related nonfatal measures and risk attribution for 199 causes and 61 risks, with seventeen comparator locations. Results: The age-standardised YLD rate changed by −4.1% (95% uncertainty interval [UI] −10.1 to 1.3), and total YLDs by −3.9% (95% UI −9.2 to 0.7). Both intervals included zero. The crude rate rose by 17.0%. The population size and age structure components of the decomposition were approximately −552,000 and +545,000 YLDs; their uncertainty was not estimated. Healthy life expectancy increased by 5.2 years. Its difference from life expectancy rose from 9.2 to 10.2 years, without an uncertainty interval for this derived change. Low-back pain remained the leading level 3 cause. Anxiety disorders increased by 41.7% (95% UI 4.5 to 101.8) and ranked second by point estimate; rank uncertainty was not estimated. The joint risk-attributable fraction fell from 31.2% to 28.3%. Conclusions: Romania had more disability per inhabitant and a larger share at older ages in 2023. Musculoskeletal disorders remained the main source of nonfatal burden, while anxiety disorders and diabetes increased.</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data, burden, disease, between, countries, union;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data, burden, disease, gbd, countries, conclusion;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Post-Treatment Lyme Disease Syndrome in Six European Countries Using Data from the Burden of Lyme Disease (BOLD) Study — https://doi.org/10.3390/pathogens15080809</w:t>
      </w:r>
    </w:p>
    <w:p>
      <w:pPr/>
      <w:r>
        <w:rPr>
          <w:b/>
        </w:rPr>
        <w:t>Shared claim-specific concepts:</w:t>
      </w:r>
      <w:r>
        <w:t xml:space="preserve"> data, burden, disease, countries; EU scope visible. This is a provisional connection, not an outcome finding.</w:t>
      </w:r>
    </w:p>
    <w:p>
      <w:pPr>
        <w:pStyle w:val="SourceNote"/>
      </w:pPr>
      <w:r>
        <w:rPr>
          <w:b/>
        </w:rPr>
        <w:t>Available abstract (not full text):</w:t>
      </w:r>
      <w:r>
        <w:t xml:space="preserve"> Up to 10% of patients with Lyme borreliosis (LB) will experience symptoms that fulfill the Infectious Disease Society of America (IDSA) criteria of post-treatment Lyme disease syndrome (PTLDS). This study assesses PTLDS in the Burden of Lyme Disease (BOLD) study through clinical assessment ("PTLDS Assessed by Clinicians") and by post hoc evaluation of patient-reported outcomes, including the 36-Item Short Form Health Survey, Fatigue Severity Scale, and Cognitive Failures Questionnaire ("PTLDS Assessed by Questionnaire"). Among 242 LB cases who completed antibiotic treatment and had objective manifestations stabilized or resolved, 99 (40.9%) reported ≥1 symptom of fatigue, musculoskeletal pain, or cognitive impairment 10 months after diagnosis. Fifteen (6.2%) cases met the PTLDS criteria assessed by either clinicians or predefined questionnaire severity thresholds; four (1.7%) met both. PTLDS cases assessed by questionnaires and LB cases with persistent symptoms both reported greater symptom severity and poorer physical functioning than PTLDS cases assessed by clinicians. These exploratory findings suggest that clinician- and questionnaire-based assessments may identify partially different subsets of patients with PTLDS and either method could underestimate the proportion of patients with PTLDS.</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data, countries, united, bayesian;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Improving Europe-wide windstorm damage modeling using insurance loss data — https://doi.org/10.5194/egusphere-2026-3099</w:t>
      </w:r>
    </w:p>
    <w:p>
      <w:pPr/>
      <w:r>
        <w:rPr>
          <w:b/>
        </w:rPr>
        <w:t>Shared claim-specific concepts:</w:t>
      </w:r>
      <w:r>
        <w:t xml:space="preserve"> data, between, countries;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Global burden of metabolic dysfunction-associated steatotic liver disease, 1990–2023, and projections to 2050: a systematic analysis for the Global Burden of Disease Study 2023 — https://doi.org/10.1016/s2468-1253(26)00011-7</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589.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2026:</w:t>
      </w:r>
      <w:r>
        <w:t xml:space="preserve"> Navigating the talk at sea: Expanding conversational sequences in maritime communication — https://doi.org/10.17398/2340-2784.51.203</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This article makes the case for the expanded conversational sequences observable in a specific type of professional, radio-mediated communication -- interaction of vessel traffic services (VTS). Within the theoretical framework developed by Schegloff (2007) and Kendrick et al. (2020), we examined patterns of sequential expansion in VTS interaction via Very High Frequency (VHF) radio at a major port located in China. Using the method of Conversation Analysis to analyze the authentic, audio-recorded language data, we illustrated how functional motivations for sequential expansion in informal, ordinary conversations can be mobilized into the mechanisms of routinized maritime communication. We argue that 1) expansions happening at different sequential positions perform specific communicative functions to execute institutional practices in VTS interaction; and 2) that communicative meanings constructed via expanded sequences in VTS interaction have important procedural consequences and demonstrate distinct institutional adaptations to the core properties of human interactive language use. The findings not only build on the main lines of development in the application of conversation analysis to interaction in contextualized, specialized discourse, but also bring to light the limitations of stipulated communication protocols in safety-critical, high-stake talk.</w:t>
      </w:r>
    </w:p>
    <w:p>
      <w:pPr/>
      <w:r>
        <w:rPr>
          <w:b/>
        </w:rPr>
        <w:t>POSSIBLE 2026:</w:t>
      </w:r>
      <w:r>
        <w:t xml:space="preserve"> The Significance Of Trust In Maintaining Safety During Digital Transformations In The Maritime Industry — https://doi.org/10.3850/esrel2026061419_esrel26-p26287-cd</w:t>
      </w:r>
    </w:p>
    <w:p>
      <w:pPr/>
      <w:r>
        <w:rPr>
          <w:b/>
        </w:rPr>
        <w:t>Shared claim-specific concepts:</w:t>
      </w:r>
      <w:r>
        <w:t xml:space="preserve"> maritime, insight, affect; EU scope not established. This is a provisional connection, not an outcome finding.</w:t>
      </w:r>
    </w:p>
    <w:p>
      <w:pPr>
        <w:pStyle w:val="SourceNote"/>
      </w:pPr>
      <w:r>
        <w:rPr>
          <w:b/>
        </w:rPr>
        <w:t>Available abstract (not full text):</w:t>
      </w:r>
      <w:r>
        <w:t xml:space="preserve"> Digitalization is rapidly transforming maritime operations, reshaping both technical systems and everyday work practices on board vessels and within shipowner organizations.This paper investigates how the introduction of digital tools such as automated machinery and sensor-based monitoring systems, as well as information technologies for data processing and communication affect maritime work and safety.While the adoption of these technologies is driven by efficiency demands, environmental requirements, regulatory pressures, and the need for real-time operational insight.Crews benefit from improved access to operational data and enhanced connectivity, yet they also face increased workloads due to manual data entry, duplicate reporting, and insufficient integration between systems.This has an impact on the sociotechnical system and hence, the safety of the operation.This is not recognized in the development of technology.Drawing on sociotechnical research, the study highlights the role of technology design, usability, and integration in shaping safe and efficient operations.Despite the potential for digital tools to support operational resilience, findings indicate that current systems are primarily developed from a functional, control-oriented perspective.A central challenge identified in the study is the lack of collaboration and trust between shipowners and technology supplier</w:t>
      </w:r>
    </w:p>
    <w:p>
      <w:pPr/>
      <w:r>
        <w:rPr>
          <w:b/>
        </w:rPr>
        <w:t>POSSIBLE 2026:</w:t>
      </w:r>
      <w:r>
        <w:t xml:space="preserve"> A domain-adapted NLP pipeline for human factors classification of maritime accidents — https://doi.org/10.1016/j.oceaneng.2026.125625</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Human error continues to account for most maritime accidents, highlighting persistent challenges in safety management and organisational learning. Although post-incident investigations generate rich narrative data, extracting meaningful insights is hindered by manual coding, subjective interpretation, and inconsistent application of human-factors taxonomies. Despite increasing interest in applying NLP to safety analysis, no existing approach provides a taxonomy-ready, domain-adapted framework capable of reliably classifying fine-grained human and organisational factors in maritime accident narratives. This study presents a natural language processing (NLP) and machine learning (ML) framework to automate the identification of human and organisational contributory factors in maritime accident reporting using an adapted SHIELD taxonomy. The approach analyses individual causal and contributory text segments extracted from accident investigation narratives, which are classified into human and organisational factor codes. Central to the approach is SeaSafeBERT, a domain-adapted BERT model fine-tuned on an international corpus of maritime investigations and combined with TF-IDF lexical features to support structured, multi-level classification. To address sparse taxonomy classes, we developed SHIELD-NLP, a consolidated coding scheme preserving SHIELD's intent but ensuring sufficient c</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2025:</w:t>
      </w:r>
      <w:r>
        <w:t xml:space="preserve"> An Overview of Critical Success Factors for Digital Shipping Corridors: A Roadmap for Maritime Logistics Modernization — https://doi.org/10.3390/su17125537</w:t>
      </w:r>
    </w:p>
    <w:p>
      <w:pPr/>
      <w:r>
        <w:rPr>
          <w:b/>
        </w:rPr>
        <w:t>Shared claim-specific concepts:</w:t>
      </w:r>
      <w:r>
        <w:t xml:space="preserve"> maritime, enabling, conditions, sustainable; EU scope not established. This is a provisional connection, not an outcome finding.</w:t>
      </w:r>
    </w:p>
    <w:p>
      <w:pPr>
        <w:pStyle w:val="SourceNote"/>
      </w:pPr>
      <w:r>
        <w:rPr>
          <w:b/>
        </w:rPr>
        <w:t>Available abstract (not full text):</w:t>
      </w:r>
      <w:r>
        <w:t xml:space="preserve"> Digital Shipping Corridors (DSCs) are gaining traction as integrated models for increasing transparency, efficiency, and sustainability in maritime logistics. Yet, the enabling conditions for their effective implementation remain insufficiently explored. This study employs a qualitative thematic review approach, analyzing the academic literature, global policy documents, and selected case studies to identify and synthesize the critical success factors for DSC development. The analysis reveals seven interdependent factors: technological infrastructure, economic feasibility, regulatory frameworks, logistical efficiency, logistical security, stakeholder collaboration, and environmental sustainability. These factors are not independent but interact dynamically, requiring coordinated development across technical, institutional, and environmental domains. This study proposes a dynamic interaction framework that illustrates how progress in one area (e.g., digital infrastructure) depends on readiness in others (e.g., governance and cross-sector collaboration). The outcomes contribute both conceptually and practically. The framework offers a system-level understanding of DSC implementation and identifies key leverage points for intervention. The findings provide strategic guidance for policymakers, port authorities, and supply chain stakeholders pursuing digitally enabled sustainable ma</w:t>
      </w:r>
    </w:p>
    <w:p>
      <w:pPr>
        <w:pStyle w:val="Heading2"/>
      </w:pPr>
      <w:r>
        <w:t>590.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2026:</w:t>
      </w:r>
      <w:r>
        <w:t xml:space="preserve"> Study of asymptotes in upper secondary mathematics education: A praxeological analysis of textbooks in Croatia — https://doi.org/10.29333/iejme/18924</w:t>
      </w:r>
    </w:p>
    <w:p>
      <w:pPr/>
      <w:r>
        <w:rPr>
          <w:b/>
        </w:rPr>
        <w:t>Shared claim-specific concepts:</w:t>
      </w:r>
      <w:r>
        <w:t xml:space="preserve"> croatia, acknowledging, framework; EU scope visible. This is a provisional connection, not an outcome finding.</w:t>
      </w:r>
    </w:p>
    <w:p>
      <w:pPr>
        <w:pStyle w:val="SourceNote"/>
      </w:pPr>
      <w:r>
        <w:rPr>
          <w:b/>
        </w:rPr>
        <w:t>Available abstract (not full text):</w:t>
      </w:r>
      <w:r>
        <w:t xml:space="preserve"> The notion of the asymptote is part of the upper secondary and university mathematics curriculum. Acknowledging the existing literature on student issues with asymptotes and the influential role of textbooks in mathematics education, we examined the knowledge of asymptotes provided in upper secondary mathematics textbooks in Croatia. Within the framework of the Anthropological Theory of the Didactic, we constructed a reference model for the study of asymptotes and conducted a systematic and detailed textbook analysis, focusing on praxeological organisation, ostensive manifestations, and the process of study. The analysis revealed that textbooks fail to connect knowledge and representations of asymptotes across different contexts, to organise the process of study in a mathematically and pedagogically coherent manner, and to address recognised student issues related to asymptotes. This study contributes to the research on asymptotes and textbook analysis, and proposes a reference model based on exploration using different representations, analogous work, and the construction of a generalised discourse.</w:t>
      </w:r>
    </w:p>
    <w:p>
      <w:pPr/>
      <w:r>
        <w:rPr>
          <w:b/>
        </w:rPr>
        <w:t>POSSIBLE 2026:</w:t>
      </w:r>
      <w:r>
        <w:t xml:space="preserve"> Intellectual Capital and Performance in Croatian Academic Libraries: An Empirical Analysis — https://doi.org/10.34190/eckm.27.1.5099</w:t>
      </w:r>
    </w:p>
    <w:p>
      <w:pPr/>
      <w:r>
        <w:rPr>
          <w:b/>
        </w:rPr>
        <w:t>Shared claim-specific concepts:</w:t>
      </w:r>
      <w:r>
        <w:t xml:space="preserve"> croatia, four; EU scope visible. This is a provisional connection, not an outcome finding.</w:t>
      </w:r>
    </w:p>
    <w:p>
      <w:pPr>
        <w:pStyle w:val="SourceNote"/>
      </w:pPr>
      <w:r>
        <w:rPr>
          <w:b/>
        </w:rPr>
        <w:t>Available abstract (not full text):</w:t>
      </w:r>
      <w:r>
        <w:t xml:space="preserve"> The importance of intellectual capital in the knowledge economy has become crucial, as the competitiveness and successful performance of contemporary organisations depend on such resources. Numerous empirical studies support this, most of which originate from the for-profit sector. However, the importance of intellectual capital in the public and non-profit sectors is also widely acknowledged and, according to some authors, may be even greater than in the for-profit sector. This research contributes to the existing literature on intellectual capital in the public and non-profit sectors by examining intellectual capital in academic libraries. Although there are assumptions in the literature on the importance of intellectual capital to library performance, there remains a lack of empirical research confirming this claim. This study investigates intellectual capital in academic libraries in Croatia and its relationship with performance. Intellectual capital is categorized into three main components: human, structural, and relational capital. A questionnaire on intellectual capital was distributed to academic libraries in Croatia. To test the relationship between intellectual capital and performance, the survey results were combined with secondary data on library performance, assessed using performance indicators defined by the ISO 11620 standard. This standard follows the balanced</w:t>
      </w:r>
    </w:p>
    <w:p>
      <w:pPr/>
      <w:r>
        <w:rPr>
          <w:b/>
        </w:rPr>
        <w:t>POSSIBLE 2026:</w:t>
      </w:r>
      <w:r>
        <w:t xml:space="preserve"> Trust in Artificial Intelligence and Its Acceptance in Croatian Society — https://doi.org/10.7906/indecs.24.1.4</w:t>
      </w:r>
    </w:p>
    <w:p>
      <w:pPr/>
      <w:r>
        <w:rPr>
          <w:b/>
        </w:rPr>
        <w:t>Shared claim-specific concepts:</w:t>
      </w:r>
      <w:r>
        <w:t xml:space="preserve"> croatia, important; EU scope visible. This is a provisional connection, not an outcome finding.</w:t>
      </w:r>
    </w:p>
    <w:p>
      <w:pPr>
        <w:pStyle w:val="SourceNote"/>
      </w:pPr>
      <w:r>
        <w:rPr>
          <w:b/>
        </w:rPr>
        <w:t>Available abstract (not full text):</w:t>
      </w:r>
      <w:r>
        <w:t xml:space="preserve"> Important questions concerning citizen trust in artificial intelligence (AI) systems have been raised by their rapid development and widespread application throughout various social and economic activities.Trust in AI has become a crucial element determining the level of its societal acceptance along with a series of interconnected factors.This study aims to investigate the factors influencing trust in AI, the social implications of such trust and distrust, as well as the perception of and readiness to accept AI within Croatian society.Conducted on a sample of 500 respondents in the Republic of Croatia, the research sought to examine the frequency of AI tool usage, the level of trust in AI, and the citizens' readiness to accept it in everyday and professional contexts.The results indicate an overall moderate level of trust in AI, characterized by a prevailing cautious optimism.Most respondents recognize the benefits of AI in various life situations, while also expressing pronounced caution and selective acceptance of certain forms of its application.Simultaneously, they voice concerns regarding ethical dilemmas.The analysis shows that trust in AI is significantly correlated with the frequency of AI tool usage and the level of digital literacy, suggesting that personal experience and understanding of the technology positively influence the perception of its reliability.Within th</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pStyle w:val="Heading2"/>
      </w:pPr>
      <w:r>
        <w:t>591.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592.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593.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European Expert Opinion Statement on Paediatric Organ Donation Stresses Best Practice in Parent Communication — https://doi.org/10.1111/apa.70479</w:t>
      </w:r>
    </w:p>
    <w:p>
      <w:pPr/>
      <w:r>
        <w:rPr>
          <w:b/>
        </w:rPr>
        <w:t>Shared claim-specific concepts:</w:t>
      </w:r>
      <w:r>
        <w:t xml:space="preserve"> likely, addressing, line; EU scope visible. This is a provisional connection, not an outcome finding.</w:t>
      </w:r>
    </w:p>
    <w:p>
      <w:pPr>
        <w:pStyle w:val="SourceNote"/>
      </w:pPr>
      <w:r>
        <w:rPr>
          <w:b/>
        </w:rPr>
        <w:t>Available abstract (not full text):</w:t>
      </w:r>
      <w:r>
        <w:t xml:space="preserve"> This paper provides a European expert opinion statement on paediatric organ donation, with a specific focus on best practice and communication with the parents of potential donors. Paediatric deceased organ donation is an incredibly altruistic gift that represents the best of humanity. Many children on transplant waiting lists cannot receive an organ from living or deceased adults, due to their need for small organs. For example, a child weighing 10 kg can only receive a heart from a deceased child. In Europe, it is usually the parents who decide to donate the organs of their dying or dead child. It is extremely rare for a child to have the capacity to do so before the withdrawal of life-sustaining therapy (WLST), in advance of circulatory determination of death. Given the mortality rates on paediatric waiting lists, parents should be supported to make positive decisions. This includes health professionals addressing issues that may inadvertently prevent or deter any decision to donate [1]. In our opinion, European paediatric, emergency department and intensive care unit (ICU) teams should facilitate organ donation. It is vital that they collaborate with specialist organ donation teams throughout the admission of a potential child donor. This process should start with early notification during the initial care of a child with a severe brain injury, especially if death by neurol</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2025:</w:t>
      </w:r>
      <w:r>
        <w:t xml:space="preserve"> A Possible Way to Enhance European Competitiveness — https://doi.org/10.34190/ecie.20.1.3930</w:t>
      </w:r>
    </w:p>
    <w:p>
      <w:pPr/>
      <w:r>
        <w:rPr>
          <w:b/>
        </w:rPr>
        <w:t>Shared claim-specific concepts:</w:t>
      </w:r>
      <w:r>
        <w:t xml:space="preserve"> possible, hungarian, international;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pStyle w:val="Heading2"/>
      </w:pPr>
      <w:r>
        <w:t>594.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595.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2026:</w:t>
      </w:r>
      <w:r>
        <w:t xml:space="preserve"> Externalisation within the migration policy of the European Union — https://doi.org/10.15170/pjiel.2025.2.2</w:t>
      </w:r>
    </w:p>
    <w:p>
      <w:pPr/>
      <w:r>
        <w:rPr>
          <w:b/>
        </w:rPr>
        <w:t>Shared claim-specific concepts:</w:t>
      </w:r>
      <w:r>
        <w:t xml:space="preserve"> union, analyse, between; EU scope visible. This is a provisional connection, not an outcome finding.</w:t>
      </w:r>
    </w:p>
    <w:p>
      <w:pPr>
        <w:pStyle w:val="SourceNote"/>
      </w:pPr>
      <w:r>
        <w:rPr>
          <w:b/>
        </w:rPr>
        <w:t>Available abstract (not full text):</w:t>
      </w:r>
      <w:r>
        <w:t xml:space="preserve"> The externalisation of the migration policy within the European Union is a new approach of blocking migrants from the possibility of activating the safeguards of the European human rights. Despite having several case studies and mal-practices of the externalisation globally (e.g. the practice of the USA or Australia), the EU is uncovering its own approach – with its own flaws. This article offers to present the existing externalisation agreements between the EU and its partner countries, shows improper procedures and gives recommendations in order to be more humane towards persons arriving to Europe. The methodology of the paper is to analyse the text of the partnerships, then analyse their execution. Problematic practices and procedures are highlighted. In the recommendationspart, the author attempts to give solutions to these issues.</w:t>
      </w:r>
    </w:p>
    <w:p>
      <w:pPr/>
      <w:r>
        <w:rPr>
          <w:b/>
        </w:rPr>
        <w:t>POSSIBLE 2026:</w:t>
      </w:r>
      <w:r>
        <w:t xml:space="preserve"> The European Union and Latin America : normative encounters — https://doi.org/10.82444/warw.33769111</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current doctoral research looks at how norm entrepreneur and norm interpreter interact, highlighting the limitations of previous research in recognising the agency of the norm interpreter and the complex interactions between the two actors. Normative encounters is coined as a central concept for understanding how the EU as norm entrepreneur creates normative dialogues with its interlocutors, in this case Latin American regional organisations. Two dynamics are proposed to show how normative encounters happen or are prevented from doing so. On one side, an analysis is made of cases in which the norm entrepreneur attempts to diffuse its norms to the norm interpreter that localises the norms which are then incorporated (or not) in concrete policies through policy entrepreneurship. On the other side, an equally important dynamic starts with the norm interpreter that creates new norms though norm subsidiarity, diffuses this new normative content and creates a need for the initial norm entrepreneur to adapt its normative approach and to make it visible to the norm interpreter through concrete policies. By using concepts from both International Relations and public policy studies, the thesis questions and updates the way of looking at the European Union as a normative actor. It also explores the link between norms and policies by analysing the European Union cooperation for develop</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Comparing the Foreign Policy Identities of the United States of America and the European Union in Climate Communications and National Narratives — https://doi.org/10.35784/preko.8643</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The aim of the study was to determine the specifics of the formation and transformation of the foreign policy positions of the United States of America (USA) and the European Union (EU) based on a comprehensive analysis of the climate communications and public diplomacy in the global context. Using the methods of discourse analysis, content analysis, and comparative analysis, the author studied materials for the period 2015-2023, including international agreements, national strategies, and policy documents. On this basis, the dominant narratives, rhetorical strategies, and value orientations that shaped the unique international positions of the United States as a technological leader and the EU as a normative force were identified. The study results revealed significant differences in strategic approaches: The US focused on technological innovations, competitive advantages, and economic opportunities, while the EU emphasised the values of multilateral cooperation, collective responsibility, and inclusive dialogue. It was found that the transformation of public narratives and communication strategies correlated with changes in political administrations in the US and institutional reforms in the EU, which was reflected in the change in rhetoric, priorities, and mechanisms for implementing climate policy. The study demonstrated a significant evolution of the approaches of both act</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first, greenhouse, gas, emissions, including, transport;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pStyle w:val="Heading2"/>
      </w:pPr>
      <w:r>
        <w:t>596.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2026:</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Shared claim-specific concepts:</w:t>
      </w:r>
      <w:r>
        <w:t xml:space="preserve"> materials, methods, questionnaire, health, process; EU scope visible. This is a provisional connection, not an outcome finding.</w:t>
      </w:r>
    </w:p>
    <w:p>
      <w:pPr>
        <w:pStyle w:val="SourceNote"/>
      </w:pPr>
      <w:r>
        <w:rPr>
          <w:b/>
        </w:rPr>
        <w:t>Available abstract (not full text):</w:t>
      </w:r>
      <w:r>
        <w:t xml:space="preserve"> Objectives: Oesophageal cancer (OC) is characterised by poor prognosis, a significant reduction in Quality of Life (QoL) and requirement for morbid therapy. The highest age-adjusted rate of OC incidence in India was seen in the East Khasi Hills district of Meghalaya, being 10 times the national average. This study aimed to develop and validate Khasi translations of the European Organisation for Research and Treatment of Cancer Core Quality of Life questionnaire (EORTC QLQ-C-30) Version 3.0 and EORTC QLQ-OES-18 questionnaires for use in the Khasi-speaking population of Meghalaya. Materials and Methods: This study was conducted as a part of a hospital-based cross-sectional study to develop and validate a Khasi-translated version of the QLQ-C-30 and QLQ-OES-18 questionnaires. The questionnaire was translated into the local (Khasi) language and validated (two-phase process: Two forward translations, two backward translations, followed by pilot testing). Reliability assessment was done using Cronbach's alpha. The construct validity and the correlation of each scale of the QLQ-C30 and QLQ-OES18 were evaluated using Spearman's correlation coefficient (r). Results: Cronbach's alpha was satisfactory (&gt;0.70) for all the scales of QLQ-C-30 and QLQ-OES-18. Convergent validity was moderate to high (r = 0.541 to 0.995) (Global health domain convergent validity r = 0.983-0.995), whereas discr</w:t>
      </w:r>
    </w:p>
    <w:p>
      <w:pPr/>
      <w:r>
        <w:rPr>
          <w:b/>
        </w:rPr>
        <w:t>POSSIBLE 2026:</w:t>
      </w:r>
      <w:r>
        <w:t xml:space="preserve"> Impact of the urban environment on self-perception of health in a medium-sized European city: A mixed-methods study — https://doi.org/10.1016/j.cities.2025.106730</w:t>
      </w:r>
    </w:p>
    <w:p>
      <w:pPr/>
      <w:r>
        <w:rPr>
          <w:b/>
        </w:rPr>
        <w:t>Shared claim-specific concepts:</w:t>
      </w:r>
      <w:r>
        <w:t xml:space="preserve"> methods, in-depth, health; EU scope visible. This is a provisional connection, not an outcome finding.</w:t>
      </w:r>
    </w:p>
    <w:p>
      <w:pPr>
        <w:pStyle w:val="SourceNote"/>
      </w:pPr>
      <w:r>
        <w:rPr>
          <w:b/>
        </w:rPr>
        <w:t>Available abstract (not full text):</w:t>
      </w:r>
      <w:r>
        <w:t xml:space="preserve"> This mixed-methods study explores how the urban environment influences self-perceived health, with particular attention to the generational differences that became evident during and after the COVID-19 pandemic call for urban planning strategies that respond to all dimensions of health. The research was carried out in a medium-sized Spanish city, combining qualitative data from 27 in-depth interviews and quantitative survey responses from 185 residents across neighbourhoods with varying environmental characteristics. Although the study initially focused on built environment factors such as green space access, walkability, and infrastructure quality, the qualitative findings showed that mental health—especially among younger participants—emerged as a central factor shaping health perceptions. Feelings of isolation, hopelessness, and confinement were frequently described by younger respondents, often tied to perceptions of spatial and social marginalization in their living environments. In contrast, older participants reported greater resilience and a more positive outlook on their health. These findings highlight the need to address mental health disparities within urban policy and underscore the importance of creating inclusive, equitable environments that support psychological well-being across age groups. The study demonstrates the value of allowing emergent themes to guide m</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pStyle w:val="Heading2"/>
      </w:pPr>
      <w:r>
        <w:t>597.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2026:</w:t>
      </w:r>
      <w:r>
        <w:t xml:space="preserve"> Life expectancy nexus mortality in 14 selected SADC countries with trend analysis — https://doi.org/10.1007/s44257-026-00088-z</w:t>
      </w:r>
    </w:p>
    <w:p>
      <w:pPr/>
      <w:r>
        <w:rPr>
          <w:b/>
        </w:rPr>
        <w:t>Shared claim-specific concepts:</w:t>
      </w:r>
      <w:r>
        <w:t xml:space="preserve"> mortality, between, high, life, expectancy, over; EU scope not established. This is a provisional connection, not an outcome finding.</w:t>
      </w:r>
    </w:p>
    <w:p>
      <w:pPr>
        <w:pStyle w:val="SourceNote"/>
      </w:pPr>
      <w:r>
        <w:rPr>
          <w:b/>
        </w:rPr>
        <w:t>Available abstract (not full text):</w:t>
      </w:r>
      <w:r>
        <w:t xml:space="preserve"> Abstract Background This study provides a plethora of dimensional analysis of the relationship between life expectancy (LE) and various mortality-related indicators across 14 selected Southern African Development Community (SADC) countries over a 13-year historical period. Objective The objective of the study is to analyze the historical impacts of health and economic indicators on life expectancy from 2010 to 2022 and to forecast regional development trends up to 2027. Method The study covers 14 specific nations: Angola, Botswana, Comoros, the Democratic Republic of Congo (DRC), Eswatini, Lesotho, Madagascar, Malawi, Mauritius, Mozambique, Namibia, South Africa, Zambia, and Zimbabwe. Methodologically, a dynamic panel Generalized Method of Moments (GMM) and a machine learning Random Forest model were deployed using Python and R (version 4.5.3) for data analysis and predictive modelling. Results The correlation analysis identified infant mortality (IM), under-5 mortality and HIV prevalence (HIVP) as the most significant negative predictors oscillating between − 0.72 and − 0.90 of life expectancy, GDP per capita serves as a critical positive predictor. Key findings reveal a general upward trend in life expectancy across the SADC region over the 13-year historical period, although a notable dip occurred around 2021, likely due to the impact of the COVID-19 pandemic. The random for</w:t>
      </w:r>
    </w:p>
    <w:p>
      <w:pPr>
        <w:pStyle w:val="Heading2"/>
      </w:pPr>
      <w:r>
        <w:t>598.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2026:</w:t>
      </w:r>
      <w:r>
        <w:t xml:space="preserve"> European Cross-Border Heritage Projects : Borderless Memories, Shared Destinations — https://doi.org/10.13137/2611-2914/38713</w:t>
      </w:r>
    </w:p>
    <w:p>
      <w:pPr/>
      <w:r>
        <w:rPr>
          <w:b/>
        </w:rPr>
        <w:t>Shared claim-specific concepts:</w:t>
      </w:r>
      <w:r>
        <w:t xml:space="preserve"> article, author, presents, significant, role; EU scope visible. This is a provisional connection, not an outcome finding.</w:t>
      </w:r>
    </w:p>
    <w:p>
      <w:pPr>
        <w:pStyle w:val="SourceNote"/>
      </w:pPr>
      <w:r>
        <w:rPr>
          <w:b/>
        </w:rPr>
        <w:t>Available abstract (not full text):</w:t>
      </w:r>
      <w:r>
        <w:t xml:space="preserve"> This article explores the role of memory tourism in European borderlands, with particular attention to processes of cultural valorisation and cross-border cooperation in contexts shaped by the legacy of the world wars. Following a brief theoretical framework based on key concepts from the sociology of memory and border studies, this article presents a selection of significant European projects in which wartime heritage has been transformed into sustainable and participatory tourist itineraries. In these cases, national memories and divergent narratives have become opportunities for dialogue and development. In response to these challenges – such as the risk of sensationalism, exclusion of minority memories, and divisive governance – the author proposes an “Ethical Code for Memory Tourism” based on principles such as respect for historical dignity, narrative inclusion, engagement of local communities, civic education, sustainability, cross-border cooperation, and impact monitoring.</w:t>
      </w:r>
    </w:p>
    <w:p>
      <w:pPr/>
      <w:r>
        <w:rPr>
          <w:b/>
        </w:rPr>
        <w:t>POSSIBLE 2026:</w:t>
      </w:r>
      <w:r>
        <w:t xml:space="preserve"> EXTENSION OF THE EUROPEAN PUBLIC PROSECUTOR'S OFFICE'S COMPETENCE TO ENVIRONMENTAL CRIME: IS THE CURRENT MODEL SUFFICIENT? — https://doi.org/10.33542/sic2026-2-04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The article addresses the issue of extending the competence of the European Public Prosecutor’s Office to environmental crime within the context of the fragmented system of criminal law enforcement in the European Union. It is based on an analysis of environmental crime as a specific form of cross-border criminality that exceeds the capacity of individual Member States to respond effectively. The author examines the current competence framework of the European Public Prosecutor’s Office, identifies its limitations and assesses its ability to respond to emerging forms of criminality. Attention is also given to the problems of fragmented enforcement and conflicts of jurisdiction. On the basis of this analysis, the article presents models for the possible extension of the EPPO’s competence and evaluates their implications, including from a national perspective with a focus on the Slovak Republic. The article concludes with de lege ferenda proposals aimed at enhancing the effectiveness and coherence of environmental criminal law enforcement at the level of the European Union.</w:t>
      </w:r>
    </w:p>
    <w:p>
      <w:pPr/>
      <w:r>
        <w:rPr>
          <w:b/>
        </w:rPr>
        <w:t>POSSIBLE 2026:</w:t>
      </w:r>
      <w:r>
        <w:t xml:space="preserve"> Party-Political Model of European Union in the Context of Transition to Strategic Autonomy — https://doi.org/10.20542/0131-2227-2026-70-6-29-41</w:t>
      </w:r>
    </w:p>
    <w:p>
      <w:pPr/>
      <w:r>
        <w:rPr>
          <w:b/>
        </w:rPr>
        <w:t>Shared claim-specific concepts:</w:t>
      </w:r>
      <w:r>
        <w:t xml:space="preserve"> article, author, presents, aspects, union, increase; EU scope visible. This is a provisional connection, not an outcome finding.</w:t>
      </w:r>
    </w:p>
    <w:p>
      <w:pPr>
        <w:pStyle w:val="SourceNote"/>
      </w:pPr>
      <w:r>
        <w:rPr>
          <w:b/>
        </w:rPr>
        <w:t>Available abstract (not full text):</w:t>
      </w:r>
      <w:r>
        <w:t xml:space="preserve"> The article analyzes the main aspects of the European Union’s transition to strategic autonomy and the impact of the results of its party-political model renewal, following the European election in 2024, on this process. The author pays special attention to the issue of improving interaction between the EU’s leading political institutions the European Council, the European Parliament and the European Commission, – on the one hand, and European civil society, on the other hand, which will increase the degree of these institutions’ legitimacy and involve representatives of civil society in the decision-making process at the Union level, including in the problem of its strategic autonomy. However, the solution to this problem is impossible without strengthening the pan-European socio-political space, and radically reforming the existing party-political model at the EU level, since European parties are key communicators between authorities and citizens. The article presents some thoughts on how the regulations of the European Parliament and the Council should be reformed in order to provide European parties with more opportunities to improve their interaction with civil society institutions at the EU level, including by increasing their funding. The results of the transformation of the leading European parties’ programmatic positions on the eve and during these elections are consid</w:t>
      </w:r>
    </w:p>
    <w:p>
      <w:pPr/>
      <w:r>
        <w:rPr>
          <w:b/>
        </w:rPr>
        <w:t>POSSIBLE 2026:</w:t>
      </w:r>
      <w:r>
        <w:t xml:space="preserve"> Invisible Contributors Task Authors at the IOI and EGOI — https://doi.org/10.15388/ioi.2026.06</w:t>
      </w:r>
    </w:p>
    <w:p>
      <w:pPr/>
      <w:r>
        <w:rPr>
          <w:b/>
        </w:rPr>
        <w:t>Shared claim-specific concepts:</w:t>
      </w:r>
      <w:r>
        <w:t xml:space="preserve"> article, author, presents, over; EU scope visible. This is a provisional connection, not an outcome finding.</w:t>
      </w:r>
    </w:p>
    <w:p>
      <w:pPr>
        <w:pStyle w:val="SourceNote"/>
      </w:pPr>
      <w:r>
        <w:rPr>
          <w:b/>
        </w:rPr>
        <w:t>Available abstract (not full text):</w:t>
      </w:r>
      <w:r>
        <w:t xml:space="preserve"> This article presents what is believed to be the first comprehensive catalogue of task authors for both the International Olympiad in Informatics (IOI) and the European Girls’ Olympiad in Informatics (EGOI). The IOI catalogue identifies authors for 183 of 207 tasks across 37 editions; the EGOI catalogue covers all 40 tasks across 5 editions. An analysis of the contestant-to-author pipeline reveals that 66 of the 135 known IOI task authors (49%) were themselves IOI contestants, with this proportion increasing over time since the first such author appeared in 2001. A gender analysis reveals that, across both competitions, only nine distinct women have ever authored a task: six appear at the IOI and four at the EGOI, with Monika Steinová the sole overlap. IOI 1995 in the Netherlands holds the record for the highest female authorship share ever at either competition, at 33%. The data is offered as a resource for the community and as an invitation to fill the remaining gaps.</w:t>
      </w:r>
    </w:p>
    <w:p>
      <w:pPr>
        <w:pStyle w:val="Heading2"/>
      </w:pPr>
      <w:r>
        <w:t>599.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2026:</w:t>
      </w:r>
      <w:r>
        <w:t xml:space="preserve"> Operational Decision-Making for Sustainable Food Transportation: A Preliminary Local Area Energy Planning Framework for Decarbonising Freight Systems in Lincolnshire, UK — https://doi.org/10.3390/futuretransp6020075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The transition to net-zero energy systems requires operationally grounded decision-making frameworks that integrate technology performance, infrastructure readiness, and policy constraints at local scale. Food transportation represents a high-emission and operationally critical component of regional energy and supply chain systems, particularly in food-producing regions. This study proposes a preliminary Local Area Energy Planning (LAEP) framework to support operational decision-making for the decarbonisation of food transportation, using Lincolnshire, UK, as a case study. The framework evaluates alternative freight transport technologies—battery electric vehicles (BEVs), hydrogen fuel cell electric vehicles (HFCEVs), battery electric road systems (BERS), and conventional internal combustion engine vehicles—across energy efficiency, CO2 emissions, infrastructure requirements, and cost implications. Secondary data from national statistics, regional planning documents, and peer-reviewed literature are analysed using comparative quantitative and qualitative assessment methods. Results indicate that BEVs currently offer the most energy-efficient and cost-effective solution for short-haul and last-mile food logistics, achieving overall efficiencies of approximately 77–82% with zero tailpipe emissions. HFCEVs and BERS present potential long-term operational advantages for heavy-duty </w:t>
      </w:r>
    </w:p>
    <w:p>
      <w:pPr/>
      <w:r>
        <w:rPr>
          <w:b/>
        </w:rPr>
        <w:t>POSSIBLE 2026:</w:t>
      </w:r>
      <w:r>
        <w:t xml:space="preserve"> Improving the environmental performance of electric vehicles as the grid decarbonises: Design interventions to reduce embodied emissions and in-use energy losses of switched reluctance motors — https://doi.org/10.1016/j.ecmx.2026.101829</w:t>
      </w:r>
    </w:p>
    <w:p>
      <w:pPr/>
      <w:r>
        <w:rPr>
          <w:b/>
        </w:rPr>
        <w:t>Shared claim-specific concepts:</w:t>
      </w:r>
      <w:r>
        <w:t xml:space="preserve"> investigate; EU scope visible. This is a provisional connection, not an outcome finding.</w:t>
      </w:r>
    </w:p>
    <w:p>
      <w:pPr>
        <w:pStyle w:val="SourceNote"/>
      </w:pPr>
      <w:r>
        <w:rPr>
          <w:b/>
        </w:rPr>
        <w:t>Available abstract (not full text):</w:t>
      </w:r>
      <w:r>
        <w:t xml:space="preserve"> The transport sector is rapidly electrifying, so demand for electric motors is predicted to rise, while emissions associated with vehicle use will decline in-line with grid decarbonisation. This motivates attention towards the embodied emissions of the motors, together with critical raw material and recyclability concerns associated with permanent magnets and copper. This study investigates design interventions to a magnet-free, copper-free, automotive switched reluctance motor (SRM), aiming to improve its environmental performance, while exploring the balance between emissions phases as the grid decarbonises. For the first time, a “Morphological Analysis” approach is used to systematically investigate possible combinations of these motor design interventions. Significant potential savings are identified in both embodied emissions and in-use energy losses, improving environmental performance beyond permanent magnet motors reported in literature. Changes to individual components could reduce embodied emissions by 33%, and in-use losses by 44%. Combining interventions through the morphological method, embodied emissions could be reduced by 80%, and in-use losses by 68%. Total emissions depend on grid carbon. In the UK today, lifetime emissions are minimised by reducing in-use losses. In Sweden, with its largely decarbonised grid, lifetime emissions are minimised by reducing embod</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pStyle w:val="Heading2"/>
      </w:pPr>
      <w:r>
        <w:t>600.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2026:</w:t>
      </w:r>
      <w:r>
        <w:t xml:space="preserve"> CHANGES IN THE EUROPEAN IDEOLOGICAL SPACE IN UKRAINIAN AND EUROPEAN ACADEMIC DISCOURSE — https://doi.org/10.17721/2308-135x.2026.82.33-42</w:t>
      </w:r>
    </w:p>
    <w:p>
      <w:pPr/>
      <w:r>
        <w:rPr>
          <w:b/>
        </w:rPr>
        <w:t>Shared claim-specific concepts:</w:t>
      </w:r>
      <w:r>
        <w:t xml:space="preserve"> main, goal, why; EU scope visible. This is a provisional connection, not an outcome finding.</w:t>
      </w:r>
    </w:p>
    <w:p>
      <w:pPr>
        <w:pStyle w:val="SourceNote"/>
      </w:pPr>
      <w:r>
        <w:rPr>
          <w:b/>
        </w:rPr>
        <w:t>Available abstract (not full text):</w:t>
      </w:r>
      <w:r>
        <w:t xml:space="preserve"> Goal. The article aims to summarise recent academic research on changes in electoral behaviour and ideological orientations in European Union countries. It compares Western and Ukrainian research agendas and highlights the importance of spatial differences in voting. Methods. The paper is an analytical literature review drawing on political science, sociology, political economy, and political geography. A comparative approach is used to identify key topics and typical explanations of electoral change. The reviewed studies are grouped by the main drivers they emphasise: institutional, economic, socio-cultural, or place-based factors. The spatial dimension is discussed through research on regional differences, the urban–rural divide, local decline, and uneven development. Results. The review indicates that mainstream centre-left and centre-right parties have been losing support, while populist and Eurosceptic parties - especially on the right - have gained strength in many EU countries. Political science accounts often link these trends to party-system changes, coalition patterns, new political conflicts, and the impact of European integration. Economic approaches focus more on crises, inequality, expectations, and subjective well-being, often stressing the role of political trust. Socio-cultural research highlights education, generational change, migration, and value conflicts a</w:t>
      </w:r>
    </w:p>
    <w:p>
      <w:pPr/>
      <w:r>
        <w:rPr>
          <w:b/>
        </w:rPr>
        <w:t>POSSIBLE 2026:</w:t>
      </w:r>
      <w:r>
        <w:t xml:space="preserve"> Institutional Change and Path Dependence in the European Energy Transition under the Goal of Carbon Neutrality — https://doi.org/10.54254/2754-1169/2026.ld32020</w:t>
      </w:r>
    </w:p>
    <w:p>
      <w:pPr/>
      <w:r>
        <w:rPr>
          <w:b/>
        </w:rPr>
        <w:t>Shared claim-specific concepts:</w:t>
      </w:r>
      <w:r>
        <w:t xml:space="preserve"> main, goal, achieve, strategic; EU scope visible. This is a provisional connection, not an outcome finding.</w:t>
      </w:r>
    </w:p>
    <w:p>
      <w:pPr>
        <w:pStyle w:val="SourceNote"/>
      </w:pPr>
      <w:r>
        <w:rPr>
          <w:b/>
        </w:rPr>
        <w:t>Available abstract (not full text):</w:t>
      </w:r>
      <w:r>
        <w:t xml:space="preserve"> Against the backdrop of intensifying global climate change and frequent climate-related disasters, carbon neutrality has become a common goal worldwide. The European Green Deal, initiated by the European Union (EU), sets forth a strategic objective to achieve carbon neutrality by 2050. It seeks to change the energy system through three key strategies: promoting renewable energy, increasing energy efficiency, and ramping up investment in green technologies. However, the energy crisis sparked by the Russia-Ukraine conflict, along with slow progress in renewable energy adoption, has highlighted the institutional obstacles and path-dependent issues within Europe's energy transition. The differing energy policies of member states, technical challenges, and political dependencies have all hindered the EU's progress toward its carbon neutrality goals. Thus, identifying effective approaches to break through these constraints has become the linchpin for advancing the green transition. Based on a review of policy documents issued by the EU and its member states, along with relevant academic literature, this paper analyzes the institutional changes and path-dependent issues encountered during the implementation of the European Green Deal, drawing on EU energy statistics. The results reveal that legal frameworks, capital allocation mechanisms, and social mobilization are the key drivers of</w:t>
      </w:r>
    </w:p>
    <w:p>
      <w:pPr>
        <w:pStyle w:val="Heading2"/>
      </w:pPr>
      <w:r>
        <w:t>601.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2026:</w:t>
      </w:r>
      <w:r>
        <w:t xml:space="preserve"> German Election Study, 1994 (Politbarometer West) — https://doi.org/10.3886/icpsr34716</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West surveys for 1994. Interviews were conducted with German citizens living in areas that were part of the former West Germany. Questions focused on a wide range of political issues, including respondents' opinions of German political parties and politicians, both before and after the German Federal Parliamentary election of 1994. A few topics were covered in all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 preference for voting by absentee ballot versus voting in the polling station. - certainty and time of personal vote decision. - attitude toward a one-party government of CDU/CSU (Christlich Demokratischen Union Deutschlands or Democratic Chris</w:t>
      </w:r>
    </w:p>
    <w:p>
      <w:pPr/>
      <w:r>
        <w:rPr>
          <w:b/>
        </w:rPr>
        <w:t>POSSIBLE 2026:</w:t>
      </w:r>
      <w:r>
        <w:t xml:space="preserve"> Analyzing hobby-gardeners' purchase intentions for peat-reduced potting soils in Germany, UK and USA – An extended theory of planned behavior approach — https://doi.org/10.1016/j.clrc.2026.100507</w:t>
      </w:r>
    </w:p>
    <w:p>
      <w:pPr/>
      <w:r>
        <w:rPr>
          <w:b/>
        </w:rPr>
        <w:t>Shared claim-specific concepts:</w:t>
      </w:r>
      <w:r>
        <w:t xml:space="preserve"> germany, greenhouse; EU scope visible. This is a provisional connection, not an outcome finding.</w:t>
      </w:r>
    </w:p>
    <w:p>
      <w:pPr>
        <w:pStyle w:val="SourceNote"/>
      </w:pPr>
      <w:r>
        <w:rPr>
          <w:b/>
        </w:rPr>
        <w:t>Available abstract (not full text):</w:t>
      </w:r>
      <w:r>
        <w:t xml:space="preserve"> Peat is an important raw material for high-quality potting soils in horticulture. Since this use is associated with the release of greenhouse gases, governments, especially in Europe, are striving to reduce the proportion of peat in potting soils. As consumer reactions are hardly analyzed in this field, we investigate the purchase intention for peat-reduced potting soils in Germany, the UK, and the US using an extended framework of the theory of planned behavior (TPB). The results show a limited power of the classical TPB model parameters in explaining the differences between the three analyzed countries. Concerning the extended framework, variables related to the situation at the point of sale show the strongest influence on the purchase intention. Based on these results, we derive recommendations for marketing activities for peat-reduced potting soils to increase gardeners’ interest in such products.</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2025:</w:t>
      </w:r>
      <w:r>
        <w:t xml:space="preserve"> Solar energy on all suitable roof areas? Homeowners’ acceptance of government subsidies and smart energy services in Germany — https://doi.org/10.1186/s13705-025-00547-7</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Abstract Background Photovoltaic (PV) systems are nowadays a central pillar in the expansion of renewable energy in Germany. Nevertheless, further significant growth in renewable energy will be needed in the future to meet the national emission reduction targets set by the German government. Homeowners play a crucial role in the expansion of PV capacity. In a discrete choice experiment, we empirically examine the impact of a large number of dimensions on homeowners’ PV adoption, including attributes that have received less attention in the literature so far, such as the included (smart energy) services, government subsidies, and forms of financing. Results Our results show that increasing levels of smart energy services for PV systems increase respondents’ valuation of smart energy services, while increasing the access rights of the contractual partner has a negative impact on the valuation. The latter negative effect is mitigated by an element of co-determination. Furthermore, our results point to the importance of government subsidies as a measure to increase PV adoption. Participants preferred one-time (or continuous) payments over continuous (or one-time) payments when government grants amounted to 40% (or 10%) of the investment cost; they were indifferent between both forms when subsidies amounted to 20% of the investment cost. Homeowners clearly preferred loan financing t</w:t>
      </w:r>
    </w:p>
    <w:p>
      <w:pPr/>
      <w:r>
        <w:rPr>
          <w:b/>
        </w:rPr>
        <w:t>POSSIBLE 2025:</w:t>
      </w:r>
      <w:r>
        <w:t xml:space="preserve"> Europe at the End of the Fifteenth Century — https://doi.org/10.4324/9781003607526-2</w:t>
      </w:r>
    </w:p>
    <w:p>
      <w:pPr/>
      <w:r>
        <w:rPr>
          <w:b/>
        </w:rPr>
        <w:t>Shared claim-specific concepts:</w:t>
      </w:r>
      <w:r>
        <w:t xml:space="preserve"> government, even, before, all, germany; EU scope visible. This is a provisional connection, not an outcome finding.</w:t>
      </w:r>
    </w:p>
    <w:p>
      <w:pPr>
        <w:pStyle w:val="SourceNote"/>
      </w:pPr>
      <w:r>
        <w:rPr>
          <w:b/>
        </w:rPr>
        <w:t>Available abstract (not full text):</w:t>
      </w:r>
      <w:r>
        <w:t xml:space="preserve"> T HE sixteenth century has one well-marked characteristic. At the beginning secular interests entirely dominated its politics. The ambitions of princes and the rivalries of states at first claim all our attention. The Papacy was important, but chiefly because it was itself an independent and secular power, with special skill in diplomatic finesse. International politics were governed by the motives —they cannot be called principles—which were later to be known as the Balance of Power. The princes fought for power and territory; the armies fought for pay. It seemed in the highest degree unlikely that before the century had run half its course men would begin to fight for creeds, moral codes, and systems of church government; and that the armies would contain elements in which could be discerned something of the crusading spirit. It would be untrue to say that religion at any time controlled the politics of the century; there were to the end strong secular motives in the policies of Austria, Spain, and even of the Papacy, as there were in the action of the Huguenots of France, the Dutch insurgents against Philip of Spain, and in the risings of the Anabaptists of Germany. But the emergence of religious and ecclesiastical motives along with, or to the exclusion of, political and dynastic motives is the most striking change that came over Europe during the century. We will begin by </w:t>
      </w:r>
    </w:p>
    <w:p>
      <w:pPr>
        <w:pStyle w:val="Heading2"/>
      </w:pPr>
      <w:r>
        <w:t>602.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2026:</w:t>
      </w:r>
      <w:r>
        <w:t xml:space="preserve"> European Energy Performance of Buildings Directive and Cultural Heritage — https://openalex.org/W7126308985</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2025:</w:t>
      </w:r>
      <w:r>
        <w:t xml:space="preserve"> Electrification, flexibility or both? Emerging trends in European energy policy — https://doi.org/10.1016/j.enpol.2025.114725</w:t>
      </w:r>
    </w:p>
    <w:p>
      <w:pPr/>
      <w:r>
        <w:rPr>
          <w:b/>
        </w:rPr>
        <w:t>Shared claim-specific concepts:</w:t>
      </w:r>
      <w:r>
        <w:t xml:space="preserve"> energy, four; EU scope visible. This is a provisional connection, not an outcome finding.</w:t>
      </w:r>
    </w:p>
    <w:p>
      <w:pPr>
        <w:pStyle w:val="SourceNote"/>
      </w:pPr>
      <w:r>
        <w:rPr>
          <w:b/>
        </w:rPr>
        <w:t>Available abstract (not full text):</w:t>
      </w:r>
      <w:r>
        <w:t xml:space="preserve"> In Europe, low-carbon electrification is emerging as an overarching policy strategy to reduce greenhouse gas emissions . However, increasing shares of variable renewables and the rising electricity demand from sector coupling technologies such as electric vehicles or heat pumps make balancing electricity supply and demand more difficult. Demand-side flexibility could address this challenge, but several regulatory barriers and policy shortcomings remain. As technologies diffuse, open questions remain about whether and how policy support for low-carbon electrification addresses these technologies’ flexible operation in addition to their deployment. In this context, we examine policies that support the diffusion of novel technologies and those that, separately or in combination, support demand-side flexibility. Over a timespan of 9 years (2016–2024), our analysis covers four technologies across six jurisdictions: electric vehicles, heat pumps, hydrogen, and new industrial loads in Austria, France, Germany, Italy, Switzerland, and the European Union . We find that technology diffusion policies are increasingly combined with flexibility policies. At the same time, policy objectives and the number and types of policies vary significantly across countries. This points to different transition pathways depending, for example, on national electricity system characteristics and flexibilit</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pStyle w:val="Heading2"/>
      </w:pPr>
      <w:r>
        <w:t>603.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2026:</w:t>
      </w:r>
      <w:r>
        <w:t xml:space="preserve"> When ideology meets geopolitics: party positions towards Russia in EU member states — https://openalex.org/W7165091424</w:t>
      </w:r>
    </w:p>
    <w:p>
      <w:pPr/>
      <w:r>
        <w:rPr>
          <w:b/>
        </w:rPr>
        <w:t>Shared claim-specific concepts:</w:t>
      </w:r>
      <w:r>
        <w:t xml:space="preserve"> following, positions, within, energy, conditions; EU scope visible. This is a provisional connection, not an outcome finding.</w:t>
      </w:r>
    </w:p>
    <w:p>
      <w:pPr>
        <w:pStyle w:val="SourceNote"/>
      </w:pPr>
      <w:r>
        <w:rPr>
          <w:b/>
        </w:rPr>
        <w:t>Available abstract (not full text):</w:t>
      </w:r>
      <w:r>
        <w:t xml:space="preserve"> Russia’s full-scale invasion of Ukraine transformed the European Union’s relationship with Russia into a central issue of foreign and security policy. Although the EU and its member states moved broadly toward containment, disagreement over how European countries should approach Russia has persisted within national party systems. This thesis examines whether parties’ preferred strategic approaches toward Russia are structured by party-level ideology, country-level geopolitical vulnerability, and their interaction. Party preferences are conceptualized along an engagement-containment spectrum, ranging from cooperation with Russia to countering Russian aggression. The study uses the 2024 Chapel Hill Expert Survey and analyses 236 parties across 26 EU member states through multilevel linear models. The findings show that most variation occurs within countries, although country-level differences remain meaningful. At the party level, position on European integration is the strongest and most robust predictor: the more Eurosceptic parties are relative to their domestic competitors, the more likely they are to prefer a more engagement-oriented approach toward Russia. At the country level, geographical exposure to Russia is associated with a more containment-oriented baseline, especially in countries bordering Russia. Distance to Russia also conditions ideological structuring: the diff</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2025:</w:t>
      </w:r>
      <w:r>
        <w:t xml:space="preserve"> First insights into soil fauna mapping across Europe using data from multiple data sources for three different taxa — https://doi.org/10.1016/j.apsoil.2025.106588</w:t>
      </w:r>
    </w:p>
    <w:p>
      <w:pPr/>
      <w:r>
        <w:rPr>
          <w:b/>
        </w:rPr>
        <w:t>Shared claim-specific concepts:</w:t>
      </w:r>
      <w:r>
        <w:t xml:space="preserve"> sources, eastern, evolution, need; EU scope visible. This is a provisional connection, not an outcome finding.</w:t>
      </w:r>
    </w:p>
    <w:p>
      <w:pPr>
        <w:pStyle w:val="SourceNote"/>
      </w:pPr>
      <w:r>
        <w:rPr>
          <w:b/>
        </w:rPr>
        <w:t>Available abstract (not full text):</w:t>
      </w:r>
      <w:r>
        <w:t xml:space="preserve"> Soil fauna is one of the most important components of the soil ecosystem. It is highly diverse and abundant, supporting essential ecosystem services. However, its use in management decisions has been limited by now. This is partly a result of missing data and knowledge for large-scale mapping and application. In this study, our objective was to shed light on these aspects by mapping the spatial distribution of representative groups of macro- and mesofauna. Specifically, we used publicly available data for Earthworms, Millipedes, and Springtails and mapped their abundance, richness, and diversity across Europe. We applied machine learning techniques to understand the spatial configuration of these soil fauna taxa as influenced by topography, climate, vegetation, land use, and soil properties. Springtail abundance ranged from 1000 to 15,000 individuals per m 2 , while rarefied species richness ranged from 2 to 7 species per sample, with higher values in mountainous regions compared to plains. Earthworm abundance ranged from 20 to 300 individuals per m 2 , while richness ranged from 2 to 6 species, with higher values in Scandinavia compared to central and eastern Europe. Millipede abundance ranged from 20 to 400 individuals per m 2 , while species richness ranged from 1 to 6 species, with the highest values in central Europe and the lowest in northern Europe. Although the three ta</w:t>
      </w:r>
    </w:p>
    <w:p>
      <w:pPr/>
      <w:r>
        <w:rPr>
          <w:b/>
        </w:rPr>
        <w:t>POSSIBLE 2025:</w:t>
      </w:r>
      <w:r>
        <w:t xml:space="preserve"> Enemy Behind the Gates? Predicted Climate Change and Land‐Use Intensification Likely Speed Up C4 Grass Invasions in Europe — https://doi.org/10.1111/jvs.70023</w:t>
      </w:r>
    </w:p>
    <w:p>
      <w:pPr/>
      <w:r>
        <w:rPr>
          <w:b/>
        </w:rPr>
        <w:t>Shared claim-specific concepts:</w:t>
      </w:r>
      <w:r>
        <w:t xml:space="preserve"> predicted, aim, identify; EU scope visible. This is a provisional connection, not an outcome finding.</w:t>
      </w:r>
    </w:p>
    <w:p>
      <w:pPr>
        <w:pStyle w:val="SourceNote"/>
      </w:pPr>
      <w:r>
        <w:rPr>
          <w:b/>
        </w:rPr>
        <w:t>Available abstract (not full text):</w:t>
      </w:r>
      <w:r>
        <w:t xml:space="preserve"> ABSTRACT Aims Climate change is expected to bolster opportunities for alien species' establishment and spread. In Europe, alien C4 grass species have the potential to benefit from a changing climate, being better adapted to higher temperatures and heat stress. Our aim was to compile an up‐to‐date inventory of alien C4 grass species in Europe, to find information about their distribution and country‐ and region‐wise statuses, to identify the most widespread and high‐risk species, and the most invaded habitat types, and to draw the temporal trends of their European establishment. Location Europe. Methods We used the standard systematic literature review methodology to identify relevant publications and online plant distribution databases to get an up‐to‐date list of alien C4 grass species in Europe. We aimed also to gather information on (1) their current country‐ and region‐wise distribution; (2) alien status in each country (casual, naturalised, invasive); (3) the most widespread and high‐risk species; (4) native climatic zones and habitat preferences of each species in European countries; and (5) temporal distribution patterns of the identified species. Results We detected 133 alien C4 grass species across Europe, with the highest number of species in western European countries (103 species) and the lowest in northern Europe (69 species), with considerable overlap amongst regi</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sources, energy, aim, identify;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r>
        <w:rPr>
          <w:b/>
        </w:rPr>
        <w:t>POSSIBLE 2025:</w:t>
      </w:r>
      <w:r>
        <w:t xml:space="preserve"> Prevalence of Glaucoma in Europe and Projections to 2050 — https://doi.org/10.1016/j.ophtha.2025.06.002</w:t>
      </w:r>
    </w:p>
    <w:p>
      <w:pPr/>
      <w:r>
        <w:rPr>
          <w:b/>
        </w:rPr>
        <w:t>Shared claim-specific concepts:</w:t>
      </w:r>
      <w:r>
        <w:t xml:space="preserve"> within, article, conditions;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pStyle w:val="Heading2"/>
      </w:pPr>
      <w:r>
        <w:t>604.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2026:</w:t>
      </w:r>
      <w:r>
        <w:t xml:space="preserve"> IMACLIM-China-MORE: A hybrid model for analyzing greenhouse gases neutrality pathways — https://doi.org/10.26599/ecm.2026.9400032</w:t>
      </w:r>
    </w:p>
    <w:p>
      <w:pPr/>
      <w:r>
        <w:rPr>
          <w:b/>
        </w:rPr>
        <w:t>Shared claim-specific concepts:</w:t>
      </w:r>
      <w:r>
        <w:t xml:space="preserve"> analyzing, pathways; EU scope not established. This is a provisional connection, not an outcome finding.</w:t>
      </w:r>
    </w:p>
    <w:p>
      <w:pPr>
        <w:pStyle w:val="SourceNote"/>
      </w:pPr>
      <w:r>
        <w:rPr>
          <w:b/>
        </w:rPr>
        <w:t>Available abstract (not full text):</w:t>
      </w:r>
      <w:r>
        <w:t xml:space="preserve"> Designing effective carbon-neutrality policy for China requires models that capture interactions between technology-oriented energy transitions and economy-wide responses. However, most assessments use either bottom-up energy models or top-down computable general equilibrium (CGE) models in isolation, which limits pathway insights. We develop IMACLIM–China-MORE, an iteratively coupled hybrid model that links the TIMES-based China-MORE 2.0 energy-system optimization model with IMACLIM-CHN, a single-region, 18-sector CGE model. The two models exchange prices, energy-service demands, activity levels, and abatement schedules under harmonized accounts, and the coverage extends from CO2 to methane, nitrous oxide, and fluorinated gases. We apply the framework to three scenarios: Current Policies, CO2 Neutrality, and Greenhouse Gas (GHG) Neutrality. Under CO2 Neutrality, the power and industrial sectors deliver the largest near-term reductions, but about 1.5 GtCO2e non-CO2 emissions remain in 2060. Under GHG Neutrality, net-zero CO2 is achieved by around 2055 and non-CO2 emissions fall to about 0.8 GtCO2e in 2060, which would need to be offset by carbon-removal options. The additional macroeconomic costs of moving from CO2 to GHG neutrality are moderate overall, although the agriculture and food sectors face relatively larger impacts, and investment in the energy system increases by ab</w:t>
      </w:r>
    </w:p>
    <w:p>
      <w:pPr/>
      <w:r>
        <w:rPr>
          <w:b/>
        </w:rPr>
        <w:t>POSSIBLE 2026:</w:t>
      </w:r>
      <w:r>
        <w:t xml:space="preserve"> Cognitive Symbiosis at a Crossroads: Artificial Intelligence Between the Nootransition and Consumption Simulacra — https://doi.org/10.37930/2782-6465-2026-5-1-52-75</w:t>
      </w:r>
    </w:p>
    <w:p>
      <w:pPr/>
      <w:r>
        <w:rPr>
          <w:b/>
        </w:rPr>
        <w:t>Shared claim-specific concepts:</w:t>
      </w:r>
      <w:r>
        <w:t xml:space="preserve"> crossroads, present, industry; EU scope not established. This is a provisional connection, not an outcome finding.</w:t>
      </w:r>
    </w:p>
    <w:p>
      <w:pPr>
        <w:pStyle w:val="SourceNote"/>
      </w:pPr>
      <w:r>
        <w:rPr>
          <w:b/>
        </w:rPr>
        <w:t>Available abstract (not full text):</w:t>
      </w:r>
      <w:r>
        <w:t xml:space="preserve"> The machine is already embedded in our everyday life: it intercepts attention at the point of entry, forms a response at the point of output, and lays a path precisely where the human being is only beginning to choose the direction of movement. The practical question has shifted – no longer “how accurate is the algorithm,” but in whose interests it is calibrated and whose needs it quietly elevates into a norm of life. This article examines AI as a point of historical bifurcation: one trajectory unfolds toward the nootransition – the liberation of the human being from routine labor for the sake of knowledge, creativity, and solidary creation – while the other encloses society within the loop of simulation rent, in the algorithmic production of desires before the want has had time to pass the test of reason. At the semantic core of our article lies cognitive symbiosis, by which we understand the coupling of human judgment, machine inference, and social meaning-making, capable of acting either as an amplifier of reason or as a mechanism of hidden dependence – as imperceptible as a finely calibrated regulator. Drawing on S. D. Bodrunov’s theory of noonomy, the present article interprets AI as a “test” of social maturity: whether society can withstand the trial of a culture of wants, preserve its industrial subjectivity, and prove capable of solidary, rather than rent-based, appropr</w:t>
      </w:r>
    </w:p>
    <w:p>
      <w:pPr/>
      <w:r>
        <w:rPr>
          <w:b/>
        </w:rPr>
        <w:t>POSSIBLE 2026:</w:t>
      </w:r>
      <w:r>
        <w:t xml:space="preserve"> Discipline at a Crossroads: The Rise and Reform of Student Indiscipline in Ghanaian Senior High Schools — https://doi.org/10.4236/jss.2026.144006</w:t>
      </w:r>
    </w:p>
    <w:p>
      <w:pPr/>
      <w:r>
        <w:rPr>
          <w:b/>
        </w:rPr>
        <w:t>Shared claim-specific concepts:</w:t>
      </w:r>
      <w:r>
        <w:t xml:space="preserve"> crossroads, high; EU scope not established. This is a provisional connection, not an outcome finding.</w:t>
      </w:r>
    </w:p>
    <w:p>
      <w:pPr>
        <w:pStyle w:val="SourceNote"/>
      </w:pPr>
      <w:r>
        <w:rPr>
          <w:b/>
        </w:rPr>
        <w:t>Available abstract (not full text):</w:t>
      </w:r>
      <w:r>
        <w:t xml:space="preserve"> This study evaluates increasing indiscipline in senior high schools in Ghana, investigating its socio-ecological drivers, policy gaps, and academic impacts. The major contributors are peer influence, poor teacher-student relationships, and weak parental supervision. The findings also reveal that bullying, truancy, and academic dishonesty are connected to overcrowded classrooms, inadequate counselling, and socioeconomic pressures. It compares the post-corporal punishment disciplinary gap with restorative justice. The study recommends setting up a National Positive Discipline Policy, a student-staff discipline committee, community-parent partnerships, and training teachers in trauma-informed approaches. It underscores the need for a collaborative, non-punitive approach to align school rules with youth realities.</w:t>
      </w:r>
    </w:p>
    <w:p>
      <w:pPr>
        <w:pStyle w:val="Heading2"/>
      </w:pPr>
      <w:r>
        <w:t>605.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New ensemble of regional climate projections for Europe — https://doi.org/10.5281/zenodo.20340839</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Operationalising the Climate Change Action Plan of the European Central Bank — https://doi.org/10.1017/9781009450423.013</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The chapter analyses how the climate change action plan developed by the European Central Bank (ECB) as part of its monetary policy strategy review in 2020-2021 is aligned with the ECB’s mandate set out in the Treaty on the Functioning of the European Union and the Treaty on European Union. The Treaties require the ECB to integrate climate change considerations into its monetary policy and to contribute to the EU’s objectives regarding climate change, as established by Regulation (EU) 2021/1119, the European Climate Law. However, there are also legal limits on the action the ECB can take in this field. The chapter examines the key measures proposed as part of the plan from a legal perspective, including measures related to macroeconomic forecasts and models, the collection of statistical information for climate change risk analysis, the enhancement of risk assessment capabilities, asset purchase programmes, and possible changes to the collateral framework. It also considers the questions regarding the ECB’s democratic legitimacy and accountability that arise in this context.</w:t>
      </w:r>
    </w:p>
    <w:p>
      <w:pPr>
        <w:pStyle w:val="Heading2"/>
      </w:pPr>
      <w:r>
        <w:t>606.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2026:</w:t>
      </w:r>
      <w:r>
        <w:t xml:space="preserve"> The rare and the common: habitat suitability and niche segregation of Anopheles algeriensis (Theobald, 1903) and Anopheles claviger s.s. (Meigen, 1804) in North-German peatlands is shaped by distinct landscape–weather interactions — https://doi.org/10.1186/s13071-026-07612-w</w:t>
      </w:r>
    </w:p>
    <w:p>
      <w:pPr/>
      <w:r>
        <w:rPr>
          <w:b/>
        </w:rPr>
        <w:t>Shared claim-specific concepts:</w:t>
      </w:r>
      <w:r>
        <w:t xml:space="preserve"> suitability, species, despite, ecological; EU scope visible. This is a provisional connection, not an outcome finding.</w:t>
      </w:r>
    </w:p>
    <w:p>
      <w:pPr>
        <w:pStyle w:val="SourceNote"/>
      </w:pPr>
      <w:r>
        <w:rPr>
          <w:b/>
        </w:rPr>
        <w:t>Available abstract (not full text):</w:t>
      </w:r>
      <w:r>
        <w:t xml:space="preserve"> BACKGROUND: Peatland rewetting is a cost-effective strategy for climate change mitigation and biodiversity conservation, yet its potential to alter mosquito species composition and abundance carries implications for public and veterinary health. Anopheles algeriensis and Anopheles claviger s.s. are broadly distributed across European wetlands, including peatlands, but despite their vector potential, their specific ecological niches and responses to rewetting remain poorly understood. METHODS: Adult mosquitoes were sampled biweekly across two consecutive seasons at 15 sites within a fen peatland landscape in North-East Germany and identified morphologically. Anopheline specimens outside the Anopheles maculipennis complex underwent further molecular identification. Sampling sites were grouped into three habitat types, wet peatlands, drained peatlands, and settlements, based on key peatland characteristics. Subsequently, generalised linear mixed models were used to assess species-specific responses to habitat type and their interactions with relevant weather variables. RESULTS: A total of 278 An. algeriensis individuals were collected, with significantly higher abundances observed in wet peatlands than in other habitat types. Mean temperature and mean relative humidity were positively correlated with abundance. The former independent of habitat types, the latter was modulated by t</w:t>
      </w:r>
    </w:p>
    <w:p>
      <w:pPr/>
      <w:r>
        <w:rPr>
          <w:b/>
        </w:rPr>
        <w:t>POSSIBLE 2026:</w:t>
      </w:r>
      <w:r>
        <w:t xml:space="preserve"> Spatial resilience and population replacement in Europe during MIS 3: a comparative study of Neanderthals and H. sapiens — https://doi.org/10.1016/j.quascirev.2026.109850</w:t>
      </w:r>
    </w:p>
    <w:p>
      <w:pPr/>
      <w:r>
        <w:rPr>
          <w:b/>
        </w:rPr>
        <w:t>Shared claim-specific concepts:</w:t>
      </w:r>
      <w:r>
        <w:t xml:space="preserve"> suitability, species, despite; EU scope visible. This is a provisional connection, not an outcome finding.</w:t>
      </w:r>
    </w:p>
    <w:p>
      <w:pPr>
        <w:pStyle w:val="SourceNote"/>
      </w:pPr>
      <w:r>
        <w:rPr>
          <w:b/>
        </w:rPr>
        <w:t>Available abstract (not full text):</w:t>
      </w:r>
      <w:r>
        <w:t xml:space="preserve"> Homo sapiens dispersed out of Africa several times during the Late Pleistocene. The most recent dispersal event, which began around 60,000 years ago, resulted in the permanent establishment of Sapiens populations in Europe, followed by the disappearance of Neanderthals from the archaeological record. Various hypotheses suggest that the process of population replacement in Europe was influenced by climate change, habitat dynamics, demographic processes, and/or competitive exclusion. To test these hypotheses, we use habitat suitability modeling and GIS tools to predict the optimal distribution of Neanderthal and Aurignacian populations in Europe during stadial and interstadial events of Marine Isotope Stage 3 (MIS 3) and reconstruct their regional networks. The models show that while relatively more suitable habitat was available for Homo sapiens under interstadial conditions, both groups were affected by climate change resulting in shifts in the location of optimal regions and concomitant changes in the social networks that connected them. Our analysis indicates that optimally suitable habitat persisted across the potential ranges of both species despite climate change. Climate stress alone is not indicated as a cause of Neanderthal's extinction, therefore. Several “core” regions are identified that could have sustained a pattern of demographic resilience, allowing populations t</w:t>
      </w:r>
    </w:p>
    <w:p>
      <w:pPr/>
      <w:r>
        <w:rPr>
          <w:b/>
        </w:rPr>
        <w:t>POSSIBLE 2026:</w:t>
      </w:r>
      <w:r>
        <w:t xml:space="preserve"> Evaluating non-lethal tissue suitability for telomere length measurement in the Japanese eel — https://doi.org/10.64898/2026.05.09.723945</w:t>
      </w:r>
    </w:p>
    <w:p>
      <w:pPr/>
      <w:r>
        <w:rPr>
          <w:b/>
        </w:rPr>
        <w:t>Shared claim-specific concepts:</w:t>
      </w:r>
      <w:r>
        <w:t xml:space="preserve"> environmental, suitability, all, species, ecological; EU scope not established. This is a provisional connection, not an outcome finding.</w:t>
      </w:r>
    </w:p>
    <w:p>
      <w:pPr>
        <w:pStyle w:val="SourceNote"/>
      </w:pPr>
      <w:r>
        <w:rPr>
          <w:b/>
        </w:rPr>
        <w:t>Available abstract (not full text):</w:t>
      </w:r>
      <w:r>
        <w:t xml:space="preserve"> Abstract Telomere length (TL) is increasingly used in ecology as a biomarker of individual quality and environmental stress, yet research on non-model species with complex life histories remains limited. Because TL varies among tissues and across ages in a species-specific manner, identifying non-lethal tissues that reliably reflect whole-organism telomere dynamics is essential for longitudinal telomere studies in the field. This study aimed to evaluate tissue-specific TL in Japanese eel ( Anguilla japonica ), an endangered catadromous fish. We first mapped the chromosomal distribution of telomeric sequences using fluorescent in situ hybridization (FISH), the first application of this method in this species. We then tested whether muscle and caudal fin, which can be sampled easily and non-lethally, can serve as suitable proxy tissues for TL measurements in wild individuals. Relative telomere length (RTL) was quantified by qPCR in blood, brain, caudal fin, gonads, heart, liver, and muscle. FISH analysis confirmed telomeric repeats at all chromosomal ends, with only weak interstitial signals on three chromosomal pairs unlikely to affect qPCR-based estimates. A generalized additive mixed model and Wilcoxon’s signed-rank tests revealed significant inter-tissue differences: RTL was shortest in the brain and muscle and longest in liver, blood and caudal fin. Muscle and caudal fin RTL</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all, species, despite, ecological, literature;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pStyle w:val="Heading2"/>
      </w:pPr>
      <w:r>
        <w:t>607.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608.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2026:</w:t>
      </w:r>
      <w:r>
        <w:t xml:space="preserve"> Closing the Coordination Gap: A Policy Architecture for the European Energy Transition — https://doi.org/10.5281/zenodo.19984616</w:t>
      </w:r>
    </w:p>
    <w:p>
      <w:pPr/>
      <w:r>
        <w:rPr>
          <w:b/>
        </w:rPr>
        <w:t>Shared claim-specific concepts:</w:t>
      </w:r>
      <w:r>
        <w:t xml:space="preserve"> article, energy, presented; EU scope visible. This is a provisional connection, not an outcome finding.</w:t>
      </w:r>
    </w:p>
    <w:p>
      <w:pPr>
        <w:pStyle w:val="SourceNote"/>
      </w:pPr>
      <w:r>
        <w:rPr>
          <w:b/>
        </w:rPr>
        <w:t>Available abstract (not full text):</w:t>
      </w:r>
      <w:r>
        <w:t xml:space="preserve"> How to Use This Work This research is structured as a layered system for policy application: Entry Point (Immediate Policy Relevance)Closing the Coordination Gaphttps://zenodo.org/records/19984617→ Defines the timing mismatch (2028–2032 window) and provides EU-aligned implementation mechanisms (TESP, PESEC, ERC). System Foundation (Transition Dynamics)Rapid Energy Transition Framework (RETF)https://zenodo.org/records/19812288→ Models coordinated deployment, pre-transition stress, and physical stabilisation layers (including geothermal infrastructure). Economic &amp; Social Stabilisation LayerEngagement Credit Economy (ECE)https://zenodo.org/records/19843494→ Provides a participation-based mechanism to maintain demand, coordination capacity, and social continuity during transition. Together, these layers define a unified approach linking system dynamics, infrastructure deployment, and economic participation. This record presents an EU-facing policy architecture addressing a central but under-recognised constraint in the European energy transition: the coordination gap between demand evolution and infrastructure deployment timelines. Across EU Member States, electrification of transport, heating, and industry is accelerating demand on a three-to-five-year cycle, while generation and transmission infrastructure typically require ten to fifteen years to plan, permit, and deliver. The r</w:t>
      </w:r>
    </w:p>
    <w:p>
      <w:pPr/>
      <w:r>
        <w:rPr>
          <w:b/>
        </w:rPr>
        <w:t>POSSIBLE 2026:</w:t>
      </w:r>
      <w:r>
        <w:t xml:space="preserve"> Energy diplomacy: cooperation between Kazakhstan and the European Union in the field of energy transformation — https://doi.org/10.1080/23745118.2026.2734585</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The energy transition of the European Union after 2022 has taken on a new geopolitical significance, in which energy ceases to be an exclusively economic or climate issue, but becomes part of strategic autonomy and foreign policy action. This shift fundamentally changes the nature of EU energy diplomacy, the aim of which is no longer merely to secure energy supplies, but to deepen security interactions and promote the EU’s influence and regulatory framework through cooperation with external partners. This article examines the potential for energy cooperation between the two blocs – the European Union and Kazakhstan. The aim of the article is to analyse how the European Union’s energy diplomacy is being implemented in Kazakhstan and to assess their level of cooperation in the energy sector. The results of the article suggest that the European Union, through regulatory dialogue and strategic partnerships, is supporting Kazakhstan’s gradual regulatory convergence in the areas of environmental regulation, decarbonization and renewable energy. The analysis shows that the extent of convergence remains selective and is largely limited by Kazakhstan’s geopolitical ties with Russia and China.</w:t>
      </w:r>
    </w:p>
    <w:p>
      <w:pPr/>
      <w:r>
        <w:rPr>
          <w:b/>
        </w:rPr>
        <w:t>POSSIBLE 2026:</w:t>
      </w:r>
      <w:r>
        <w:t xml:space="preserve"> Introducing Hydrogen to the European Energy Market — https://doi.org/10.4324/9781003669654-6</w:t>
      </w:r>
    </w:p>
    <w:p>
      <w:pPr/>
      <w:r>
        <w:rPr>
          <w:b/>
        </w:rPr>
        <w:t>Shared claim-specific concepts:</w:t>
      </w:r>
      <w:r>
        <w:t xml:space="preserve"> energy, until, therefore;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therefore;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The Church as a vehicle of Inclusion : A Case Study of Five International Students’ Engagement with the Salvation Army in Turku, Finland. — https://openalex.org/W7164459531</w:t>
      </w:r>
    </w:p>
    <w:p>
      <w:pPr/>
      <w:r>
        <w:rPr>
          <w:b/>
        </w:rPr>
        <w:t>Shared claim-specific concepts:</w:t>
      </w:r>
      <w:r>
        <w:t xml:space="preserve"> five, finland, important; EU scope visible. This is a provisional connection, not an outcome finding.</w:t>
      </w:r>
    </w:p>
    <w:p>
      <w:pPr>
        <w:pStyle w:val="SourceNote"/>
      </w:pPr>
      <w:r>
        <w:rPr>
          <w:b/>
        </w:rPr>
        <w:t>Available abstract (not full text):</w:t>
      </w:r>
      <w:r>
        <w:t xml:space="preserve"> As an international student who experienced challenges during the first days of arrival in Finland, I became interested in exploring other experiences of other international students and the support structure available for them. There are of course elements of an operationally functional welfare state in Finland, but international students still face significant disadvantages, both in terms of integration into the host society, language, cultural, and social network issues. The aim of this research is to explore social exclusion from an international students' point of view in Turku, Finland, and to also focus on how the Salvation Army (Pelastusarmeija) Turku Corps can facilitate social inclusion. This is a qualitative phenomenological research involving semi structured interviews with five international students who have had contact with the Salvation Army (Pelastusarmeja) in Turku. The data was analyzed using thematic analysis, which identified six themes - language challenges; loneliness; cultural differences and social norm adjustment; the Salvation Army as a place of belonging; the church as a support system; and the Salvation Army as a means of integration. Based on the results of this research it is identified that barriers in language, emotional isolation, adapting to new cultural norms, are the reasons that lead to the international students' social exclusion. The Salv</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pStyle w:val="Heading2"/>
      </w:pPr>
      <w:r>
        <w:t>609.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2026:</w:t>
      </w:r>
      <w:r>
        <w:t xml:space="preserve"> The role of group composition in collaborative foresight — https://doi.org/10.1016/j.techfore.2026.124836</w:t>
      </w:r>
    </w:p>
    <w:p>
      <w:pPr/>
      <w:r>
        <w:rPr>
          <w:b/>
        </w:rPr>
        <w:t>Shared claim-specific concepts:</w:t>
      </w:r>
      <w:r>
        <w:t xml:space="preserve"> role, foresight; EU scope not established. This is a provisional connection, not an outcome finding.</w:t>
      </w:r>
    </w:p>
    <w:p>
      <w:pPr>
        <w:pStyle w:val="SourceNote"/>
      </w:pPr>
      <w:r>
        <w:rPr>
          <w:b/>
        </w:rPr>
        <w:t>Available abstract (not full text):</w:t>
      </w:r>
      <w:r>
        <w:t xml:space="preserve"> In fast-changing, complex environments where uncertainty abounds, collaborative foresight is increasingly advocated as a means of navigating these conditions – but under what circumstances do its promised benefits materialize? We investigate when collaborative foresight – foresight conducted jointly by two or more organizations – delivers its promised benefits by examining how group composition shapes collective cognition and the ability to challenge dominant mental models and beliefs inherited from past experiences. Our systematic literature review shows limited rigorous theory development on how the composition (in terms of homogeneity versus heterogeneity) of the group of individuals representing the organizations involved affects collaborative foresight processes. It also shows that much of the literature treats diversity as a uniform construct. We propose a conceptual framework that highlights how the deliberate configuration of heterogeneity and homogeneity across attributes gives rise to distinct cognitive dynamics, with both enabling and constraining effects on collective cognition. In doing so, it advances the understanding of these relationships and provides a conceptual foundation for systematically reflecting on and identifying context-specific group compositions for collaborative foresight processes. Moreover, the review shows how these cognitive dynamics shape the</w:t>
      </w:r>
    </w:p>
    <w:p>
      <w:pPr>
        <w:pStyle w:val="Heading2"/>
      </w:pPr>
      <w:r>
        <w:t>610.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2026:</w:t>
      </w:r>
      <w:r>
        <w:t xml:space="preserve"> Expectations, Visions and Imaginaries — https://doi.org/10.1017/9781009437318.018</w:t>
      </w:r>
    </w:p>
    <w:p>
      <w:pPr/>
      <w:r>
        <w:rPr>
          <w:b/>
        </w:rPr>
        <w:t>Shared claim-specific concepts:</w:t>
      </w:r>
      <w:r>
        <w:t xml:space="preserve"> different, technology; EU scope not established. This is a provisional connection, not an outcome finding.</w:t>
      </w:r>
    </w:p>
    <w:p>
      <w:pPr>
        <w:pStyle w:val="SourceNote"/>
      </w:pPr>
      <w:r>
        <w:rPr>
          <w:b/>
        </w:rPr>
        <w:t>Available abstract (not full text):</w:t>
      </w:r>
      <w:r>
        <w:t xml:space="preserve"> This chapter discusses the role of visions, expectations, and socio-technical imaginaries in shaping sustainability transitions. Imagining futures different from current socio-technical regimes is essential for legitimizing and mobilizing niche technologies and driving system change. More recently, mission-oriented and transformative innovation policies have emphasised envisioning and collective expectations in defining and implementing long-term goals. The chapter introduces the historical development of these concepts within sustainability transition studies, including transition management, strategic niche management, and technological innovation systems. It presents and compares various anticipatory practices and techniques for exploring and shaping transition dynamics. ‘Futuring methods’ such as scenario development, technology foresight, roadmapping, and modelling are not just neutral tools but shape political problems and solutions. The chapter concludes by illustrating the influence of visions, expectations, and imaginaries in the historical evolution of hydrogen futures and highlighting key research trends.</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611.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after, limited, long-term;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after,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PICO: Reconstructing 3D People In Contact with Objects — https://doi.org/10.1109/cvpr52734.2025.00173</w:t>
      </w:r>
    </w:p>
    <w:p>
      <w:pPr/>
      <w:r>
        <w:rPr>
          <w:b/>
        </w:rPr>
        <w:t>Shared claim-specific concepts:</w:t>
      </w:r>
      <w:r>
        <w:t xml:space="preserve"> limited, reconstructing; EU scope not established. This is a provisional connection, not an outcome finding.</w:t>
      </w:r>
    </w:p>
    <w:p>
      <w:pPr>
        <w:pStyle w:val="SourceNote"/>
      </w:pPr>
      <w:r>
        <w:rPr>
          <w:b/>
        </w:rPr>
        <w:t>Available abstract (not full text):</w:t>
      </w:r>
      <w:r>
        <w:t xml:space="preserve"> Recovering 3D Human-Object Interaction (HOI) from single images is challenging due to depth ambiguities, occlusions, and the huge variation in object shape and appearance. Thus, past work requires controlled settings such as known object shapes and contacts, and tackles only limited object classes. Instead, we need methods that generalize to natural images and novel object classes. We tackle this in two main ways: (1) We collect PICO-db, a new dataset of natural images uniquely paired with dense 3D contact correspondences on both body and object meshes. To this end, we use images from the recent DAMON dataset that are paired with annotated contacts, but only on a canonical 3D body. In contrast, we seek contact labels on both the body and the object. To infer these, given an image, we retrieve an appropriate 3D object mesh from a database by leveraging vision foundation models. Then, we project DAMON’s body contact patches onto the object via a novel method needing only 2 clicks per patch. This minimal human input establishes rich contact correspondences between bodies and objects. (2) We exploit our new dataset in a novel render-and-compare fitting method, called PICO-fit, to recover 3D body and object meshes in interaction. PICO-fit infers contact for the SMPL-X body, retrieves a likely 3D object mesh and contact from PICO-db for that object, and uses the contact to iterativel</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pStyle w:val="Heading2"/>
      </w:pPr>
      <w:r>
        <w:t>612.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2026:</w:t>
      </w:r>
      <w:r>
        <w:t xml:space="preserve"> Frailty and Socioeconomic Development in the European Region—Associations with Mortality in Middle-Aged and Older Adults — https://doi.org/10.3390/ijerph23030307</w:t>
      </w:r>
    </w:p>
    <w:p>
      <w:pPr/>
      <w:r>
        <w:rPr>
          <w:b/>
        </w:rPr>
        <w:t>Shared claim-specific concepts:</w:t>
      </w:r>
      <w:r>
        <w:t xml:space="preserve"> mortality, countries, significant; EU scope visible. This is a provisional connection, not an outcome finding.</w:t>
      </w:r>
    </w:p>
    <w:p>
      <w:pPr>
        <w:pStyle w:val="SourceNote"/>
      </w:pPr>
      <w:r>
        <w:rPr>
          <w:b/>
        </w:rPr>
        <w:t>Available abstract (not full text):</w:t>
      </w:r>
      <w:r>
        <w:t xml:space="preserve"> The Sociodemographic Index (SDI) captures a country's or region's relative socioeconomic development and has been linked to age-related disease burden and life expectancy. Frailty is a multidimensional geriatric syndrome associated with adverse health outcomes and mortality. This study examined the relationship between country-level SDI, frailty prevalence, and mortality across Europe. We conducted a secondary analysis of community-dwelling adults aged 50 years and older from 12 countries participating in the Survey of Health, Ageing and Retirement in Europe (SHARE). Frailty status and SDI were assessed at Wave 2 (2007), with mortality follow-up at Wave 4 (2011). Countries were categorised into lower- and higher-SDI groups using the median as a cut-off. Frailty was measured using a 70-item frailty index (FI ≥ 0.25) and a modified Fried frailty phenotype (FP ≥ 3 criteria). Frailty prevalence varied substantially by country and assessment method, ranging from 7 to 40% using the FI and 4-21% using the FP. Prevalence was lowest in Switzerland and highest in Poland and was strongly correlated with national SDI scores (r ≥ 0.8). After adjustment for age and sex, lower SDI was independently associated with higher odds of frailty using both frailty measures. Although mortality was lower in higher-SDI countries, this association was not statistically significant after adjusting for age,</w:t>
      </w:r>
    </w:p>
    <w:p>
      <w:pPr/>
      <w:r>
        <w:rPr>
          <w:b/>
        </w:rPr>
        <w:t>POSSIBLE 2026:</w:t>
      </w:r>
      <w:r>
        <w:t xml:space="preserve"> How heat exposure is defined matters: evidence from multi-metric mortality estimates across Europe — https://doi.org/10.1186/s12940-026-01349-w</w:t>
      </w:r>
    </w:p>
    <w:p>
      <w:pPr/>
      <w:r>
        <w:rPr>
          <w:b/>
        </w:rPr>
        <w:t>Shared claim-specific concepts:</w:t>
      </w:r>
      <w:r>
        <w:t xml:space="preserve"> average, mortality, all, heat; EU scope visible. This is a provisional connection, not an outcome finding.</w:t>
      </w:r>
    </w:p>
    <w:p>
      <w:pPr>
        <w:pStyle w:val="SourceNote"/>
      </w:pPr>
      <w:r>
        <w:rPr>
          <w:b/>
        </w:rPr>
        <w:t>Available abstract (not full text):</w:t>
      </w:r>
      <w:r>
        <w:t xml:space="preserve"> Extreme heat is an escalating health threat, particularly as Europe warms faster than the global average. However, mortality estimates depend on how heat exposure is measured, because different metrics can capture different dimensions of heat, including intensity, duration, acclimatisation and combined thermal stress. We examined how alternative heat metrics influence estimates of heat-related mortality across five European sites representing diverse climate conditions: Heraklion (Greece), Bologna (Italy), Geneva (Switzerland), Augsburg (Germany) and Oulu (Finland). Using harmonised daily mortality and climate data for 2020–2023, we applied distributed lag non-linear models to estimate heat-mortality associations. Mortality data were population-based for all sites except Augsburg, where hospital-based mortality data were used. Continuous exposure-response functions were modelled for air temperature, UTCI and WBGT across the full observed exposure range. Binary heatwave indicators, including EHF, WSDI and percentile-based definitions, were analysed separately under the same framework. Results are presented first as cumulative relative risks (RRs) and then as attributable mortality burdens. RRs indicated stronger heat-mortality associations in Heraklion and Bologna, moderate associations in Geneva, and non-significant associations in Oulu or in the hospital-based Augsburg data. A</w:t>
      </w:r>
    </w:p>
    <w:p>
      <w:pPr/>
      <w:r>
        <w:rPr>
          <w:b/>
        </w:rPr>
        <w:t>POSSIBLE 2026:</w:t>
      </w:r>
      <w:r>
        <w:t xml:space="preserve"> Threefold Land‐Use Forcing Intensifies Twofold Warming of Urban Europe — https://doi.org/10.1029/2026jd046541</w:t>
      </w:r>
    </w:p>
    <w:p>
      <w:pPr/>
      <w:r>
        <w:rPr>
          <w:b/>
        </w:rPr>
        <w:t>Shared claim-specific concepts:</w:t>
      </w:r>
      <w:r>
        <w:t xml:space="preserve"> average, indicate, almost, twice, rcp8, compared; EU scope visible. This is a provisional connection, not an outcome finding.</w:t>
      </w:r>
    </w:p>
    <w:p>
      <w:pPr>
        <w:pStyle w:val="SourceNote"/>
      </w:pPr>
      <w:r>
        <w:rPr>
          <w:b/>
        </w:rPr>
        <w:t>Available abstract (not full text):</w:t>
      </w:r>
      <w:r>
        <w:t xml:space="preserve"> Abstract Europe is warming much faster than the global average, yet the relative contributions of individual anthropogenic drivers to its urban warming remain uncertain. Using CMIP5 single‐forcing simulations and observations from HadCRUT5 data set, we determine the influence of greenhouse gases (GHGs), aerosols from anthropogenic sources (Aaer), together with change in land‐use (LU) forcing on urban Europe's rising surface air temperature (SAT) since 1850. The local Europe Amplification Factor (EAF), the ratio of regional to global SAT trends, reveals that LU forcing has intensified nearly threefold relative to the global mean since the industrial era, driving urban European warming almost twice the global rate. LU forcing exhibits the strongest amplification compared with GHG forcing , highlighting the critical role of surface modifications in accelerating regional urban warming. Future projections under RCP6.0 and RCP8.5 indicate persistent EAF values exceeding 2.0 over densely populated regions, underscoring the need for integrated emission‐ and land‐management strategies to mitigate urban Europe's amplified warming.</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mortality, almost, all, three, suggest, significant;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pStyle w:val="Heading2"/>
      </w:pPr>
      <w:r>
        <w:t>613.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614.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2026:</w:t>
      </w:r>
      <w:r>
        <w:t xml:space="preserve"> Energy efficiency first for homes? Public priorities, barriers and residential energy choices in six European countries — https://doi.org/10.1007/s12053-026-10478-7</w:t>
      </w:r>
    </w:p>
    <w:p>
      <w:pPr/>
      <w:r>
        <w:rPr>
          <w:b/>
        </w:rPr>
        <w:t>Shared claim-specific concepts:</w:t>
      </w:r>
      <w:r>
        <w:t xml:space="preserve"> countries, become, not, but, also, energy; EU scope visible. This is a provisional connection, not an outcome finding.</w:t>
      </w:r>
    </w:p>
    <w:p>
      <w:pPr>
        <w:pStyle w:val="SourceNote"/>
      </w:pPr>
      <w:r>
        <w:rPr>
          <w:b/>
        </w:rPr>
        <w:t>Available abstract (not full text):</w:t>
      </w:r>
      <w:r>
        <w:t xml:space="preserve"> Abstract The Energy Efficiency First (EE1st) principle has become an important element of European Union energy and climate policy, requiring energy efficiency to be considered and prioritised where it is more cost-effective or socially beneficial than supply-side alternatives. However, EE1st is primarily a top-down policy, planning and investment principle, not simply a measure of public support for energy efficiency. This article therefore examines a more focused question: how do households perceive, prioritise and evaluate residential energy measures that are relevant to the implementation context of EE1st? Drawing on a structured cross-national survey of 1,014 respondents in Germany, the United Kingdom, Poland, Italy, Denmark and Estonia, the article explores household attitudes toward selected building-related energy efficiency and decarbonisation measures, including insulation, energy-efficient windows, heating systems, heat pumps and renewable energy options. The six countries represent different institutional, welfare and energy-policy contexts, allowing for an exploratory comparison of public perceptions across diverse European settings. Findings show broad support for several residential energy measures, but also reveal important constraints. High upfront costs emerge as the most consistent barrier, while willingness to invest or tolerate disruption varies across meas</w:t>
      </w:r>
    </w:p>
    <w:p>
      <w:pPr/>
      <w:r>
        <w:rPr>
          <w:b/>
        </w:rPr>
        <w:t>POSSIBLE 2026:</w:t>
      </w:r>
      <w:r>
        <w:t xml:space="preserve"> Resource requirements and consequences of large-scale hydrogen use in Europe — https://doi.org/10.1038/s41893-026-01771-5</w:t>
      </w:r>
    </w:p>
    <w:p>
      <w:pPr/>
      <w:r>
        <w:rPr>
          <w:b/>
        </w:rPr>
        <w:t>Shared claim-specific concepts:</w:t>
      </w:r>
      <w:r>
        <w:t xml:space="preserve"> countries, become, hydrogen, production, but, areas;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pStyle w:val="Heading2"/>
      </w:pPr>
      <w:r>
        <w:t>615.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2026:</w:t>
      </w:r>
      <w:r>
        <w:t xml:space="preserve"> Data concerns undermine AI applications for climate — https://doi.org/10.1038/s44168-026-00390-2</w:t>
      </w:r>
    </w:p>
    <w:p>
      <w:pPr/>
      <w:r>
        <w:rPr>
          <w:b/>
        </w:rPr>
        <w:t>Shared claim-specific concepts:</w:t>
      </w:r>
      <w:r>
        <w:t xml:space="preserve"> undermine, also, agency, governance; EU scope not established. This is a provisional connection, not an outcome finding.</w:t>
      </w:r>
    </w:p>
    <w:p>
      <w:pPr>
        <w:pStyle w:val="SourceNote"/>
      </w:pPr>
      <w:r>
        <w:rPr>
          <w:b/>
        </w:rPr>
        <w:t>Available abstract (not full text):</w:t>
      </w:r>
      <w:r>
        <w:t xml:space="preserve"> Abstract The global climate crisis demands innovative solutions, and artificial intelligence (AI), including large language models (LLMs), offers significant potential to improve efficiency and enable lower-carbon lifestyles. However, public concerns around data privacy may affect the use of AI-enabled, data-driven applications with potential climate benefits. Drawing on three empirical studies with a nationally representative UK sample ( N = 2078), we show that heightened awareness of AI’s data collection practices reduces willingness to engage with such technologies - especially when perceived user benefits are low. We also find that data protection behaviours and greater familiarity with AI are associated with lower perceived risk, suggesting adaptive responses rather than disengagement. These behavioural dynamics highlight the importance of transparency, user agency and the integration of human and environmental dimensions into existing AI governance frameworks. Our results illustrate how public perceptions and everyday practices influence the social acceptance of digital innovations for sustainability.</w:t>
      </w:r>
    </w:p>
    <w:p>
      <w:pPr/>
      <w:r>
        <w:rPr>
          <w:b/>
        </w:rPr>
        <w:t>POSSIBLE 2026:</w:t>
      </w:r>
      <w:r>
        <w:t xml:space="preserve"> PRELIMINARY DIAGNOSTICS OF ENVIRONMENTAL SUSTAINABILITY IN GEOGRAPHICAL INDICATIONS: CONTRIBUTIONS TOWARDS A METHODOLOGY ALIGNED WITH EUROPEAN UNION REQUIREMENTS — https://doi.org/10.66104/kx2e4735</w:t>
      </w:r>
    </w:p>
    <w:p>
      <w:pPr/>
      <w:r>
        <w:rPr>
          <w:b/>
        </w:rPr>
        <w:t>Shared claim-specific concepts:</w:t>
      </w:r>
      <w:r>
        <w:t xml:space="preserve"> preliminary, not, governance; EU scope visible. This is a provisional connection, not an outcome finding.</w:t>
      </w:r>
    </w:p>
    <w:p>
      <w:pPr>
        <w:pStyle w:val="SourceNote"/>
      </w:pPr>
      <w:r>
        <w:rPr>
          <w:b/>
        </w:rPr>
        <w:t>Available abstract (not full text):</w:t>
      </w:r>
      <w:r>
        <w:t xml:space="preserve"> This article presents a preliminary diagnosis of environmental sustainability in Brazilian Geographical Indications (GIs), aiming to propose an evaluative instrument aligned with European Union regulatory requirements. The research distinguishes three regulatory planes: (i) environmental requirements applicable to commodity chains exported to the EU, notably the EU Deforestation Regulation (EUDR – Regulation (EU) 2023/2772); (ii) EU-specific GI protection norms, such as Regulation (EU) 2024/1143; and (iii) voluntary or strategic territorial sustainability criteria. For export-oriented GIs - particularly those linked to agricultural products such as coffee, cocoa, and beef - the EUDR constitutes a concrete regulatory requirement, with obligations for traceability and proof of deforestation-free supply chains. For export-oriented GIs operating in regulated commodity chains, market experience has consistently demonstrated that EUDR compliance is a market-access condition, not merely a competitive differentiator. A qualitative and exploratory methodology was adopted, including document analysis and application of a Multicriteria Diagnostic Protocol (MDP) to five agri-food GIs, organized into five thematic axes: natural resource management, biodiversity, climate mitigation, sustainable innovation, and community participation. The findings reveal localized advances in innovation and </w:t>
      </w:r>
    </w:p>
    <w:p>
      <w:pPr/>
      <w:r>
        <w:rPr>
          <w:b/>
        </w:rPr>
        <w:t>POSSIBLE 2026:</w:t>
      </w:r>
      <w:r>
        <w:t xml:space="preserve"> Regulating AI-Driven Triage: Fundamental Rights and Compliance Challenges in the European Union — https://doi.org/10.3390/ai7030086</w:t>
      </w:r>
    </w:p>
    <w:p>
      <w:pPr/>
      <w:r>
        <w:rPr>
          <w:b/>
        </w:rPr>
        <w:t>Shared claim-specific concepts:</w:t>
      </w:r>
      <w:r>
        <w:t xml:space="preserve"> challenges, not, only, but, also; EU scope visible. This is a provisional connection, not an outcome finding.</w:t>
      </w:r>
    </w:p>
    <w:p>
      <w:pPr>
        <w:pStyle w:val="SourceNote"/>
      </w:pPr>
      <w:r>
        <w:rPr>
          <w:b/>
        </w:rPr>
        <w:t>Available abstract (not full text):</w:t>
      </w:r>
      <w:r>
        <w:t xml:space="preserve"> Emergency triage is a critical healthcare action that could be improved through the use of artificial intelligence (AI) systems, as these have been shown to achieve accuracy rates of approximately 70–90% for LLMs and AUC values ranging from 0.75 to 0.95 for common AI models. However, these systems face challenges related to the rights and interests of the individuals involved. The European Union’s normative framework, including not only data protection regulations but also the AI Act and medical device regulations, imposes conditions on the use of AI, and these are analyzed here. Our conclusions reveal that Article 22 of the General Data Protection Regulation (GDPR) makes it difficult to justify the establishment of fully automated decision-making models for triage. That accountability obligations for implementers (Fundamental Rights Impact Assessments: FRIAs) and data controllers (data protection impact assessments: DPIAs) can contribute to better design of AI-based decision-making in triage. Furthermore, with regard to the information rights set out in the GDPR, these have been complemented by the right to an explanation under Art. 86 AI Act in the use of high-risk AI systems. Unfortunately, regulation relating to general-purpose AI models may create some gaps in this framework. The implementation of AI systems for automated decision-making in triage has the potential to impr</w:t>
      </w:r>
    </w:p>
    <w:p>
      <w:pPr/>
      <w:r>
        <w:rPr>
          <w:b/>
        </w:rPr>
        <w:t>POSSIBLE 2026:</w:t>
      </w:r>
      <w:r>
        <w:t xml:space="preserve"> The conservation management of European bison requires strong evidence and careful risk assessment: A response to “Comment: Nores et al. (2024) fail in their attempt to demonstrate the inappropriateness of an eventual introduction of the European bison to Spain as a rewilding initiative” — https://doi.org/10.1111/csp2.70262</w:t>
      </w:r>
    </w:p>
    <w:p>
      <w:pPr/>
      <w:r>
        <w:rPr>
          <w:b/>
        </w:rPr>
        <w:t>Shared claim-specific concepts:</w:t>
      </w:r>
      <w:r>
        <w:t xml:space="preserve"> see, preliminary, part, many, challenges, not; EU scope visible. This is a provisional connection, not an outcome finding.</w:t>
      </w:r>
    </w:p>
    <w:p>
      <w:pPr>
        <w:pStyle w:val="SourceNote"/>
      </w:pPr>
      <w:r>
        <w:rPr>
          <w:b/>
        </w:rPr>
        <w:t>Available abstract (not full text):</w:t>
      </w:r>
      <w:r>
        <w:t xml:space="preserve"> We thank Bartolomé and colleagues for their interest in our recent article, “Rewilding through inappropriate species introduction: The case of European bison in Spain” (Nores et al., 2024). Our work critically evaluated the proposal to introduce European bison (Bison bonasus) into the Iberian Peninsula, considering ecological, biogeographical, conservation, and legal aspects. The reply by Bartolomé et al. presents alternative hypotheses but does not challenge our conclusions with new evidence. Our position relied on what the available data show and on the convergence of paleontological, ecological, climatic, and legal evidence (Nores et al., 2024). In contrast, Bartolomé and colleagues rely on hypothetical scenarios of the presence of European bison in Iberia, such as possible Holocene extinctions or preliminary sedaDNA signals (Gelabert et al., 2025), which, while intriguing, do not offer conclusive support for past presence of extant European bison in Iberia. We emphasize that a huge number of well-studied Holocene sites across Iberia—110 sites with bovine remains—have yielded no remains of European bison. This absence is meaningful, especially when considered alongside the clear presence in many of them of the steppe bison (Bison priscus) and auroch (Bos primigenius). It is difficult to conceive that European bison could have lived throughout Iberia during thousands of years</w:t>
      </w:r>
    </w:p>
    <w:p>
      <w:pPr/>
      <w:r>
        <w:rPr>
          <w:b/>
        </w:rPr>
        <w:t>POSSIBLE 2026:</w:t>
      </w:r>
      <w:r>
        <w:t xml:space="preserve"> Initial Coin Offerings and the Jurisdictional Challenges under European Union Procedural Law — https://openalex.org/W7167389297</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Initial Coin Offerings (ICOs) are relatively new means to arrange crowdfunding projects powered by distributed ledger technology. ICOs generate multidimensional questions regarding jurisdiction of national courts due to them operating fully digitally on blockchains and the uncertain status of crypto-assets. Observations of jurisdictional issues and potential solutions are made by studying Regulation Brussels I bis and MiCa Regulation and related case-law. The perspective is European Union procedural law focused. The study results were achieved by conducting a qualitative study of which sources mainly consisted of legal documents and case-law but also benefitted from scholarly works. By utilizing systematic literature review and interdisciplinary research, it was possible to draw conclusions of the current legal state of ICOs. As result, it was found that MiCa Regulation may ease establishing jurisdiction in courts of Member States under certain circumstances. MiCa Regulation sets obligations to all actors on crypto-asset markets, some of which require crypto-asset providers to have a registered office in the Union and to concentrate administration in the Union. The thesis also gave an insight into two special connecting factors for jurisdiction: the place of performance of a contractual obligation and consumer contracts. With respect to the place of performance, it was found ju</w:t>
      </w:r>
    </w:p>
    <w:p>
      <w:pPr/>
      <w:r>
        <w:rPr>
          <w:b/>
        </w:rPr>
        <w:t>POSSIBLE 2026:</w:t>
      </w:r>
      <w:r>
        <w:t xml:space="preserve"> Young Activists' Communicative Practices of Resilience: The Challenge of Disinformation Toward the 2024 European Elections — https://doi.org/10.1285/i20356609v19i1p77</w:t>
      </w:r>
    </w:p>
    <w:p>
      <w:pPr/>
      <w:r>
        <w:rPr>
          <w:b/>
        </w:rPr>
        <w:t>Shared claim-specific concepts:</w:t>
      </w:r>
      <w:r>
        <w:t xml:space="preserve"> democratic, role, society, they; EU scope visible. This is a provisional connection, not an outcome finding.</w:t>
      </w:r>
    </w:p>
    <w:p>
      <w:pPr>
        <w:pStyle w:val="SourceNote"/>
      </w:pPr>
      <w:r>
        <w:rPr>
          <w:b/>
        </w:rPr>
        <w:t>Available abstract (not full text):</w:t>
      </w:r>
      <w:r>
        <w:t xml:space="preserve"> This article presents findings from a qualitative study on the communicative practices of young Italian activists during the lead-up to the 2024 European elections. Specifically, the study examines the phenomenon of disinformation and its potential to disrupt the electoral campaign, highlighting the active participation of civil society in the political process and their ability to navigate disinformation can significantly influence the strength and resilience of Europe. Semi-structured interviews were conducted with members of youth organizations, both informal and institutionalized. The results show that highly educated and civically engaged young people use digital tools and hybrid media ecosystems to promote critical, transnational debates. Resilience emerges as a relational capacity rooted in the socio-political context, where youth activism develops alternative discursive spaces to counter democratic erosion. A key insight is the educational role assumed by these activists: in response to perceived institutional shortcomings, they act as informal educators, informing and mobilizing peers. This role contributes to reinforcing democratic values and fostering a more resilient European public sphere.</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pStyle w:val="Heading2"/>
      </w:pPr>
      <w:r>
        <w:t>616.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617.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2026:</w:t>
      </w:r>
      <w:r>
        <w:t xml:space="preserve"> Modelling of temperature-related phenomena in polymers — https://doi.org/10.1007/s00707-026-04652-2</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Abstract In comparison with metals, the characteristic temperatures at which polymers change their behaviour are significantly smaller. Temperature-related or temperature-driven phenomena in meltable thermoplastics, weakly crosslinked elastomers or highly crosslinked thermosets have their origin in physical or chemical changes on the microscale. On the macroscopic scale, the mechanical, thermal and caloric properties of polymers change. Some of these phenomena are reversible, others are irreversible. They take place when the temperature is changing due to heat supply from outside or energy dissipation caused by inelasticity and dynamic mechanical loads. As we know, growing temperature increases the mobility of the polymer molecules and changes the rates of chemical reactions. This review article addresses selected phenomena relevant for technical applications. As a reversible phenomenon, the process-dependent stiffening and softening of polymers around the glass transition is treated. Crystallisation, driven by deformation or temperature, is also a reversible phenomenon discussed in this article. Adhesives are applied in everyday life and change their material properties during curing. A phenomenon of high technical importance is ageing. Irreversible chemical ageing increases with the temperature or the environmental oxygen concentration, results from the generation of new cros</w:t>
      </w:r>
    </w:p>
    <w:p>
      <w:pPr/>
      <w:r>
        <w:rPr>
          <w:b/>
        </w:rPr>
        <w:t>POSSIBLE 2026:</w:t>
      </w:r>
      <w:r>
        <w:t xml:space="preserve"> Reconfiguring the Ideal Order: Ablation and Field Formation in the Twentieth-Century Nigerian Novel in English — https://doi.org/10.63744/bxxtneztegc5</w:t>
      </w:r>
    </w:p>
    <w:p>
      <w:pPr/>
      <w:r>
        <w:rPr>
          <w:b/>
        </w:rPr>
        <w:t>Shared claim-specific concepts:</w:t>
      </w:r>
      <w:r>
        <w:t xml:space="preserve"> order, they, also; EU scope not established. This is a provisional connection, not an outcome finding.</w:t>
      </w:r>
    </w:p>
    <w:p>
      <w:pPr>
        <w:pStyle w:val="SourceNote"/>
      </w:pPr>
      <w:r>
        <w:rPr>
          <w:b/>
        </w:rPr>
        <w:t>Available abstract (not full text):</w:t>
      </w:r>
      <w:r>
        <w:t xml:space="preserve"> Computational literary studies has developed sophisticated methods for detecting textual relationships – similarity networks, text reuse detection, semantic comparison – yet these approaches remain largely constrained to pairwise analysis. They reveal which texts resemble one another but cannot capture how individual works contribute to the collective semantic architecture of a corpus. This paper introduces a methodology that addresses this gap by shifting focus from text-to-text relationships to field formation. Treating a corpus as an integrated semantic space constructed through GloVe word embeddings, the method employs ablation testing – the systematic removal of individual texts followed by retraining – to measure each text’s structural contribution to that space. Procrustes analysis quantifies the geometric difference between full and ablated embeddings, and an iterative protocol with consistency-based exponential decay filtering distinguishes genuine semantic disruption from algorithmic noise. The resulting "disruption scores" identify texts that are structurally necessary to a corpus’s semantic field, capturing a dimension of textual significance irreducible to similarity, centrality, or explicit citation. Drawing on T.S. Eliot’s concept of the "ideal order" as a heuristic for the relational and achronological dynamics the model quantifies, the paper demonstrates the me</w:t>
      </w:r>
    </w:p>
    <w:p>
      <w:pPr/>
      <w:r>
        <w:rPr>
          <w:b/>
        </w:rPr>
        <w:t>POSSIBLE 2026:</w:t>
      </w:r>
      <w:r>
        <w:t xml:space="preserve"> Forecasting the European WEEE Collection Rate in Alignment with the SDGs: An Integrated Predictive Framework — https://doi.org/10.17700/jai.2026.17.1.787</w:t>
      </w:r>
    </w:p>
    <w:p>
      <w:pPr/>
      <w:r>
        <w:rPr>
          <w:b/>
        </w:rPr>
        <w:t>Shared claim-specific concepts:</w:t>
      </w:r>
      <w:r>
        <w:t xml:space="preserve"> forecasts, indicators; EU scope visible. This is a provisional connection, not an outcome finding.</w:t>
      </w:r>
    </w:p>
    <w:p>
      <w:pPr>
        <w:pStyle w:val="SourceNote"/>
      </w:pPr>
      <w:r>
        <w:rPr>
          <w:b/>
        </w:rPr>
        <w:t>Available abstract (not full text):</w:t>
      </w:r>
      <w:r>
        <w:t xml:space="preserve"> The management of Waste Electrical and Electronic Equipment (WEEE) remains a critical sustainability challenge across the European Union (EU). Although the WEEE Directive 2012/19/EU predates the United Nations Sustainable Development Goals (SDGs), its progressively stricter collection targets, from 45% to 65%, are closely aligned with global objectives on sustainable production and consumption. This study develops an integrated predictive framework to forecast the EU27 WEEE Collection Rate (CR) from 2022 to 2030. The framework draws on four modeling families: Statistical methods, Machine Learning (ML) algorithms, Deep Learning (DL) architectures, and selected Hybrid configurations. Data for “Waste Collected” (COL) and “Products Put on the Market” (MKT) were obtained from Eurostat, with missing values imputed through linear interpolation validated against external socioeconomic indicators. Among all models tested, Lasso and Ridge Regression achieved the most accurate forecasts for the COL and MKT datasets, respectively. Although a Hybrid model was implemented to address non-linear residual patterns, it did not outperform the standalone Lasso model, which was retained for CR estimation. The resulting forecasts reveal a consistent downward trend in the Collection Rate, remaining below the 65% target throughout the forecast horizon. This shortfall is primarily driven by an accelera</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2025:</w:t>
      </w:r>
      <w:r>
        <w:t xml:space="preserve"> Predicting arrhythmia recurrence post-ablation in atrial fibrillation using explainable machine learning — https://doi.org/10.1038/s43856-025-01058-4</w:t>
      </w:r>
    </w:p>
    <w:p>
      <w:pPr/>
      <w:r>
        <w:rPr>
          <w:b/>
        </w:rPr>
        <w:t>Shared claim-specific concepts:</w:t>
      </w:r>
      <w:r>
        <w:t xml:space="preserve"> predict, develop, also; EU scope not established. This is a provisional connection, not an outcome finding.</w:t>
      </w:r>
    </w:p>
    <w:p>
      <w:pPr>
        <w:pStyle w:val="SourceNote"/>
      </w:pPr>
      <w:r>
        <w:rPr>
          <w:b/>
        </w:rPr>
        <w:t>Available abstract (not full text):</w:t>
      </w:r>
      <w:r>
        <w:t xml:space="preserve"> Following atrial fibrillation ablation, it is challenging to distinguish patients who will remain arrhythmia-free from those at risk for recurrence. New explainable machine learning (xML) techniques allow for systematic assessment of arrhythmia recurrence risk following catheter ablation. We aim to develop an xML algorithm that predicts recurrence and reveals key risk factors to facilitate better follow-up strategy after an ablation procedure. We reconstructed pre-and post-ablation models of the left atrium (LA) from late gadolinium enhanced magnetic resonance (LGE-MRI) for 67 patients. Patient-specific features (LGE-based measurements of pre/post-ablation arrhythmogenic substrate, LA geometry metrics, computational simulation results, and clinical risk factors) trained a random forest classifier to predict recurrent arrhythmia. We calculated each risk factor’s marginal contribution to model decision making via SHapley Additive exPlanations (SHAP). The classifier accurately predicts post-ablation arrhythmia recurrence (mean receiver operating characteristic [ROC] area under the curve [AUC]: 0.80 ± 0.04; mean precision-recall [PR] AUC: 0.82 ± 0.08). SHAP analysis reveals that of 89 features tested, the key population risk factors for recurrence are: large left atrium, low LGE-quantified post-ablation scar in the atrial floor region, and previous attempts at direct current cardio</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pStyle w:val="Heading2"/>
      </w:pPr>
      <w:r>
        <w:t>618.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2026:</w:t>
      </w:r>
      <w:r>
        <w:t xml:space="preserve"> Negative emissions technologies and practices could challenge global resource supply and environmental limits — https://doi.org/10.1038/s43247-026-03348-8</w:t>
      </w:r>
    </w:p>
    <w:p>
      <w:pPr/>
      <w:r>
        <w:rPr>
          <w:b/>
        </w:rPr>
        <w:t>Shared claim-specific concepts:</w:t>
      </w:r>
      <w:r>
        <w:t xml:space="preserve"> bioenergy, assessment; EU scope not established. This is a provisional connection, not an outcome finding.</w:t>
      </w:r>
    </w:p>
    <w:p>
      <w:pPr>
        <w:pStyle w:val="SourceNote"/>
      </w:pPr>
      <w:r>
        <w:rPr>
          <w:b/>
        </w:rPr>
        <w:t>Available abstract (not full text):</w:t>
      </w:r>
      <w:r>
        <w:t xml:space="preserve"> Abstract Meeting climate goals will most likely require large-scale carbon dioxide removal, yet its sustainability implications remain poorly understood. Here, we conduct a prospective life cycle assessment of multiple negative emissions technologies and practices, integrating mineral resource, health, and absolute sustainability indicators to quantify impacts between 2030 and 2050. Our comprehensive analysis reveals previously overlooked bottlenecks: biochar and bioenergy with carbon capture and storage could sharply raise nutrient demand, further compromising food security, while direct air carbon capture and storage and ocean liming could critically exacerbate the mining levels of key mineral resources, despite their lower collateral damage. These findings will help guide the sustainable and safe expansion of the carbon dioxide removal industry by balancing multiple risks, thereby minimizing unintended environmental and resource-related consequences.</w:t>
      </w:r>
    </w:p>
    <w:p>
      <w:pPr/>
      <w:r>
        <w:rPr>
          <w:b/>
        </w:rPr>
        <w:t>POSSIBLE 2026:</w:t>
      </w:r>
      <w:r>
        <w:t xml:space="preserve"> Role of avoided emissions scheme and estimation of contributions of electric vehicles and heat pumps to reduction in global emissions — https://doi.org/10.1080/17583004.2026.2614424</w:t>
      </w:r>
    </w:p>
    <w:p>
      <w:pPr/>
      <w:r>
        <w:rPr>
          <w:b/>
        </w:rPr>
        <w:t>Shared claim-specific concepts:</w:t>
      </w:r>
      <w:r>
        <w:t xml:space="preserve"> gtco2; EU scope not established. This is a provisional connection, not an outcome finding.</w:t>
      </w:r>
    </w:p>
    <w:p>
      <w:pPr>
        <w:pStyle w:val="SourceNote"/>
      </w:pPr>
      <w:r>
        <w:rPr>
          <w:b/>
        </w:rPr>
        <w:t>Available abstract (not full text):</w:t>
      </w:r>
      <w:r>
        <w:t xml:space="preserve"> The Scope 3 emissions of the Greenhouse Gas Protocol are widely recognized globally, and it is important to understand the emissions from an entire value chain and to elucidate the opportunities for their reduction. The Scope 3 emissions increase in association with larger deployments of products, even those that have high energy efficiency. Therefore, measuring and estimating the “avoided emissions” that correspond to the difference between global emissions from that product usage and the baseline emissions is crucial in emission reduction activities. This study used an energy systems model to estimate the potential avoided emissions in two key end-use technologies: batteries and the hot water supply and space heating technologies of heat-pumps. The global avoided emissions by 2050 are expected to be approximately 12 and 4 GtCO2, respectively, for meeting the target of restricting air temperature rise to below 1.5 °C. The ex-post assessments on measuring the avoided emissions have issues regarding the definition of the baseline emissions, but the ex-ante assessments, estimated using the energy systems model, can convey clear definition of the baseline emissions and support emission reduction activities.</w:t>
      </w:r>
    </w:p>
    <w:p>
      <w:pPr/>
      <w:r>
        <w:rPr>
          <w:b/>
        </w:rPr>
        <w:t>POSSIBLE 2026:</w:t>
      </w:r>
      <w:r>
        <w:t xml:space="preserve"> High Voltage: Financing the Path to Zero Coal — https://doi.org/10.1080/14693062.2026.2675278</w:t>
      </w:r>
    </w:p>
    <w:p>
      <w:pPr/>
      <w:r>
        <w:rPr>
          <w:b/>
        </w:rPr>
        <w:t>Shared claim-specific concepts:</w:t>
      </w:r>
      <w:r>
        <w:t xml:space="preserve"> sectoral; EU scope visible. This is a provisional connection, not an outcome finding.</w:t>
      </w:r>
    </w:p>
    <w:p>
      <w:pPr>
        <w:pStyle w:val="SourceNote"/>
      </w:pPr>
      <w:r>
        <w:rPr>
          <w:b/>
        </w:rPr>
        <w:t>Available abstract (not full text):</w:t>
      </w:r>
      <w:r>
        <w:t xml:space="preserve"> The International Energy Agency's Net Zero Emissions by 2050 Scenario requires a complete phase-out of unabated coal for electricity generation by 2030 for high-income countries, by 2040 globally. If the existing fleet of coal-fired power plants were retired at the end of its life cycle and no new plants were built, global CO2 emissions would only drop by a quarter by 2040. It will be necessary to close 70% of the capacity of the operating global fleet to reach the Net Zero Emissions scenario sectoral target for coal, aligned with the 1.5 °C goal. However, in addition to the stranded asset cost of retiring coal plants, the transition is endangered by the high cost of replacing coal power through low-carbon energy which is driven up by high financing costs, particularly in developing countries. Using plant-level data from the Global Coal Plant Tracker and a prioritization score combining technical characteristics and country-level transition readiness, we estimate the costs of early coal retirement, low-carbon replacement, financing, and operational savings under International Energy Agency scenarios. This paper demonstrates that replacing coal-fired power generation capacity by equivalent low-carbon capacities (a mix of wind, solar, hydro and nuclear) to meet the Net Zero emissions scenario would cost $8.5tn, including financing costs of $2.8tn. Yet, we also show that an exit f</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pStyle w:val="Heading2"/>
      </w:pPr>
      <w:r>
        <w:t>619.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Climate Finance and Green Innovation in the European Union: Evidence from the European Green Deal — https://openalex.org/W7212091622</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In the context of the European Green Deal, this study investigates the relationship between climate finance and green technological innovation in European Union member states during the period 2014–2022. To this end, environmental protection expenditure is used as a proxy for climate finance, while environmental patent activity is adopted as a proxy for green technological innovation. The study also examines the role of GDP per capita and research and development (R&amp;D) expenditure in shaping environmental innovation across countries. A quantitative panel data approach is applied using a balanced dataset covering 25 EU member states over nine years. Fixed Effects and Random Effects regression models are estimated, and the Hausman specification test is used to determine the preferred empirical specification. The results from the robust Fixed Effects estimation indicate that environmental expenditure, GDP per capita, and R&amp;D expenditure do not produce statistically significant effects on environmental patent activity during the study period. The findings suggest that the relationship between climate-related expenditure and green technological innovation is complex and may depend on broader institutional, technological, and policy-related factors. The study contributes to the literature on climate finance, sustainability transition, and environmental innovation within the European </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pStyle w:val="Heading2"/>
      </w:pPr>
      <w:r>
        <w:t>620.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2026:</w:t>
      </w:r>
      <w:r>
        <w:t xml:space="preserve"> Governance of Agricultural Data Spaces in the European Union: Legal and Policy Implications for the Agri-Food Sector in Spain — https://doi.org/10.3390/agriculture16101117</w:t>
      </w:r>
    </w:p>
    <w:p>
      <w:pPr/>
      <w:r>
        <w:rPr>
          <w:b/>
        </w:rPr>
        <w:t>Shared claim-specific concepts:</w:t>
      </w:r>
      <w:r>
        <w:t xml:space="preserve"> identifies, six, use, but; EU scope visible. This is a provisional connection, not an outcome finding.</w:t>
      </w:r>
    </w:p>
    <w:p>
      <w:pPr>
        <w:pStyle w:val="SourceNote"/>
      </w:pPr>
      <w:r>
        <w:rPr>
          <w:b/>
        </w:rPr>
        <w:t>Available abstract (not full text):</w:t>
      </w:r>
      <w:r>
        <w:t xml:space="preserve"> The rapid digitalisation of the agri-food sector has generated unprecedented volumes of farm and value chain data, but also highly fragmented data ecosystems and asymmetric power relations between farmers, technology providers, and public authorities. In response, the European Union has developed a comprehensive data governance architecture—including the Data Governance Act, the Data Act, the GDPR and the EU Code of Conduct on Agricultural Data Sharing—and is building a Common European Agricultural Data Space (CEADS). This article examines that governance framework and explores its implications for the agri-food sector in Spain. Through a qualitative legal policy review, we map the regulatory landscape, analyse five major European and Spanish initiatives (CEADS/AgriDataSpace, AgData, Agdatahub, RegenAg-X, and DADS), and use Spain as a national case study. A multi-level actor model (meta-governance, data originators, transformation intermediaries, and data users) structures the comparative analysis. On this basis, six design principles for responsible agri-food data spaces are identified: clarity of use cases, inclusive multi-stakeholder governance, data life cycle mapping, privacy and sovereignty by design, a fair economic model, and regulatory compliance as a trust factor. The article identifies open research questions on anonymisation of georeferenced data, data sovereignty, </w:t>
      </w:r>
    </w:p>
    <w:p>
      <w:pPr/>
      <w:r>
        <w:rPr>
          <w:b/>
        </w:rPr>
        <w:t>POSSIBLE 2026:</w:t>
      </w:r>
      <w:r>
        <w:t xml:space="preserve"> Comparative analysis of digital ecosystems for agri-food sector governance in Russia and the European Union — https://doi.org/10.31442/0235-2494-2026-0-2-10-17</w:t>
      </w:r>
    </w:p>
    <w:p>
      <w:pPr/>
      <w:r>
        <w:rPr>
          <w:b/>
        </w:rPr>
        <w:t>Shared claim-specific concepts:</w:t>
      </w:r>
      <w:r>
        <w:t xml:space="preserve"> six, food, production, but; EU scope visible. This is a provisional connection, not an outcome finding.</w:t>
      </w:r>
    </w:p>
    <w:p>
      <w:pPr>
        <w:pStyle w:val="SourceNote"/>
      </w:pPr>
      <w:r>
        <w:rPr>
          <w:b/>
        </w:rPr>
        <w:t>Available abstract (not full text):</w:t>
      </w:r>
      <w:r>
        <w:t xml:space="preserve"> The relevance of this study is driven by increasing demands for food system sustainability, the increasing role of data in climate and resource policy, and the need to reduce the administrative burden on producers by standardizing accounting and reporting frameworks. The aim of this article is to identify institutional and architectural differences between digital ecosystems for managing the agro-industrial complex in Russia and the European Union, assess their management effectiveness, and formulate principles for converging platform models. The research methods include comparative institutional analysis, a functional decomposition of digital services along the «regulation-support-monitoring-production decisions» chain, content analysis of regulatory and policy documents and public materials from operators, and the construction of an ecosystem maturity assessment matrix across six dimensions: data management, interoperability, service completeness, transaction cost reduction, risk management, and user engagement. The scientific novelty lies in the proposal of a dual-loop model of «compliance platform + production ecosystem,» which allows for a comparable assessment of centralized (Russian) and federated-network (European) logics, as well as the development of an index of the management maturity of digital ecosystems for agricultural management. The results show that the Russia</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2025:</w:t>
      </w:r>
      <w:r>
        <w:t xml:space="preserve"> Using Dimensionality Reduction Methods to Explore the Social, Cultural and Geographical Reasons Behind Food Waste in the European Union — https://doi.org/10.3390/su17209315</w:t>
      </w:r>
    </w:p>
    <w:p>
      <w:pPr/>
      <w:r>
        <w:rPr>
          <w:b/>
        </w:rPr>
        <w:t>Shared claim-specific concepts:</w:t>
      </w:r>
      <w:r>
        <w:t xml:space="preserve"> identifies, six, food, environmental; EU scope visible. This is a provisional connection, not an outcome finding.</w:t>
      </w:r>
    </w:p>
    <w:p>
      <w:pPr>
        <w:pStyle w:val="SourceNote"/>
      </w:pPr>
      <w:r>
        <w:rPr>
          <w:b/>
        </w:rPr>
        <w:t>Available abstract (not full text):</w:t>
      </w:r>
      <w:r>
        <w:t xml:space="preserve"> The paper investigates disparities in food waste generation across European Union countries between 2020 and 2022, focusing on spatial and sustainability dimensions. It utilizes data for six key food waste parameters and a broad range of environmental, social and economic indicators. A combination of statistical methods, including correlation analysis, cluster analysis and Principal Component Analysis, uncovers multivariate patterns and identifies groups of countries with similar food waste characteristics and related factors. The paper highlights the temporal and spatial dynamics of food waste over the three-year period, particularly in light of the COVID-19 pandemic. While the total volume of food waste remained relatively stable across the EU, notable shifts occurred in waste sources. Household food waste peaked in 2021, likely due to increased time spent at home during pandemic-related lockdowns. Conversely, waste from retail, restaurants and food service sectors showed a consistent increase. The paper identifies non-trivial correlations between food waste and socio-economic variables, suggesting that differences in food waste generation across EU countries are influenced by a complex interplay of factors, including policy effectiveness, cultural practices, consumer behaviour and economic conditions. This comprehensive analysis of food waste patterns across EU countries and</w:t>
      </w:r>
    </w:p>
    <w:p>
      <w:pPr/>
      <w:r>
        <w:rPr>
          <w:b/>
        </w:rPr>
        <w:t>POSSIBLE 2025:</w:t>
      </w:r>
      <w:r>
        <w:t xml:space="preserve"> Phylogenetics, evolution and biogeography of four Digitaria food crop lineages across West Africa, India, and Europe — https://doi.org/10.1101/2025.03.27.645812</w:t>
      </w:r>
    </w:p>
    <w:p>
      <w:pPr/>
      <w:r>
        <w:rPr>
          <w:b/>
        </w:rPr>
        <w:t>Shared claim-specific concepts:</w:t>
      </w:r>
      <w:r>
        <w:t xml:space="preserve"> food, use, but, loss; EU scope visible. This is a provisional connection, not an outcome finding.</w:t>
      </w:r>
    </w:p>
    <w:p>
      <w:pPr>
        <w:pStyle w:val="SourceNote"/>
      </w:pPr>
      <w:r>
        <w:rPr>
          <w:b/>
        </w:rPr>
        <w:t>Available abstract (not full text):</w:t>
      </w:r>
      <w:r>
        <w:t xml:space="preserve"> Abstract Background and Aims Millet crops in the grass genus Digitaria include white and black fonio ( D. exilis and D. iburua ), raishan ( D. compacta ) and Polish millet ( D. sanguinalis ), cultivated across West Africa, India, and Europe. Fonio and raishan crops are important to supporting food security and subsistence agricultural systems in rural communities, while D. sanguinalis is no longer cultivated. These crops are resilient to challenging climates. We aim to produce an integrated study of these crops: a phylogeny of the Digitaria genus including all four food species, to identify key crop wild relatives (CWRs); time-calibrated biogeographic analysis, to investigate the history and evolution of Digitaria ; and morphological study to assess the transition between wild and domesticated species. Methods We use the Angiosperm 353 target-enrichment sequencing approach to produce maximum likelihood and coalescent model nuclear phylogenies for 46 Digitaria species, including ploidy estimations, and bayesian methods to propose an evolutionary and biogeographic history for the genus. Morphology of wild and cultivated species is investigated for spikelets and growth habits using microscopy and SEM imaging techniques. Key Results Four distinct lineages are proposed for the evolution of Digitaria crops, and close CWRs D. fuscescens , D. atrofusca , D. setigera and D. radicosa , a</w:t>
      </w:r>
    </w:p>
    <w:p>
      <w:pPr/>
      <w:r>
        <w:rPr>
          <w:b/>
        </w:rPr>
        <w:t>POSSIBLE 2025:</w:t>
      </w:r>
      <w:r>
        <w:t xml:space="preserve"> Identifying the safe operating space for food systems — https://doi.org/10.1038/s43016-025-01252-6</w:t>
      </w:r>
    </w:p>
    <w:p>
      <w:pPr/>
      <w:r>
        <w:rPr>
          <w:b/>
        </w:rPr>
        <w:t>Shared claim-specific concepts:</w:t>
      </w:r>
      <w:r>
        <w:t xml:space="preserve"> food, use, environmental, agriculture, biodiversity, greenhouse; EU scope not established. This is a provisional connection, not an outcome finding.</w:t>
      </w:r>
    </w:p>
    <w:p>
      <w:pPr>
        <w:pStyle w:val="SourceNote"/>
      </w:pPr>
      <w:r>
        <w:rPr>
          <w:b/>
        </w:rPr>
        <w:t>Available abstract (not full text):</w:t>
      </w:r>
      <w:r>
        <w:t xml:space="preserve"> Global environmental pressures from food systems threaten biodiversity and the stability of the Earth system, yet the safe operating space for food systems is unknown. Here we calculate food system boundaries as shares of planetary boundaries, proposing budgets for the food system across nine boundaries. Our results indicate that food systems are a critical driver of planetary boundary transgressions, dominating at least four transgressed boundaries (that is, biosphere integrity, land system change, freshwater change and biogeochemical flows) while strongly contributing to the transgression of two more (that is, climate change and novel entities). Moreover, global food systems are currently beyond all nine food system boundaries; moving to the safe operating space requires reducing related greenhouse gas emissions substantially, halting the conversion of intact nature to agriculture, redistributing fertilizer inputs, limiting pesticide and antibiotic use, and preserving critical freshwater flows without negatively affecting yields.</w:t>
      </w:r>
    </w:p>
    <w:p>
      <w:pPr>
        <w:pStyle w:val="Heading2"/>
      </w:pPr>
      <w:r>
        <w:t>621.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2026:</w:t>
      </w:r>
      <w:r>
        <w:t xml:space="preserve"> Informal Spaces, Formal Needs: Exploring EFL Students’ Practices, Social Comparison, and Challenges in Academic Self-Assessment Through Social Media — https://doi.org/10.36348/sjet.2026.v11i07.003</w:t>
      </w:r>
    </w:p>
    <w:p>
      <w:pPr/>
      <w:r>
        <w:rPr>
          <w:b/>
        </w:rPr>
        <w:t>Shared claim-specific concepts:</w:t>
      </w:r>
      <w:r>
        <w:t xml:space="preserve"> emerging, increased; EU scope not established. This is a provisional connection, not an outcome finding.</w:t>
      </w:r>
    </w:p>
    <w:p>
      <w:pPr>
        <w:pStyle w:val="SourceNote"/>
      </w:pPr>
      <w:r>
        <w:rPr>
          <w:b/>
        </w:rPr>
        <w:t>Available abstract (not full text):</w:t>
      </w:r>
      <w:r>
        <w:t xml:space="preserve"> Social media has become deeply integrated into students’ daily lives, extending beyond social use into informal academic practices, including self-assessment. This study examines how EFL students at a university use social media to assess their own academic abilities, the extent to which they engage in academic social comparison through these platforms, and the difficulties they encounter in doing so. A mixed-methods approach was employed, using an online questionnaire comprising closed and open-ended questions administered to 133 students. Quantitative findings revealed that the majority of students used social media for academic self-assessment on a frequent basis, with YouTube and WhatsApp emerging as the most commonly used platforms. While social comparison was a common practice among students, it was not strongly associated with increased motivation or academic confidence. Qualitative findings further revealed that students primarily used social media for comprehension checks, language practice, and peer feedback, while also reporting challenges related to distraction, unreliable information, and negative social comparison. These findings suggest that social media functions as an informal, self-directed space for academic self-assessment, one that offers meaningful opportunities for reflection and feedback but also carries risks that may undermine effective learning if lef</w:t>
      </w:r>
    </w:p>
    <w:p>
      <w:pPr/>
      <w:r>
        <w:rPr>
          <w:b/>
        </w:rPr>
        <w:t>POSSIBLE 2026:</w:t>
      </w:r>
      <w:r>
        <w:t xml:space="preserve"> Exploring sensitive topics in assessment research through vignette-based interviewing — https://doi.org/10.1186/s12909-026-09891-4</w:t>
      </w:r>
    </w:p>
    <w:p>
      <w:pPr/>
      <w:r>
        <w:rPr>
          <w:b/>
        </w:rPr>
        <w:t>Shared claim-specific concepts:</w:t>
      </w:r>
      <w:r>
        <w:t xml:space="preserve"> topics, add, power; EU scope not established. This is a provisional connection, not an outcome finding.</w:t>
      </w:r>
    </w:p>
    <w:p>
      <w:pPr>
        <w:pStyle w:val="SourceNote"/>
      </w:pPr>
      <w:r>
        <w:rPr>
          <w:b/>
        </w:rPr>
        <w:t>Available abstract (not full text):</w:t>
      </w:r>
      <w:r>
        <w:t xml:space="preserve"> BACKGROUND: Assessment research often involves working with sensitive data, that can mean potential reputation risks to individuals and institutions. Additionally, eliciting emotionally charged personal experiences while protecting the psychological safety of participants can be challenging. While vignettes are increasingly being used in medical education and public health research to elicit data through the presentation of ethical dilemmas, their application to explore sensitive topics, particularly in assessment and more specifically Objective Structured Clinical Examination (OSCE) research, is new. Our research questions were: How can vignette-based interviewing be systematically developed and validated to explore sensitive topics such as test-wiseness in OSCEs? (2) What methodological and ethical value does this data elicitation approach offer for generating insights into this topic? METHODS: Using a five phases model, we have outlined our process of construction, validation, methodological alignment, and deployment of vignettes. We highlight the integration of vignettes with semi-structured interview method and the need for ongoing feedback, reflection and adaptation of vignettes. We undertook thirteen vignette-based interviews with a diverse range of participants, including medical students, graduate doctors, educators with experience in designing, assessing, and running </w:t>
      </w:r>
    </w:p>
    <w:p>
      <w:pPr/>
      <w:r>
        <w:rPr>
          <w:b/>
        </w:rPr>
        <w:t>POSSIBLE 2026:</w:t>
      </w:r>
      <w:r>
        <w:t xml:space="preserve"> Time‑explicit life cycle assessment of a lyocell dress using bw_timex with biogenic carbon accounting — https://doi.org/10.1007/s11367-026-02616-1</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Abstract Purpose Temporal issues and biogenic carbon remain important considerations in the life cycle assessment (LCA) of bio-based products. Tracking carbon fluxes over time adds valuable information on their climate impact. This study incorporates biogenic carbon to evaluate the climate impact of a wood-based textile product using the bw_timex tool, which operationalizes the application of a time-explicit LCA framework. This framework supports dynamic inventory modeling (DIM), dynamic impact assessment (DIA), and technological projections via prospective databases. Methods Three approaches were applied: Case 1 integrates DIM, DIA, technological projections, and dynamic biogenic carbon accounting. Case 2 is identical to Case 1 but excludes technological projections. Case 3 lacks dynamic elements and technological projections, while relying on static biogenic carbon accounting. A cradle-to-grave system for a lyocell dress and its underlying inventory was developed using secondary data. Annual biogenic carbon fluxes were estimated using the CARBINE forest model. The functional unit (FU) was wearing the dress 500 times. The Brightway LCA framework was used for inventory modeling and impact assessment, covering three metrics: global warming potential over 100 years (GWP100), dynamic LCA, and radiative forcing (RF). Prospective SSP2-Base databases 2025–2040 were generated using th</w:t>
      </w:r>
    </w:p>
    <w:p>
      <w:pPr/>
      <w:r>
        <w:rPr>
          <w:b/>
        </w:rPr>
        <w:t>POSSIBLE 2026:</w:t>
      </w:r>
      <w:r>
        <w:t xml:space="preserve"> Outcome- and Impact-Based Professional Assessment Frameworks — https://doi.org/10.17605/osf.io/r3uyq</w:t>
      </w:r>
    </w:p>
    <w:p>
      <w:pPr/>
      <w:r>
        <w:rPr>
          <w:b/>
        </w:rPr>
        <w:t>Shared claim-specific concepts:</w:t>
      </w:r>
      <w:r>
        <w:t xml:space="preserve"> impacts, indicators, values, power; EU scope not established. This is a provisional connection, not an outcome finding.</w:t>
      </w:r>
    </w:p>
    <w:p>
      <w:pPr>
        <w:pStyle w:val="SourceNote"/>
      </w:pPr>
      <w:r>
        <w:rPr>
          <w:b/>
        </w:rPr>
        <w:t>Available abstract (not full text):</w:t>
      </w:r>
      <w:r>
        <w:t xml:space="preserve"> The increasing demand for accountability, transparency, and social relevance in professional practice has intensified the limitations of traditional assessment models, a challenge critically addressed by Yoesoep Edhie Rachmad (YER) in this work. Conventional assessment systems have predominantly emphasized inputs, processes, or isolated competencies, often neglecting the broader outcomes and long-term impacts of professional actions. Yoesoep Edhie Rachmad (YER) argues that such approaches are no longer sufficient in an era where professional legitimacy is increasingly measured by tangible results and societal value creation. This study by Yoesoep Edhie Rachmad (YER) introduces an outcome- and impact-based assessment framework that redefines professional evaluation as a multidimensional and temporally extended process. Outcomes are conceptualized as immediate and intermediate results of professional practice, while impact refers to sustained, systemic, and societal-level changes generated over time. By distinguishing and relationally integrating these dimensions, Yoesoep Edhie Rachmad (YER) offers a framework capable of capturing both short-term effectiveness and long-term significance. The proposed framework developed by Yoesoep Edhie Rachmad (YER) integrates quantitative indicators, qualitative evidence, and contextual interpretation into a coherent assessment architecture. Ra</w:t>
      </w:r>
    </w:p>
    <w:p>
      <w:pPr/>
      <w:r>
        <w:rPr>
          <w:b/>
        </w:rPr>
        <w:t>POSSIBLE 2026:</w:t>
      </w:r>
      <w:r>
        <w:t xml:space="preserve"> Recognizing Mental Health Impacts in Climate Change Assessments — https://doi.org/10.5194/egusphere-egu26-19663</w:t>
      </w:r>
    </w:p>
    <w:p>
      <w:pPr/>
      <w:r>
        <w:rPr>
          <w:b/>
        </w:rPr>
        <w:t>Shared claim-specific concepts:</w:t>
      </w:r>
      <w:r>
        <w:t xml:space="preserve"> assessments, impacts, increased; EU scope not established. This is a provisional connection, not an outcome finding.</w:t>
      </w:r>
    </w:p>
    <w:p>
      <w:pPr>
        <w:pStyle w:val="SourceNote"/>
      </w:pPr>
      <w:r>
        <w:rPr>
          <w:b/>
        </w:rPr>
        <w:t>Available abstract (not full text):</w:t>
      </w:r>
      <w:r>
        <w:t xml:space="preserve"> Climate change affects mental health in various ways, now increasingly documented across health, social science, and environmental research, yet these impacts remain largely absent from climate assessments used to inform integrated transformation pathways. Empirical studies associate climate-related stressors, such as extreme heat, floods, food insecurity, displacement, and environmental degradation, with adverse mental health outcomes, including anxiety, depression, psychological distress, increased psychiatric hospitalizations, and elevated suicide risk. Evidence also suggests that relatively small increases in temperature, on the order of 1 °C, can negatively affect cognitive performance, decision-making, and emotional regulation, with implications for productivity, learning, and social functioning.These impacts are unevenly distributed and often more pronounced in rural and peri-urban settings, where climate-sensitive livelihoods, environmental stress, and limited access to mental health services intersect. Certain groups face heightened vulnerability, including individuals with pre-existing mental health conditions, whose symptoms may intensify under repeated climate stress, and pregnant individuals, for whom climate-related stress can affect prenatal mental health with potential long-term consequences for child development. In contexts where health systems are already und</w:t>
      </w:r>
    </w:p>
    <w:p>
      <w:pPr>
        <w:pStyle w:val="Heading2"/>
      </w:pPr>
      <w:r>
        <w:t>622.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2026:</w:t>
      </w:r>
      <w:r>
        <w:t xml:space="preserve"> Fiscal and regulatory incentives for electric vehicle adoption in Polish micro-enterprises: economic analysis and policy recommendations — https://doi.org/10.22306/al.v13i1.712</w:t>
      </w:r>
    </w:p>
    <w:p>
      <w:pPr/>
      <w:r>
        <w:rPr>
          <w:b/>
        </w:rPr>
        <w:t>Shared claim-specific concepts:</w:t>
      </w:r>
      <w:r>
        <w:t xml:space="preserve"> adoption, bevs, bev, charging, stations; EU scope visible. This is a provisional connection, not an outcome finding.</w:t>
      </w:r>
    </w:p>
    <w:p>
      <w:pPr>
        <w:pStyle w:val="SourceNote"/>
      </w:pPr>
      <w:r>
        <w:rPr>
          <w:b/>
        </w:rPr>
        <w:t>Available abstract (not full text):</w:t>
      </w:r>
      <w:r>
        <w:t xml:space="preserve"> Microenterprises constitute the dominant group of companies in Poland, but rarely adopt electric vehicles (BEVs) due to high purchase costs, limited range, underdeveloped charging infrastructure, and the typical short-term investment horizons of microenterprises. This study aims to analyze microenterprises' opinions on BEVs in Malopolskie voivodship and to evaluate the effectiveness of incentives. A CAWI survey of 307 respondents (90% confidence, 10% margin of error) tested the hypothesis that BEVs would become more popular among microenterprises if there were more incentives for their purchase (even though according to respondents, BEVs are suited to city-center access (where combustion engines are banned) or serve as second cars for long trips, given their lower versatility and longer charging times). Results of the survey show that 84.4% of journeys are below 300 km (BEV range), but 65-78% of respondents provide the following barriers to BEV adoption: high price, range anxiety, insufficient charging stations, and long charging times. According to the survey, the following are significant incentives to buy BEVs: subsidies up to PLN 40,000 (8.5%), free city parking, and free city access to low-emission zones. The survey also showed that 20.5% of respondents planned to buy passenger BEVs, and 7.5% planned to buy delivery BEVs.</w:t>
      </w:r>
    </w:p>
    <w:p>
      <w:pPr/>
      <w:r>
        <w:rPr>
          <w:b/>
        </w:rPr>
        <w:t>POSSIBLE 2026:</w:t>
      </w:r>
      <w:r>
        <w:t xml:space="preserve"> Forecasting Technology Adoption in Uncertain and Dynamic Markets: A Market Coverage Diffusion Approach — https://doi.org/10.1002/asmb.70131</w:t>
      </w:r>
    </w:p>
    <w:p>
      <w:pPr/>
      <w:r>
        <w:rPr>
          <w:b/>
        </w:rPr>
        <w:t>Shared claim-specific concepts:</w:t>
      </w:r>
      <w:r>
        <w:t xml:space="preserve"> adoption, bevs, fit; EU scope not established. This is a provisional connection, not an outcome finding.</w:t>
      </w:r>
    </w:p>
    <w:p>
      <w:pPr>
        <w:pStyle w:val="SourceNote"/>
      </w:pPr>
      <w:r>
        <w:rPr>
          <w:b/>
        </w:rPr>
        <w:t>Available abstract (not full text):</w:t>
      </w:r>
      <w:r>
        <w:t xml:space="preserve"> ABSTRACT How innovations spread in a fast‐changing and uncertain market is vital for accurate forecasting and planning. This study introduces a generalized diffusion framework that incorporates evolving market coverage along with dynamic market and market uncertainty. A random variable is used to represent market uncertainty, while three coverage functions, exponential, delayed, and logistic are used to capture different patterns of market growth. The models are evaluated on two different data sets: quarterly sales of battery electric vehicles (BEVs) and quarterly sales of Apple iPhones. The performance of the proposed models is compared to that of some benchmark diffusion models using various error and information‐based measures. The results indicate that the proposed models outperform the existing ones. Among the proposed models, the model with the logistic coverage provides the best fit for both data sets as it can capture the early growth and later stabilization more effectively. The study also highlights the differences in adoption patterns for infrastructure‐driven technologies, such as BEVs, and fast‐moving consumer products, like smartphones.</w:t>
      </w:r>
    </w:p>
    <w:p>
      <w:pPr>
        <w:pStyle w:val="Heading2"/>
      </w:pPr>
      <w:r>
        <w:t>623.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2026:</w:t>
      </w:r>
      <w:r>
        <w:t xml:space="preserve"> Decarbonisation Strategies in the Olive Oil Supply Chain: A Systematic Literature Review and ESG-Oriented Framework — https://doi.org/10.3390/su18189322</w:t>
      </w:r>
    </w:p>
    <w:p>
      <w:pPr/>
      <w:r>
        <w:rPr>
          <w:b/>
        </w:rPr>
        <w:t>Shared claim-specific concepts:</w:t>
      </w:r>
      <w:r>
        <w:t xml:space="preserve"> green, deal, decarbonisation, different, sustainability; EU scope visible. This is a provisional connection, not an outcome finding.</w:t>
      </w:r>
    </w:p>
    <w:p>
      <w:pPr>
        <w:pStyle w:val="SourceNote"/>
      </w:pPr>
      <w:r>
        <w:rPr>
          <w:b/>
        </w:rPr>
        <w:t>Available abstract (not full text):</w:t>
      </w:r>
      <w:r>
        <w:t xml:space="preserve"> Sustainability policies introduced under the European Green Deal have strengthened climate-related disclosure requirements for agri-food companies. In particular, the Corporate Sustainability Reporting Directive requires in-scope companies to transparently disclose information on their environmental performance. However, the academic literature on decarbonisation in the olive oil sector remains fragmented. This systematic literature review synthesises findings by considering cultivation, milling and retail, and waste management as interconnected stages of the olive oil supply chain and by developing a matrix linking decarbonisation strategies to the relevant European Sustainability Reporting Standards (ESRS) environmental, social and governance (ESG) topics. Following the PRISMA protocol, 42 peer-reviewed studies from Scopus and Web of Science were included in the final synthesis, covering cultivation (RQ1), milling and retail (RQ2), and waste management (RQ3). The cultivation stage represents an important part of the emission profile of the chain while also offering potential for carbon sequestration through sustainable management practices, such as reduced tillage, cover crops, organic amendments and biochar application. In the downstream stages, the mill and its retail interface rely on a different set of measures, including two-phase extraction, rooftop photovoltaic systems</w:t>
      </w:r>
    </w:p>
    <w:p>
      <w:pPr/>
      <w:r>
        <w:rPr>
          <w:b/>
        </w:rPr>
        <w:t>POSSIBLE 2026:</w:t>
      </w:r>
      <w:r>
        <w:t xml:space="preserve"> Revisiting the European Green Deal — https://openalex.org/W7164631661</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In the context of the technological revolution in food systems, this paper argues that this "technicization" of agricultural practices also extends to a "technicization" of their political justifications. Embedded within a "technical/scientific narrative," the European Green Deal (EGD), its Farm to Fork (F2F), and Biodiversity Strategy present new technologies as part of promises for the efficient and sustainable use of food systems, particularly in the face of climate change challenges. While agricultural policies have traditionally been analyzed through the lens of exceptionalist and post-exceptionalist justifications, we identify the use of technical/scientific narratives to justify and even depoliticize agricultural policies. With this scientific/technical narrative, these new technologies are presented as promises for a sustainable world, even as the only rational solutions, or the objective and universal continuity of agricultural practices. However, these justifications and scientific approaches rationalize and objectify a Western vision of the world and of science (where nature is put at a distance, as functional objects to be valorized), which is specific to and not shared by the agricultural environment. In response, various scientific, civic, and decolonial movements have contested the technical and dualist hegemony of agricultural approaches. These answers are analy</w:t>
      </w:r>
    </w:p>
    <w:p>
      <w:pPr/>
      <w:r>
        <w:rPr>
          <w:b/>
        </w:rPr>
        <w:t>POSSIBLE 2026:</w:t>
      </w:r>
      <w:r>
        <w:t xml:space="preserve"> From the European Green Deal to Competitiveness, Resilience and Security: Is the European Union’s green development agenda still ‘green’? — https://openalex.org/W7202328939</w:t>
      </w:r>
    </w:p>
    <w:p>
      <w:pPr/>
      <w:r>
        <w:rPr>
          <w:b/>
        </w:rPr>
        <w:t>Shared claim-specific concepts:</w:t>
      </w:r>
      <w:r>
        <w:t xml:space="preserve"> green, deal, egd, union; EU scope visible. This is a provisional connection, not an outcome finding.</w:t>
      </w:r>
    </w:p>
    <w:p>
      <w:pPr>
        <w:pStyle w:val="SourceNote"/>
      </w:pPr>
      <w:r>
        <w:rPr>
          <w:b/>
        </w:rPr>
        <w:t>Available abstract (not full text):</w:t>
      </w:r>
      <w:r>
        <w:t xml:space="preserve"> Since the introduction of the European Green Deal (EGD) in late 2019, a range of crises have significantly altered the European and global socio-economic-political landscape. From this turbulent period, a new EU policy narrative that focuses primarly on the pursuit of Competitiveness, Resilience and Security (CRS) has taken centre stage. Whereas the new CRS narrative does include environmental objectives such as decarbonization and renewable energy deployment, this thesis studies whether the CRS policy narrative reflects continuity with the EGD’s green ambitions, or whether it reorders or dilutes said ambitions. The study deploys a mixed methods linguistic analysis, combining a quantitative study on the most frequent keywords used in both narratives and their frequency of coverage in EU policy documents over time, with a qualitative study of the contextual use of these keywords over time. The findings reveal how CRS objectives are integrated into preexisting objectives of EU policy, and how green ambitions continue to find relevance albeit with a decreased level of ambition and lessened attention to those goals that least strongly align with CRS objectives. Especially EGD goals on climate ambition, the construction sector, ecosystem and biodiversity protection, and just transitions appear to be increasingly commonly omitted. Green ambitions are further weakened by recontextuali</w:t>
      </w:r>
    </w:p>
    <w:p>
      <w:pPr/>
      <w:r>
        <w:rPr>
          <w:b/>
        </w:rPr>
        <w:t>POSSIBLE 2026:</w:t>
      </w:r>
      <w:r>
        <w:t xml:space="preserve"> Effectiveness of European Green Deal implementation in EU countries — https://doi.org/10.12775/eip.2026.8</w:t>
      </w:r>
    </w:p>
    <w:p>
      <w:pPr/>
      <w:r>
        <w:rPr>
          <w:b/>
        </w:rPr>
        <w:t>Shared claim-specific concepts:</w:t>
      </w:r>
      <w:r>
        <w:t xml:space="preserve"> green, deal, egd, approach; EU scope visible. This is a provisional connection, not an outcome finding.</w:t>
      </w:r>
    </w:p>
    <w:p>
      <w:pPr>
        <w:pStyle w:val="SourceNote"/>
      </w:pPr>
      <w:r>
        <w:rPr>
          <w:b/>
        </w:rPr>
        <w:t>Available abstract (not full text):</w:t>
      </w:r>
      <w:r>
        <w:t xml:space="preserve"> Motivation: The European Green Deal (EGD) provides a common EU framework for climate neutrality, resource efficiency and a just transition, but Member States differ markedly in structural conditions and implementation capacity. Existing assessments rely mostly on monitoring exercises, composite indicators or MCDA rankings; less attention has been paid to frontier-based efficiency benchmarking of EGD outcomes. Aim: The study assesses relative EGD effectiveness in 25 EU countries using a DEA/Benefit-of-the-Doubt approach and Eurostat EGD indicators. The analysis covers 2013-2021, with 2019 treated as the strategic reference point. A SAW index is calculated from 20 transformed indicators, while the DEA/BoD model uses five indicators selected through correlation analysis, variance analysis, PCA and LASSO. Results: The results show substantial heterogeneity. Sweden, Latvia and Estonia hold strong positions in both the composite indicator and DEA/BoD assessment. In 2021, the efficiency-frontier or super-efficient group includes Sweden, Latvia, Lithuania, Portugal, Estonia, Ireland, the Netherlands, Croatia and Finland, whereas Czechia, Belgium, Poland and Bulgaria show the largest efficiency reserves. Contribution-share and robustness checks indicate the importance of waste generation and PM2.5-related premature mortality. DEA/BoD complements ranking-based assessments by identifying </w:t>
      </w:r>
    </w:p>
    <w:p>
      <w:pPr/>
      <w:r>
        <w:rPr>
          <w:b/>
        </w:rPr>
        <w:t>POSSIBLE 2026:</w:t>
      </w:r>
      <w:r>
        <w:t xml:space="preserve"> The EU's Strategy for Sustainability: A Landmark Turn With the European Green Deal? — https://doi.org/10.1002/epa2.70035</w:t>
      </w:r>
    </w:p>
    <w:p>
      <w:pPr/>
      <w:r>
        <w:rPr>
          <w:b/>
        </w:rPr>
        <w:t>Shared claim-specific concepts:</w:t>
      </w:r>
      <w:r>
        <w:t xml:space="preserve"> green, deal, egd, strategy, instruments, sustainability; EU scope visible. This is a provisional connection, not an outcome finding.</w:t>
      </w:r>
    </w:p>
    <w:p>
      <w:pPr>
        <w:pStyle w:val="SourceNote"/>
      </w:pPr>
      <w:r>
        <w:rPr>
          <w:b/>
        </w:rPr>
        <w:t>Available abstract (not full text):</w:t>
      </w:r>
      <w:r>
        <w:t xml:space="preserve"> ABSTRACT While the European Green Deal (EGD) has been widely recognized as a milestone in the EU's sustainability strategy, scholars disagree on the nature of the policy change it represents. Critics highlight its limited social and environmental ambitions, despite its portrayal as a “man on the moon” moment. Using a policy‐paradigm lens, this study analyses the European Commission's EGD legislative package during the first 2 years after its adoption, focusing on discourse, policy instruments, and strategies for building political and societal support. The findings reveal the emergence of a new policy narrative integrating environmental sustainability, economic growth, and social inclusion, supported by revised instruments and political efforts to advance a “beyond‐growth” agenda. These developments suggest an incremental paradigmatic shift, the full implications of which will only become clear over time.</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green, deal, ambitious, strategy, sustainability, union;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pStyle w:val="Heading2"/>
      </w:pPr>
      <w:r>
        <w:t>624.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Delivering a Climate Neutral Europe — https://doi.org/10.4324/9781003493730</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Modelling the economic and environmental impacts of water resources in the context of climate neutrality in the EUSDR member states — https://doi.org/10.3389/fenvs.2024.1353107</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Introduction This study explores the economic and environmental impacts of water resources in the context of achieving climate neutrality in the EU Strategy for the Danube Region (EUSDR). The research is focused on eight EUSDR member states: Bulgaria, Czechia, Germany, Croatia, Hungary, Austria, Romania, and Slovakia, with the aim of analyzing the dynamic relationship between water resources, economic growth, and environmental sustainability. Given the ambitious goals of the European Green Deal, this study examines how water management can support the transition towards climate neutrality. Methods A dynamic econometric model was developed using a consolidated database of relevant climate neutrality indicators from 2010 to 2021. The selected indicators included GDP per capita, water use in agriculture, gross water abstraction, sewage sludge production, and water productivity. The econometric model was validated using statistical tools such as the One-Sample Kolmogorov-Smirnov Test, and analysis was conducted using Gretl and IBM-SPSS 25 software. Results The findings reveal that water resources management significantly contributes to the achievement of climate neutrality targets. The model achieved over 86% significance in explaining the financial efforts needed to achieve the Green Deal’s 2030 and 2050 goals. Moreover, water productivity and investments in water-related infrastr</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625.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2026:</w:t>
      </w:r>
      <w:r>
        <w:t xml:space="preserve"> Economic value of lost productivity attributable to premature cancer mortality and morbidity across Europe — https://doi.org/10.1080/13696998.2026.2633013</w:t>
      </w:r>
    </w:p>
    <w:p>
      <w:pPr/>
      <w:r>
        <w:rPr>
          <w:b/>
        </w:rPr>
        <w:t>Shared claim-specific concepts:</w:t>
      </w:r>
      <w:r>
        <w:t xml:space="preserve"> database, findings, countries; EU scope visible. This is a provisional connection, not an outcome finding.</w:t>
      </w:r>
    </w:p>
    <w:p>
      <w:pPr>
        <w:pStyle w:val="SourceNote"/>
      </w:pPr>
      <w:r>
        <w:rPr>
          <w:b/>
        </w:rPr>
        <w:t>Available abstract (not full text):</w:t>
      </w:r>
      <w:r>
        <w:t xml:space="preserve"> BACKGROUND: Cancer imposes a substantial clinical and economic burden across Europe. This analysis estimated the lost productivity cost of the five cancer types with the highest premature mortality and five cancer types with the highest morbidity burden across 28 European countries in 2022. METHODS: Data on cancer deaths, years of life lost (YLL), and years of life lived with disability (YLD) were sourced from the Institute for Health Metrics and Evaluation Global Burden of Disease database. Country- and sex-specific demographic and economic parameters were obtained. Years of productive life lost (YPLL) and present value of future lost productivity (PVFLP) were estimated for individuals dying before retirement, while the value of YLD (VYLD) quantified earnings lost due to cancer-related disability. Outcomes were adjusted for labor force participation and unemployment. Deterministic sensitivity analyses assessed the impact of variations in model inputs. RESULTS: In 2022, tracheal, bronchus, and lung cancer, colon and rectum cancer, breast, pancreatic, and prostate cancers accounted for 899,581 deaths, 17,274,882 YLL, 896,510 YPLL, and €30,749,064,014 PVFLP across Europe. Tracheal, bronchus, and lung cancer contributed the largest share of mortality-related productivity losses with 37.2% of deaths and 43.7% of PVFLP. Breast cancer had the highest PVFLP per death (€49,411). For mo</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world, bank, good, countries;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pStyle w:val="Heading2"/>
      </w:pPr>
      <w:r>
        <w:t>626.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627.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2026:</w:t>
      </w:r>
      <w:r>
        <w:t xml:space="preserve"> Heliaca 2026 — https://openalex.org/W7134865893</w:t>
      </w:r>
    </w:p>
    <w:p>
      <w:pPr/>
      <w:r>
        <w:rPr>
          <w:b/>
        </w:rPr>
        <w:t>Shared claim-specific concepts:</w:t>
      </w:r>
      <w:r>
        <w:t xml:space="preserve"> took, well, species; EU scope visible. This is a provisional connection, not an outcome finding.</w:t>
      </w:r>
    </w:p>
    <w:p>
      <w:pPr>
        <w:pStyle w:val="SourceNote"/>
      </w:pPr>
      <w:r>
        <w:rPr>
          <w:b/>
        </w:rPr>
        <w:t>Available abstract (not full text):</w:t>
      </w:r>
      <w:r>
        <w:t xml:space="preserve"> a Mátrában, a Karancson, a Medvesben és a Börzsönyben is.Az uhuállomány jelentősen megerősödött, egyedül a kuvikról mondható el, hogy egy folyamatos csökkenést mutató időszak utáni mélypontról kimozdulva mára emelkedő számú fajjá vált.1974 előtt a baglyok (Strigiformes) iránti érdeklődés minimális volt.Jól mutatja ezt az 1951-1973 között Magyarországon meggyűrűzött baglyok elenyésző száma is (1.táblázat).A Magyar Madártani és Természetvédelmi Egyesület (MME) 1974.január 6-án alakult, akkor még Magyar Madártani Egyesület néven.Abban az időben Magyarországon hét bagolyfaj tartozott a rendszeres fészkelők közé: a gyöngybagoly (Tyto alba), a füleskuvik (Otus scops), az uhu (Bubo bubo), a macskabagoly (Strix aluco), az uráli bagoly (Strix uralensis), a kuvik (Athene noctua) és az erdei fülesbagoly (Asio otus).Ezek közül az uráli bagoly évente eltérő számban, de jobb években is legfeljebb egy-két tucat párban költött a Zempléni-hegységben.A füleskuvik mindössze az ország néhány pontjáról volt ismert, bár valószínűleg több helyen is előfordulhatott költő madárként.Az uhuállomány akkoriban a teljes összeomlás szélén volt.A kuvik a mainál nagyobb területen és jelentősen több párban költött.A réti fülesbagoly (Asio flammeus) pedig alkalmi fészkelőnek számított.Az azóta eltelt időben jelentős változások következtek be.Egyfelől rendszeres fészkelővé vált a törpekuvik (Glaucidium passerinum</w:t>
      </w:r>
    </w:p>
    <w:p>
      <w:pPr/>
      <w:r>
        <w:rPr>
          <w:b/>
        </w:rPr>
        <w:t>POSSIBLE 2026:</w:t>
      </w:r>
      <w:r>
        <w:t xml:space="preserve"> Towards Bioproduction of Yeast-Based Odd-Chain Fatty Acids — https://doi.org/10.63959/chalmers.dt/5912</w:t>
      </w:r>
    </w:p>
    <w:p>
      <w:pPr/>
      <w:r>
        <w:rPr>
          <w:b/>
        </w:rPr>
        <w:t>Shared claim-specific concepts:</w:t>
      </w:r>
      <w:r>
        <w:t xml:space="preserve"> well, selected, species, four; EU scope not established. This is a provisional connection, not an outcome finding.</w:t>
      </w:r>
    </w:p>
    <w:p>
      <w:pPr>
        <w:pStyle w:val="SourceNote"/>
      </w:pPr>
      <w:r>
        <w:rPr>
          <w:b/>
        </w:rPr>
        <w:t>Available abstract (not full text):</w:t>
      </w:r>
      <w:r>
        <w:t xml:space="preserve"> Odd-chain fatty acids (OCFAs) are high-value lipids with emerging medical and nutritional applications. However, their natural abundance is low, and conventional extraction or chemical synthesis methods are inefficient or unsustainable. Microbial fermentation using oleaginous yeasts offers a promising alternative, particularly when employing short-chain fatty acids digestates rich in propionic acid, the main precursor for OCFA synthesis.In this thesis work yeast-based OCFA production has been explored by improving quantitative analytical methods, identifying suitable yeast cell factories, characterizing their performance, and initiating strain engineering efforts. First, a fatty acid methyl ester protocol was optimized for robust OCFA analysis. Second, eight strains capable of growth on 15 g/L propionic acid and production of OCFA were identified in a screening of nineteen oleaginous yeasts. Third, four yeast species were selected for further study: Cutaneotrichosporon oleaginosus for its high OCFA titers, Rhodotorula toruloides for its high OCFA yield, Yarrowia lipolytica for its high tolerance to propionic acid, and Blastobotrys adeninivorans for its ability to produce OCFAs, grow well in propionic acid and as a relatively underexplored yeast. Cultivation on mixtures of acetic and propionic acids at different carbon-to-nitrogen ratios revealed distinct and interesting perform</w:t>
      </w:r>
    </w:p>
    <w:p>
      <w:pPr/>
      <w:r>
        <w:rPr>
          <w:b/>
        </w:rPr>
        <w:t>POSSIBLE 2026:</w:t>
      </w:r>
      <w:r>
        <w:t xml:space="preserve"> Update of the list of QPS‐recommended biological agents intentionally added to food or feeds as notified to EFSA — https://doi.org/10.2903/j.efsa.2026.9823</w:t>
      </w:r>
    </w:p>
    <w:p>
      <w:pPr/>
      <w:r>
        <w:rPr>
          <w:b/>
        </w:rPr>
        <w:t>Shared claim-specific concepts:</w:t>
      </w:r>
      <w:r>
        <w:t xml:space="preserve"> materials, species,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concerns of microorganisms intentionally added to the food and feed chain. Safety concerns identified for a taxonomic unit (TU) are, where possible, reflected by ‘qualifications’ that should be assessed at the strain level by EFSA's Scientific Panels. In total, 340 notifications were received between October 2022 and September 2025, of which, 190 were of microorganisms used for the production of feed additives, 87 for the production of food enzymes, food additives and flavourings, 3 for food contact materials, 22 as Plant Protection Products (PPPs) and 38 for novel foods. Bacteriophages, previously ineligible for the QPS status, are now eligible at the species level. The QPS list has been updated in relation to the most recent taxonomic insights and the qualifications were revised and streamlined. A BIOHAZ Panel Statement on how to interpret the QPS qualification on ‘acquired antimicrobial resistance genes’ was published and revised; the qualification ‘for production purposes only’ was extended to production strains or biomass; the qualification on genetic modified microorganisms (GMMs) was also extended to production strains</w:t>
      </w:r>
    </w:p>
    <w:p>
      <w:pPr/>
      <w:r>
        <w:rPr>
          <w:b/>
        </w:rPr>
        <w:t>POSSIBLE 2026:</w:t>
      </w:r>
      <w:r>
        <w:t xml:space="preserve"> Update of the list of QPS-recommended biological agents intentionally added to food or feeds as notified to EFSA — https://openalex.org/W7160672733</w:t>
      </w:r>
    </w:p>
    <w:p>
      <w:pPr/>
      <w:r>
        <w:rPr>
          <w:b/>
        </w:rPr>
        <w:t>Shared claim-specific concepts:</w:t>
      </w:r>
      <w:r>
        <w:t xml:space="preserve"> materials, species, relevant; EU scope not established. This is a provisional connection, not an outcome finding.</w:t>
      </w:r>
    </w:p>
    <w:p>
      <w:pPr>
        <w:pStyle w:val="SourceNote"/>
      </w:pPr>
      <w:r>
        <w:rPr>
          <w:b/>
        </w:rPr>
        <w:t>Available abstract (not full text):</w:t>
      </w:r>
      <w:r>
        <w:t xml:space="preserve"> The qualified presumption of safety (QPS) process was developed to provide a harmonised safety assessment approach to support EFSA Scientific Panels and Units. The QPS approach assesses the taxonomic identity, body of relevant knowledge and safety concerns of microorganisms intentionally added to the food and feed chain. Safety concerns identified for a taxonomic unit (TU) are, where possible, reflected by 'qualifications' that should be assessed at the strain level by EFSA's Scientific Panels. In total, 340 notifications were received between October 2022 and September 2025, of which, 190 were of microorganisms used for the production of feed additives, 87 for the production of food enzymes, food additives and flavourings, 3 for food contact materials, 22 as Plant Protection Products (PPPs) and 38 for novel foods. Bacteriophages, previously ineligible for the QPS status, are now eligible at the species level. The QPS list has been updated in relation to the most recent taxonomic insights and the qualifications were revised and streamlined. A BIOHAZ Panel Statement on how to interpret the QPS qualification on 'acquired antimicrobial resistance genes' was published and revised; the qualification 'for production purposes only' was extended to production strains or biomass; the qualification on genetic modified microorganisms (GMMs) was also extended to production strains, biomass</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pStyle w:val="Heading2"/>
      </w:pPr>
      <w:r>
        <w:t>628.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2026:</w:t>
      </w:r>
      <w:r>
        <w:t xml:space="preserve"> The European Green Deal and Sustainability: A Model for Better Governance Solutions for Latvia — https://doi.org/10.20900/jsr20260022</w:t>
      </w:r>
    </w:p>
    <w:p>
      <w:pPr/>
      <w:r>
        <w:rPr>
          <w:b/>
        </w:rPr>
        <w:t>Shared claim-specific concepts:</w:t>
      </w:r>
      <w:r>
        <w:t xml:space="preserve"> better, regional, provide; EU scope visible. This is a provisional connection, not an outcome finding.</w:t>
      </w:r>
    </w:p>
    <w:p>
      <w:pPr>
        <w:pStyle w:val="SourceNote"/>
      </w:pPr>
      <w:r>
        <w:rPr>
          <w:b/>
        </w:rPr>
        <w:t>Available abstract (not full text):</w:t>
      </w:r>
      <w:r>
        <w:t xml:space="preserve"> The research aims to identify improvements and better solutions for the Latvian governance model for implementing the goals of the European Green Deal, considering the economic, environmental and social perspectives of sustainability and the diverse development of territorial regions. The research applied the Analytic Hierarchy Process as a multi-criteria decision-making method, using qualitative evaluation criteria for governance challenges. An expert assessment was conducted with representatives from five stakeholders, who rated three alternative European Green Deal governance scenarios developed based on territorial governance practices in comparable Member States. The findings showed that Latvia’s current centralized governance model requires differentiation of functions and responsibilities across governance levels. A centralized approach is most suitable for achieving economic sustainability objectives, while environmental and social sustainability goals are more effectively implemented through governance delegated to regional associations. Certain sustainability objectives would benefit from broader powers at the municipal level, thus implementing a place-based territorial governance approach. The research has implications for designing more adaptive, multi-level governance arrangements for the European Green Deal. Practically, the results provide guidance for policymake</w:t>
      </w:r>
    </w:p>
    <w:p>
      <w:pPr/>
      <w:r>
        <w:rPr>
          <w:b/>
        </w:rPr>
        <w:t>POSSIBLE 2026:</w:t>
      </w:r>
      <w:r>
        <w:t xml:space="preserve"> Addressing food and nutrition insecurity in European countries: a scoping review of strategies and policies. — https://doi.org/10.4415/ann_26_02_09</w:t>
      </w:r>
    </w:p>
    <w:p>
      <w:pPr/>
      <w:r>
        <w:rPr>
          <w:b/>
        </w:rPr>
        <w:t>Shared claim-specific concepts:</w:t>
      </w:r>
      <w:r>
        <w:t xml:space="preserve"> areas, crisis, covid-19, provide; EU scope visible. This is a provisional connection, not an outcome finding.</w:t>
      </w:r>
    </w:p>
    <w:p>
      <w:pPr>
        <w:pStyle w:val="SourceNote"/>
      </w:pPr>
      <w:r>
        <w:rPr>
          <w:b/>
        </w:rPr>
        <w:t>Available abstract (not full text):</w:t>
      </w:r>
      <w:r>
        <w:t xml:space="preserve"> BACKGROUND: Food and nutrition insecurity (FNI) is a major public health concern, due to its association with a variety of adverse health outcomes. OBJECTIVE: The aim of this article is to provide a description of the strategies and policies to mitigate FNI in European countries, with a particular focus on economic, agriculture and social macro-areas. METHODS: A scoping review, following the Preferred Reporting Items for Systematic reviews and Meta-Analyses extension for Scoping Reviews (PRISMA) guidelines, was performed to map any study design, reporting policies and strategies that tackle FNI through food and nutrition security (FNS), access, utilization, or stability. RESULTS: The review identified 13 documents from institutional websites and 6 scientific articles, published from 2005 to 2022. The included papers highlight a multifaceted approach to addressing food insecurity, with policies covering several dimensions. The policies identified can be categorized into several key themes: agriculture and fisheries, nutrition, environment, sustainability, economy, stakeholder's views, COVID-19 pandemic and other crisis, vulnerable populations (women, children, migrants) and information campaigns. The review describes in detail several policies, examining their effectiveness and the challenges faced in ensuring that these initiatives result in tangible improvements in food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2025:</w:t>
      </w:r>
      <w:r>
        <w:t xml:space="preserve"> The impact of the European Medicines Agency (EMA) and the Heads of Medicines Agencies (HMA) to address shortages of human and veterinary medicines across Europe — https://doi.org/10.3389/fpubh.2025.1673681</w:t>
      </w:r>
    </w:p>
    <w:p>
      <w:pPr/>
      <w:r>
        <w:rPr>
          <w:b/>
        </w:rPr>
        <w:t>Shared claim-specific concepts:</w:t>
      </w:r>
      <w:r>
        <w:t xml:space="preserve"> important, crisis, provide, structural; EU scope visible. This is a provisional connection, not an outcome finding.</w:t>
      </w:r>
    </w:p>
    <w:p>
      <w:pPr>
        <w:pStyle w:val="SourceNote"/>
      </w:pPr>
      <w:r>
        <w:rPr>
          <w:b/>
        </w:rPr>
        <w:t>Available abstract (not full text):</w:t>
      </w:r>
      <w:r>
        <w:t xml:space="preserve"> Shortages of medicines are a global public health challenge with a significant impact on patient care. While the issue is at the top of the agenda of EU policymakers, regulators and healthcare providers, shortages are a complex problem with many contributing factors requiring multifaceted solutions. This article is a reflection of the work EMA and network of EU regulatory agencies for medicines carried out since 2012, in particular its taskforce, set up in 2016 to provide strategic and structural solutions to tackle shortages in the EU. Since its inception, the taskforce played a key role in spearheading activities related to medicines' shortages. Members of the taskforce supported important initiatives from leading the work on critical medicines to laying the foundation for Regulation (EU) 2022/123, which reinforces EMA's role in crisis preparedness and management of medicinal products and medical devices. On 18 December 2024 the taskforce reached the end of its mandate. Its work is now integrated into EMA and HMA's core activities. Future activities such as the implementation of shortage prevention plans will be further defined by measures in the revised pharmaceutical legislation, and the proposed Critical Medicines Act.</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pStyle w:val="Heading2"/>
      </w:pPr>
      <w:r>
        <w:t>629.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2026:</w:t>
      </w:r>
      <w:r>
        <w:t xml:space="preserve"> IT SECTOR AS A FACTOR OF ECONOMIC STABILITY AND RECOVERY OF THE NATIONAL ECONOMY OF UKRAINE — https://doi.org/10.31732/2663-2209-2026-81-78-87</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The article examines the role of the IT sector as a strategic resource for ensuring economic resilience and subsequent post-war recovery of the national economy of Ukraine. It is substantiated that under the conditions of unprecedented external shocks, the IT industry has transformed from a service sector into a fundamental anti-crisis stabilizer of the macroeconomic system. The aim of the article is to provide a theoretical substantiation and conceptualization of the IT sector’s role as a strategic factor in ensuring the adaptive resilience of Ukraine’s national economy, as well as to define the mechanisms of its influence on structural recovery processes in the context of global digitalization and Industry 4.0. The methodological framework of the study is based on a systems approach. During the research, a complex of methods was applied: dialectical and logical-generalization methods – to clarify the essence of the terms "economic resilience" and "digital spillovers"; systemic-structural analysis – to examine intersectoral linkages under Industry 4.0 conditions; statistical and comparative analysis – to assess the contribution of IT services to macroeconomic stability; the graphical method – to visualize the interaction model between the digital and real sectors of the economy. The author analyzes the IT sector through the prism of three functional roles: a source of stable f</w:t>
      </w:r>
    </w:p>
    <w:p>
      <w:pPr/>
      <w:r>
        <w:rPr>
          <w:b/>
        </w:rPr>
        <w:t>POSSIBLE 2026:</w:t>
      </w:r>
      <w:r>
        <w:t xml:space="preserve"> Ethnoecology-Based Traditional Agricultural Systems as a Strategy for Sustainable Agricultural Development — https://doi.org/10.61942/msj.v4i1.559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Sustainable agricultural development has become increasingly urgent due to environmental degradation, climate change, and rural socio-economic inequality caused by high-input modern agricultural systems. In this context, ethnoecology-based traditional agricultural systems offer an alternative framework grounded in local ecological knowledge, cultural values, and community-based resource governance. This study aims to analyze how traditional agricultural systems can be formulated as a strategic approach to sustainable agricultural development within modern policy frameworks. The research employed a qualitative design using in-depth interviews, participatory observation, and document analysis in rural communities practicing traditional agriculture. Data were analyzed through thematic coding and an interactive model of data reduction, display, and interpretation. The findings reveal three main dimensions: ecological sustainability through diversification and agroforestry practices; socio-institutional resilience through customary governance; and potential hybridization with modern technologies such as precision irrigation and climate-smart tools. The study concludes that integrating traditional ecological knowledge with contemporary agricultural innovation and legal recognition of customary institutions can strengthen inclusive and resilient sustainable agricultural development.</w:t>
      </w:r>
    </w:p>
    <w:p>
      <w:pPr/>
      <w:r>
        <w:rPr>
          <w:b/>
        </w:rPr>
        <w:t>POSSIBLE 2026:</w:t>
      </w:r>
      <w:r>
        <w:t xml:space="preserve"> Agricultural green development policy and agricultural export upgrading: evidence from China’s agricultural product trade — https://doi.org/10.3389/fsufs.2026.1914900</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How production-side agricultural green development policy affects agricultural exports remains insufficiently understood, particularly across the three distinct trade margins of export value, export volume, and export quality. Using China’s 2017 agricultural green development policy as a policy shock, this study employs panel data for 31 provincial-level regions from 2013 to 2024, measures pre-policy conditions using agricultural sustainability over 2013–2016, and applies a continuous difference-in-differences design to identify heterogeneous provincial export responses to the common policy shock. The results show that, following policy implementation, regions with higher pre-policy agricultural sustainability experienced larger relative increases in export value, export volume, and export quality, indicating that the policy response was not confined to either quality improvement or scale expansion alone. Dynamic estimates show that the positive differential in export quality emerged early in the implementation period, whereas export value and export volume adjusted more gradually. Robustness checks, counterfactual policy-timing tests, random permutation tests, and cluster-aware double machine learning estimates broadly corroborate the core findings. Among the three outcomes, the evidence is most stable for export quality, whereas export volume is estimated with relatively lowe</w:t>
      </w:r>
    </w:p>
    <w:p>
      <w:pPr/>
      <w:r>
        <w:rPr>
          <w:b/>
        </w:rPr>
        <w:t>POSSIBLE 2026:</w:t>
      </w:r>
      <w:r>
        <w:t xml:space="preserve"> Bibliometrics of Agricultural Crop Variety Development — https://doi.org/10.58812/wsshs.v4i02.2656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This study aims to map and analyze the global research landscape of agricultural crop variety development using a bibliometric approach. Data were retrieved from the Scopus database and analyzed using VOSviewer to identify research trends, thematic structures, collaboration networks, and emerging topics within the field. The results reveal that the scientific discourse is dominated by three interconnected themes: genetic innovation and plant breeding, plant physiological and biochemical research, and sustainability-oriented agricultural systems. Keyword co-occurrence analysis shows that concepts such as crops, agriculture, genetics, crop production, and sustainable development form the core intellectual structure, while overlay visualization indicates a shift toward advanced technologies such as gene editing, machine learning, and climate-resilient crop improvement. Density analysis highlights strong research intensity around food security and climate change, emphasizing the growing role of environmental challenges in shaping research priorities. Collaboration analyses demonstrate that countries such as China, India, and the United States act as central hubs in global scientific networks, supported by international agricultural research institutions. This study provides a comprehensive overview of the evolution, collaboration patterns, and future research directions in agricult</w:t>
      </w:r>
    </w:p>
    <w:p>
      <w:pPr>
        <w:pStyle w:val="Heading2"/>
      </w:pPr>
      <w:r>
        <w:t>630.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2026:</w:t>
      </w:r>
      <w:r>
        <w:t xml:space="preserve"> IMMUNOLOGICAL ASSESSMENT IN CHRONIC NASOPHARYNGITIS WITH DIFFERENT VARIANTS OF COMORBIDITY IN THE NASOPHARYNGEAL ZONE — https://doi.org/10.37219/9kbzp448</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Topicality: Understanding the immunological features of chronic nasopharyngitis with or without pharyngeal hypertrophy makes it possible to prescribe treatment based on individualization according to the specific pathophysiological situation and concomitant conditions of the nasopharyngeal area and the child's immune status, which allows for precision pharmacotherapy. Objective: 1) To study the immunological profile of different variants of chronic nasopharyngitis in children with various associated conditions of the nasopharyngeal zone for further substantiated modulation of the activity of the nasopharyngeal immune system using a mucosal vaccine. 2) The full spectrum of changes in all indicators of local immunity in oropharyngeal secretions in patients with MG III - increased IL-1β, decreased IFN-α, decreased sIgA - most likely ensure the chronicity of infectious inflammation of the nasopharynx in this category of subjects. Conclusions: The greatest changes in both local and systemic immunity are shown by representatives of MG I (without comorbidity) and MG III (chronic nasopharyngitis on the background of allergic rhinitis). However, such indicators of systemic immunity in patients with MG III as the absence of a decrease in T-lymphocytes CD3+, a decrease in T-lymphocytes CD8+, an increased IPI, a decrease in T-lymphocytes CD16+, an increase in T-lymphocytes CD19+, a decreas</w:t>
      </w:r>
    </w:p>
    <w:p>
      <w:pPr/>
      <w:r>
        <w:rPr>
          <w:b/>
        </w:rPr>
        <w:t>POSSIBLE 2026:</w:t>
      </w:r>
      <w:r>
        <w:t xml:space="preserve"> Machine Learning Integration for Enhanced Bond Market Forecasting — https://openalex.org/W7223426100</w:t>
      </w:r>
    </w:p>
    <w:p>
      <w:pPr/>
      <w:r>
        <w:rPr>
          <w:b/>
        </w:rPr>
        <w:t>Shared claim-specific concepts:</w:t>
      </w:r>
      <w:r>
        <w:t xml:space="preserve"> according, systemic, internal, terms; EU scope not established. This is a provisional connection, not an outcome finding.</w:t>
      </w:r>
    </w:p>
    <w:p>
      <w:pPr>
        <w:pStyle w:val="SourceNote"/>
      </w:pPr>
      <w:r>
        <w:rPr>
          <w:b/>
        </w:rPr>
        <w:t>Available abstract (not full text):</w:t>
      </w:r>
      <w:r>
        <w:t xml:space="preserve"> Green bonds are now essential tools for financing environmentally friendly initiatives due to the quick growth of sustainable finance. Understanding the underlying causes of green bond returns, however, is still hotly contested, especially in periods of high volatility when conventional pricing metrics are unable to take into account non-linear risks like environmental, social, and governance (ESG) reputational harm and greenwashing. This thesis examines how, in times of high market volatility, the return drivers of green bonds differ from those of traditional ("brown") bonds and assesses how much machine learning (ML) architectures can improve the predictability and interpretability of these market dynamics. In terms of methodology, this study employs a comparative hybrid framework that switches from a non-linear machine learning framework (XGBoost) to conventional linear econometric modelling (Vector Autoregression, VAR). A variety of macroeconomic factors, systemic fear measurements (VSTOXX), credit spreads, baseline ESG ratings, and a special proxy for ESG disputes are used to compare the performance of green bond and brown bond portfolios. Post-hoc SHAP (SHapley Additive exPlanations) values are used to analyse the model's internal feature importances in order to close the gap frequently caused by algorithmic opacity in financial AI applications. A clear "volatility parado</w:t>
      </w:r>
    </w:p>
    <w:p>
      <w:pPr/>
      <w:r>
        <w:rPr>
          <w:b/>
        </w:rPr>
        <w:t>POSSIBLE 2026:</w:t>
      </w:r>
      <w:r>
        <w:t xml:space="preserve"> Variant allele frequency as a potential marker in response to frontline systemic therapy for patients with locally advanced and metastatic urothelial carcinoma — https://doi.org/10.21037/tau-2026-1-0010</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Background: Patients with locally advanced and metastatic urothelial cancer (la/mUC) have a poor prognosis. Some patients have tumors that are refractory to frontline systemic treatment and progress rapidly, while other patients’ tumors have a sustained response for months. We describe the clinicogenomic patterns observed between these two groups, with a particular interest in the variant allele frequency (VAF) of the gene alterations. This study evaluated the impact of VAF of gene alterations on treatment outcomes for patients with advanced urothelial cancer (aUC). Methods: This was a single-institution retrospective cohort study of patients who received standard of care (SoC) frontline systemic therapies and had available next-generation sequencing (NGS) data from 2013–2023. Patients were categorized into rapid progressors (RP) if they had radiographic progression on the first restaging scan after starting therapy or clinical progression resulting in change of therapy or death if beforehand, or sustained responders (SR) if they had a response for at least 180 days. Statistical methods used include Fisher’s exact test, Kruskal-Wallis test, Kaplan-Meier analysis with log-rank test, and Cox proportional hazards model. Results: There were 317 patients with la/mUC on SoC frontline therapies identified in the database. From 82 eligible patients with NGS testing, there were 33 RP an</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pStyle w:val="Heading2"/>
      </w:pPr>
      <w:r>
        <w:t>631.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2026:</w:t>
      </w:r>
      <w:r>
        <w:t xml:space="preserve"> MATERIAL PRODUCTIVITY CONVERGENCE IN THE EUROPEAN UNION: INSIGHTS FROM FOUR MATERIAL CATEGORIES — https://doi.org/10.53443/anadoluibfd.1830207</w:t>
      </w:r>
    </w:p>
    <w:p>
      <w:pPr/>
      <w:r>
        <w:rPr>
          <w:b/>
        </w:rPr>
        <w:t>Shared claim-specific concepts:</w:t>
      </w:r>
      <w:r>
        <w:t xml:space="preserve"> all, four, union; EU scope visible. This is a provisional connection, not an outcome finding.</w:t>
      </w:r>
    </w:p>
    <w:p>
      <w:pPr>
        <w:pStyle w:val="SourceNote"/>
      </w:pPr>
      <w:r>
        <w:rPr>
          <w:b/>
        </w:rPr>
        <w:t>Available abstract (not full text):</w:t>
      </w:r>
      <w:r>
        <w:t xml:space="preserve"> This study evaluates the European Union's progress toward sustainable resource use via disaggregated material productivity (MP) indicators. The study employs Phillips and Sul's (2007) club convergence technique to determine if member states have converged to similar levels of productivity. Metal ores, fossil fuels, biomass, and non-metallic minerals are the four material types included in the analysis, which runs from 1993 to 2023. This study is one of the relatively few that uses the club convergence approach to examine MP according to material type. The results demonstrate that no single convergence club exists for all materials: While metal ores constitute a broad common group and biomass and fossil fuels are more fragmented, non-metallic minerals are split into two clubs. The results indicate that differentiated policy sets should be implemented based on material type and club formation.</w:t>
      </w:r>
    </w:p>
    <w:p>
      <w:pPr/>
      <w:r>
        <w:rPr>
          <w:b/>
        </w:rPr>
        <w:t>POSSIBLE 2026:</w:t>
      </w:r>
      <w:r>
        <w:t xml:space="preserve"> Social Determinants of Pain Prevalence: A Cross-National Comparison of Four European Countries — https://doi.org/10.3390/healthcare14193242</w:t>
      </w:r>
    </w:p>
    <w:p>
      <w:pPr/>
      <w:r>
        <w:rPr>
          <w:b/>
        </w:rPr>
        <w:t>Shared claim-specific concepts:</w:t>
      </w:r>
      <w:r>
        <w:t xml:space="preserve"> all, strategies, four, influence; EU scope visible. This is a provisional connection, not an outcome finding.</w:t>
      </w:r>
    </w:p>
    <w:p>
      <w:pPr>
        <w:pStyle w:val="SourceNote"/>
      </w:pPr>
      <w:r>
        <w:rPr>
          <w:b/>
        </w:rPr>
        <w:t>Available abstract (not full text):</w:t>
      </w:r>
      <w:r>
        <w:t xml:space="preserve"> Background/Objectives: Pain is a major public health burden shaped by social and structural factors, yet cross-national evidence on how social determinants influence pain prevalence across socioeconomically diverse European settings remains limited. This study aimed to examine the associations between social determinants and the prevalence of pain in four European countries, and to explore how these associations vary by national context. Methods: We conducted a multinational secondary analysis of cross-sectional data from the third wave of the European Health Interview Survey (EHIS), using Eurostat microdata for Serbia, Bulgaria, Norway and Finland (n = 34,882 respondents aged ≥15 years). Pain prevalence was examined in relation to sociodemographic characteristics, health status, chronic conditions and behavioural determinants. LASSO-selected logistic regression models were fitted separately for each country. Results: Pain prevalence varied markedly across countries, ranging from 35.4% in Serbia to 69.9% in Finland (p &lt; 0.001). Musculoskeletal disorders showed strong associations with pain in countries where this factor was retained in the models (OR range, 3.40–4.26), while accidents/injuries (OR range, 1.43–2.66), greater daily life limitations (OR range, 1.55–2.52), poorer self-rated health (OR range, 1.66–2.22), and female gender (OR range, 1.38–1.91) were consistently asso</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pStyle w:val="Heading2"/>
      </w:pPr>
      <w:r>
        <w:t>632.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Shifting urban baselines limit the abundance-based resolution of a classical lichen indicator — https://doi.org/10.1016/j.ecolind.2026.115071</w:t>
      </w:r>
    </w:p>
    <w:p>
      <w:pPr/>
      <w:r>
        <w:rPr>
          <w:b/>
        </w:rPr>
        <w:t>Shared claim-specific concepts:</w:t>
      </w:r>
      <w:r>
        <w:t xml:space="preserve"> findings, suggest, developed; EU scope visible. This is a provisional connection, not an outcome finding.</w:t>
      </w:r>
    </w:p>
    <w:p>
      <w:pPr>
        <w:pStyle w:val="SourceNote"/>
      </w:pPr>
      <w:r>
        <w:rPr>
          <w:b/>
        </w:rPr>
        <w:t>Available abstract (not full text):</w:t>
      </w:r>
      <w:r>
        <w:t xml:space="preserve"> Most urban lichen bioindication frameworks were developed under the substantially higher industrial and traffic-related pollution levels that characterised many European cities in previous decades. In many European cities, however, nitrogen dioxide (NO₂) concentrations have declined substantially over recent decades alongside ongoing climatic warming, raising the question of whether classical indicator species still track present-day pollution gradients. We evaluated the abundance-based indicator performance of the widely used lichen bioindicator Xanthoria parietina across complementary temporal (10 sites monitored from 2015 to 2025) and spatial (63 sites, 2023–2025) gradients in Vienna (Austria), combining repeated field surveys with year-specific spatially resolved NO₂ and climate data. During the study period, NO₂ concentrations declined markedly while air temperature increased. Across both datasets and modelling approaches, estimated NO₂ effects on lichen abundance were small, with confidence intervals overlapping zero and providing limited support for strong abundance responses within the observed NO₂ range. Contemporary NO₂ concentrations spanned a narrow and comparatively low range relative to historical urban conditions, suggesting that present-day exposure may lie largely below the species' effective abundance–response range. Accordingly, Xanthoria parietina provided l</w:t>
      </w:r>
    </w:p>
    <w:p>
      <w:pPr/>
      <w:r>
        <w:rPr>
          <w:b/>
        </w:rPr>
        <w:t>POSSIBLE 2026:</w:t>
      </w:r>
      <w:r>
        <w:t xml:space="preserve"> Baseline Double-Balloon Enteroscopy Findings and Long-Term Outcomes in Pediatric Crohn’s Disease — https://doi.org/10.7759/cureus.103632</w:t>
      </w:r>
    </w:p>
    <w:p>
      <w:pPr/>
      <w:r>
        <w:rPr>
          <w:b/>
        </w:rPr>
        <w:t>Shared claim-specific concepts:</w:t>
      </w:r>
      <w:r>
        <w:t xml:space="preserve"> findings, baseline, conclusions; EU scope not established. This is a provisional connection, not an outcome finding.</w:t>
      </w:r>
    </w:p>
    <w:p>
      <w:pPr>
        <w:pStyle w:val="SourceNote"/>
      </w:pPr>
      <w:r>
        <w:rPr>
          <w:b/>
        </w:rPr>
        <w:t>Available abstract (not full text):</w:t>
      </w:r>
      <w:r>
        <w:t xml:space="preserve"> Background Pediatric Crohn's disease is frequently characterized by extensive small-bowel involvement and a dynamic disease course. Double-balloon enteroscopy (DBE) allows direct evaluation of proximal small-bowel lesions that may not be detected by conventional upper gastrointestinal endoscopy and ileocolonoscopy; however, the long-term clinical implications of baseline DBE findings remain poorly defined. Methods We conducted a retrospective, single-center longitudinal cohort study including pediatric patients initially diagnosed with Crohn's disease who underwent baseline DBE. Clinical and endoscopic disease activity were assessed using the Harvey-Bradshaw Index (HBI) and the Simple Endoscopic Score for Crohn's Disease (SES-CD), respectively, at baseline and after approximately 10 years of follow-up. Patients with diagnostic reclassification during follow-up were excluded from remission analyses but analyzed descriptively. Results Twenty patients underwent baseline DBE; three (15%) were subsequently reclassified to alternative diagnoses. Among the remaining 17 (85%) patients with a final diagnosis of Crohn's disease, both clinical and endoscopic disease activity substantially improved over long-term follow-up. Baseline DBE identified ulcerative jejunal disease in a subset of patients. At follow-up, patients with ulcerative lesions identified on baseline DBE tended to exhibit </w:t>
      </w:r>
    </w:p>
    <w:p>
      <w:pPr/>
      <w:r>
        <w:rPr>
          <w:b/>
        </w:rPr>
        <w:t>POSSIBLE 2026:</w:t>
      </w:r>
      <w:r>
        <w:t xml:space="preserve"> Mapping the availability of climate and health education in European schools of public health: a baseline assessment for indicator development — https://doi.org/10.3389/ijph.2026.1609473</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Objectives: Climate and health education is increasingly recognised as essential for preparing a climate-competent public health workforce, yet reliable European baseline data remain limited. This cross-sectional study assessed the availability of climate and health education in degree-granting Schools of Public Health across the World Health Organization European Region. Methods: A survey of Association of Schools of Public Health in the European Region member institutions was combined with a large-language-model-assisted web scan and manual verification of institutional websites, curricula, syllabi, and programme descriptions. Results: Overall, 268 Schools of Public Health were identified across 53 countries, including 131 ASPHER members and 137 non-members. Of these, 111 institutions (41.4%) offered at least one verified climate and health education programme or course in 2024/2025. Availability was similar among ASPHER members (41%) and non-members (43%). Most identified programmes were offered at master's level, while vocational, bachelor, doctoral, and continuing professional development opportunities were less frequent. Conclusion: Climate and health education is present across much of Europe but remains uneven and concentrated at postgraduate level. The findings provide a verifiable baseline for future monitoring and policy action.</w:t>
      </w:r>
    </w:p>
    <w:p>
      <w:pPr/>
      <w:r>
        <w:rPr>
          <w:b/>
        </w:rPr>
        <w:t>POSSIBLE 2026:</w:t>
      </w:r>
      <w:r>
        <w:t xml:space="preserve"> A systematic identification of resistance determinants to antisense antibiotics suggests adaptation strategies dependent on the delivery peptide — https://doi.org/10.1038/s41467-026-76357-y</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Abstract The rise of antimicrobial resistance (AMR) among human pathogenic microbes is a serious threat to global health, calling for the development of novel treatment strategies. Antibiotics based on programmable antisense oligomers (asobiotics) offer an attractive solution to the “arms-race”, as their specificity can be quickly updated and tailored to target resistant bacteria. In order to understand the genetic architecture of resistance to asobiotics, we employed laboratory evolution assays to identify mutations that decrease susceptibility to antisense peptide nucleic acid (PNA) against four major gram-negative pathogens: Escherichia coli, Klebsiella pneumoniae, Salmonella enterica , and Pseudomonas aeruginosa . We observed that the reduction in susceptibility upon asobiotics treatment was dependent on the specific cell penetrating peptide (CPP) being conjugated to the PNAs, suggesting that reduced uptake is a common adaptation strategy only against the (KFF) 3 -K CPP. We in fact observed that sbmA was frequently mutated in all tested species when treated with (KFF) 3 -K conjugated PNAs. We further identified mutations related to translation, peptide transport and cell envelope, which provide new hypotheses on cellular response to CPP-PNAs conjugates. Furthermore, for (RXR) 4 XB- acpP we observed a modest increase in resistance only when mutations in the PNA binding site </w:t>
      </w:r>
    </w:p>
    <w:p>
      <w:pPr/>
      <w:r>
        <w:rPr>
          <w:b/>
        </w:rPr>
        <w:t>POSSIBLE 2026:</w:t>
      </w:r>
      <w:r>
        <w:t xml:space="preserve"> The Italian registry for narcolepsy and central disorders of hypersomnolence (ReN&amp;IS): Baseline clinical and diagnostic findings — https://doi.org/10.1016/j.sleep.2026.109021</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OBJECTIVE: Central disorders of hypersomnolence, a wide and heterogeneous group of neurological disorders including narcolepsy type 1 (NT1), narcolepsy type 2 (NT2), and idiopathic hypersomnia (IH), are chronic, rare, under-recognized, and disabling conditions characterized by excessive daytime sleepiness (EDS) and other symptoms adversely impacting patients' lives. Large, harmonized real-world datasets are needed to improve phenotypic characterization, diagnostic accuracy, and translational research. METHODS: The Italian Registry for Narcolepsy and Central Disorders of Hypersomnolence (ReN&amp;IS) is a national, multicenter, observational registry established in 2022. This preliminary analysis presents and compares demographic features, disease presentation, diagnostic assessment, medical comorbidities, current treatment patterns, and symptoms' evolution across diagnostic NT1, NT2, and IH groups of patients enrolled across 20 Italian referral centers. RESULTS: From March 2022 to September 2025, 480 cases were entered in the ReN&amp;IS. NT1 accounted for 80.0% of cases, NT2 for 14.6%, and IH for 5.4%. NT1 showed younger age at onset and enrollment than NT2 and IH, as well as the highest burden of REM-sleep-related symptoms and clear biomarker profiles (HLA DQB1∗06:02 positivity and low cerebrospinal fluid orexin-A levels). Although most patients were treated with non-pharmacological (5</w:t>
      </w:r>
    </w:p>
    <w:p>
      <w:pPr>
        <w:pStyle w:val="Heading2"/>
      </w:pPr>
      <w:r>
        <w:t>633.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3 Hourly ICON outputs from irrigation long-term simulation — https://doi.org/10.60507/fk2/h4w6dt</w:t>
      </w:r>
    </w:p>
    <w:p>
      <w:pPr/>
      <w:r>
        <w:rPr>
          <w:b/>
        </w:rPr>
        <w:t>Shared claim-specific concepts:</w:t>
      </w:r>
      <w:r>
        <w:t xml:space="preserve"> simulations, show, without, volume; EU scope visible. This is a provisional connection, not an outcome finding.</w:t>
      </w:r>
    </w:p>
    <w:p>
      <w:pPr>
        <w:pStyle w:val="SourceNote"/>
      </w:pPr>
      <w:r>
        <w:rPr>
          <w:b/>
        </w:rPr>
        <w:t>Available abstract (not full text):</w:t>
      </w:r>
      <w:r>
        <w:t xml:space="preserve"> Studies on irrigation within Earth system models have demonstrated the irrigation effects on various variables. While some regional simulations in Europe have focused on short-term impacts during a single growing season, comprehensive long-term simulations across the entire continent are lacking. Our study aims to quantify the long-term impact of irrigation on surface and atmospheric variables over the EURO-CORDEX domain using convection-permitting ICON simulations that cover a period of 12 years. The irrigation parameterization is based on the CHANNEL scheme in WRF (Valmassoi et al. 2020). The daily irrigation volume matches the readily available water (RAW), which is the amount of total available water (TAW) a crop can absorb from the root zone without stress. The irrigation event starts on May 1st of each year at 5 UTC for 5 hours, with a frequency of every 12 days. The results show that the irrigation impact varies by region and year, highlighting the importance of land-atmosphere interactions in the irrigation impact. For example, the cold and wet summer of 2017 in southern Europe reduced irrigation cooling effects in the Alps, while the 2018 heat wave in Central Europe enhanced the influence of irrigation on surface variables. The files found in the current dataset are 3 hourly outputs from the ICOsahedral Nonhydrostatic model (ICON) for the control and irrigation experim</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show, transport, measures, traffic;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2026:</w:t>
      </w:r>
      <w:r>
        <w:t xml:space="preserve"> Thesis on Environment and Transport Economics — https://openalex.org/W7128124271</w:t>
      </w:r>
    </w:p>
    <w:p>
      <w:pPr/>
      <w:r>
        <w:rPr>
          <w:b/>
        </w:rPr>
        <w:t>Shared claim-specific concepts:</w:t>
      </w:r>
      <w:r>
        <w:t xml:space="preserve"> simulations, show, transport, lower; EU scope visible. This is a provisional connection, not an outcome finding.</w:t>
      </w:r>
    </w:p>
    <w:p>
      <w:pPr>
        <w:pStyle w:val="SourceNote"/>
      </w:pPr>
      <w:r>
        <w:rPr>
          <w:b/>
        </w:rPr>
        <w:t>Available abstract (not full text):</w:t>
      </w:r>
      <w:r>
        <w:t xml:space="preserve"> This thesis examines how supply-side carbon pricing and demand-side purchase sub- sidies reshape market structure and welfare in Europe’s two largest transport sectors: aviation and automobiles. Chapter 1 analyses the European airline industry using a two-stage entry-and-pricing model that captures key institutional features such as airport slot constraints and point-to-point business models. Fixed-cost parame- ters are estimated through a hybrid approach combining moment inequalities with maximum likelihood, ensuring policy simulations remain consistent with observed market structures. The analysis shows that carbon pricing induces asymmetric network adjustments concentrated among low-cost and regional carriers, while full- service groups at hub airports remain relatively resilient. Although industry profits decline, the reallocation of capacity improves allocative efficiency and redistributes welfare unevenly across Europe. Chapter 2 evaluates electric-vehicle purchase sub- sidies in the UK, France, and Germany (2010–2021) using a random-coefficients logit demand model with micro-moment calibration and a static Bertrand pricing framework. The results show that the expansion of the EV market has been driven mainly by product innovation and model fleet turnover rather than by flat purchase incentives. Subsidy effectiveness varies across countries, with limited impacts in the UK</w:t>
      </w:r>
    </w:p>
    <w:p>
      <w:pPr/>
      <w:r>
        <w:rPr>
          <w:b/>
        </w:rPr>
        <w:t>POSSIBLE 2026:</w:t>
      </w:r>
      <w:r>
        <w:t xml:space="preserve"> Contribution of Explicit SVOC and IVOC Emissions from the Transportation Sector on Particulate Matter Concentrations in Europe — https://doi.org/10.5194/egusphere-egu26-18450</w:t>
      </w:r>
    </w:p>
    <w:p>
      <w:pPr/>
      <w:r>
        <w:rPr>
          <w:b/>
        </w:rPr>
        <w:t>Shared claim-specific concepts:</w:t>
      </w:r>
      <w:r>
        <w:t xml:space="preserve"> simulations, show, transport, significant; EU scope visible. This is a provisional connection, not an outcome finding.</w:t>
      </w:r>
    </w:p>
    <w:p>
      <w:pPr>
        <w:pStyle w:val="SourceNote"/>
      </w:pPr>
      <w:r>
        <w:rPr>
          <w:b/>
        </w:rPr>
        <w:t>Available abstract (not full text):</w:t>
      </w:r>
      <w:r>
        <w:t xml:space="preserve"> Road transportation is a significant contributor to air pollution across Europe, especially in urban areas, and the resulting impacts on public health are highly uncertain. Pollutants are emitted in both the gas and particle phases from several operational modes including combustion exhaust, non-combustion evaporation, and mechanical brake and tire wear. Conventional air emission inventories used to inform policy in Europe have included inert fine and coarse particle emissions as well as emissions of light hydrocarbons, or volatile organic compounds. But recent laboratory studies have demonstrated that particle emissions are far more dynamic than originally thought, and that key reactive gas-phase compounds have probably been missing from existing inventories. As part of the Effects on Air quality of Semi-VOLatile Engine Emissions (EASVOLEE) project, state-of-the-science laboratory measurements have been used to develop a new inventory for present-day European air emissions that explicitly considers semivolatile and intermediate volatility organic compounds (SVOCs and IVOCs) from road transportation. This inventory is used to drive simulations with the European Monitoring and Evaluation Programme (EMEP) MSC-W regional-scale chemical transport model. With this new model platform, we assess the comprehensive primary and secondary contributions of road transport emissions to Europ</w:t>
      </w:r>
    </w:p>
    <w:p>
      <w:pPr>
        <w:pStyle w:val="Heading2"/>
      </w:pPr>
      <w:r>
        <w:t>634.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635.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2026:</w:t>
      </w:r>
      <w:r>
        <w:t xml:space="preserve"> The New World Order and National Security Dynamics of African States: Case Studies of Cameroon and Mali — https://doi.org/10.1002/waf2.70098</w:t>
      </w:r>
    </w:p>
    <w:p>
      <w:pPr/>
      <w:r>
        <w:rPr>
          <w:b/>
        </w:rPr>
        <w:t>Shared claim-specific concepts:</w:t>
      </w:r>
      <w:r>
        <w:t xml:space="preserve"> order, security, two, literature, process; EU scope not established. This is a provisional connection, not an outcome finding.</w:t>
      </w:r>
    </w:p>
    <w:p>
      <w:pPr>
        <w:pStyle w:val="SourceNote"/>
      </w:pPr>
      <w:r>
        <w:rPr>
          <w:b/>
        </w:rPr>
        <w:t>Available abstract (not full text):</w:t>
      </w:r>
      <w:r>
        <w:t xml:space="preserve"> ABSTRACT The move from unipolarity to a fluid and contested multipolar world order has significantly changed the way African nations form national security policy due to changes in the nature of the strategic environment of those states. Much of the literature has focused on how the actions of major world powers ‐ the United States, China and Russia shape their respective national security strategy. There is relatively little literature on how African states develop strategic responses to this process of systemic transformation. This paper assesses how the shift in distribution of power across the globe affects the national security dynamic of peripheral African states by using comparative case studies of Cameroon and Mali. Both countries face many of the same internal security challenges including insurgency, state fragility, and foreign intervention‐ yet both countries’ governments have responded differently to these internal security challenges with regard to their external security alignment strategies. The paper argues that differences in elite coalitions, the legitimacy requirements of regimes, the historical strategic cultures of the two states, and the sequences of perceived threats faced by each country are the primary explanations for why Cameroon's and Mali's government developed such distinct external security alignment strategies. Based on theories of realism, cons</w:t>
      </w:r>
    </w:p>
    <w:p>
      <w:pPr/>
      <w:r>
        <w:rPr>
          <w:b/>
        </w:rPr>
        <w:t>POSSIBLE 2026:</w:t>
      </w:r>
      <w:r>
        <w:t xml:space="preserve"> Geospatial Intelligence and the Transformation of Counterinsurgency in Nigeria, 1999-2025: Implications for Africa's Changing Security Order — https://doi.org/10.47772/ijriss.2026.100600083</w:t>
      </w:r>
    </w:p>
    <w:p>
      <w:pPr/>
      <w:r>
        <w:rPr>
          <w:b/>
        </w:rPr>
        <w:t>Shared claim-specific concepts:</w:t>
      </w:r>
      <w:r>
        <w:t xml:space="preserve"> order, developments, security, technologies; EU scope not established. This is a provisional connection, not an outcome finding.</w:t>
      </w:r>
    </w:p>
    <w:p>
      <w:pPr>
        <w:pStyle w:val="SourceNote"/>
      </w:pPr>
      <w:r>
        <w:rPr>
          <w:b/>
        </w:rPr>
        <w:t>Available abstract (not full text):</w:t>
      </w:r>
      <w:r>
        <w:t xml:space="preserve"> This article examines the role of geospatial intelligence (GEOINT) in the transformation of counterinsurgency operations in Nigeria from 1999 to 2025, situating these developments within the broader dynamics of Africa's evolving security order. Despite significant investments in satellite observation systems, unmanned aerial vehicles, and geospatial data infrastructures, the operational effectiveness of these technologies remains uneven. The central argument advanced is that the impact of GEOINT on counterinsurgency is contingent not merely on technological acquisition, but on the extent of its institutional integration, strategic application, and alignment with existing security frameworks. Methodologically, the study adopts a qualitative historical-analytical approach grounded exclusively in secondary sources that includes peer-reviewed journal articles, academic books, policy documents, defence reports, and publications from governmental and international organisations. Through a critical interrogation of these materials, the article reconstructs the evolution of Nigeria's geospatial capabilities and assesses their application within counterinsurgency campaigns, particularly in the North-East theatre of operations. The analysis identifies a persistent disjuncture between capability and utilisation, shaped by institutional fragmentation, inadequate technical capacity, weak in</w:t>
      </w:r>
    </w:p>
    <w:p>
      <w:pPr/>
      <w:r>
        <w:rPr>
          <w:b/>
        </w:rPr>
        <w:t>POSSIBLE 2026:</w:t>
      </w:r>
      <w:r>
        <w:t xml:space="preserve"> Orphan and adoption among Catholic Christians and Sunni Muslims: scripture, tradition, practice — https://doi.org/10.7488/era/7332</w:t>
      </w:r>
    </w:p>
    <w:p>
      <w:pPr/>
      <w:r>
        <w:rPr>
          <w:b/>
        </w:rPr>
        <w:t>Shared claim-specific concepts:</w:t>
      </w:r>
      <w:r>
        <w:t xml:space="preserve"> order, developments, adoption, them, process; EU scope not established. This is a provisional connection, not an outcome finding.</w:t>
      </w:r>
    </w:p>
    <w:p>
      <w:pPr>
        <w:pStyle w:val="SourceNote"/>
      </w:pPr>
      <w:r>
        <w:rPr>
          <w:b/>
        </w:rPr>
        <w:t>Available abstract (not full text):</w:t>
      </w:r>
      <w:r>
        <w:t xml:space="preserve"> Civil adoption, as practiced in the Western world today, is a legal process of the modern era. The practice reflects what became acceptable in Western nations – a court granting all the rights and responsibilities relating to a child to adopting parents, which made them the legal parents. Once this legal matter was resolved, everyone involved assumed a new identity in what is known as the adoption triad: adoptive parent, adoptee, and biological mother and father. The objective of this thesis is to compare how Catholic Christians and Sunni Muslims have theologically understood the orphan and have developed distinctive adoption practices to address the plight of the orphan in society. The thesis is divided into three parts beginning with textual analyses and ending with qualitative research. The research questions are: how have the Catholic Christian and Sunni Islamic traditions approached the situation of the orphan in society and how are orphans cared for today? The thesis draws on textual sources and also cultural practices through qualitative research among Catholic Christians and Sunni Muslims in contemporary South Africa. In the New Testament, Jesus never designates any person an orphan in a literal sense. Only in James (1:27) is the word orphan used to refer to orphans within society. The only other place where the word orphan is found is John’s gospel (14:18), when it is </w:t>
      </w:r>
    </w:p>
    <w:p>
      <w:pPr/>
      <w:r>
        <w:rPr>
          <w:b/>
        </w:rPr>
        <w:t>POSSIBLE 2026:</w:t>
      </w:r>
      <w:r>
        <w:t xml:space="preserve"> India’s AI Power in a Distributed and Uneven Technological Order: Boundary Control, Strategic Autonomy, and Cognitive Security — https://doi.org/10.67037/epinova.rr.2026.001</w:t>
      </w:r>
    </w:p>
    <w:p>
      <w:pPr/>
      <w:r>
        <w:rPr>
          <w:b/>
        </w:rPr>
        <w:t>Shared claim-specific concepts:</w:t>
      </w:r>
      <w:r>
        <w:t xml:space="preserve"> order, security, technologies; EU scope not established. This is a provisional connection, not an outcome finding.</w:t>
      </w:r>
    </w:p>
    <w:p>
      <w:pPr>
        <w:pStyle w:val="SourceNote"/>
      </w:pPr>
      <w:r>
        <w:rPr>
          <w:b/>
        </w:rPr>
        <w:t>Available abstract (not full text):</w:t>
      </w:r>
      <w:r>
        <w:t xml:space="preserve"> This research report examines India’s emerging AI power through the interaction of usable national capacity, technological dependence, boundary control, strategic autonomy, and cognitive security. Rather than treating AI power as equivalent to frontier-model performance, compute scale, or investment volume, it analyzes how technical, institutional, organizational, and infrastructural capabilities are converted into nationally usable power under conditions of uneven interdependence. India is used as a mechanism-rich case because substantial software capacity, digital public infrastructure, multilingual public technology, expanding compute access, and globally distributed technical networks coexist with continued dependence on externally controlled upstream technologies. The report distinguishes access from mobilizable capability, territorial presence from control, boundary power from boundary autonomy, and persistent systemic influence from narrower bilateral effects.</w:t>
      </w:r>
    </w:p>
    <w:p>
      <w:pPr/>
      <w:r>
        <w:rPr>
          <w:b/>
        </w:rPr>
        <w:t>POSSIBLE 2026:</w:t>
      </w:r>
      <w:r>
        <w:t xml:space="preserve"> How AI illuminates educational values and the path toward equity — https://doi.org/10.14279/depositonce-26162</w:t>
      </w:r>
    </w:p>
    <w:p>
      <w:pPr/>
      <w:r>
        <w:rPr>
          <w:b/>
        </w:rPr>
        <w:t>Shared claim-specific concepts:</w:t>
      </w:r>
      <w:r>
        <w:t xml:space="preserve"> technologies, present, two, current; EU scope not established. This is a provisional connection, not an outcome finding.</w:t>
      </w:r>
    </w:p>
    <w:p>
      <w:pPr>
        <w:pStyle w:val="SourceNote"/>
      </w:pPr>
      <w:r>
        <w:rPr>
          <w:b/>
        </w:rPr>
        <w:t>Available abstract (not full text):</w:t>
      </w:r>
      <w:r>
        <w:t xml:space="preserve"> In this argument piece we present and discuss the key points of the paper "Global justice and the use of AI in education: ethical and epistemic aspects" (Vuckovic &amp; Sikimic 2025) in which we analyzed the current and future impacts of advanced digital solutions on the accessibility of education. More specifically, we investigated whether and how the implementation of AI in education could hinder or contribute to equity and justice at the individual and global levels. As the use of AI in education is increasing globally, we explored how this novel development affected personal and societal value systems. To answer these questions, we first discussed the purpose of education: whether it has intrinsic values or is merely an instrument for career advancement—and argued for the former. We proceeded to analyze different advanced digital solutions used in education. Then analysis focused on two currently widespread technologies, namely large language models (LLMs) and predictive models, and proposed that their responsible use in education could benefit both individuals and societies.</w:t>
      </w:r>
    </w:p>
    <w:p>
      <w:pPr>
        <w:pStyle w:val="Heading2"/>
      </w:pPr>
      <w:r>
        <w:t>636.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2026:</w:t>
      </w:r>
      <w:r>
        <w:t xml:space="preserve"> The next episode for narrative foresight — https://doi.org/10.1016/j.futures.2026.103876</w:t>
      </w:r>
    </w:p>
    <w:p>
      <w:pPr/>
      <w:r>
        <w:rPr>
          <w:b/>
        </w:rPr>
        <w:t>Shared claim-specific concepts:</w:t>
      </w:r>
      <w:r>
        <w:t xml:space="preserve"> use, foresight, possible, developed;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possible, developed;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The Wicked Energy Transition: Integrating deployment, foresight, and financial barriers into energy transition pathway models — https://doi.org/10.3929/ethz-c-000800809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Climate change mitigation is widely recognized as a “wicked problem”, characterized by deep uncertainty, value divergence among stakeholders, and the absence of predefined solutions. While already the First Assessment Report by the Intergovernmental Panel on Climate Change (IPCC) in 1990 outlined technical options to stabilize carbon emissions, global emissions have continued to rise, highlighting a critical disconnect between the technically feasible transition pathways modeled by researchers and the realized, delayed progress in the real world. This doctoral thesis addresses this disconnect by moving beyond purely technical feasibility to explore the non-technical barriers that inhibit the European energy transition. By integrating these barriers into a modeling framework, this research provides a forward-looking analysis of the delay and offers robust modeling and policy recommendations to navigate the “wicked” nature of decarbonization. To investigate these barriers, this thesis introduces ZEN-garden (Zero-emission Energy Networks), an open-source energy system optimization framework designed to model transition pathways with high technological, spatial, and temporal detail. Unlike snapshot year models, which optimize a single target year, ZEN-garden focuses on the transition pathway, allowing for the inclusion of path dependency through constrained technology deployment an</w:t>
      </w:r>
    </w:p>
    <w:p>
      <w:pPr/>
      <w:r>
        <w:rPr>
          <w:b/>
        </w:rPr>
        <w:t>POSSIBLE 2026:</w:t>
      </w:r>
      <w:r>
        <w:t xml:space="preserve"> Tracking the Evolution of Foresight Signals in News Data: The Case of the European Electric Vehicle Market — https://doi.org/10.18653/v1/2026.acl-srw.28</w:t>
      </w:r>
    </w:p>
    <w:p>
      <w:pPr/>
      <w:r>
        <w:rPr>
          <w:b/>
        </w:rPr>
        <w:t>Shared claim-specific concepts:</w:t>
      </w:r>
      <w:r>
        <w:t xml:space="preserve"> use, foresight, methods, trends; EU scope visible. This is a provisional connection, not an outcome finding.</w:t>
      </w:r>
    </w:p>
    <w:p>
      <w:pPr>
        <w:pStyle w:val="SourceNote"/>
      </w:pPr>
      <w:r>
        <w:rPr>
          <w:b/>
        </w:rPr>
        <w:t>Available abstract (not full text):</w:t>
      </w:r>
      <w:r>
        <w:t xml:space="preserve"> To prepare for an uncertain future, organizations must continuously monitor emerging trends and early signals of change.The increasing availability of web-based textual data has boosted natural language processing (NLP) methods in strategic foresight, particularly in the scanning phase.While prior studies have extensively focused on the identification of signals in such data, considerably less attention has been paid to how these signals evolve over time and gain relevance as they become more visible.This study addresses this gap by examining whether tracking the temporal dynamics of signals can improve their assessment for strategic decision-making.Demonstrated on the use case of the European electric vehicle market, we find three dominant signal trajectories and show that burst dynamics tend to surface signal consolidation rather than the early detection of weak signals.The results indicate that foresight research should move beyond static, one-off analyses toward a dynamic temporal perspective capable of identifying signals at earlier stages of emergence.</w:t>
      </w:r>
    </w:p>
    <w:p>
      <w:pPr/>
      <w:r>
        <w:rPr>
          <w:b/>
        </w:rPr>
        <w:t>POSSIBLE 2026:</w:t>
      </w:r>
      <w:r>
        <w:t xml:space="preserve"> Change by Foresight: AI for the Common Good. Algophobia, celibate machines, and FINNA as a grammar of possible futures in Public Administration — https://openalex.org/W7220332615</w:t>
      </w:r>
    </w:p>
    <w:p>
      <w:pPr/>
      <w:r>
        <w:rPr>
          <w:b/>
        </w:rPr>
        <w:t>Shared claim-specific concepts:</w:t>
      </w:r>
      <w:r>
        <w:t xml:space="preserve"> foresight, possible, methods; EU scope not established. This is a provisional connection, not an outcome finding.</w:t>
      </w:r>
    </w:p>
    <w:p>
      <w:pPr>
        <w:pStyle w:val="SourceNote"/>
      </w:pPr>
      <w:r>
        <w:rPr>
          <w:b/>
        </w:rPr>
        <w:t>Available abstract (not full text):</w:t>
      </w:r>
      <w:r>
        <w:t xml:space="preserve"> Artificial intelligence (AI) governance in public administration is increasingly shaped by dominant narratives that frame the future as predictable, manageable, and technologically inevitable. Such narratives tend to depoliticise AI by translating normative choices into technical optimisation problems, producing forms of anticipatory closure. This contribution interrogates AI governance as a narrative and temporal issue rather than a purely regulatory or ethical one. Drawing on narrative policy analysis and a participatory action research laboratory with public officials of the Metropolitan City of Rome, it examines how anticipatory practices can destabilise deterministic imaginaries and reopen the space of possible futures. The Change by Foresight Lab mobilises a hybrid assemblage of foresight and participatory methods to surface situated orientations toward AI, revealing tensions between efficiency, legitimacy, and democratic accountability. Building on these findings, the contribution introduces FINNA as a conceptual lens to interpret how anticipatory practices enable public administrations to articulate futures that remain open, negotiable, and collectively oriented.</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pStyle w:val="Heading2"/>
      </w:pPr>
      <w:r>
        <w:t>637.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2026:</w:t>
      </w:r>
      <w:r>
        <w:t xml:space="preserve"> The Criminalization of Solidarity in the EUropean Border Regime — https://doi.org/10.1177/03043754261433634</w:t>
      </w:r>
    </w:p>
    <w:p>
      <w:pPr/>
      <w:r>
        <w:rPr>
          <w:b/>
        </w:rPr>
        <w:t>Shared claim-specific concepts:</w:t>
      </w:r>
      <w:r>
        <w:t xml:space="preserve"> aim, article, main; EU scope visible. This is a provisional connection, not an outcome finding.</w:t>
      </w:r>
    </w:p>
    <w:p>
      <w:pPr>
        <w:pStyle w:val="SourceNote"/>
      </w:pPr>
      <w:r>
        <w:rPr>
          <w:b/>
        </w:rPr>
        <w:t>Available abstract (not full text):</w:t>
      </w:r>
      <w:r>
        <w:t xml:space="preserve"> This article explores the complementarity between the criminalization of solidarity and the externalization of EUropean borders by mapping laws across states working with Frontex. While both strategies have been widely documented and are central to the EUropean border regime’s deployment of violence, they have often been studied in isolation. The article pursues two goals that aim to contribute to documenting the effects of EUropean policies while avoiding the pitfalls of EU-centrism and presentism. First, it maps the geographical spread of laws criminalizing solidarity. Second, it examines how the EUropean border regime operates by analyzing convergences and divergences between legal systems. This approach requires contextualizing and situating these strategies in the longue durée history of European colonial empires. The article’s main contribution is to show through laws criminalizing solidarity how the EUropean border regime operates as a vehicle for normalizing and circulating legal regimes to deter, intercept, and push back people on the move.</w:t>
      </w:r>
    </w:p>
    <w:p>
      <w:pPr/>
      <w:r>
        <w:rPr>
          <w:b/>
        </w:rPr>
        <w:t>POSSIBLE 2026:</w:t>
      </w:r>
      <w:r>
        <w:t xml:space="preserve"> The Enforcement of European Digital Regulation: Overlaps and Pathways — https://doi.org/10.1093/yel/yeag002</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Abstract The European Union (EU) has intensified its regulatory efforts in the digital domain, resulting in a complex and layered legal framework. Significant attention has focused on the lack of coherence across legislation and other regulatory instruments, while less consideration has been given to enforcement, particularly to the expansion of powers and overlaps of responsibilities distributed across multiple national and supranational authorities. This article aims to address the primary challenges to the enforcement of the EU digital acquis and explore potential pathways for enhancing its effectiveness. The first part provides examples of how the growing number of EU legal instruments in the European digital policy, particularly targeting digital services, has not fully considered the intersections between different technologies and regulatory frameworks. The second part then underlines how these substantive overlaps translate into enforcement challenges. It addresses the quantitative dimension of the enforcement framework, detailing the multiplicity of bodies involved while analysing the overlapping competences that arise from this institutional complexity from the national and supranational perspectives. The final section explores possible solutions, evaluating opportunities and limitations of various pathways to improve the enforcement of European digital regulation.</w:t>
      </w:r>
    </w:p>
    <w:p>
      <w:pPr/>
      <w:r>
        <w:rPr>
          <w:b/>
        </w:rPr>
        <w:t>POSSIBLE 2026:</w:t>
      </w:r>
      <w:r>
        <w:t xml:space="preserve"> The European Union and the Challenge of the Democratic Cosmopolis — https://doi.org/10.58603/yaia5129</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pStyle w:val="Heading2"/>
      </w:pPr>
      <w:r>
        <w:t>638.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2026:</w:t>
      </w:r>
      <w:r>
        <w:t xml:space="preserve"> Application of innovative strategy in the characterization of ketoprofen gels authorized in the Republic of Serbia — https://doi.org/10.5937/hpimj2601784c</w:t>
      </w:r>
    </w:p>
    <w:p>
      <w:pPr/>
      <w:r>
        <w:rPr>
          <w:b/>
        </w:rPr>
        <w:t>Shared claim-specific concepts:</w:t>
      </w:r>
      <w:r>
        <w:t xml:space="preserve"> strategy, republic, two; EU scope not established. This is a provisional connection, not an outcome finding.</w:t>
      </w:r>
    </w:p>
    <w:p>
      <w:pPr>
        <w:pStyle w:val="SourceNote"/>
      </w:pPr>
      <w:r>
        <w:rPr>
          <w:b/>
        </w:rPr>
        <w:t>Available abstract (not full text):</w:t>
      </w:r>
      <w:r>
        <w:t xml:space="preserve"> Introduction: Topical ketoprofen formulations provide localized analgesic and anti-inflammatory effects while reducing systemic adverse events associated with oral administration. Franz diffusion cells, are widely used to evaluate the permeation and dissolution rate of active pharmaceutical ingredient in topical formulations.Aim: The aim of this study was to perform macroscopic and microscopic analysis of ketoprofen gel formulations available in the Republic of Serbia, to examine the in vitro release rate using 3D printed Franz cells, as well as to analyze the influence of the type of receptor medium on the release rate of ketoprofen.Material and Method: Two ketoprofen gel formulations were examined. Macroscopic and microscopic analysis were performed under normal and polarized light. Ketoprofen content was determined by UV/VIS spectrophotometry. In vitro release studies were carried out using 3D-printed Franz diffusion cells with synthetic membranes as diffusion barriers. Phosphate buffer pH 7.4 and 70% (v/v) ethanol were used as receptor media.Results: Both ketoprofen gels were transparent, and exhibited similar gloss. Formulation A demonstrated lower structural integrity and stickiness than Formulation B. The ketoprofen in both formulations was within ± 5% of the declared value. In vitro release test showed that Formulation A exhibited a faster release of ketoprofen compared</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pStyle w:val="Heading2"/>
      </w:pPr>
      <w:r>
        <w:t>639.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 citizen-based assessment of European smart cites using a DP2 index — https://doi.org/10.1038/s41598-026-55659-7</w:t>
      </w:r>
    </w:p>
    <w:p>
      <w:pPr/>
      <w:r>
        <w:rPr>
          <w:b/>
        </w:rPr>
        <w:t>Shared claim-specific concepts:</w:t>
      </w:r>
      <w:r>
        <w:t xml:space="preserve"> based, findings, five, framework, rely;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Twenty-five years of Neobiota: Building a Community for Invasion Science in Europe and beyond — https://doi.org/10.3897/aca.9.e203016</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twelve European countries between 2000 and 2024—have supported thematic diversity (ranging from molecular biology to socio-economy), increasing international participation (from nine to 47 countries globally), and active policy outreach. Thematically, the focus of research presented at conferences has shifted over time from ecologica</w:t>
      </w:r>
    </w:p>
    <w:p>
      <w:pPr/>
      <w:r>
        <w:rPr>
          <w:b/>
        </w:rPr>
        <w:t>POSSIBLE 2026:</w:t>
      </w:r>
      <w:r>
        <w:t xml:space="preserve"> Decoding RNA regulation: Challenges and opportunities for RNA‐based therapies in Europe — https://doi.org/10.1002/bcp.70577</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RNA-based medicinal products represent a promising frontier in personalised medicine, offering sequence-specific disease targeting at various molecular levels, yet their clinical translation in the European Union (EU) may be hindered by regulatory uncertainty around definitions and evidence requirements; this study therefore aims to identify commonalities and differences in scientific and clinical characteristics of RNA-based therapeutics assessed by the European Medicines Agency to inform a classification framework supporting regulatory clarity and product development. A qualitative document analysis was conducted on 13 RNA-based therapeutics for non-infectious diseases that applied for EU marketing authorisation by March 2025, using EU regulatory documents including European Public Assessment Reports and Risk Management Plans to analyse descriptive, scientific and clinical characteristics, with data extraction validated via a dual-review process. Of the 13 products, 10 were approved, two refused and one withdrawn; they included five siRNAs, seven antisense oligonucleotides (ASOs) and one aptamer, primarily for rare diseases, with 12 acting through sequence-specific hybridisation to pre-mRNA or mRNA to suppress or modify protein production, often targeting liver diseases using delivery systems like GalNAc conjugation or lipid nanoparticles, while clinical challenges included l</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Insights into the development and key factors of five European governance innovations for forest ecosystem service provision — https://doi.org/10.1016/j.forpol.2026.103891</w:t>
      </w:r>
    </w:p>
    <w:p>
      <w:pPr/>
      <w:r>
        <w:rPr>
          <w:b/>
        </w:rPr>
        <w:t>Shared claim-specific concepts:</w:t>
      </w:r>
      <w:r>
        <w:t xml:space="preserve"> findings, five, move, framework; EU scope visible. This is a provisional connection, not an outcome finding.</w:t>
      </w:r>
    </w:p>
    <w:p>
      <w:pPr>
        <w:pStyle w:val="SourceNote"/>
      </w:pPr>
      <w:r>
        <w:rPr>
          <w:b/>
        </w:rPr>
        <w:t>Available abstract (not full text):</w:t>
      </w:r>
      <w:r>
        <w:t xml:space="preserve"> Climate change and biodiversity loss require forestry to adapt management practices to sustain forest ecosystem services (FES). Yet knowledge remains limited on what enables or constrains novel forest governance approaches. This study applies the SETFIS analytical framework to five European governance innovations at local, regional, and national levels, treating forests as socio-ecological-technical-innovation systems. The cases comprise compensation schemes and network-based arrangements aimed at carbon sequestration, biodiversity restoration, and the sustainable provision of multiple FES. Across cases, innovation emergence and development were shaped by local context, historical trajectories, proactive leadership, core teams, multi-stakeholder networks, initial funding, capacity building, knowledge exchange with related innovations, and monitoring and evaluation that supported learning and adaptive planning. Core teams ensured continuity and stability, while broader networks fostered flexibility and future pathway development. Although these factors were evident across cases, governance design and operation remained strongly context specific, highlighting the importance of bottom-up, place-based approaches involving local actors in design, implementation, management, and evaluation. The findings show that governance innovations extend beyond technological change and depend on</w:t>
      </w:r>
    </w:p>
    <w:p>
      <w:pPr>
        <w:pStyle w:val="Heading2"/>
      </w:pPr>
      <w:r>
        <w:t>640.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2026:</w:t>
      </w:r>
      <w:r>
        <w:t xml:space="preserve"> THE ROLE OF DIGITAL TECHNOLOGIES IN ACHIEVING CLIMATE NEUTRALITY IN THE INTERNATIONAL ECONOMY — https://doi.org/10.32702/2307-2105.2026.5.85</w:t>
      </w:r>
    </w:p>
    <w:p>
      <w:pPr/>
      <w:r>
        <w:rPr>
          <w:b/>
        </w:rPr>
        <w:t>Shared claim-specific concepts:</w:t>
      </w:r>
      <w:r>
        <w:t xml:space="preserve"> climate, neutrality, key, role, achieving; EU scope not established. This is a provisional connection, not an outcome finding.</w:t>
      </w:r>
    </w:p>
    <w:p>
      <w:pPr>
        <w:pStyle w:val="SourceNote"/>
      </w:pPr>
      <w:r>
        <w:rPr>
          <w:b/>
        </w:rPr>
        <w:t>Available abstract (not full text):</w:t>
      </w:r>
      <w:r>
        <w:t xml:space="preserve"> Терешко, к. е. н., доцент, доцент кафедри прикладної економіки, бізнес-інжинірингу The aim of this article is to examine the role of digital technologies in facilitating the transition toward a climate-neutral international economy, as well as to identify key directions for their effective application in decarbonization processes.The study finds that digital technologies play a system-forming role in</w:t>
      </w:r>
    </w:p>
    <w:p>
      <w:pPr/>
      <w:r>
        <w:rPr>
          <w:b/>
        </w:rPr>
        <w:t>POSSIBLE 2026:</w:t>
      </w:r>
      <w:r>
        <w:t xml:space="preserve"> Optimization of Climate Neutrality for a Low-Energy Residential Building Complex in Poland — https://doi.org/10.3390/en19061568</w:t>
      </w:r>
    </w:p>
    <w:p>
      <w:pPr/>
      <w:r>
        <w:rPr>
          <w:b/>
        </w:rPr>
        <w:t>Shared claim-specific concepts:</w:t>
      </w:r>
      <w:r>
        <w:t xml:space="preserve"> climate, neutrality, union, not, reduction, energy; EU scope visible. This is a provisional connection, not an outcome finding.</w:t>
      </w:r>
    </w:p>
    <w:p>
      <w:pPr>
        <w:pStyle w:val="SourceNote"/>
      </w:pPr>
      <w:r>
        <w:rPr>
          <w:b/>
        </w:rPr>
        <w:t>Available abstract (not full text):</w:t>
      </w:r>
      <w:r>
        <w:t xml:space="preserve"> Since 2021, the design and construction of nearly zero-energy buildings (nZEBs) have been mandatory for European Union Member States. Subsequent requirements for the building sector, characterized by high energy demand and significant environmental impact, include the minimization of carbon footprint and the introduction of climate-neutral building standards. The carbon footprint comprises both embodied emissions related to materials and construction processes and operational emissions resulting from building use. This paper analyzes both types of carbon footprint using a residential building that is part of an experimental housing estate consisting of 44 semi-detached buildings as a case study. Analyses of energy consumption optimization and carbon footprint reduction were conducted at both the individual building scale and the scale of the entire housing complex. The estate was developed in two stages. In the first stage (completion of construction in 2024), the primary criterion for technology selection was investment cost while maintaining compliance with applicable technical and building regulations. Prior to the implementation of the second stage, the investor conducted a social participation process in the form of a survey among future users. The survey addressed environmental aspects of the newly designed buildings and enabled the selection of materials, technologies, a</w:t>
      </w:r>
    </w:p>
    <w:p>
      <w:pPr/>
      <w:r>
        <w:rPr>
          <w:b/>
        </w:rPr>
        <w:t>POSSIBLE 2026:</w:t>
      </w:r>
      <w:r>
        <w:t xml:space="preserve"> Promoting the use of wood and bio-based materials in buildings: the case of Lithuania in the context of European countries striving for climate neutrality — https://doi.org/10.1088/1742-6596/3302/1/012111</w:t>
      </w:r>
    </w:p>
    <w:p>
      <w:pPr/>
      <w:r>
        <w:rPr>
          <w:b/>
        </w:rPr>
        <w:t>Shared claim-specific concepts:</w:t>
      </w:r>
      <w:r>
        <w:t xml:space="preserve"> climate, neutrality, union, energy, renewable; EU scope visible. This is a provisional connection, not an outcome finding.</w:t>
      </w:r>
    </w:p>
    <w:p>
      <w:pPr>
        <w:pStyle w:val="SourceNote"/>
      </w:pPr>
      <w:r>
        <w:rPr>
          <w:b/>
        </w:rPr>
        <w:t>Available abstract (not full text):</w:t>
      </w:r>
      <w:r>
        <w:t xml:space="preserve"> Abstract The construction sector causes a huge environmental burden. Globally, this sector is responsible for 34 % of global energy demand, around 34 % of CO 2 emissions and approximately one-third of all global waste. This article analyses international practices in the usage of wood and other bio-based construction products in buildings, and presents the progress of the Lithuanian state of the art in this area. The EU promotes the use of wood or other construction products made from organic materials from renewable natural resources in buildings. Lithuania contributes to this global trend. A recent governmental resolution requires that at least 50% of construction products used in public buildings, financed by the state budget of the Republic of Lithuania (including European Union structural funds and other international financial assistance), must consist of wood or other bio-based materials derived from renewable resources. To implement this regulation, a dedicated methodology has been developed to quantify the share of wood and bio-based materials in buildings. The proposed methodology is a useful tool for the practical implementation of policy objectives and contributes to the promotion of green procurement and innovation and technological progress in the construction sector.</w:t>
      </w:r>
    </w:p>
    <w:p>
      <w:pPr/>
      <w:r>
        <w:rPr>
          <w:b/>
        </w:rPr>
        <w:t>POSSIBLE 2026:</w:t>
      </w:r>
      <w:r>
        <w:t xml:space="preserve"> Machine learning and latent profiles of mathematics achievement in nine European countries — https://doi.org/10.1186/s40536-026-00317-7</w:t>
      </w:r>
    </w:p>
    <w:p>
      <w:pPr/>
      <w:r>
        <w:rPr>
          <w:b/>
        </w:rPr>
        <w:t>Shared claim-specific concepts:</w:t>
      </w:r>
      <w:r>
        <w:t xml:space="preserve"> achievement, climate, not, key; EU scope visible. This is a provisional connection, not an outcome finding.</w:t>
      </w:r>
    </w:p>
    <w:p>
      <w:pPr>
        <w:pStyle w:val="SourceNote"/>
      </w:pPr>
      <w:r>
        <w:rPr>
          <w:b/>
        </w:rPr>
        <w:t>Available abstract (not full text):</w:t>
      </w:r>
      <w:r>
        <w:t xml:space="preserve"> Abstract Background Mathematics achievement is associated with interacting individual and contextual factors, but these associations are often examined separately. As a result, existing research may overlook how affective characteristics combine within students and how these configurations are distributed across school settings. Objectives This study aimed to investigate the multilevel predictors of mathematics achievement by integrating machine learning and latent variable approaches using PISA 2022 data from nine European countries. Methods The analysis was conducted in a sequence of stages, summarised in Fig. 1. First, predictive models were used to identify the most important predictors of mathematics achievement. Second, Latent Profile Analysis was performed to classify students based on key socioeconomic and affective indicators. Third, a two-stage multilevel approach—a separate latent profile analysis of school-level indicators, linked to the student profiles through mixed-effects models—was used to identify school climate profiles and examine cross-level associations between school contexts and student profile membership. Results and conclusions Tree-based algorithms outperformed regularised linear models, indicating that mathematics achievement was characterised by complex and non-linear relationships among predictors. Socioeconomic resources and mathematics-related af</w:t>
      </w:r>
    </w:p>
    <w:p>
      <w:pPr/>
      <w:r>
        <w:rPr>
          <w:b/>
        </w:rPr>
        <w:t>POSSIBLE 2026:</w:t>
      </w:r>
      <w:r>
        <w:t xml:space="preserve"> MAIZE BREEDING FOR ENHANCED ADAPTABILITY TO CLIMATE CHANGE IN EUROPE — https://doi.org/10.37128/2707-5826-2026-1-12</w:t>
      </w:r>
    </w:p>
    <w:p>
      <w:pPr/>
      <w:r>
        <w:rPr>
          <w:b/>
        </w:rPr>
        <w:t>Shared claim-specific concepts:</w:t>
      </w:r>
      <w:r>
        <w:t xml:space="preserve"> climate, union, key; EU scope visible. This is a provisional connection, not an outcome finding.</w:t>
      </w:r>
    </w:p>
    <w:p>
      <w:pPr>
        <w:pStyle w:val="SourceNote"/>
      </w:pPr>
      <w:r>
        <w:rPr>
          <w:b/>
        </w:rPr>
        <w:t>Available abstract (not full text):</w:t>
      </w:r>
      <w:r>
        <w:t xml:space="preserve"> Based on a structured statistical assessment of the implementation outcomes of European Union maize breeding programs, particularly regarding their efforts to enhance the adaptive potential of modern maize genotypes, a set of generalizations and conclusions on the effectiveness of these programs has been formulated. The network of national institutions and genetic-breeding centers across Europe has been analyzed and characterized. These institutions focus on targeted maize breeding using local landraces or base populations, applying mono- or multi-trait selection for resistance to key stress factors that significantly limit the yield potential of Europe’s high-intensity maize hybrids. The content of breeding programs from leading European seed companies –such as KWS, Limagrain, Syngenta, Corteva Agriscience, MAS Seeds, and Euralis (Lidea brand) – has been summarized and reviewed. These programs were specifically assessed regarding the incorporation of current and projected climate change impacts across Europe, with attention to scaling these strategies to other regions. Key traits emphasized included drought and cold tolerance, heat and osmotic stress resistance, and comprehensive tolerance to the most damaging diseases and pests. Over a 45-year evaluation period, the incremental improvements in resistance traits of developed maize hybrids were systematized, focusing on their r</w:t>
      </w:r>
    </w:p>
    <w:p>
      <w:pPr/>
      <w:r>
        <w:rPr>
          <w:b/>
        </w:rPr>
        <w:t>POSSIBLE 2026:</w:t>
      </w:r>
      <w:r>
        <w:t xml:space="preserve"> SUSTAINABLE WASTE MANAGEMENT BUSINESS MODELS AS A TOOL FOR ACHIEVING CLIMATE NEUTRALITY — https://doi.org/10.37332/2309-1533.2026.3.9</w:t>
      </w:r>
    </w:p>
    <w:p>
      <w:pPr/>
      <w:r>
        <w:rPr>
          <w:b/>
        </w:rPr>
        <w:t>Shared claim-specific concepts:</w:t>
      </w:r>
      <w:r>
        <w:t xml:space="preserve"> climate, neutrality, possible, reduction, key, role; EU scope not established. This is a provisional connection, not an outcome finding.</w:t>
      </w:r>
    </w:p>
    <w:p>
      <w:pPr>
        <w:pStyle w:val="SourceNote"/>
      </w:pPr>
      <w:r>
        <w:rPr>
          <w:b/>
        </w:rPr>
        <w:t>Available abstract (not full text):</w:t>
      </w:r>
      <w:r>
        <w:t xml:space="preserve"> Omelchuk O.M., Shevchuk I.V., Arziantseva D.A., Zakharkevych N.P. SUSTAINABLE WASTE MANAGEMENT BUSINESS MODELS AS A TOOL FOR ACHIEVING CLIMATE NEUTRALITY Purpose. The aim of the study is to examine the theoretical foundations of formation of sustainable business models, systematise their main archetypes, and identify opportunities for their application and combination by start-ups and established enterprises to improve waste management, create economic, environmental, and social value, and achieve climate neutrality. Methodology of research. To achieve the stated purpose, the following research methods have been employed: analysis and synthesis ‒ to reveal the essence of sustainable business models and determine their role in waste management; the monographic method ‒ to examine scholarly approaches to the formation of business models for sustainable development; the comparative method ‒ to identify differences between traditional and sustainable business models; classification ‒ to systematise their archetypes; and abstract-logical reasoning and generalisation ‒ to formulate conclusions and practical recommendations. Findings. The essence of sustainable business models is revealed as a tool for combining economic performance with resource efficiency, waste and emissions reduction, and the creation of societal value. The technological, social, and organisational archetypes of s</w:t>
      </w:r>
    </w:p>
    <w:p>
      <w:pPr/>
      <w:r>
        <w:rPr>
          <w:b/>
        </w:rPr>
        <w:t>POSSIBLE 2026:</w:t>
      </w:r>
      <w:r>
        <w:t xml:space="preserve"> Strategies for Carbon Neutrality Achievement: A Case Study of WWTP — https://doi.org/10.32523/kr9t6j80</w:t>
      </w:r>
    </w:p>
    <w:p>
      <w:pPr/>
      <w:r>
        <w:rPr>
          <w:b/>
        </w:rPr>
        <w:t>Shared claim-specific concepts:</w:t>
      </w:r>
      <w:r>
        <w:t xml:space="preserve"> achievement, neutrality, role; EU scope not established. This is a provisional connection, not an outcome finding.</w:t>
      </w:r>
    </w:p>
    <w:p>
      <w:pPr>
        <w:pStyle w:val="SourceNote"/>
      </w:pPr>
      <w:r>
        <w:rPr>
          <w:b/>
        </w:rPr>
        <w:t>Available abstract (not full text):</w:t>
      </w:r>
      <w:r>
        <w:t xml:space="preserve"> Wastewater treatment plays a significant role in greenhouse gas (GHG) emissions in Ghana, generating 49.2% of methane (CH₄) and 90.5% of nitrous oxide (N₂O) emissions, as documented in the Fifth National GHG Inventory (2019). Despite this, only 5% of urban areas possess operational treatment facilities, illustrating critical infrastructure deficits (Arthur et al., 2020). This review identifies emission drivers such as nitrifier denitrification, abiotic reactions, and fugitive CH₄, revealing substantial accounting discrepancies that contribute to uncertainties in GHG reporting. Mitigation pathways are explored, including thermal hydrolysis-enhanced anaerobic digestion and anammox-based nitrogen removal strategies, emphasizing the importance of real-time monitoring and the implementation of hybrid IPCC frameworks. Knowledge gaps regarding N₂O dynamics and emerging technologies are highlighted. By aligning with international standards, the findings aim to guide wastewater treatment managers in mitigating emissions and transitioning facilities into sustainable bio-refineries, enhancing urban sustainability in Ghana and beyond</w:t>
      </w:r>
    </w:p>
    <w:p>
      <w:pPr/>
      <w:r>
        <w:rPr>
          <w:b/>
        </w:rPr>
        <w:t>POSSIBLE 2026:</w:t>
      </w:r>
      <w:r>
        <w:t xml:space="preserve"> Urban climate neutrality: Swiss development projects and urban climate finance in Rajkot — https://doi.org/10.5194/gh-81-107-2026</w:t>
      </w:r>
    </w:p>
    <w:p>
      <w:pPr/>
      <w:r>
        <w:rPr>
          <w:b/>
        </w:rPr>
        <w:t>Shared claim-specific concepts:</w:t>
      </w:r>
      <w:r>
        <w:t xml:space="preserve"> climate, neutrality, sources, role; EU scope not established. This is a provisional connection, not an outcome finding.</w:t>
      </w:r>
    </w:p>
    <w:p>
      <w:pPr>
        <w:pStyle w:val="SourceNote"/>
      </w:pPr>
      <w:r>
        <w:rPr>
          <w:b/>
        </w:rPr>
        <w:t>Available abstract (not full text):</w:t>
      </w:r>
      <w:r>
        <w:t xml:space="preserve"> This article explores the evolving role of state development agencies in anchoring climate finance. It suggests that the financialization under the “Wall Street Consensus” results in a repositioning of state development agencies as facilitators of global financial flows. Focusing on Swiss-led development projects in Rajkot, a secondary city in India, the study examines how these initiatives locally “anchor” climate finance from different sources and provide technical assistance to translate it into climate-resilient infrastructure projects. The analysis reveals how Swiss development agencies shape urban climate responses in India while advancing Switzerland's position as a neutral intermediary and securing forward-looking interests in emerging climate markets. Applying conceptual perspectives on contemporary state capitalism, climate urbanism, and the financialization of development to empirical findings from Swiss development projects in Rajkot, this article pursues three objectives: (a) to investigate the facilitating role assumed by Swiss development agencies for climate-resilient interventions in Rajkot, (b) to identify how state-capitalist interests shape these projects, and (c) to enhance the understanding of how national development institutions adapt to the uneven landscape of global climate finance. It argues that Swiss development projects function as state–capital hy</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pStyle w:val="Heading2"/>
      </w:pPr>
      <w:r>
        <w:t>641.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2026:</w:t>
      </w:r>
      <w:r>
        <w:t xml:space="preserve"> European forest carbon and biodiversity policies have a limited win-win potential. — https://doi.org/10.48620/94352</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w:t>
      </w:r>
    </w:p>
    <w:p>
      <w:pPr/>
      <w:r>
        <w:rPr>
          <w:b/>
        </w:rPr>
        <w:t>POSSIBLE 2026:</w:t>
      </w:r>
      <w:r>
        <w:t xml:space="preserve"> Couple Mobility and Employment Patterns. A Gender Perspective in Six European Countries — https://doi.org/10.1111/jomf.70063</w:t>
      </w:r>
    </w:p>
    <w:p>
      <w:pPr/>
      <w:r>
        <w:rPr>
          <w:b/>
        </w:rPr>
        <w:t>Shared claim-specific concepts:</w:t>
      </w:r>
      <w:r>
        <w:t xml:space="preserve"> six, different, level; EU scope visible. This is a provisional connection, not an outcome finding.</w:t>
      </w:r>
    </w:p>
    <w:p>
      <w:pPr>
        <w:pStyle w:val="SourceNote"/>
      </w:pPr>
      <w:r>
        <w:rPr>
          <w:b/>
        </w:rPr>
        <w:t>Available abstract (not full text):</w:t>
      </w:r>
      <w:r>
        <w:t xml:space="preserve"> ABSTRACT Objective This study investigates how different couple‐based geographical mobility strategies affect employment probabilities for men and women in six European countries from a gender perspective. Background Although geographical mobility is often linked to improved labor market outcomes, women tend to face social and economic disadvantages compared to men. This discrepancy is frequently attributed to family migration dynamics, yet the specific effects of distinct couple mobility patterns remain underexplored. Method Using retrospective life‐history data from the SHARELIFE survey (Waves 3 and 7), this study analyzes the probability of employment among 24,780 individuals aged 50+ across Sweden, Poland, Germany, France, Italy, and Spain. Linear probability panel models with fixed effects are employed to examine changes in employment before and after relocation across various couple mobility configurations, stratified by education level. Results Men consistently gain higher employment probabilities due to geographical mobility regardless of strategy. In contrast, women's employment probabilities show more diverse patterns: single movers and those with higher education tend to experience higher chances of employment, whereas those with medium or low education, particularly when following a partner's move, are more likely to face reduced employment opportunities. These patt</w:t>
      </w:r>
    </w:p>
    <w:p>
      <w:pPr/>
      <w:r>
        <w:rPr>
          <w:b/>
        </w:rPr>
        <w:t>POSSIBLE 2026:</w:t>
      </w:r>
      <w:r>
        <w:t xml:space="preserve"> Evaluating alternative trade network configurations under geopolitical risk: a multi-scale systems approach — https://doi.org/10.3389/fpos.2026.1973066</w:t>
      </w:r>
    </w:p>
    <w:p>
      <w:pPr/>
      <w:r>
        <w:rPr>
          <w:b/>
        </w:rPr>
        <w:t>Shared claim-specific concepts:</w:t>
      </w:r>
      <w:r>
        <w:t xml:space="preserve"> different, potential, network, configuration, level, infrastructure; EU scope visible. This is a provisional connection, not an outcome finding.</w:t>
      </w:r>
    </w:p>
    <w:p>
      <w:pPr>
        <w:pStyle w:val="SourceNote"/>
      </w:pPr>
      <w:r>
        <w:rPr>
          <w:b/>
        </w:rPr>
        <w:t>Available abstract (not full text):</w:t>
      </w:r>
      <w:r>
        <w:t xml:space="preserve"> Rising geopolitical risks and supply-chain disruptions have increased interest in transport-network diversification and alternative connectivity systems. This article presents a scenario-based comparison between a traditional maritime chokepoint configuration centered on the Strait of Hormuz and a prospective diversified multimodal corridor connecting the Middle East and Europe. The study is grounded in an integrated theoretical framework that combines Geopolitical Risk Theory with a systems-based approach, operationalized through a multi-scale analytical framework (macro–meso–micro). At the macro level, the analysis captures global trade structures and geopolitical risk dynamics shaping route selection. At the meso level, it examines corridor configurations, infrastructure networks, and regional connectivity patterns. At the micro level, it focuses on operational performance, including flow efficiency, disruption response, and system adaptability. This multi-level perspective allows transport networks to be analyzed as complex systems shaped by both structural and geopolitical dynamics. Methodologically, the research adopts a mixed-methods design, integrating qualitative geopolitical analysis with a quantitative, scenario-based assessment of trade flows, assumed capacity conditions, and disruption scenarios. In addition, the study incorporates a technical approach through the </w:t>
      </w:r>
    </w:p>
    <w:p>
      <w:pPr/>
      <w:r>
        <w:rPr>
          <w:b/>
        </w:rPr>
        <w:t>POSSIBLE 2026:</w:t>
      </w:r>
      <w:r>
        <w:t xml:space="preserve"> The interplay of landscape connectivity, composition and configuration in alien plant invasions across an ecological network — https://doi.org/10.1007/s10980-026-02461-5</w:t>
      </w:r>
    </w:p>
    <w:p>
      <w:pPr/>
      <w:r>
        <w:rPr>
          <w:b/>
        </w:rPr>
        <w:t>Shared claim-specific concepts:</w:t>
      </w:r>
      <w:r>
        <w:t xml:space="preserve"> network, configuration, role; EU scope not established. This is a provisional connection, not an outcome finding.</w:t>
      </w:r>
    </w:p>
    <w:p>
      <w:pPr>
        <w:pStyle w:val="SourceNote"/>
      </w:pPr>
      <w:r>
        <w:rPr>
          <w:b/>
        </w:rPr>
        <w:t>Available abstract (not full text):</w:t>
      </w:r>
      <w:r>
        <w:t xml:space="preserve"> Biological invasions are deemed to be the second most important global driver of biodiversity loss showing strong interactions with the aftermaths of habitat destruction and landscape fragmentation. The role of landscape structure in biological invasions is widely considered while its interplay with landscape connectivity is less understood. However, ecological connectivity can be equally crucial for both native and alien species, constituting the backbone of ecological network initiatives. We parsed the relationships between α and β diversity of alien and native plants, landscape structure and connectivity in the habitats composing the nodes of an EN developed in agricultural landscapes. We found contrasting effects of connectivity and landscape structure for native and alien communities. In particular, we observed a positive relationship between high connectivity and native plant diversity and a more evident influence of landscape structure in shaping alien communities. These results were often habitat-depending, showing stronger influence for woods, where alien α diversity increased with fragmentation while native richness declined. Moreover, native species diversity was more tightly linked to ecological connectivity, while alien species were mainly associated with landscape configuration. Our findings suggest that landscape planning aimed at enhancing landscape connectivity</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pStyle w:val="Heading2"/>
      </w:pPr>
      <w:r>
        <w:t>642.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2026:</w:t>
      </w:r>
      <w:r>
        <w:t xml:space="preserve"> Architecture in the context of socio-cultural polarisation: The case of Lviv (1991-2025) — https://doi.org/10.56318/as/1.2026.09</w:t>
      </w:r>
    </w:p>
    <w:p>
      <w:pPr/>
      <w:r>
        <w:rPr>
          <w:b/>
        </w:rPr>
        <w:t>Shared claim-specific concepts:</w:t>
      </w:r>
      <w:r>
        <w:t xml:space="preserve"> article, polarisation, two, developed; EU scope visible. This is a provisional connection, not an outcome finding.</w:t>
      </w:r>
    </w:p>
    <w:p>
      <w:pPr>
        <w:pStyle w:val="SourceNote"/>
      </w:pPr>
      <w:r>
        <w:rPr>
          <w:b/>
        </w:rPr>
        <w:t>Available abstract (not full text):</w:t>
      </w:r>
      <w:r>
        <w:t xml:space="preserve"> The relevance of the research lay in examining the contemporary architectural governance of Lviv, which required a developed media component and an established dialogue between groups with opposing cultural and aesthetic views. The aim of the study was to determine the dependence of urban architecture stylistics on the moderation of public opinion and the prevention of antagonistic and hostile narratives in professional and public environments. The article examined the relationship between sociocultural polarisation and stylistic evolution of urban architecture in Lviv during 1991-2025. The example of Lviv showed that the lack of effective mediation between traditionalist and liberal positions in architectural discourse led to conflicts of values and a decline in the quality of design decisions. Based on an analysis of media and professional materials, two main phases of architectural development have been identified: postmodernism (1991-2010), characterised by a rejection of Soviet modernism and a romanticisation of historical forms, and neomodernism (2011-2025), in which modernism was reinterpreted as a symbol of European identity. Sharp criticism of neomodernist projects by the public had become a social phenomenon that had influenced architectural decisions. An example of this was the conflict surrounding the reconstruction of St. George’s Square, which ended with a comprom</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pStyle w:val="Heading2"/>
      </w:pPr>
      <w:r>
        <w:t>643.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2026:</w:t>
      </w:r>
      <w:r>
        <w:t xml:space="preserve"> Depression, anxiety, bipolar disorder and stress impact on fitness to drive: findings from a systematic integrative review — https://doi.org/10.1016/j.trip.2026.102200</w:t>
      </w:r>
    </w:p>
    <w:p>
      <w:pPr/>
      <w:r>
        <w:rPr>
          <w:b/>
        </w:rPr>
        <w:t>Shared claim-specific concepts:</w:t>
      </w:r>
      <w:r>
        <w:t xml:space="preserve"> increase, health, drivers; EU scope not established. This is a provisional connection, not an outcome finding.</w:t>
      </w:r>
    </w:p>
    <w:p>
      <w:pPr>
        <w:pStyle w:val="SourceNote"/>
      </w:pPr>
      <w:r>
        <w:rPr>
          <w:b/>
        </w:rPr>
        <w:t>Available abstract (not full text):</w:t>
      </w:r>
      <w:r>
        <w:t xml:space="preserve"> Having anxiety, depression, or bipolar disorder can significantly impact one’s ability to drive. However, the specific effects of these conditions on drivers’ psychophysical capacities and the likelihood of accidents are not always well documented in the scientific literature. The aim of this study is to examine the relationship between mood disorders, specifically depression, anxiety, and bipolar disorder, and driving. A systematic review on this topic was conducted and registered with PROSPERO (CRD420251023655). A systematic search was carried out in 2025 across seven scientific databases following PRISMA guidelines. Two groups of keywords were used, one for psychopathological disorders (in the title) and another for driving-related terms (in title, abstract, and keywords), adapting them to each database’s search syntax. Filters limited results to peer-reviewed reviews published in English between 2015 and 2025. On-road studies indicate that major depression, more than mild symptoms, is associated with impairments in executive functions critical for driving, while ongoing pharmacological treatment can mitigate some negative effects. Simulator studies suggest that drivers with partially remitted depression can perform comparably to healthy drivers, underscoring the importance of maintaining psychosocial functionality. Anxiety undermines self-efficacy and attentional control, p</w:t>
      </w:r>
    </w:p>
    <w:p>
      <w:pPr/>
      <w:r>
        <w:rPr>
          <w:b/>
        </w:rPr>
        <w:t>POSSIBLE 2026:</w:t>
      </w:r>
      <w:r>
        <w:t xml:space="preserve"> INTEGRATION OF PUBLIC SOCIAL REHABILITATION PROGRAMS FOR DRUG ADDICTS INTO THE STATE REGULATION SYSTEM — https://doi.org/10.31499/2618-0715.1(16).2026.355762</w:t>
      </w:r>
    </w:p>
    <w:p>
      <w:pPr/>
      <w:r>
        <w:rPr>
          <w:b/>
        </w:rPr>
        <w:t>Shared claim-specific concepts:</w:t>
      </w:r>
      <w:r>
        <w:t xml:space="preserve"> approach, system, health; EU scope not established. This is a provisional connection, not an outcome finding.</w:t>
      </w:r>
    </w:p>
    <w:p>
      <w:pPr>
        <w:pStyle w:val="SourceNote"/>
      </w:pPr>
      <w:r>
        <w:rPr>
          <w:b/>
        </w:rPr>
        <w:t>Available abstract (not full text):</w:t>
      </w:r>
      <w:r>
        <w:t xml:space="preserve"> This article addresses the critical systemic failure within Ukraine's drug addiction rehabilitation sector, examining the tension between state medical institutions and non-state, often faith-based, residential programs. It identifies a dual crisis: the widely acknowledged ineffectiveness of the state medical model, contrasted with the legal vulnerability and frequent targeting by law enforcement of alternative community centers that have gained significant expert and social trust. The research employs a mixed-method approach, combining documentary analysis of law enforcement practices (2017–2025) with a quantitative expert survey (n=100) among professionals in narcology, public health, and social work. The survey data reveals a near-unanimous expert consensus on the insufficiency of the state system (93%) and a predominant view that law enforcement raids are excessively harsh (87%). Crucially, it identifies a strong expert mandate for systemic reform: a majority supports the integration of alternative models (63%), specific licensing frameworks (62%), and an overwhelming demand for mandatory medical supervision (97%). The analysis frames this conflict through the theoretical lenses of institutional legitimacy and competing paradigms – pitting a bio-psycho-social medical model against a punitive state response. Synthesizing these findings with international standards for treatm</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pStyle w:val="Heading2"/>
      </w:pPr>
      <w:r>
        <w:t>644.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2026:</w:t>
      </w:r>
      <w:r>
        <w:t xml:space="preserve"> Life cycle assessment of wave energy: the Mutriku case study — https://doi.org/10.1007/s40722-026-00487-0</w:t>
      </w:r>
    </w:p>
    <w:p>
      <w:pPr/>
      <w:r>
        <w:rPr>
          <w:b/>
        </w:rPr>
        <w:t>Shared claim-specific concepts:</w:t>
      </w:r>
      <w:r>
        <w:t xml:space="preserve"> energy, policies, highest; EU scope visible. This is a provisional connection, not an outcome finding.</w:t>
      </w:r>
    </w:p>
    <w:p>
      <w:pPr>
        <w:pStyle w:val="SourceNote"/>
      </w:pPr>
      <w:r>
        <w:rPr>
          <w:b/>
        </w:rPr>
        <w:t>Available abstract (not full text):</w:t>
      </w:r>
      <w:r>
        <w:t xml:space="preserve"> Environmental impacts and the effects of climate change are becoming ever higher as the energy demand is growing, and the high dependence on fossil fuels to supply global energy needs is unquestionable. For this reason, it is necessary to increase the global percentage of renewable energy (ODS 7, target 7.2), promote access to research, technology and investments in clean energy (ODS 7, target 7.4) and integrate climate change measures into national policies, strategies and planning (ODS 13, target 13.2). In this sense, ocean energy has a relevant role, but it is necessary to identify the environmental effects it may generate. According to the later, the aim of this research is to evaluate the environmental impacts of a wave energy power plant located in Mutriku, Spain, with a Life Cycle Assessment approach. The results demonstrate that the Construction stage presents the highest environmental impacts, which reach 86.6% in climate change due to the high raw materials consumed, while energy generation is the stage with the lower environmental impacts, with 5.5% in the climate change category. For the end-of-life stage a sensitivity analysis was performed, showing that high recycling rates for all the metallic materials is not always resulting in better performance. It is concluded that it is important to mitigate the environmental impacts in the Construction stage and in the End</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pStyle w:val="Heading2"/>
      </w:pPr>
      <w:r>
        <w:t>645.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646.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2026:</w:t>
      </w:r>
      <w:r>
        <w:t xml:space="preserve"> Improving policy development processes and Decentralised Rural Proofing in Living Labs (RUSTIK Horizon Europe) — https://openalex.org/W7172076088</w:t>
      </w:r>
    </w:p>
    <w:p>
      <w:pPr/>
      <w:r>
        <w:rPr>
          <w:b/>
        </w:rPr>
        <w:t>Shared claim-specific concepts:</w:t>
      </w:r>
      <w:r>
        <w:t xml:space="preserve"> requires, following, use, also; EU scope visible. This is a provisional connection, not an outcome finding.</w:t>
      </w:r>
    </w:p>
    <w:p>
      <w:pPr>
        <w:pStyle w:val="SourceNote"/>
      </w:pPr>
      <w:r>
        <w:rPr>
          <w:b/>
        </w:rPr>
        <w:t>Available abstract (not full text):</w:t>
      </w:r>
      <w:r>
        <w:t xml:space="preserve"> Rural areas are diverse, and this diversity underpins their capacity to respond to pressing ecological, digital, and socio-economic transitions through local resources, functions and knowledge (RUSTIK D1.1, 2023). While this diversity is an important asset that can strengthen resilience and benefit rural communities, understanding and embedding it into policy and practice remains challenging. Most existing policies rely on established metrics and indicator systems that often fail to capture the complexity and diversity of rurality and rural transition challenges. Evidence gaps arise not only because data are rarely collected at the scale where meaningful disparities, needs or capacities become visible, but also because policymaking continues to rely predominantly on traditional quantitative data (RUSTIK D4.1, 2023). Addressing these transition challenges therefore requires more holistic approaches that draw on a wider range of data sources and forms of knowledge, as well as tools that enable data to be used more effectively in policymaking. Rural areas are increasingly recognised as active sites of experimentation. Living Labs (LLs) and similar experimental approaches can support transition processes through iterative learning and practice-based innovation, while supporting policy learning by producing policy-relevant data, evidence or capacities (Suitner, 2024; Kim et al., 202</w:t>
      </w:r>
    </w:p>
    <w:p>
      <w:pPr/>
      <w:r>
        <w:rPr>
          <w:b/>
        </w:rPr>
        <w:t>POSSIBLE 2026:</w:t>
      </w:r>
      <w:r>
        <w:t xml:space="preserve"> Beyond permanent urban redevelopment: The unintended consequences of temporary brownfield use — https://doi.org/10.1080/02513625.2025.2583843</w:t>
      </w:r>
    </w:p>
    <w:p>
      <w:pPr/>
      <w:r>
        <w:rPr>
          <w:b/>
        </w:rPr>
        <w:t>Shared claim-specific concepts:</w:t>
      </w:r>
      <w:r>
        <w:t xml:space="preserve"> interim, ultimate, use, also; EU scope visible. This is a provisional connection, not an outcome finding.</w:t>
      </w:r>
    </w:p>
    <w:p>
      <w:pPr>
        <w:pStyle w:val="SourceNote"/>
      </w:pPr>
      <w:r>
        <w:rPr>
          <w:b/>
        </w:rPr>
        <w:t>Available abstract (not full text):</w:t>
      </w:r>
      <w:r>
        <w:t xml:space="preserve"> This paper examines the phenomenon of temporary use of brownfields in European cities, exploring its potential benefits, challenges, and externalities. Brownfields, abandoned and often contaminated industrial sites, represent underutilised resources within urban landscapes. While permanent redevelopment of brownfields remains the ultimate goal, temporary use has emerged as a strategy to activate these spaces, generating social, economic, and environmental benefits in the interim. Through a review of case studies from post-communist cities in Eastern Europe as well as Western European cities with a focus on reunified Berlin, we analyse different approaches to temporary use, from spontaneous community-led initiatives to planned municipal projects. This analysis allows us to identify specific differences in approaches to temporary use projects between Eastern and Western Europe generating different benefits and externalities. The aim of the article is to identify, describe, and generalise particularly negative externalities related to various forms of temporary use of brownfields affecting their overall value, taking into account the character, place, time, and other socio-economic contexts to improve the design, implementation, and management of such projects by considering each region’s unique characteristics and needs. The paper identifies key factors contributing to successful</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2025:</w:t>
      </w:r>
      <w:r>
        <w:t xml:space="preserve"> European Security, Borders, Crime and EU Law — https://doi.org/10.47907/europeansecurityborderscrimeandeulaw/livro</w:t>
      </w:r>
    </w:p>
    <w:p>
      <w:pPr/>
      <w:r>
        <w:rPr>
          <w:b/>
        </w:rPr>
        <w:t>Shared claim-specific concepts:</w:t>
      </w:r>
      <w:r>
        <w:t xml:space="preserve"> all, surface, also;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2025:</w:t>
      </w:r>
      <w:r>
        <w:t xml:space="preserve"> A Taxonomy of Climate Change and Health Solutions Pathways: Development Of A Strategic Policy Framework — https://openalex.org/W7112181422</w:t>
      </w:r>
    </w:p>
    <w:p>
      <w:pPr/>
      <w:r>
        <w:rPr>
          <w:b/>
        </w:rPr>
        <w:t>Shared claim-specific concepts:</w:t>
      </w:r>
      <w:r>
        <w:t xml:space="preserve"> pathway, use, water, direct; EU scope not established. This is a provisional connection, not an outcome finding.</w:t>
      </w:r>
    </w:p>
    <w:p>
      <w:pPr>
        <w:pStyle w:val="SourceNote"/>
      </w:pPr>
      <w:r>
        <w:rPr>
          <w:b/>
        </w:rPr>
        <w:t>Available abstract (not full text):</w:t>
      </w:r>
      <w:r>
        <w:t xml:space="preserve"> Climate change is increasingly being recognized as the single most significant threat facing global health. Urgency is now growing globally to address the health impacts of this threat. However, despite this momentum, existing frameworks fail to integrate climate change and health (CC&amp;H) pathways with solutions and targets. This applied research project aimed to bridge this gap and create a solutions-focused policy tool to support global health practice. Through a literature review and semi-structured interviews with global philanthropic organizations, the research identified key challenges and opportunities. Findings revealed that CC&amp;H pathways can be well articulated but that a comprehensive current understanding of the burden of disease associated with CC&amp;H pathways remains elusive. In addition, a lack of formal CC&amp;H strategies amongst philanthropic organizations exists. Many organizations are grappling with how to define and evaluate their CC&amp;H work while overlooking existing global development agenda goals and targets. Overall, a persistent state of confusion prevails. Investment into the conditions for CC&amp;H solutions to emerge independently of direct philanthropic support was identified as a major conclusion of this project. Philanthropy must invest both directly in CC&amp;H solutions AND indirectly in the conditions that will enable CC&amp;H innovation to occur. Investments must</w:t>
      </w:r>
    </w:p>
    <w:p>
      <w:pPr/>
      <w:r>
        <w:rPr>
          <w:b/>
        </w:rPr>
        <w:t>POSSIBLE 2025:</w:t>
      </w:r>
      <w:r>
        <w:t xml:space="preserve"> A pathway for Northeast Pacific marine heatwaves to influence temperatures in western Europe during early winter — https://doi.org/10.1038/s41612-025-01240-4</w:t>
      </w:r>
    </w:p>
    <w:p>
      <w:pPr/>
      <w:r>
        <w:rPr>
          <w:b/>
        </w:rPr>
        <w:t>Shared claim-specific concepts:</w:t>
      </w:r>
      <w:r>
        <w:t xml:space="preserve"> pathway, surface, also; EU scope visible. This is a provisional connection, not an outcome finding.</w:t>
      </w:r>
    </w:p>
    <w:p>
      <w:pPr>
        <w:pStyle w:val="SourceNote"/>
      </w:pPr>
      <w:r>
        <w:rPr>
          <w:b/>
        </w:rPr>
        <w:t>Available abstract (not full text):</w:t>
      </w:r>
      <w:r>
        <w:t xml:space="preserve"> Abstract In recent decades, the northeast Pacific (NEP) has experienced multiple long-lasting and intense marine heatwaves (MHWs), which have significantly impacted both local ecosystems and climate in nearby regions. This study investigates the remote effects of NEP MHWs during early winter on downstream regions, particularly the North Atlantic and western Europe. First, we identify 14 MHWs in the NEP from 1981 to 2023, with peak day (i.e., the day when MHWs reach maximum intensity) occurring between November and December. Our results show that after the peak day, the ocean transfers heat to the atmosphere via surface heat fluxes, accompanied by positive diabatic heating anomalies in the lower troposphere. The diabatic heating anomalies induce a reversal in the low-level atmospheric circulation, transforming from high-pressure anomalies before the peak of the MHWs to large-scale low-pressure anomalies thereafter. Moreover, the low-pressure anomalies are also present in the upper troposphere after the peak. Accordingly, precipitation along the west coast of North America increases, which is associated with the intensification and northeastward extension of atmospheric rivers. Then, atmospheric Rossby waves are stimulated, due to increased precipitation and related circulation anomalies, and travel across the Atlantic to arrive in western Europe. The development of high-pressure</w:t>
      </w:r>
    </w:p>
    <w:p>
      <w:pPr>
        <w:pStyle w:val="Heading2"/>
      </w:pPr>
      <w:r>
        <w:t>647.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2026:</w:t>
      </w:r>
      <w:r>
        <w:t xml:space="preserve"> From the Single European Act to the One Europe, One Market Agenda. — https://doi.org/10.22370/pe.2026.20.5851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Multiple linear and logistic regression analysis: a SmartPLS 4 software tutorial — https://doi.org/10.1057/s41270-026-00466-2</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This tutorial and case study provides a comprehensive, step-by-step guide to conducting multiple and logistic regression analyses using SmartPLS 4. Although SmartPLS is primarily known for partial least squares structural equation modeling (PLS-SEM), its latest version includes features that enable researchers to perform and visualize regression analyses effectively. The tutorial introduces the theoretical foundations of both standard multiple and logistic regression, outlines the main stages of model specification and estimation, and demonstrates how to implement these analyses within the SmartPLS environment. Emphasis is placed on key analytical decisions, such as model design, assumption testing, interpretation of coefficients, and goodness-of-fit measures. Practical examples and graphical outputs are included to illustrate the implementation process and to enhance understanding of the results.</w:t>
      </w:r>
    </w:p>
    <w:p>
      <w:pPr/>
      <w:r>
        <w:rPr>
          <w:b/>
        </w:rPr>
        <w:t>POSSIBLE 2026:</w:t>
      </w:r>
      <w:r>
        <w:t xml:space="preserve"> Particle Swarm Optimization based hybrid Deep Learning approach: Evidence from Europe for Predicting Air Quality Index — https://doi.org/10.53799/5gm39s77</w:t>
      </w:r>
    </w:p>
    <w:p>
      <w:pPr/>
      <w:r>
        <w:rPr>
          <w:b/>
        </w:rPr>
        <w:t>Shared claim-specific concepts:</w:t>
      </w:r>
      <w:r>
        <w:t xml:space="preserve"> based, regression, approach; EU scope visible. This is a provisional connection, not an outcome finding.</w:t>
      </w:r>
    </w:p>
    <w:p>
      <w:pPr>
        <w:pStyle w:val="SourceNote"/>
      </w:pPr>
      <w:r>
        <w:rPr>
          <w:b/>
        </w:rPr>
        <w:t>Available abstract (not full text):</w:t>
      </w:r>
      <w:r>
        <w:t xml:space="preserve"> Air pollution remains a worldwide concern, and traditional machine-learning models often struggle to capture the complex, nonlinear relationships between the Air Quality Index (AQI) and its influencing variables. This study proposes two Particle Swarm Optimization (PSO) - based hybrid deep-learning approaches for predicting AQI by incorporating the necessary variables. In the current study, one approach uses PSO, deep learning, and Linear Regression (LR) for feature selection, feature extraction, and AQI prediction, respectively, while the other employs PSO to optimize hyperparameters of deep learning. The study examines wind speed and direction using wind rose diagrams and evaluates the features' contributions using the Shapley Additive exPlanations (SHAP) analysis. Using the Wilcoxon signed-rank test, statistical validation shows that both approaches outperform existing methods at 34 monitoring locations. Specifically, the first approach is effective for 19 locations, with an average R² of 97.0%, while the second approach performs best for 33 locations, with an average R² of 98.17%. Our findings recommend implementing region-specific air quality policies across Europe. It will aid policymakers in designing targeted, effective, and data-driven interventions to improve public health and environmental resilience across Europe.</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pStyle w:val="Heading2"/>
      </w:pPr>
      <w:r>
        <w:t>648.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2025:</w:t>
      </w:r>
      <w:r>
        <w:t xml:space="preserve"> Still on track for electrification? A qualitative comparative analysis of e-mobility policy mixes in 14 European cities — https://doi.org/10.1016/j.urbmob.2025.100114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 major concern for policymakers in European cities is to identify the right policy mix that promotes the diffusion of battery electric vehicles (BEV's). Existing research focuses mainly on the effect of fiscal policies at the national, aggregated level. Consequently, less is known about policy mixes that include monetary and non-monetary policies implemented at both the national and local level. Building on prior research, we deploy a two-step fuzzy-set Qualitative Comparative Analysis (fsQCA) of BEV policies in 14 European cities to identify policy mixes that successfully promote the urban adoption of BEV's. We find two policy mixes that promote BEV uptake. First, recurring monetary and non-monetary policies that address behavioral aspects of BEV-usage at the local level in conjunction with monetary incentives for home and workplace charging points as well as on-street residential charging points successfully propel BEV uptake. Second, the presence of monetary incentives for home and workplace charging points, as well as on-street residential charging points in conjunction with policies disincentivizing conventional car usage promote the adoption of BEV's. Our study shows that BEV policies must be tailored carefully across different policy levels and individually to BEV-user contexts in cities. QCA provides a helpful tool for evaluating BEV policy mixes.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2023:</w:t>
      </w:r>
      <w:r>
        <w:t xml:space="preserve"> Compact Transformer Tracker with Correlative Masked Modeling — https://doi.org/10.1609/aaai.v37i2.25327</w:t>
      </w:r>
    </w:p>
    <w:p>
      <w:pPr/>
      <w:r>
        <w:rPr>
          <w:b/>
        </w:rPr>
        <w:t>Shared claim-specific concepts:</w:t>
      </w:r>
      <w:r>
        <w:t xml:space="preserve"> find, target, framework, exploring; EU scope not established. This is a provisional connection, not an outcome finding.</w:t>
      </w:r>
    </w:p>
    <w:p>
      <w:pPr>
        <w:pStyle w:val="SourceNote"/>
      </w:pPr>
      <w:r>
        <w:rPr>
          <w:b/>
        </w:rPr>
        <w:t>Available abstract (not full text):</w:t>
      </w:r>
      <w:r>
        <w:t xml:space="preserve"> Transformer framework has been showing superior performances in visual object tracking for its great strength in information aggregation across the template and search image with the well-known attention mechanism. Most recent advances focus on exploring attention mechanism variants for better information aggregation. We find these schemes are equivalent to or even just a subset of the basic self-attention mechanism. In this paper, we prove that the vanilla self-attention structure is sufficient for information aggregation, and structural adaption is unnecessary. The key is not the attention structure, but how to extract the discriminative feature for tracking and enhance the communication between the target and search image. Based on this finding, we adopt the basic vision transformer (ViT) architecture as our main tracker and concatenate the template and search image for feature embedding. To guide the encoder to capture the invariant feature for tracking, we attach a lightweight correlative masked decoder which reconstructs the original template and search image from the corresponding masked tokens. The correlative masked decoder serves as a plugin for the compact transformer tracker and is skipped in inference. Our compact tracker uses the most simple structure which only consists of a ViT backbone and a box head, and can run at 40 fps. Extensive experiments show the propos</w:t>
      </w:r>
    </w:p>
    <w:p>
      <w:pPr>
        <w:pStyle w:val="Heading2"/>
      </w:pPr>
      <w:r>
        <w:t>649.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r>
        <w:rPr>
          <w:b/>
        </w:rPr>
        <w:t>POSSIBLE 2021:</w:t>
      </w:r>
      <w:r>
        <w:t xml:space="preserve"> Metamorphosis: a different history of the Union — https://doi.org/10.1017/9781788214247.003</w:t>
      </w:r>
    </w:p>
    <w:p>
      <w:pPr/>
      <w:r>
        <w:rPr>
          <w:b/>
        </w:rPr>
        <w:t>Shared claim-specific concepts:</w:t>
      </w:r>
      <w:r>
        <w:t xml:space="preserve"> originally, geared, engaging, process; EU scope visible. This is a provisional connection, not an outcome finding.</w:t>
      </w:r>
    </w:p>
    <w:p>
      <w:pPr>
        <w:pStyle w:val="SourceNote"/>
      </w:pPr>
      <w:r>
        <w:rPr>
          <w:b/>
        </w:rPr>
        <w:t>Available abstract (not full text):</w:t>
      </w:r>
      <w:r>
        <w:t xml:space="preserve"> Every true history is contemporary history. Benedetto Croce, Theory and History of Historiography Rules-politics and events-politics The feeling that the slightest hiccough can take the European Union to the edge of the abyss is attributable to the metamorphosis it has undergone over recent decades, from a structure devoted purely to “rules-politics” to a set-up also capable of engaging in “events-politics”. But insight into this gradual transformation is lacking. We will not understand the new Europe as long as we continue to look through the lens of the old. That a revolution is happening before our eyes is the central tenet of this book. Over the past 30 years the operating procedure of the Union has changed fundamentally, with regard not just to who takes the decisions, and how and where they are taken, but to the way the Union is perceived, the way people observe European politics and why now more than ever they are demanding a direct say in a shared political life. It is a process of slow trends, shifting power relations and altered mentalities. All these changes have been accelerated, and sometimes exposed, by the acute shock of the pandemic. The urgency of the Covid crisis makes an interim analysis indispensable. What is happening? What has changed? The institutions of the Union were originally designed principally to create a market and keep it in balance. This rules-p</w:t>
      </w:r>
    </w:p>
    <w:p>
      <w:pPr>
        <w:pStyle w:val="Heading2"/>
      </w:pPr>
      <w:r>
        <w:t>650.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2026:</w:t>
      </w:r>
      <w:r>
        <w:t xml:space="preserve"> Civil Disobedience Across Contexts - Gandhi’s Methods and Eastern European Resistance Movements — https://doi.org/10.58944/mmnt9341</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This paper looks at how civil disobedience was practised by Mahatma Gandhi and how the non-violence strategy paralleled or influenced twentieth-century peaceful revolutions in Eastern Europe, such as the Solidarity Movement in Poland, the Velvet Revolution in Czechoslovakia, and the Peaceful Revolution in East Germany. 1 Dr Parvesh Kumar is Assistant Professor in the Department of Political Science at Kurukshetra University, Kurukshetra, Haryana, India. He specialises in Political Thought, Indian Government and Politics, Comparative Politics, and International Relations, with a research focus on Gandhian Philosophy. He has contributed to the study of Gandhian political theory and its contemporary relevance, with particular attention to comparative political frameworks and the global reception of Gandhian thought. 2 Daksh is a Ph.D. Research Scholar in the Department of Political Science at Kurukshetra University, Kurukshetra, Haryana, India. His doctoral research specialises in Political Thought, Indian Government and Politics, Comparative Politics, and International Relations, with a particular focus on Gandhian Philosophy and its application to contemporary political, societal, and cross-cultural challenges. POLIS No. 25, ISSUE 1/ 2026 49 In a qualitative historical-comparative design, the study uses the primary sources of Gandhi, movement documents and secondary sources of a</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pStyle w:val="Heading2"/>
      </w:pPr>
      <w:r>
        <w:t>651. A review on European Union’s strategy for plastics in a circular economy and its impact on food safety</w:t>
      </w:r>
    </w:p>
    <w:p>
      <w:pPr>
        <w:pStyle w:val="SourceNote"/>
      </w:pPr>
      <w:r>
        <w:rPr>
          <w:b/>
        </w:rPr>
        <w:t>Original source (2020):</w:t>
      </w:r>
      <w:r>
        <w:t xml:space="preserve"> https://doi.org/10.1016/j.jclepro.2020.125263</w:t>
      </w:r>
    </w:p>
    <w:p>
      <w:pPr/>
      <w:r>
        <w:t>Original wording (abstract; indexed_source_text_not_full_document_verified): Unless possible substitutes to multi-layer plastics offering the same level of food protection can be developed then there will be detrimental effects on food quality, safety and shelf-life, which will lead to increased food waste, additional food costs and a reduction in the variety and availability of certain foods. One of the strategies outlined is that by 2030, all plastic packaging placed on the EU market is either reusable or can be recycled in a cost-effective manner.</w:t>
      </w:r>
    </w:p>
    <w:p>
      <w:pPr/>
      <w:r>
        <w:rPr>
          <w:b/>
        </w:rPr>
        <w:t>POSSIBLE 2024:</w:t>
      </w:r>
      <w:r>
        <w:t xml:space="preserve"> Overview of 37 Tear Substitutes in Europe Based on Various Physicochemical Parameters — https://doi.org/10.1007/s40123-024-01023-9</w:t>
      </w:r>
    </w:p>
    <w:p>
      <w:pPr/>
      <w:r>
        <w:rPr>
          <w:b/>
        </w:rPr>
        <w:t>Shared claim-specific concepts:</w:t>
      </w:r>
      <w:r>
        <w:t xml:space="preserve"> substitutes, developed, there; EU scope visible. This is a provisional connection, not an outcome finding.</w:t>
      </w:r>
    </w:p>
    <w:p>
      <w:pPr>
        <w:pStyle w:val="SourceNote"/>
      </w:pPr>
      <w:r>
        <w:rPr>
          <w:b/>
        </w:rPr>
        <w:t>Available abstract (not full text):</w:t>
      </w:r>
      <w:r>
        <w:t xml:space="preserve"> Dry eye disease (DED) is one of the most prevalent eye conditions worldwide, with artificial tears serving as a primary treatment option. Despite their wide availability on the European market, there is a lack of established classifications based on their physicochemical properties. The aim of our study was therefore (i) to develop an analytical method that measures the concentration and the molecular weight (MW) of the hyaluronic acid (HA) in commercialized products, and (ii) to propose an overview based on their various physicochemical parameters. The intrinsic viscosity and MW of the HA, as well as osmolarity, pH, rheological profile, and viscosity, were measured or determined. A specific method was developed to measure the average intrinsic viscosity and HA content using a liquid size-exclusion chromatography system. The MW was determined using the Mark–Houwink equation. Thirty-seven products commercialized in Europe were analyzed, with 21 of them containing HA. The HA MW was lowest (300 kDa) for Thealose ® , Thealoz Duo ® Gel, and Hyabak ® , and highest (1300 kDa) for Vismed ® Multi, Vismed ® Gel, and Neovis ® Gel. The pH values varied between 5.94 for Treovis ® and 8.06 for Systane ® Ultra. Osmolarity ranged between 148 mOsm/L and 325 mOsm/L for Neovis ® and Treovis ® , respectively. Viscosity was highly variable, ranging from 0.38 mPas·s for Hylolipid ® to 337.47 mPas·s </w:t>
      </w:r>
    </w:p>
    <w:p>
      <w:pPr>
        <w:pStyle w:val="Heading2"/>
      </w:pPr>
      <w:r>
        <w:t>652.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2026:</w:t>
      </w:r>
      <w:r>
        <w:t xml:space="preserve"> Prevalence of complementary and alternative medicine use among osteoarthritis patients in a developing country and their level of satisfaction — https://doi.org/10.1038/s41598-026-37826-y</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2025:</w:t>
      </w:r>
      <w:r>
        <w:t xml:space="preserve"> Developing Bioderived CO2-Responsive Polymers as Alternatives to Petroleum-derived Polymers — https://openalex.org/W7127210612</w:t>
      </w:r>
    </w:p>
    <w:p>
      <w:pPr/>
      <w:r>
        <w:rPr>
          <w:b/>
        </w:rPr>
        <w:t>Shared claim-specific concepts:</w:t>
      </w:r>
      <w:r>
        <w:t xml:space="preserve"> about, but, developing, alternative, sustainable, different; EU scope not established. This is a provisional connection, not an outcome finding.</w:t>
      </w:r>
    </w:p>
    <w:p>
      <w:pPr>
        <w:pStyle w:val="SourceNote"/>
      </w:pPr>
      <w:r>
        <w:rPr>
          <w:b/>
        </w:rPr>
        <w:t>Available abstract (not full text):</w:t>
      </w:r>
      <w:r>
        <w:t xml:space="preserve"> Petroleum-derived materials have become essential to society but are detrimental to the Earth. Every day, billions of liters of crude oil are extracted from the Earth, refined, and used as fuel or as starting materials for chemicals and materials. Petroleum is currently an abundant resource but is finite, which means that it will eventually be depleted in the future. Society must prepare for the future by examining renewable resources as alternative starting materials for sustainable material development to ensure that future generations can meet their needs as we currently do. Petroleum-derived products are used for a variety of purposes, all of which contribute some amount of harm to the environment, but petroleum-derived plastic materials receive more scrutiny than many other materials. Plastic makes up a percentage of petrochemical production. However, due to low recycling rates, a significant portion of plastic ends up in the environment. Plastic is persistent in the environment and the damage it causes through chemical leaching and microplastics has raised many societal concerns. Reducing the environmental harm from material production and usage requires knowledge about where the most harm is coming from. A life cycle assessment (LCA) can quantify the harm done by a material during its lifespan. This is a necessary but cumbersome process that can slow the development of n</w:t>
      </w:r>
    </w:p>
    <w:p>
      <w:pPr/>
      <w:r>
        <w:rPr>
          <w:b/>
        </w:rPr>
        <w:t>POSSIBLE 2025:</w:t>
      </w:r>
      <w:r>
        <w:t xml:space="preserve"> Defining complementary and alternative medicine — https://doi.org/10.1007/s11019-025-10291-6</w:t>
      </w:r>
    </w:p>
    <w:p>
      <w:pPr/>
      <w:r>
        <w:rPr>
          <w:b/>
        </w:rPr>
        <w:t>Shared claim-specific concepts:</w:t>
      </w:r>
      <w:r>
        <w:t xml:space="preserve"> not, about, alternative; EU scope not established. This is a provisional connection, not an outcome finding.</w:t>
      </w:r>
    </w:p>
    <w:p>
      <w:pPr>
        <w:pStyle w:val="SourceNote"/>
      </w:pPr>
      <w:r>
        <w:rPr>
          <w:b/>
        </w:rPr>
        <w:t>Available abstract (not full text):</w:t>
      </w:r>
      <w:r>
        <w:t xml:space="preserve"> Discourse about Complementary and alternative medicine (CAM) is also controversial in several respects, including terminology. Understanding and using the term 'CAM' precisely remains necessary in some discussions. This article provides a contribution to a terminologically more reflected debate about CAM. Analytical methods are applied to analyse 'CAM' conceptually: reasons to define CAM are discussed, common definitions are critically analysed in light of argumentative plausibility, and typical conceptual needs in the debate about CAM are described. Based on this, an evidence definition of CAM is sketched. Complementary and alternative medicine is typically defined by positive attributes or (more usefully) by unconventionality. While the latter provides a viable definitional strategy, several questions remain regarding the logic and applicability. Attempts to improve CAM definitions should consider (a) presenting necessary and sufficient conditions, (b) separating 'complementary', 'alternative' and 'integrative', (c) understanding 'CAM' relative to specific diseases and (d) being explicit about possible changes of the CAM status. These requirements are used to develop a definition of CAM centring around the notion of probable specific effectiveness-a definitional strategy that might solve flaws in the current CAM discourse by spelling out some of the reasons why certain practi</w:t>
      </w:r>
    </w:p>
    <w:p>
      <w:pPr/>
      <w:r>
        <w:rPr>
          <w:b/>
        </w:rPr>
        <w:t>POSSIBLE 2025:</w:t>
      </w:r>
      <w:r>
        <w:t xml:space="preserve"> Minority Cultures and the Cosmopolitan Alternative — https://doi.org/10.36646/mjlr.25.3.4.minority</w:t>
      </w:r>
    </w:p>
    <w:p>
      <w:pPr/>
      <w:r>
        <w:rPr>
          <w:b/>
        </w:rPr>
        <w:t>Shared claim-specific concepts:</w:t>
      </w:r>
      <w:r>
        <w:t xml:space="preserve"> not, about, but, alternative, come; EU scope not established. This is a provisional connection, not an outcome finding.</w:t>
      </w:r>
    </w:p>
    <w:p>
      <w:pPr>
        <w:pStyle w:val="SourceNote"/>
      </w:pPr>
      <w:r>
        <w:rPr>
          <w:b/>
        </w:rPr>
        <w:t>Available abstract (not full text):</w:t>
      </w:r>
      <w:r>
        <w:t xml:space="preserve"> I have chosen not to talk in this Article about the warning that Rushdie is sounding in his essay In Good Faith, but to discuss more affirmatively the image of the modern self that he conveys. Still, I hope that we do not lose sight of the warning. The communitarianism that can sound cozy and attractive in a book by Robert Bellah or Michael Sandel can be blinding, dangerous, and disruptive in the real world, where communities do not come ready-packaged and where communal allegiances are as much ancient hatreds of one's neighbors as immemorial traditions of culture.</w:t>
      </w:r>
    </w:p>
    <w:p>
      <w:pPr/>
      <w:r>
        <w:rPr>
          <w:b/>
        </w:rPr>
        <w:t>POSSIBLE 2025:</w:t>
      </w:r>
      <w:r>
        <w:t xml:space="preserve"> Developing alternative and complementary IP strategies case study — https://doi.org/10.2826/295248</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A German SME connected with the India IP SME Helpdesk team in a prominent Food and Beverages exhibition. During the discussion with the Helpdesk team, the German SME explained key elements of their innovative disinfecting and organic preservative products. The main issues which concerned the German SME were : - Whether patent applications filed in Europe could be extended to India, and additionally they wanted to know the procedure to protect the inventions in India. - Furthermore, they enquired about procedures to obtain the required clearances for the sale of antimicrobial agents in India, and the potential establishment of a subsidiary entity in India.</w:t>
      </w:r>
    </w:p>
    <w:p>
      <w:pPr/>
      <w:r>
        <w:rPr>
          <w:b/>
        </w:rPr>
        <w:t>POSSIBLE 2025:</w:t>
      </w:r>
      <w:r>
        <w:t xml:space="preserve"> Bee Pollen as an Alternative to Growth Promoters in Poultry Production in Developing Countries: A Narrative Review — https://openalex.org/W7220090217</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Bee pollen, which is a rich food source with numerous health benefits, has become a desirable feed additive due to concerns about antibiotic resistance, drug residues, and environmental impacts, especially in developing countries that need animal protein. The aim of this study is to show the effects of bee pollen as an alternative to growth stimulants in poultry production. To achieve this objective, a narrative review method was employed, which provides a comprehensive understanding of the topic by collecting, analyzing, and synthesizing findings from previous research. The research findings indicate that adding bee pollen to poultry diets improves weight gain, feed conversion ratio, gut health, and boosts the immune system. It is prebiotic, antimicrobial, and antioxidant properties reduce pathogens and improve the quality of meat and eggs. However, the diversity of composition, excessive cost, and scalability limitations are challenges for its widespread use. Further research is essential for standardization and cost-effectiveness evaluation.</w:t>
      </w:r>
    </w:p>
    <w:p>
      <w:pPr/>
      <w:r>
        <w:rPr>
          <w:b/>
        </w:rPr>
        <w:t>POSSIBLE 2025:</w:t>
      </w:r>
      <w:r>
        <w:t xml:space="preserve"> Does concern about falling predict future falls in older adults? A systematic review and meta-analysis — https://doi.org/10.1093/ageing/afaf089</w:t>
      </w:r>
    </w:p>
    <w:p>
      <w:pPr/>
      <w:r>
        <w:rPr>
          <w:b/>
        </w:rPr>
        <w:t>Shared claim-specific concepts:</w:t>
      </w:r>
      <w:r>
        <w:t xml:space="preserve"> not, about, different; EU scope not established. This is a provisional connection, not an outcome finding.</w:t>
      </w:r>
    </w:p>
    <w:p>
      <w:pPr>
        <w:pStyle w:val="SourceNote"/>
      </w:pPr>
      <w:r>
        <w:rPr>
          <w:b/>
        </w:rPr>
        <w:t>Available abstract (not full text):</w:t>
      </w:r>
      <w:r>
        <w:t xml:space="preserve"> BACKGROUND: The 2022 World Falls Guidelines recommend assessing concerns (or 'fears') about falling in multifactorial fall risk assessments. However, the evidence base for this recommendation is limited. This review evaluated the evidence for concerns about falling as an independent predictor of future falls, applying the Bradford Hill criteria for causality. METHODS: Systematic review and meta-analyses were conducted (PROSPERO registration ID: CRD42023387212). MEDLINE, CINAHL Plus, Web of Science and PsycINFO were searched for studies examining associations between baseline concerns about falling and future falls in older adults (minimum 6-month follow-up). Meta-analyses examined associations between concerns about falling and future falls. Risk of bias was assessed using an adapted Newcastle Ottawa Scale for cohort studies, and evidence certainty was rated with GRADE. RESULTS: About 53 studies, comprising 75,076 participants, were included. Meta-analysis showed significant independent association between baseline concerns and future falls when using the Falls Efficacy Scale-International to assess concerns (full scale version, pooled OR = 1.03 [95% CI = 1.02-1.05] per 1-point increase; short scale version, pooled OR = 1.08 [95% CI = 1.05-1.11]). Significant associations were also observed when using single-item measures of concerns (pooled OR = 1.60 [95% CI = 1.36-1.89] for h</w:t>
      </w:r>
    </w:p>
    <w:p>
      <w:pPr/>
      <w:r>
        <w:rPr>
          <w:b/>
        </w:rPr>
        <w:t>POSSIBLE 2025:</w:t>
      </w:r>
      <w:r>
        <w:t xml:space="preserve"> Who cares about caring? Gender stereotypes about communal values emerge early and predict boys’ prosocial preferences. — https://doi.org/10.1037/dev0001908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 379; 92 girls, 287 boys; majority White and East Asian or Pacific Islander). We assessed children's stereotypes about communal values (Studies 1 and 2; e.g., "Who do you think cares more about always helping other people, even if it takes effort? Boys or girls?"), as well as the extent to which children themselves (a) valued communion and (b) displayed interest in communal activities (Study 2). In both studies, we found that children older than 6 consistently associated communal values with girls more than with boys. Younger children, in contrast, exhibited an ingroup bias-they associated communal values with their own gender. Study 2, which included only boys, found that endorsement of stereotypes associating communal values with girls predicted lower personal endorsement of communal values and lower interest in communal activities among boys older, but not younger, than 6. These results suggest that gender stereotypes about communal values are learned early and predict boys' disengagement from communal domains. Implications for gender differences in values and behavior are discussed. (PsycInfo Database Record (c) 2025 APA, all rights reserved).</w:t>
      </w:r>
    </w:p>
    <w:p>
      <w:pPr/>
      <w:r>
        <w:rPr>
          <w:b/>
        </w:rPr>
        <w:t>POSSIBLE 2025:</w:t>
      </w:r>
      <w:r>
        <w:t xml:space="preserve"> Developing an Alternative Calculation Method for the Smart Readiness Indicator Based on Genetic Programming and Linear Regression — https://doi.org/10.3390/buildings15101675</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The European Union is planning to introduce a new tool for evaluating smart solutions in buildings—the Smart Readiness Indicator (SRI). As 54 energy efficiency categories must be evaluated, the triage process can be long and time-intensive. Altogether, 228 data points (or inputs) about the smartness of the buildings are required to complete the evaluation. The present paper proposes an alternative calculation method based on genetic programming (GP) for the calculation of Domains and linear regression (LR) for the calculation of Impact Factors and the total SRI score of the building. This novel calculation requires 20% (Domain ventilation and dynamic building envelope) to 75% (Domain cooling) fewer inputs than the original methodology. The present study evaluated 223 case study buildings, and 7 genetic programming models and 8 linear regression models were generated based on the results. The generated results are precise; the relative deviation from the experimental data for Domain scores (modelled with GP) ranged from 0.9% to 2.9%. The R2 for the LR models was 0.75 for most models (with two exceptions, with one with a value of 0.57 and the other with a value of 0.98). The developed method is scalable and could be used for preliminary and portfolio-level screening at early-stage assessments.</w:t>
      </w:r>
    </w:p>
    <w:p>
      <w:pPr>
        <w:pStyle w:val="Heading2"/>
      </w:pPr>
      <w:r>
        <w:t>653.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2026:</w:t>
      </w:r>
      <w:r>
        <w:t xml:space="preserve"> Leaving Earth behind: the semiotics of the failing planet in NewSpace online corporate imagery — https://doi.org/10.1080/09505431.2025.2607358</w:t>
      </w:r>
    </w:p>
    <w:p>
      <w:pPr/>
      <w:r>
        <w:rPr>
          <w:b/>
        </w:rPr>
        <w:t>Shared claim-specific concepts:</w:t>
      </w:r>
      <w:r>
        <w:t xml:space="preserve"> three, failing, status; EU scope not established. This is a provisional connection, not an outcome finding.</w:t>
      </w:r>
    </w:p>
    <w:p>
      <w:pPr>
        <w:pStyle w:val="SourceNote"/>
      </w:pPr>
      <w:r>
        <w:rPr>
          <w:b/>
        </w:rPr>
        <w:t>Available abstract (not full text):</w:t>
      </w:r>
      <w:r>
        <w:t xml:space="preserve"> Computer-generated imagery (CGI) of Earth published online by the private space industry, or ‘NewSpace’, produces understandings of a failing planet to justify the commercialisation of space and terrestrial extractivism. Drawing on the iconic blue-marble genre of 20th-century NASA Earth photography and more recent digital globe imagery linked to modelling and spectacularising climate crisis, NewSpace CGI contributes to an emergent ‘sociotechnical imaginary’ – a collectively held technology-driven vision of the future with practical applications – that anticipates departure from Earth for some by allowing for disaster capitalism on a planetary scale. Semiotic analysis of a sample of images obtained from the Blue Origin, SpaceX and Virgin Galactic websites in 2019-20 identified three representational themes that reconstruct Earth as anachronistic and inhospitable: a parting perspective in which Earth is depicted as a point of departure; Earth as incidental to futuristic space technologies; compulsory ultrablue colouration that evokes an untenably pristine environment. Together, these formal and stylistic elements constitute a new convention for Earth representation common across the NewSpace sector that crystallises a broader shift in the ontological status of Earth in the context of 21st-century climate crisis, from home planet – a place of return – to failing planet of origin t</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2025:</w:t>
      </w:r>
      <w:r>
        <w:t xml:space="preserve"> Continuing recovery of wolves in Europe — https://doi.org/10.1371/journal.pstr.0000158</w:t>
      </w:r>
    </w:p>
    <w:p>
      <w:pPr/>
      <w:r>
        <w:rPr>
          <w:b/>
        </w:rPr>
        <w:t>Shared claim-specific concepts:</w:t>
      </w:r>
      <w:r>
        <w:t xml:space="preserve"> increasing, sustainable, policies;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three, produced, case, increasing, sustainable;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EXPANDING POLITICAL GOALS: AMERICA’S FAILING STRATEGY IN UKRAINE WAR — https://doi.org/10.54690/ndujournal.39.223</w:t>
      </w:r>
    </w:p>
    <w:p>
      <w:pPr/>
      <w:r>
        <w:rPr>
          <w:b/>
        </w:rPr>
        <w:t>Shared claim-specific concepts:</w:t>
      </w:r>
      <w:r>
        <w:t xml:space="preserve"> failing, case, states, maintain; EU scope not established. This is a provisional connection, not an outcome finding.</w:t>
      </w:r>
    </w:p>
    <w:p>
      <w:pPr>
        <w:pStyle w:val="SourceNote"/>
      </w:pPr>
      <w:r>
        <w:rPr>
          <w:b/>
        </w:rPr>
        <w:t>Available abstract (not full text):</w:t>
      </w:r>
      <w:r>
        <w:t xml:space="preserve"> Understanding the political goal of a war is essential, as it helps assess the nature of the conflict, its likely duration, the risks adversaries are willing to take, and the costs they are prepared to bear. A political goal can be offensive, as seen in the case of U.S. civil and military support for Ukraine and NATO’s enlargement, which Russia perceives as provocative, aiming to diminish its strategic buffer zone. Conversely, a political goal can be defensive, as in Russia’s efforts to maintain its sphere of influence over Ukraine, which it has consistently regarded as a red line. Setting the right political objective in war is crucial, as it shapes strategic decisions, the defense of vital national interests, and ultimately, the difference between victory and defeat. This paper analyzes the United States' political goal in the war in Ukraine and examines its implications for how the conflict might end.</w:t>
      </w:r>
    </w:p>
    <w:p>
      <w:pPr>
        <w:pStyle w:val="Heading2"/>
      </w:pPr>
      <w:r>
        <w:t>654.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655.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Addressing Medical Deserts in Europe: Lessons From a Comparative Analysis — https://doi.org/10.1111/hex.70606</w:t>
      </w:r>
    </w:p>
    <w:p>
      <w:pPr/>
      <w:r>
        <w:rPr>
          <w:b/>
        </w:rPr>
        <w:t>Shared claim-specific concepts:</w:t>
      </w:r>
      <w:r>
        <w:t xml:space="preserve"> article, comprehensive, overview, framework, also; EU scope visible. This is a provisional connection, not an outcome finding.</w:t>
      </w:r>
    </w:p>
    <w:p>
      <w:pPr>
        <w:pStyle w:val="SourceNote"/>
      </w:pPr>
      <w:r>
        <w:rPr>
          <w:b/>
        </w:rPr>
        <w:t>Available abstract (not full text):</w:t>
      </w:r>
      <w:r>
        <w:t xml:space="preserve"> BACKGROUND: European countries face a common problem of medical deserts-areas where the population has limited access to healthcare services. OBJECTIVE: This article aims to define medical deserts and provide an in-depth overview of the factors driving desertification and the solutions applied to reduce its negative consequences across six European countries: the Netherlands, Spain, Poland, Croatia, Germany and Ireland. METHODS: Applied methods include five consecutive steps: (1) development of a case study template; (2) defining criteria and selecting case study countries, (3) desk research, (4) consultation with national experts and (5) comparative analysis. RESULTS: There is no formally recognised definition of medical deserts in all the analysed countries. Nevertheless, the concept is often associated with sparsely populated, isolated areas with limited access to healthcare services. The factors driving desertification are similar across the six countries and include: ageing and depopulation, health workforce deficits, unattractive working conditions and geographical factors. Solutions implemented to mitigate the negative effects of medical deserts can be classified into several broad categories: health workforce planning and monitoring, training and career pathways, innovative healthcare models, support mechanisms and infrastructure development. CONCLUSIONS: The factors dr</w:t>
      </w:r>
    </w:p>
    <w:p>
      <w:pPr/>
      <w:r>
        <w:rPr>
          <w:b/>
        </w:rPr>
        <w:t>POSSIBLE 2026:</w:t>
      </w:r>
      <w:r>
        <w:t xml:space="preserve"> Application of Article 2 of the European Convention on Human Rights in conditions of armed conflict: the practice of the ECtHR — https://doi.org/10.61345/1339-7915.2025.5.9</w:t>
      </w:r>
    </w:p>
    <w:p>
      <w:pPr/>
      <w:r>
        <w:rPr>
          <w:b/>
        </w:rPr>
        <w:t>Shared claim-specific concepts:</w:t>
      </w:r>
      <w:r>
        <w:t xml:space="preserve"> article, provides, comprehensive, law; EU scope visible. This is a provisional connection, not an outcome finding.</w:t>
      </w:r>
    </w:p>
    <w:p>
      <w:pPr>
        <w:pStyle w:val="SourceNote"/>
      </w:pPr>
      <w:r>
        <w:rPr>
          <w:b/>
        </w:rPr>
        <w:t>Available abstract (not full text):</w:t>
      </w:r>
      <w:r>
        <w:t xml:space="preserve"> The article provides a comprehensive analysis of the application of Article 2 of the European Convention on Human Rights in armed conflict based on the practice of the European Court of Human Rights. The content of the substantive and procedural obligations of the state to protect the right to life is examined, the criteria of “absolute necessity” and proportionality are determined as key standards for the lawful use of lethal force. The correlation of the norms of international humanitarian law and international human rights law in the context of regulating the right to life during armed conflicts is analyzed, in particular the principle of lex specialis and the concept of “military necessity”. Special attention is paid to the procedural aspect of Article 2 of the ECHR - the obligation of the state to conduct an effective official investigation into each case of deprivation of life, including in extraterritorial conditions and in situations of enforced disappearance. Based on the analysis of key decisions of the ECHR - in the cases of McCann and Others v. the United Kingdom, Ergi v. Turkey, Isaeva v. Russia, Georgia v. Russia, Hanan v. Germany, Cyprus v. Turkey, Varnava and Others v. Turkey, “Ukraine and the Netherlands v. Russia” — formulated conclusions regarding the obligations of the state in the field of protecting the right to life of the civilian population in condition</w:t>
      </w:r>
    </w:p>
    <w:p>
      <w:pPr/>
      <w:r>
        <w:rPr>
          <w:b/>
        </w:rPr>
        <w:t>POSSIBLE 2026:</w:t>
      </w:r>
      <w:r>
        <w:t xml:space="preserve"> THE BURDEN OF HIGH TAXATION ON ADVOCATES' FEES: A COMPREHENSIVE COMPARATIVE ANALYSIS OF UZBEKISTAN, CIS, EUROPEAN, AND US PRACTICE AND LEGISLATIVE REFORMS — https://doi.org/10.61796/ijblps.v3i9.559</w:t>
      </w:r>
    </w:p>
    <w:p>
      <w:pPr/>
      <w:r>
        <w:rPr>
          <w:b/>
        </w:rPr>
        <w:t>Shared claim-specific concepts:</w:t>
      </w:r>
      <w:r>
        <w:t xml:space="preserve"> article, provides, comprehensive, law, framework; EU scope visible. This is a provisional connection, not an outcome finding.</w:t>
      </w:r>
    </w:p>
    <w:p>
      <w:pPr>
        <w:pStyle w:val="SourceNote"/>
      </w:pPr>
      <w:r>
        <w:rPr>
          <w:b/>
        </w:rPr>
        <w:t>Available abstract (not full text):</w:t>
      </w:r>
      <w:r>
        <w:t xml:space="preserve"> Objective: This article provides a comprehensive and systematic analysis of the heavy tax burden imposed on advocates' fees in the Republic of Uzbekistan (totaling 24% from personal income and social taxes) and the resulting challenges of the shadow economy and informal cash transactions. Method: A deep comparative study of the taxation of legal services across CIS countries (Russia, Kazakhstan), Europe (Germany, United Kingdom), and the United States is conducted. Results: Based on the findings, concrete theoretical and legislative proposals are developed to amend the Law "On Advocacy" and the Tax Code to introduce a specialized simplified tax regime and a system of professional tax deductions for advocates. Novelty: The novelty of this article lies in integrating a comparative analysis of advocates’ taxation across CIS countries, Europe, and the United States with the specific problem of the 24% tax burden on advocates’ fees in Uzbekistan. The study goes beyond identifying the tax burden by linking it to the risks of shadow economic activity and informal cash transactions and translating the comparative findings into concrete legislative proposals. In particular, the proposed specialized simplified tax regime and professional tax deduction system provide a specific legal and fiscal framework tailored to advocates in Uzbekistan.</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pStyle w:val="Heading2"/>
      </w:pPr>
      <w:r>
        <w:t>656.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2026:</w:t>
      </w:r>
      <w:r>
        <w:t xml:space="preserve"> Healthcare utilisation among migrants in the Netherlands’ unique hybrid healthcare system: the HELIUS study — https://doi.org/10.1136/bmjgh-2025-020024</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BACKGROUND: Migrants in Europe often face barriers to healthcare, contributing to poorer health outcomes. While healthcare utilisation has been studied within Beveridge systems (eg, the UK) and Bismarck systems (eg, Germany), less is known about healthcare use by migrants within the Netherlands' hybrid model. The Dutch model combines a Bismarckian base with Beveridge-like supplements. We investigated the use of general practitioner (GP) services, specialist care, allied health services and complementary medicine among major migrant groups in Amsterdam (South Asian Surinamese, African Surinamese, Ghanaian, Turkish and Moroccan origin) compared with the Dutch-origin population. METHODS: We used pre-pandemic Healthy Life in an Urban Setting data (2015; n=21 614) to avoid biases from intra-COVID-19 and post-COVID-19 healthcare disruptions/alterations. Structured questionnaires assessed healthcare use and reasons for seeking care. Poisson regression with a log link and robust (sandwich) standard errors examined associations between migration background and healthcare utilisation, adjusting for demographics, acculturation, health literacy, lifestyle and chronic conditions. Sensitivity analyses explored motivations for care use and overall health status. RESULTS: All migrant groups reported higher or similar use of GP services compared with the Dutch-origin population. Most migrant gr</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pStyle w:val="Heading2"/>
      </w:pPr>
      <w:r>
        <w:t>657.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2025:</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This study examined the mediating role of perceived desirability in the relationship between social capital and entrepreneurial resilience amongsmall business owners in Nasarawa State, Nigeria. Cross-sectional research approach was usedand a total of 384 comprising 77 (46.1%) males and 207 (53.9%) females within the age range of 20 –70 years and mean age of 43.00(SD=9.08) participants were selected through a multi-stage sampling technique for the study. Perceived Social Capital Scale, perceived Desirability and Entrepreneurialresilience Scales were used for data collection. Results showed that there is a significant indirect effect of family social capital on entrepreneurial resilience through perceived desirability(β=8186; BootSE=.1668; 95%CI (.4932 to 1.1481). The results also revealed that there is a significant indirect effect of community social capital on entrepreneurial resilience through perceived desirability(β=6446; BootSE=.1024; 95%CI (.4520 to .8494). Furthermore, the relationship between perceived peer social capital and entrepreneurial resiliencewas mediated by perceived desirability (β=.7052; BootSE=.0909; 95%CI (.3361 to .6900). It was concluded that perceived desirability is a significant factor that strengthen the relationship between perceived social capital and entrepreneurial resilience amongsmall business owners in Nasarawa State. Based on the findings, it</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2024:</w:t>
      </w:r>
      <w:r>
        <w:t xml:space="preserve"> Expanding financial inclusion participation in Muslim-dominated communities through Islamic finance products (IFP) adoption — https://doi.org/10.1108/jiabr-09-2023-0308</w:t>
      </w:r>
    </w:p>
    <w:p>
      <w:pPr/>
      <w:r>
        <w:rPr>
          <w:b/>
        </w:rPr>
        <w:t>Shared claim-specific concepts:</w:t>
      </w:r>
      <w:r>
        <w:t xml:space="preserve"> desirable, strong, knowledge; EU scope not established. This is a provisional connection, not an outcome finding.</w:t>
      </w:r>
    </w:p>
    <w:p>
      <w:pPr>
        <w:pStyle w:val="SourceNote"/>
      </w:pPr>
      <w:r>
        <w:rPr>
          <w:b/>
        </w:rPr>
        <w:t>Available abstract (not full text):</w:t>
      </w:r>
      <w:r>
        <w:t xml:space="preserve"> Purpose This study aims to expand the theory of planned behaviour (TPB) to understand determinants of financial inclusion participation behaviour through the mediating effect of Islamic finance product (IFP) adoption. Design/methodology/approach A quantitative research design was deployed using primary data from a survey conducted within the Muslim-dominated regions in Nigeria, which was analysed using partial least squares structural equation modelling. Findings It was found that the original TPB variables, attitude, subjective norms, perceived behavioural control (PBC) and behavioural intention have strong positive influences on financial inclusion participation behaviour, however, among the new variables, government support and IFPs adoption directly influence, while awareness and access to banking and digital channels were not. Furthermore, IFPs adoption significantly mediates the relationship between attitude, behavioural intention, government support and access to banking and digital channels and financial inclusion participation, but it failed to mediate that of subjective norms, PBC and awareness. Research limitations/implications These findings imply the need to establish more Islamic financial institutions or conventional banks to introduce IFPs in Muslim-dominated regions in Nigeria, as such products are desirable in expanding financial inclusion. While such is being</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658.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2026:</w:t>
      </w:r>
      <w:r>
        <w:t xml:space="preserve"> Plan for a Structural Peace and a New European Security Architecture — https://doi.org/10.5281/zenodo.18623705</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This document presents a comprehensive three‑phase strategy for resolving the Russo‑Ukrainian conflict and establishing a new European security architecture. Building on the military framework outlined in Towards a United European Army (DOI: 10.5281/zenodo.17350350), the proposal integrates political, diplomatic, and legal mechanisms to create a stable and resilient continental order. The plan introduces: 1) a Foundational Peace Compromise based on a contextual territorial freeze, a verified Russian withdrawal, and a legally binding snap‑back mechanism; 2) a Reinforced EU Association pathway for Ukraine under Article 49 TEU, including observer rights in EU institutions and a 100‑km Special Security Zone monitored by OSCE/EU; 3) a New European Security Architecture built on a Complementary EU‑NATO Defence Protocol (Art. 51 UN Charter), the creation of a European Pillar of NATO, and a redefined Ukrainian constitutional neutrality. The proposal offers a realistic alternative to perpetual conflict, linking peace, EU integration, and European strategic autonomy into a coherent and actionable framework.</w:t>
      </w:r>
    </w:p>
    <w:p>
      <w:pPr/>
      <w:r>
        <w:rPr>
          <w:b/>
        </w:rPr>
        <w:t>POSSIBLE 2026:</w:t>
      </w:r>
      <w:r>
        <w:t xml:space="preserve"> The Cybersecurity Policy of Poland, Finland, and Sweden and their Impact on Regional Security — https://doi.org/10.7206/kp.2080-1084.848</w:t>
      </w:r>
    </w:p>
    <w:p>
      <w:pPr/>
      <w:r>
        <w:rPr>
          <w:b/>
        </w:rPr>
        <w:t>Shared claim-specific concepts:</w:t>
      </w:r>
      <w:r>
        <w:t xml:space="preserve"> article, poland, shows, political; EU scope visible. This is a provisional connection, not an outcome finding.</w:t>
      </w:r>
    </w:p>
    <w:p>
      <w:pPr>
        <w:pStyle w:val="SourceNote"/>
      </w:pPr>
      <w:r>
        <w:rPr>
          <w:b/>
        </w:rPr>
        <w:t>Available abstract (not full text):</w:t>
      </w:r>
      <w:r>
        <w:t xml:space="preserve"> This article analyses the cybersecurity policies of Poland, Finland, and Sweden within the context of the contemporary European security environment.States operating in a highly digitalised and contested environment increasingly embed cybersecurity within core security policy rather than treating it as a separate technical domain.The analysis draws on selected legal acts and strategic documents and applies a systemic and comparative approach to identify both shared instruments and country-specific institutional solutions.The findings indicate that cybersecurity is closely linked to the protection of critical infrastructure, the continuity of public administration and the ability of institutions to function under conditions of disruption and external pressure.However, differences emerge in how similar assumptions are translated into organisational and coordination mechanisms, reflecting distinct administrative traditions, security cultures and geopolitical positions.The article also shows that NATO membership reinforces the political importance of cybersecurity without fundamentally altering the underlying logic of national policies.</w:t>
      </w:r>
    </w:p>
    <w:p>
      <w:pPr>
        <w:pStyle w:val="Heading2"/>
      </w:pPr>
      <w:r>
        <w:t>659.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2026:</w:t>
      </w:r>
      <w:r>
        <w:t xml:space="preserve"> Beyond the Verdict: FDI Consequences of ICSID Arbitration in South Asia — https://openalex.org/W7216962468</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research paper considers whether investment arbitration outcome at International Centre of Settlement of Investment Disputes (ICSID) has any effects on future foreign direct investment (FDI) in South Asian economies. Although, existing literature is mainly concerned with the existence of bilateral investment treaties (BITs), little has been done to establish the economic implications of real-life outcomes of arbitrations. This paper uses fixed effects panel estimation on a balanced sample of five South Asian countries for the years 2000-2022 to determine the effect of losing ICSID cases and the size of damages awarded on future inflows of FDI. The empirical findings offer strong support to the idea that negative ICSID arbitration outcomes are a strong deterrent of future FDI inflows. In particular, the loss in an arbitration case causes statistically and economically significant negative impact on FDI. Furthermore, hefty monetary awards enhance the negative impact. These results are stronger in other specifications and sensitivity tests. The behaviour of control variables is consistent with theoretical expectations. Thus, market size, trade openness, macroeconomic stability and healthy political institutions are significant in shaping investment decisions. The research adds to investment treaties literature by showing that credibility in international investments governanc</w:t>
      </w:r>
    </w:p>
    <w:p>
      <w:pPr/>
      <w:r>
        <w:rPr>
          <w:b/>
        </w:rPr>
        <w:t>POSSIBLE 2026:</w:t>
      </w:r>
      <w:r>
        <w:t xml:space="preserve"> Decoupling strength-damage trade-offs in additively manufactured alloys via engineered strain gradient — https://doi.org/10.1007/s10483-026-3386-8</w:t>
      </w:r>
    </w:p>
    <w:p>
      <w:pPr/>
      <w:r>
        <w:rPr>
          <w:b/>
        </w:rPr>
        <w:t>Shared claim-specific concepts:</w:t>
      </w:r>
      <w:r>
        <w:t xml:space="preserve"> damage, but; EU scope not established. This is a provisional connection, not an outcome finding.</w:t>
      </w:r>
    </w:p>
    <w:p>
      <w:pPr>
        <w:pStyle w:val="SourceNote"/>
      </w:pPr>
      <w:r>
        <w:rPr>
          <w:b/>
        </w:rPr>
        <w:t>Available abstract (not full text):</w:t>
      </w:r>
      <w:r>
        <w:t xml:space="preserve"> Abstract The strength and damage tolerance of additively manufactured (AM) alloys are significantly influenced by their heterogeneous microstructures. However, establishing quantitative relationships between these microstructural characteristics and the resulting mechanical properties remains a challenge. Here, a microstructure-based mechanical model is established based on the heterogeneous grain distribution within the melt pool, with particular emphasis on the strain gradient effect arising from the deformation incompatibility between distinct grain regions. The strengthening mechanisms and local deformation response of AM alloys are elucidated with the finite element method (FEM). The strain gradient effect generated by the deformation incompatibility between the columnar and equiaxed grain regions enhances the local stress near the equiaxed-columnar interface, which is an important reason for the overall work hardening. Concurrently, the local stress concentration makes it easier to reach the critical stress for microcrack nucleation at the interface, leading to failure and a lack of synergy between the strength and damage tolerance. The prediction of the crack initiation location based on the simulation results is consistent with the previous experiments. By further quantitatively predicting the comprehensive effects of melt pool size on strength, strain hardening, and da</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pStyle w:val="Heading2"/>
      </w:pPr>
      <w:r>
        <w:t>660.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Association of estimated glucose disposal rate with incident stroke in circadian syndrome: a prospective cohort study — https://doi.org/10.1038/s41598-026-64746-8</w:t>
      </w:r>
    </w:p>
    <w:p>
      <w:pPr/>
      <w:r>
        <w:rPr>
          <w:b/>
        </w:rPr>
        <w:t>Shared claim-specific concepts:</w:t>
      </w:r>
      <w:r>
        <w:t xml:space="preserve"> estimated, incident, strokes; EU scope not established. This is a provisional connection, not an outcome finding.</w:t>
      </w:r>
    </w:p>
    <w:p>
      <w:pPr>
        <w:pStyle w:val="SourceNote"/>
      </w:pPr>
      <w:r>
        <w:rPr>
          <w:b/>
        </w:rPr>
        <w:t>Available abstract (not full text):</w:t>
      </w:r>
      <w:r>
        <w:t xml:space="preserve"> The estimated glucose disposal rate (eGDR) is associated with the incidence of incident stroke (IS). However, its role in predicting IS within the Circadian Syndrome (CircS), a multisystem metabolic disorder, remains unclear. A prospective cohort study was conducted with 3,128 adults (≥ 45 years) diagnosed with CircS and without baseline stroke, utilizing data from the China Health and Retirement Longitudinal Study (CHARLS). The primary outcome was the incidence of IS during the follow-up period. Analyses were performed using Cox proportional hazards models, restricted cubic spline (RCS), subgroup analysis, and area under the curve (AUC) assessments. Followed for a median of 108 months (2012–2020), 409 first-onset strokes (13.07%) occurred. After fully adjusting, eGDR (HR = 0.85, 95% CI: 0.80–0.89, p &lt; 0.001), eGDR/CircS scores (eGDR divided by CircS component count, HR = 0.53, 95% CI: 0.44–0.63, p &lt; 0.001), and cumulative eGDR (HR = 0.93, 95% CI: 0.91–0.95, p &lt; 0.001) were associated with IS. Graded inverse associations were observed across quartile/tertile, with the highest eGDR quartile halving the risk compared to Q1 (HR = 0.42, 95% CI: 0.30–0.59, p &lt; 0.001). Optimal eGDR level control (cluster class) conferred a lower risk than the poorest control (HR = 0.38, 95% CI: 0.28–0.53, p &lt; 0.001). Dose–response relationships were significantly linear (p for overall &lt; 0.001) for eG</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estimated, additional, incident, prevalent, cases;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Postthrombotic syndrome: risk after deep vein thrombosis and estimates of its incidence and prevalence in Europe — https://doi.org/10.1016/j.jtha.2025.12.017</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BACKGROUND: Postthrombotic syndrome (PTS) is a common complication of deep vein thrombosis (DVT) of the lower extremities, associated with reduced quality of life and high health care costs. No reliable estimates exist of PTS risk by DVT location and its burden in the general population. OBJECTIVES: This study estimated the risk of PTS by anatomical location of DVT and the age- and sex-specific incidence and prevalence of PTS in Europe. METHODS: We performed a systematic review and mixed-effects meta-analysis of studies reporting the cumulative incidence of PTS defined by Villalta score in patients with iliofemoral, femoropopliteal, and distal DVT. We then applied location-specific risk estimates to age- and sex-specific European DVT incidence data using a life table approach with Monte Carlo simulations to calculate the annual incidence and prevalence of PTS. RESULTS: Among 49 studies (N = 14 171; 15 interventional, 34 observational), estimated PTS risk was 51.1% (95% CI, 39.5%-62.7%) for iliofemoral, 30.7% (95% CI, 21.4%-39.9%) for femoropopliteal, and 22.8% (95% CI, 17.1%-29.8%) for distal DVT, assuming no systematic use of compression stockings for proximal DVT. We estimate that 250 000 (95% CI, 220 000-315 000) new PTS cases annually in Europe (incidence, 0.34 [95% CI, 0.29-0.42] per 1000) and 4.86 million (95% CI, 4.11-5.88) prevalent cases (prevalence, 6.5 [95% CI, 5.5-7</w:t>
      </w:r>
    </w:p>
    <w:p>
      <w:pPr/>
      <w:r>
        <w:rPr>
          <w:b/>
        </w:rPr>
        <w:t>POSSIBLE 2026:</w:t>
      </w:r>
      <w:r>
        <w:t xml:space="preserve"> Assessment of health risks from exposure to indoor volatile organic compounds in European educational buildings — https://doi.org/10.1038/s41598-026-37072-2</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Volatile organic compounds (VOCs) comprise an important group of indoor air pollutants, commonly found in building materials and consumer products. Due to their low boiling points, VOCs are prevalent in indoor environments, with concentrations in homes, schools, and offices often two to five times higher than outdoors. Chronic exposure to VOCs is linked to a range of adverse health outcomes, including respiratory, neurological, cardiovascular damage, and an increased cancer risk. Children and adolescents who spend a significant amount of time in educational buildings are particularly vulnerable to these effects. Therefore, this study aimed to estimate the related health risks to those in day care centres, schools, high-schools and universities across 17 member states of the European Union (EU) by utilizing a previously published dataset and collecting data on levels of 9 VOCs. Health risks were assessed using the World Health Organization's Indoor Air Quality Risk Calculator. Point of departure indices (PODIs) and cancer risks were calculated, with values above 1.0 and 10 cases/1 million population respectively indicating an increased health risk. Our results showed that formaldehyde exposure poses an increased risk of respiratory, neurological and carcinogenic effects in educational buildings in 14 of the countries studied. Additionally, neurological risks from exposure to ben</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2024:</w:t>
      </w:r>
      <w:r>
        <w:t xml:space="preserve"> Abstract 4139533: Epigenetic Factors Predict Incident Heart Failure with Preserved Ejection Fraction — https://doi.org/10.1161/circ.150.suppl_1.4139533</w:t>
      </w:r>
    </w:p>
    <w:p>
      <w:pPr/>
      <w:r>
        <w:rPr>
          <w:b/>
        </w:rPr>
        <w:t>Shared claim-specific concepts:</w:t>
      </w:r>
      <w:r>
        <w:t xml:space="preserve"> estimated, additional, incident, million; EU scope visible. This is a provisional connection, not an outcome finding.</w:t>
      </w:r>
    </w:p>
    <w:p>
      <w:pPr>
        <w:pStyle w:val="SourceNote"/>
      </w:pPr>
      <w:r>
        <w:rPr>
          <w:b/>
        </w:rPr>
        <w:t>Available abstract (not full text):</w:t>
      </w:r>
      <w:r>
        <w:t xml:space="preserve"> Background: Heart failure (HF) is a life-threatening aging-related syndrome with growing impact on the global population. It is estimated that &gt;8 million adults in the US will be living with HF by 2030. HF with preserved EF (HFpEF), defined by an ejection fraction ≥50%, frequently has delayed diagnosis and limited treatment options. HFpEF progression can be affected by both gene and environment via different molecular pathways, which can be assessed by epigenetic factors measured by DNA methylation (DNAm). Methods: The DNAm levels of peripheral blood cells at enrollment into the Million Veteran Program (MVP) were profiled using the Illumina’s EPIC array. After excluding samples with low quality or discordant sex, and merging with the phenotypic data, the multi-ancestry (~70%, 24%, 5.4%, and 0.6% are European, African, Hispanic, and Asian Americans, respectively) epigenetic association study in the MVP included 1658 with incident HFpEF and 33926 controls without any record of HF. Incident HFpEF was defined as the presence of a diagnostic code for HF after enrollment into MVP and a measured left ventricle ejection fraction ≥50% within 90 days of first appearance of HF diagnosis code. For each DNAm site, the association with HFpEF was examined in a multiple regression model adjusted for age, sex, race/ethnicity, calculated cell type proportions, and potential batch effects. Epigen</w:t>
      </w:r>
    </w:p>
    <w:p>
      <w:pPr/>
      <w:r>
        <w:rPr>
          <w:b/>
        </w:rPr>
        <w:t>POSSIBLE 2024:</w:t>
      </w:r>
      <w:r>
        <w:t xml:space="preserve"> A preliminary estimate of the environmental burden of disease associated with exposure to pyrethroid insecticides and ADHD in Europe based on human biomonitoring — https://doi.org/10.1186/s12940-024-01131-w</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Human biomonitoring (HBM) data indicate that exposure to pyrethroids is widespread in Europe, with significantly higher exposure observed in children compared to adults. Epidemiological, toxicological, and mechanistic studies raise concerns for potential human health effects, particularly, behavioral effects such as attention deficit hyperactivity disorder (ADHD) in children at low levels of exposure. Based on an exposure-response function from a single European study and on available quality-assured and harmonized HBM data collected in France, Germany, Iceland, Switzerland, and Israel, a preliminary estimate of the environmental burden of disease for ADHD associated with pyrethroid exposure was made for individuals aged 0-19 years. The estimated annual number of prevalence-based disability-adjusted life years (DALYs) per million inhabitants were 27 DALYs for Israel, 21 DALYs for France, 12 DALYs for both Switzerland and Iceland, and 3 DALYs for Germany; while the annual ADHD cases per million inhabitants attributable to pyrethroids were 2189 for Israel, 1710 for France, 969 for Iceland, 944 for Switzerland, and 209 for Germany. Direct health costs related to ADHD ranged between 0.3 and 2.5 million EUR yearly per million inhabitants for the five countries. Additionally, a substantial number of ADHD cases, on average 18%, were associated with pyrethroid exposure. Yet, these figu</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pStyle w:val="Heading2"/>
      </w:pPr>
      <w:r>
        <w:t>661.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2026:</w:t>
      </w:r>
      <w:r>
        <w:t xml:space="preserve"> Marine Protected Areas for Europe (MPA Europe) — https://doi.org/10.3897/rio.12.e218514</w:t>
      </w:r>
    </w:p>
    <w:p>
      <w:pPr/>
      <w:r>
        <w:rPr>
          <w:b/>
        </w:rPr>
        <w:t>Shared claim-specific concepts:</w:t>
      </w:r>
      <w:r>
        <w:t xml:space="preserve"> contribute, climate, data, includes;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Trends in Extent and Size of European Ecosystem Units From 2000 to 2018 — https://doi.org/10.1111/ddi.70179</w:t>
      </w:r>
    </w:p>
    <w:p>
      <w:pPr/>
      <w:r>
        <w:rPr>
          <w:b/>
        </w:rPr>
        <w:t>Shared claim-specific concepts:</w:t>
      </w:r>
      <w:r>
        <w:t xml:space="preserve"> climate, data, annual; EU scope visible. This is a provisional connection, not an outcome finding.</w:t>
      </w:r>
    </w:p>
    <w:p>
      <w:pPr>
        <w:pStyle w:val="SourceNote"/>
      </w:pPr>
      <w:r>
        <w:rPr>
          <w:b/>
        </w:rPr>
        <w:t>Available abstract (not full text):</w:t>
      </w:r>
      <w:r>
        <w:t xml:space="preserve"> ABSTRACT Introduction and Aim The mapping and monitoring of ecosystem size and extent is critical for assessing changes in the environment. Mapping approaches typically include the use of expert‐based assessments and remotely sensed products. In this work, we present a new annual high‐resolution time series dataset of ecosystem units for Europe that integrates a range of different data sources. In total, 411 different distinct ecosystem units were identified in the EU27+, with large patches of woodland and forest in cold climates and temperate climate croplands on plain terrain as the two most commonly occurring types in 2000. Over the 18 year period, only 56 ecosystems remained stable, with area increases in 192 ecosystem types but losses in area in 163 of them. Furthermore, we highlight gaps in representation for 16.8% of all ecosystem units in the current protected area network. Main Variables Included Corine Land cover time series, Landforms, climate, patch size. Time Coverage 2000 to 2018. Spatial Coverage 100 m spatial resolution at pan‐European extent. Taxa Ecosystem assessment. Applications The dataset is consistent with previous EU ecosystem accounting assessments, while providing additional detail on climate, landform and fragmentation. It can serve as a data source, for example, for ecosystem accounting, conservation planning, or species distribution modelling.</w:t>
      </w:r>
    </w:p>
    <w:p>
      <w:pPr/>
      <w:r>
        <w:rPr>
          <w:b/>
        </w:rPr>
        <w:t>POSSIBLE 2026:</w:t>
      </w:r>
      <w:r>
        <w:t xml:space="preserve"> Unveiling the environmental impact of earthquakes in Europe — https://doi.org/10.1038/s41467-025-68120-6</w:t>
      </w:r>
    </w:p>
    <w:p>
      <w:pPr/>
      <w:r>
        <w:rPr>
          <w:b/>
        </w:rPr>
        <w:t>Shared claim-specific concepts:</w:t>
      </w:r>
      <w:r>
        <w:t xml:space="preserve"> here, comprehensive, database, data;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Consistent and Harmonized Forest Statistics for Forest-use Intensity Analyses Across Europe (2000–2023) — https://doi.org/10.5194/essd-2026-540</w:t>
      </w:r>
    </w:p>
    <w:p>
      <w:pPr/>
      <w:r>
        <w:rPr>
          <w:b/>
        </w:rPr>
        <w:t>Shared claim-specific concepts:</w:t>
      </w:r>
      <w:r>
        <w:t xml:space="preserve"> here, database, data, annual; EU scope visible. This is a provisional connection, not an outcome finding.</w:t>
      </w:r>
    </w:p>
    <w:p>
      <w:pPr>
        <w:pStyle w:val="SourceNote"/>
      </w:pPr>
      <w:r>
        <w:rPr>
          <w:b/>
        </w:rPr>
        <w:t>Available abstract (not full text):</w:t>
      </w:r>
      <w:r>
        <w:t xml:space="preserve"> Abstract. Forests play a crucial role in Europe as carbon sinks, biodiversity reservoirs, and sources of renewable raw materials. Reliable Europe-wide statistics on forest biomass stocks, forest area, and harvest at national and subnational scales are essential for monitoring biomass dynamics and supporting sustainable forest management. However, the availability of such data remains incomplete, and differences in definitions, methodologies, and reporting standards introduce substantial uncertainties that hinder robust interpretation. Here, we present EuFor, an open-access database of key forest indicators for 38 European countries, derived from National Forest Inventories (NFIs), census statistics, and datasets from international organizations. It is openly available at https://doi.org/10.5281/zenodo.20815146. EuFor consists of two subsets: (i) EuFor-reported, a compilation of primary statistical data for 1990–2023, and (ii) EuFor-harmonized, a stock-flow consistent annual time series of forest area, roundwood volumes of growing stock and harvest for 2000–2023 across 21 national and 193 subnational units. EuFor shows near-perfect agreement with an authoritative reference dataset at the European aggregate level. At the country level, however, discrepancies vary substantially. Agreement is highest for forest area (mean relative deviation: 3.2 %; mean Pearson correlation: r = 0.7</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Intercomparison of Earth Observation products for hyper-resolution hydrological modelling over Europe — https://doi.org/10.1016/j.rse.2025.115131</w:t>
      </w:r>
    </w:p>
    <w:p>
      <w:pPr/>
      <w:r>
        <w:rPr>
          <w:b/>
        </w:rPr>
        <w:t>Shared claim-specific concepts:</w:t>
      </w:r>
      <w:r>
        <w:t xml:space="preserve"> here, comprehensive, data; EU scope visible. This is a provisional connection, not an outcome finding.</w:t>
      </w:r>
    </w:p>
    <w:p>
      <w:pPr>
        <w:pStyle w:val="SourceNote"/>
      </w:pPr>
      <w:r>
        <w:rPr>
          <w:b/>
        </w:rPr>
        <w:t>Available abstract (not full text):</w:t>
      </w:r>
      <w:r>
        <w:t xml:space="preserve"> The increasing frequency and severity of hydrological extremes demand the development of early warning systems and effective adaptation and mitigation strategies. Such systems and strategies require spatially detailed hydrological predictions, mostly provided by hydrological models. However, current state-of-the-art hydrological predictions remain limited in their spatial resolution. A proposed solution is the integration of high-resolution (&lt;[jls-end-space/]1 km) Earth observation (EO) products in hydrological modelling in order to reach hyper-resolution (approximately 1km2). Nonetheless, proper use of these data in hydrological modelling requires a comprehensive characterization of their uncertainties. Here, we evaluate the performance of high-resolution EO products of four hydrological variables (7 precipitation products, 5 snow cover area products, 6 surface soil moisture products, and 6 actual evapotranspiration products) against observational references. Two merged EO precipitation products at 1km resolution (merged IMERG-SM2A and merged ERA5-IMERG-SM2A) reached correlation coefficients &gt;[jls-end-space/]0.5 with the benchmark reference over most areas and are recommended for hyper-resolution hydrological modelling over Europe. The MODIS (resolution of 250 m) and Sentinel-2/Landsat-8 (resolution of 20/30 m) snow cover products showed the highest classification accuracy and</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pStyle w:val="Heading2"/>
      </w:pPr>
      <w:r>
        <w:t>662.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2026:</w:t>
      </w:r>
      <w:r>
        <w:t xml:space="preserve"> Democratic representation of dependent claim makers — https://doi.org/10.1080/14754835.2025.2600953</w:t>
      </w:r>
    </w:p>
    <w:p>
      <w:pPr/>
      <w:r>
        <w:rPr>
          <w:b/>
        </w:rPr>
        <w:t>Shared claim-specific concepts:</w:t>
      </w:r>
      <w:r>
        <w:t xml:space="preserve"> argue, makers; EU scope visible. This is a provisional connection, not an outcome finding.</w:t>
      </w:r>
    </w:p>
    <w:p>
      <w:pPr>
        <w:pStyle w:val="SourceNote"/>
      </w:pPr>
      <w:r>
        <w:rPr>
          <w:b/>
        </w:rPr>
        <w:t>Available abstract (not full text):</w:t>
      </w:r>
      <w:r>
        <w:t xml:space="preserve"> Despite its focus on politically underrepresented groups, the representation literature has excluded persons (e.g., those with cognitive disabilities and severe somatic diseases) who temporarily or permanently cannot make political claims and represent themselves independently. I conceptualize these persons as dependent claim makers and argue that their inclusion in the literature is vital for understanding how citizens can have their interests attended to in all phases and variations of life. I propose and specify a theoretical framework for understanding dependent claim makers’ (lack of) substantive democratic representation, focusing on public policymaking processes. Building on unique interviews with civil servants and a minister in charge of creating a new governmental policy on the human rights of persons with intellectual disabilities in Norway and my own participation in this process, I suggest how representation can take place by emphasizing policymakers’ identification with the underrepresented group and knowledge on group-specific operationalizations of general policy goals, and by implementing mandatory accountability mechanisms.</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2025:</w:t>
      </w:r>
      <w:r>
        <w:t xml:space="preserve"> From the ground up: exploring European carbon farming through social practice theory — https://doi.org/10.1016/j.jrurstud.2025.103850</w:t>
      </w:r>
    </w:p>
    <w:p>
      <w:pPr/>
      <w:r>
        <w:rPr>
          <w:b/>
        </w:rPr>
        <w:t>Shared claim-specific concepts:</w:t>
      </w:r>
      <w:r>
        <w:t xml:space="preserve"> argue, approach, makers; EU scope visible. This is a provisional connection, not an outcome finding.</w:t>
      </w:r>
    </w:p>
    <w:p>
      <w:pPr>
        <w:pStyle w:val="SourceNote"/>
      </w:pPr>
      <w:r>
        <w:rPr>
          <w:b/>
        </w:rPr>
        <w:t>Available abstract (not full text):</w:t>
      </w:r>
      <w:r>
        <w:t xml:space="preserve"> The IPCC has highlighted the role of Carbon Dioxide Removals (CDR) to limit global warming to 1,5 °C, as hard-to-abate emissions fail to reach target reductions. Many academics, policy makers, private actors and civil society organisations argue that rewarding carbon farming could be a key approach to increasing CDR despite the uncertainty around the potential of carbon farming to contribute to net-zero efforts. The experiences and lived realities of farmers have largely been overlooked in the scientific and policy debates around carbon farming. Nevertheless, the EU is heavily investing in the development of carbon certificates for land managers through policies such as the Carbon Removal and Carbon Farming regulation (CRCF). This study provides a bottom-up perspective to carbon farming, by learning from farmers who have already implemented the ground-level changes sought by policy-makers. We collected data on the practices of 21 front-runners across Europe who are already involved in carbon farming initiatives. We find that carbon farming practices are deeply entangled in complexes across space and time, which leads to unique trade-offs and choices borne by the farmer. We also find that front-runner farmers are in a constant state of adapting practices to fit the context of their farm through experimentation. This leads to alternative entry points worthy of further exploration</w:t>
      </w:r>
    </w:p>
    <w:p>
      <w:pPr/>
      <w:r>
        <w:rPr>
          <w:b/>
        </w:rPr>
        <w:t>POSSIBLE 2025:</w:t>
      </w:r>
      <w:r>
        <w:t xml:space="preserve"> Understanding the Challenges of Maker Entrepreneurship — https://doi.org/10.1145/3711096</w:t>
      </w:r>
    </w:p>
    <w:p>
      <w:pPr/>
      <w:r>
        <w:rPr>
          <w:b/>
        </w:rPr>
        <w:t>Shared claim-specific concepts:</w:t>
      </w:r>
      <w:r>
        <w:t xml:space="preserve"> makers, support, help; EU scope not established. This is a provisional connection, not an outcome finding.</w:t>
      </w:r>
    </w:p>
    <w:p>
      <w:pPr>
        <w:pStyle w:val="SourceNote"/>
      </w:pPr>
      <w:r>
        <w:rPr>
          <w:b/>
        </w:rPr>
        <w:t>Available abstract (not full text):</w:t>
      </w:r>
      <w:r>
        <w:t xml:space="preserve"> The maker movement embodies a resurgence in DIY creation, merging physical craftsmanship and arts with digital technology support. However, mere technological skills and creativity are insufficient for economically and psychologically sustainable practice. By illuminating and smoothing the path from "maker" to "maker entrepreneur," we can help broaden the viability of making as a livelihood. Our research centers on makers who design, produce, and sell physical goods. In this work, we explore the transition to entrepreneurship for these makers and how technology can facilitate this transition online and offline. We present results from interviews with 20 USA-based maker entrepreneurs (i.e., lamps, stickers), six creative service entrepreneurs (i.e., photographers, fabrication), and seven support personnel (i.e., art curator, incubator director). Our findings reveal that many maker entrepreneurs 1) are makers first and entrepreneurs second; 2) struggle with business logistics and learn business skills as they go; and 3) are motivated by non-monetary values. We discuss training and technology-based design implications and opportunities for addressing challenges in developing economically sustainable businesses around making.</w:t>
      </w:r>
    </w:p>
    <w:p>
      <w:pPr>
        <w:pStyle w:val="Heading2"/>
      </w:pPr>
      <w:r>
        <w:t>663.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2026:</w:t>
      </w:r>
      <w:r>
        <w:t xml:space="preserve"> Crisis and Conversion: Lessons from Conversion in the Middle East — https://openalex.org/W7220889087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article investigates the dynamics of conversion among Arab Muslims from Islam to Christianity. Utilizing Lewis Rambo's Model of Conversion as the theoretical lens, the study analyzes original qualitative research of conversion narratives. The article discusses: (1) the role of crisis in initiating conversion journeys; (2) the relationship between conversion barriers and crisis; (3) the nature of crisis and its relationship to the converts’ decision to repent and commit to Christ; and (4) a comparison of this conversion trajectory with a stereotypical model. The article concludes with concrete suggestions for evangelistic ministry that can be applied in any context.</w:t>
      </w:r>
    </w:p>
    <w:p>
      <w:pPr/>
      <w:r>
        <w:rPr>
          <w:b/>
        </w:rPr>
        <w:t>POSSIBLE 2026:</w:t>
      </w:r>
      <w:r>
        <w:t xml:space="preserve"> Transforming the neoliberal state in times of crisis: pathways of democratization and sustainabilization — https://doi.org/10.1080/15487733.2026.2676224</w:t>
      </w:r>
    </w:p>
    <w:p>
      <w:pPr/>
      <w:r>
        <w:rPr>
          <w:b/>
        </w:rPr>
        <w:t>Shared claim-specific concepts:</w:t>
      </w:r>
      <w:r>
        <w:t xml:space="preserve"> conclude, discussing, crisis, role; EU scope not established. This is a provisional connection, not an outcome finding.</w:t>
      </w:r>
    </w:p>
    <w:p>
      <w:pPr>
        <w:pStyle w:val="SourceNote"/>
      </w:pPr>
      <w:r>
        <w:rPr>
          <w:b/>
        </w:rPr>
        <w:t>Available abstract (not full text):</w:t>
      </w:r>
      <w:r>
        <w:t xml:space="preserve"> Western liberal societies are currently facing two intertwined crises: a crisis of democracy and a crisis of sustainability. In this article, we argue that this dual crisis has its roots in neoliberalism and neoliberal statehood. While the state is partly complicit in bringing about the crisis, it can also play a pivotal role in addressing it. However, to do so, it must fundamentally transform its institutional structures and processes to become more democratic and sustainable. Based on an analysis of the current crises and the role of the neoliberal state, we outline the normative contours of sustainable statehood and clarify its democratic prerequisites. Drawing on an examination of four practical transformation pathways to a democratic and sustainable state, we argue that initial steps toward this ideal may already be underway. We conclude by discussing the state’s potential and limitations in promoting a virtuous cycle of “democratization” and “sustainabilization” to overcome the current double crisis.</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2025:</w:t>
      </w:r>
      <w:r>
        <w:t xml:space="preserve"> Making Sense of the Climate Crisis — https://doi.org/10.4324/9781003505006-17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chapter shares the experience and reflections from setting up the Climate Change &amp; Sustainability Law Clinic (CCSLC) at Vrije Universiteit Amsterdam, as one of the first law clinics fully dedicated to climate justice. It discusses its rationale and vision and reflects on the question of embedding a climate law clinic in the law curriculum, since questions of embedment can raise barriers for the long-term running of a clinic of this kind. This chapter also reflects on the CCSLC’s transition from an experimental initiative to a structured course, sharing elements that promote a deep learning approach about the role of law in the climate crisis, as well as limitations linked to the small scale and cyclical nature of the Clinic. The piece concludes with the recognition of the growing phenomenon of climate law clinics, particularly in the Global South, and the potential for transnational collaborations.</w:t>
      </w:r>
    </w:p>
    <w:p>
      <w:pPr/>
      <w:r>
        <w:rPr>
          <w:b/>
        </w:rPr>
        <w:t>POSSIBLE 2025:</w:t>
      </w:r>
      <w:r>
        <w:t xml:space="preserve"> The role of credit rating agencies in the ‘debt crisis’ — https://doi.org/10.35188/unu-wider/psvc1263</w:t>
      </w:r>
    </w:p>
    <w:p>
      <w:pPr/>
      <w:r>
        <w:rPr>
          <w:b/>
        </w:rPr>
        <w:t>Shared claim-specific concepts:</w:t>
      </w:r>
      <w:r>
        <w:t xml:space="preserve"> nature, crisis, role, means; EU scope not established. This is a provisional connection, not an outcome finding.</w:t>
      </w:r>
    </w:p>
    <w:p>
      <w:pPr>
        <w:pStyle w:val="SourceNote"/>
      </w:pPr>
      <w:r>
        <w:rPr>
          <w:b/>
        </w:rPr>
        <w:t>Available abstract (not full text):</w:t>
      </w:r>
      <w:r>
        <w:t xml:space="preserve"> The impact of credit rating agencies (CRAs) on development—particularly their influence on interest rates for sovereign bonds and therefore the debt-financing costs for Global South countries—is increasingly being identified as a critical issue on the development finance agenda. The UN Secretary General’s continued engagement with the CRAs was noted in the Pact for the Future, whilst the South African President referred to the role of CRAs when launching South Africa’s Presidency of the G20 which comes on the back of Brazil focusing on the role of CRAs in aiding greater lending from multilateral development banks (MDBs). All this focus is aimed at one particular issue—the cost of capital. As capital is required for developing nations to meet their developmental needs, the cost of acquiring that capital is all important. How that cost is calculated and implemented is increasingly becoming a critical debate for the global agenda. Due to their role in determining the cost of capital, credit ratings from the leading international CRAs—S&amp;P Global, Moody’s, and Fitch—are intrinsically important to national development prospects. CRAs exist primarily to provide opinions on creditworthiness. With respect to sovereign debt, these opinions are designed to be used by private creditors, banks and institutional investors like asset managers, pension funds, and insurance companies. Creditors</w:t>
      </w:r>
    </w:p>
    <w:p>
      <w:pPr/>
      <w:r>
        <w:rPr>
          <w:b/>
        </w:rPr>
        <w:t>POSSIBLE 2025:</w:t>
      </w:r>
      <w:r>
        <w:t xml:space="preserve"> THE ROLE OF DECENTRALIZED GOVERNANCE IN PUBLIC HEALTH CRISIS MANAGEMENT AND LESSONS LEARNED FROM GLOBAL RESPONSES — https://openalex.org/W7217974950</w:t>
      </w:r>
    </w:p>
    <w:p>
      <w:pPr/>
      <w:r>
        <w:rPr>
          <w:b/>
        </w:rPr>
        <w:t>Shared claim-specific concepts:</w:t>
      </w:r>
      <w:r>
        <w:t xml:space="preserve"> crisis, role; EU scope visible. This is a provisional connection, not an outcome finding.</w:t>
      </w:r>
    </w:p>
    <w:p>
      <w:pPr>
        <w:pStyle w:val="SourceNote"/>
      </w:pPr>
      <w:r>
        <w:rPr>
          <w:b/>
        </w:rPr>
        <w:t>Available abstract (not full text):</w:t>
      </w:r>
      <w:r>
        <w:t xml:space="preserve"> This paper explores the role of decentralized governance in public health crisis management, with a focus on lessons learned from global responses to health emergencies like the COVID-19 pandemic. Decentralized governance, characterized by the distribution of authority from central to local levels of government, can significantly influence the effectiveness of public health responses. By enabling local authorities to make context-specific decisions, decentralized systems have the potential to enhance responsiveness and community engagement. However, the paper also discusses the challenges associated with decentralized governance, such as coordination difficulties, resource inequalities, and inconsistent policy implementation. Through a systematic review of literature spanning from 2000 to 2021, the study evaluates the advantages and drawbacks of decentralized governance during public health crises. Case studies, including responses from countries like India, Germany, and South Korea, are analyzed to derive key insights. The paper concludes with recommendations for optimizing decentralized governance structures to improve future public health crisis management, focusing on better coordination, resource equity, and policy alignment.</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2024:</w:t>
      </w:r>
      <w:r>
        <w:t xml:space="preserve"> Transnational Solidarity in Crisis — https://doi.org/10.5771/9783748919865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Crises are privileged moments of solidarization and desolidarisation. On one hand, solidarity-based institutions are often at issue in times of crises. On the other hand, solidarity is invoked to mitigate or overcome crises. This puts political and legal authorities, in which solidarity is negotiated, under pressure. This book analyses the impact of such dynamics from a legal and political science perspective by focusing on three societal crises of our time: economic crises, migration crises, and pandemics. The authors combine theoretical and empirical analysis with legal considerations to highlight the role of institutions and law in shaping the dynamic between solidarity and crisis. eepl.com), die nach unseren Erfahrungen sehr gute Ergebnisse liefert.</w:t>
      </w:r>
    </w:p>
    <w:p>
      <w:pPr>
        <w:pStyle w:val="Heading2"/>
      </w:pPr>
      <w:r>
        <w:t>664.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665.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2026:</w:t>
      </w:r>
      <w:r>
        <w:t xml:space="preserve"> The growing burden of dementia in Asia: Comparative insights from Japan, China, and India — https://doi.org/10.1016/j.tjpad.2026.100614</w:t>
      </w:r>
    </w:p>
    <w:p>
      <w:pPr/>
      <w:r>
        <w:rPr>
          <w:b/>
        </w:rPr>
        <w:t>Shared claim-specific concepts:</w:t>
      </w:r>
      <w:r>
        <w:t xml:space="preserve"> dementia, leading, mortality, disease, burden, health; EU scope not established. This is a provisional connection, not an outcome finding.</w:t>
      </w:r>
    </w:p>
    <w:p>
      <w:pPr>
        <w:pStyle w:val="SourceNote"/>
      </w:pPr>
      <w:r>
        <w:rPr>
          <w:b/>
        </w:rPr>
        <w:t>Available abstract (not full text):</w:t>
      </w:r>
      <w:r>
        <w:t xml:space="preserve"> BACKGROUND: Alzheimer's disease and other dementias (ADODs) are increasingly becoming a major public health concern in rapidly ageing Asia. We compared the disease burden across Japan, China, and India at different demographic stages. DESIGN: The Global Burden of Disease Study of 2023 was used to analyze the incidence, prevalence, mortality, and disability-adjusted life years (DALYs) in 1990-2023. Decomposition analysis identified drivers of DALYs trends. DALYs associated risk factors were quantified. The Auto-Regressive Integrated Moving Average model was used to predict future disease burden. RESULTS: In 2023, China had the highest absolute burden, with age-standardized incidence and prevalence rates of 156.63 (95% uncertainty interval [UI]: 136.58-175.49) and 918.83(95% UI: 784.59-1,058.24) per 100,000, respectively. Japan recorded the highest age-standardized mortality rate (31.25 [8.47-71.42] per 100,000). India had the highest annual increase in mortality and DALYs, with estimated annual percentage changes of 0.91 (95% confidence interval [95% CI] 0.80-1.03) and 0.51 (0.45-0.56), respectively. Decomposition analysis revealed distinct drivers: Japan was dominated by epidemiological changes; China was driven by both aging and epidemiological changes; India was mainly due to population growth and epidemiological changes. Ambient particulate matter was the leading risk factor</w:t>
      </w:r>
    </w:p>
    <w:p>
      <w:pPr>
        <w:pStyle w:val="Heading2"/>
      </w:pPr>
      <w:r>
        <w:t>666.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2026:</w:t>
      </w:r>
      <w:r>
        <w:t xml:space="preserve"> The Global Left in a Multipolar World — https://openalex.org/W7160461154</w:t>
      </w:r>
    </w:p>
    <w:p>
      <w:pPr/>
      <w:r>
        <w:rPr>
          <w:b/>
        </w:rPr>
        <w:t>Shared claim-specific concepts:</w:t>
      </w:r>
      <w:r>
        <w:t xml:space="preserve"> world, era, made, energy, well; EU scope not established. This is a provisional connection, not an outcome finding.</w:t>
      </w:r>
    </w:p>
    <w:p>
      <w:pPr>
        <w:pStyle w:val="SourceNote"/>
      </w:pPr>
      <w:r>
        <w:rPr>
          <w:b/>
        </w:rPr>
        <w:t>Available abstract (not full text):</w:t>
      </w:r>
      <w:r>
        <w:t xml:space="preserve"> The Global Left in a Multipolar World: Towards a Planetary Politics of Justice and Survival explores how a transformative global left politics might be advanced in the context of the emerging multipolar world order and the urgent climate crisis. The book argues that the era of the purely national left is over. Instead, the twenty-first century needs a new global left that will address the critical four elements of class, imperialism, ecology and democracy in a unified way, and that will combine ideas and interventions at a multiplicity of scales from the local to the global. Chapters written by leading left scholars from the global North and the global South explore different aspects of contemporary left thought and practice and articulate different visions of potential global lefts. They offer radical and inspiring suggestions for global left programmes that can tackle both the injustices of neoliberal globalisation as well as the new threats from an advancing global right, continued neo-imperialism and the increasingly critical climate-ecological planetary crisis. Taken together, they offer a compelling vision of a global left that seeks justice – for labour, for the global South and for oppressed peoples everywhere – and survival – for everyone on our warming planet – based on and secured by a truly democratic planetary politics. The Global Left in a Multipolar World injects</w:t>
      </w:r>
    </w:p>
    <w:p>
      <w:pPr/>
      <w:r>
        <w:rPr>
          <w:b/>
        </w:rPr>
        <w:t>POSSIBLE 2026:</w:t>
      </w:r>
      <w:r>
        <w:t xml:space="preserve"> The Empirical Concentration of Political Authority in the Era of Algorithmic Geopolitics Big Tech as World Makers (Vol -II) The Empirical Concentration of Political Authority in the Era of Algorithmic Geopolitics (Vol-1) — https://doi.org/10.5281/zenodo.22991445</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This volume provides an exhaustive empirical analysis of how political authority is concentrating in apex technology firms—specifically NVIDIA, Google, Amazon, IBM, and Meta—fundamentally restructuring the traditional Westphalian state in the era of algorithmic geopolitics. Transitioning from theoretical frameworks, the report examines three distinct modalities of corporate power: (1) Infrastructural Co-optation (Google/Amazon's 'cloudification' of state apparatuses, exemplified by Project Nimbus, which subordinates state functions and uses covert contractual mechanisms like the 'winking mechanism' to neutralise foreign legal authority); (2) Hardware Hegemony (NVIDIA's monopolistic control over 'compute' through the 'Sovereign AI' doctrine, creating an absolute, neo-feudal dependency on proprietary hardware for national security); and (3) Normative Capture (IBM/Meta's strategic influence over global governance, including successfully shaping the EU AI Act through 'precision regulation' and using the AI Alliance to set de facto international standards). The research KSCCN Mamun, SM (2026) ……………………………………….1 The Empirical Concentration of Political Authority in the Era of Algorithmic Geopolitics Big Tech as World Makers (Vol - II) demonstrates that Big Tech firms are now hyper-sovereign entities, actively designing the infrastructural, material, and legal realities within which tr</w:t>
      </w:r>
    </w:p>
    <w:p>
      <w:pPr/>
      <w:r>
        <w:rPr>
          <w:b/>
        </w:rPr>
        <w:t>POSSIBLE 2026:</w:t>
      </w:r>
      <w:r>
        <w:t xml:space="preserve"> Multipolarity in the 21st Century: Challenges and Opportunities in Political Economy—A Review of the 18th Forum of World Association for Political Economy — https://doi.org/10.13169/worlrevipoliecon.17.1.0005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18th Annual Forum of the World Association for Political Economy (WAPE), hosted by WAPE, and co-organized by Turkish-Chinese Business Development and Friendship Association and Yeditepe University, was successfully held in Istanbul, Türkiye, on August 6–8, 2025, with the theme “Multipolarity in the 21st Century: Challenges and Opportunities in Political Economy.” More than 100 political economy scholars from around the world conducted in-depth discussions and communications on the reflections on political economy in a multipolar era, revisiting the classical theories of Marxist political economy, digital civilization and the era of transformation, critique of contemporary capitalism, multipolarity and global governance, rethinking classical political economy, studies in mathematical political economy and the economic theory and practice of Socialism with Chinese Characteristics for a New Era. This forum openly revealed and counterattacked the evil deeds and hypocritical nature of Neo-imperialism, Neo-hegemonism, Neo-fascism, Neo-liberalism, and Neo-colonialism, calling for an academic unification, especially in field of global political economy, to fight against them under current condition of profound changes unseen in a century.</w:t>
      </w:r>
    </w:p>
    <w:p>
      <w:pPr/>
      <w:r>
        <w:rPr>
          <w:b/>
        </w:rPr>
        <w:t>POSSIBLE 2026:</w:t>
      </w:r>
      <w:r>
        <w:t xml:space="preserve"> Global changes taking place in the world and their impact on the process of social and political transformation — https://openalex.org/W7220781405</w:t>
      </w:r>
    </w:p>
    <w:p>
      <w:pPr/>
      <w:r>
        <w:rPr>
          <w:b/>
        </w:rPr>
        <w:t>Shared claim-specific concepts:</w:t>
      </w:r>
      <w:r>
        <w:t xml:space="preserve"> political, world, era, complex, well; EU scope not established. This is a provisional connection, not an outcome finding.</w:t>
      </w:r>
    </w:p>
    <w:p>
      <w:pPr>
        <w:pStyle w:val="SourceNote"/>
      </w:pPr>
      <w:r>
        <w:rPr>
          <w:b/>
        </w:rPr>
        <w:t>Available abstract (not full text):</w:t>
      </w:r>
      <w:r>
        <w:t xml:space="preserve"> The modern world is experiencing significant and rapidly evolving global changes that are fundamentally altering the social and political foundations of human life. The 21st century is characterised by technological progress, economic integration, geopolitical redistribution, and global challenges, all of which determine the formation of a new world order to some extent. Global processes related to the evolution of the digital space, climate change, and international crises create an environment in which state institutions cannot always respond to the demands of modern reality. The pandemic caused by the novel coronavirus (SARS-CoV-2) has clearly demonstrated the interconnectedness of the world and how quickly a local crisis can escalate into a global one. Therefore, it is crucial to understand global changes and analyse their impact on social and political transformations. In-depth study of this issue allows us to better understand how societies change, the direction in which states are developing and the challenges facing the modern international system. In recent decades, global changes have had a considerable impact on the development of social and political structures. During this ongoing transformation, social norms have undergone change within states, societies and institutions, as well as in terms of political approaches. The phenomenon of economic globalisation has bee</w:t>
      </w:r>
    </w:p>
    <w:p>
      <w:pPr>
        <w:pStyle w:val="Heading2"/>
      </w:pPr>
      <w:r>
        <w:t>667.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2026:</w:t>
      </w:r>
      <w:r>
        <w:t xml:space="preserve"> Benefits and risks of consuming Cannabis sativa L. in food — https://doi.org/10.38212/2224-6614.3578</w:t>
      </w:r>
    </w:p>
    <w:p>
      <w:pPr/>
      <w:r>
        <w:rPr>
          <w:b/>
        </w:rPr>
        <w:t>Shared claim-specific concepts:</w:t>
      </w:r>
      <w:r>
        <w:t xml:space="preserve"> food, sustainable, presents; EU scope not established. This is a provisional connection, not an outcome finding.</w:t>
      </w:r>
    </w:p>
    <w:p>
      <w:pPr>
        <w:pStyle w:val="SourceNote"/>
      </w:pPr>
      <w:r>
        <w:rPr>
          <w:b/>
        </w:rPr>
        <w:t>Available abstract (not full text):</w:t>
      </w:r>
      <w:r>
        <w:t xml:space="preserve"> Cannabis sativa L. or hemp is a cosmopolitan, multi-purpose plant and area of its cultivation has been growing in recent years. Its public perception is influenced by potential to produce narcotic substances. However, hemp seed can be a valuable source of nutrients for humans and may be of particular interest in more sustainable food consumption patterns, including vegetarian and flexitarian diets. The paper presents benefits and risks of hemp seeds in case of their consumption in food. Low cannabinoids varieties are considered only. The biological activity of cannabinoids and related effects are considered out of scope of the study. Nutritional value of hemp seeds regarding content of amino acids is comparable to the value of egg whites and soya. Oil is a source of two essential fatty acids: linoleic acid and alpha-linolenic acid in a desirable ratio of 3:1. Hemp seeds are also a source of minerals, vitamins and carbohydrates, including fiber. The most characteristic hazardous properties of hemp are ability to accumulate toxic heavy metals and produce anti-nutritional substances. Breeding hemp to reduce the anti-nutritional compounds content may be promising in view of its growing popularity as a food source.</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types, climate, system;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demonstrate, dynamics, climate;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pStyle w:val="Heading2"/>
      </w:pPr>
      <w:r>
        <w:t>668.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2026:</w:t>
      </w:r>
      <w:r>
        <w:t xml:space="preserve"> Road transport carbon pricing creates uneven burdens across Europe and requires targeted revenue recycling — https://doi.org/10.1038/s44458-026-00129-4</w:t>
      </w:r>
    </w:p>
    <w:p>
      <w:pPr/>
      <w:r>
        <w:rPr>
          <w:b/>
        </w:rPr>
        <w:t>Shared claim-specific concepts:</w:t>
      </w:r>
      <w:r>
        <w:t xml:space="preserve"> show, road, transport; EU scope visible. This is a provisional connection, not an outcome finding.</w:t>
      </w:r>
    </w:p>
    <w:p>
      <w:pPr>
        <w:pStyle w:val="SourceNote"/>
      </w:pPr>
      <w:r>
        <w:rPr>
          <w:b/>
        </w:rPr>
        <w:t>Available abstract (not full text):</w:t>
      </w:r>
      <w:r>
        <w:t xml:space="preserve"> Abstract Road transport is a major source of planet-warming emissions, and carbon pricing of fuels is increasingly used to encourage cleaner mobility. Yet higher fuel prices can affect households differently depending on income, location and transport options. Here we show how a forthcoming European carbon price on road fuels could affect households in 23 countries. Using harmonized household budget data adjusted for underreported fuel purchases, we simulate higher petrol and diesel prices and compare burdens across and within income groups. Effects differ strongly across regions. In richer western countries, lower-income households often bear a larger relative burden. In several lower-income eastern countries, the policy appears less burdensome for poorer households, but this often reflects their limited access to private mobility rather than greater fairness. Across countries, households are more exposed when they depend on cars, live in less accessible areas, or lack public transport alternatives. Fair carbon pricing therefore requires targeted revenue recycling and investment in low-carbon mobility options.</w:t>
      </w:r>
    </w:p>
    <w:p>
      <w:pPr/>
      <w:r>
        <w:rPr>
          <w:b/>
        </w:rPr>
        <w:t>POSSIBLE 2026:</w:t>
      </w:r>
      <w:r>
        <w:t xml:space="preserve"> Uncovering patterns in fleet structure, activity intensity and emissions using cluster analysis of European road transport — https://doi.org/10.3846/bm.2026.2416</w:t>
      </w:r>
    </w:p>
    <w:p>
      <w:pPr/>
      <w:r>
        <w:rPr>
          <w:b/>
        </w:rPr>
        <w:t>Shared claim-specific concepts:</w:t>
      </w:r>
      <w:r>
        <w:t xml:space="preserve"> road, transport, emission, fleet, electrification; EU scope visible. This is a provisional connection, not an outcome finding.</w:t>
      </w:r>
    </w:p>
    <w:p>
      <w:pPr>
        <w:pStyle w:val="SourceNote"/>
      </w:pPr>
      <w:r>
        <w:rPr>
          <w:b/>
        </w:rPr>
        <w:t>Available abstract (not full text):</w:t>
      </w:r>
      <w:r>
        <w:t xml:space="preserve"> The decarbonization of European transport is accelerating under the combined influence of regulatory pressure, sustainable finance mechanisms, and technological innovation. According to the literature such regulatory instruments as the European Green Deal, emissions trading, and fiscal incentives remain the most decisive drivers of early-stage fleet electrification. The research aims to identify and categorize distinct patterns of road transport fleet structures, activity intensities, and emission profiles across the EU countries. K-means cluster analysis that employs road transport indicators of emissions, vehicle type and other characteristics based on 2024 data shows that Sweden, Denmark, Netherlands, Austria, and Belgium form one group. It can be characterized by the highest use of electric road vehicles and thus can be considered as “trendsetters” potentially serving as models for other countries to follow. The second cluster consists of Germany, Spain, France, Italy, Poland, Czechia, and Romania with the highest use of new freight vehicles or fastest progress towards it. Other countries form the third cluster, while Luxembourg, Estonia and Cyprus can be considered as outliers. The results are valuable for policymakers and stakeholders in designing targeted strategies for accelerating fleet electrification and low-carbon innovation across diverse national contexts, fosteri</w:t>
      </w:r>
    </w:p>
    <w:p>
      <w:pPr/>
      <w:r>
        <w:rPr>
          <w:b/>
        </w:rPr>
        <w:t>POSSIBLE 2026:</w:t>
      </w:r>
      <w:r>
        <w:t xml:space="preserve"> Development of a welfare assessment protocol for dromedary camels during road transport — https://doi.org/10.3389/fvets.2026.1868838</w:t>
      </w:r>
    </w:p>
    <w:p>
      <w:pPr/>
      <w:r>
        <w:rPr>
          <w:b/>
        </w:rPr>
        <w:t>Shared claim-specific concepts:</w:t>
      </w:r>
      <w:r>
        <w:t xml:space="preserve"> road, transport, measures; EU scope not established. This is a provisional connection, not an outcome finding.</w:t>
      </w:r>
    </w:p>
    <w:p>
      <w:pPr>
        <w:pStyle w:val="SourceNote"/>
      </w:pPr>
      <w:r>
        <w:rPr>
          <w:b/>
        </w:rPr>
        <w:t>Available abstract (not full text):</w:t>
      </w:r>
      <w:r>
        <w:t xml:space="preserve"> Transporting dromedary camels, like other farm animals, may be stressful and impair their welfare and health. The lack of standardized practices regarding loading and unloading, vehicle design and size, journey duration, and space allowance complicates camel transportation, leading to greater welfare compromise and risk. The study aimed to develop a protocol for assessing the welfare of dromedary camels during road transportation. A group of researchers and experts ( n = 10) conducted an extensive literature search and frequent meetings, during which several unstructured expert knowledge elicitation (EKE) sessions were conducted to develop the protocol. The literature search was conducted in Scopus and Web of Science databases; additionally, a snowball search was conducted to locate relevant literature. Overall, 24 articles from the databases, 10 initial articles, and 20 articles from the snowball search were used. Due to limited research on the transportation of dromedary camels, the authors primarily considered studies on the welfare assessment of other species during transport, such as horses, pigs, and ruminants. Accordingly, the checklists were prepared to assess the welfare of dromedary camels at five stages during transportation: before loading (24 indicators), after loading (18 indicators), during the journey (14 indicators), upon arrival (24 indicators), and 1 h after </w:t>
      </w:r>
    </w:p>
    <w:p>
      <w:pPr>
        <w:pStyle w:val="Heading2"/>
      </w:pPr>
      <w:r>
        <w:t>669.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2026:</w:t>
      </w:r>
      <w:r>
        <w:t xml:space="preserve"> From Data to Decision: Interpretable and Reliable Heart Disease Risk Prediction. — https://doi.org/10.12865/chsj.52.02.06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Heart disease is the leading cause of morbidity and mortality worldwide, highlighting the need for accurate and clinically meaningful risk prediction tool. METHODOLOGY: A retrospective analysis was performed on a dataset of 918 patients with complete clinical information. The relationship between variables and disease presence were explored using correlation and dependence measure. To prediction was made using logistic regression, linear discriminant analysis, and generalized additive models. The performances were evaluated using cross-validation, discrimination metrics, and calibration analysis. RESULTS: Functional and exercise-related variables, particularly Oldpeak, maximum heart rate, chest pain type, and ST slope showed the strongest correlation with disease presence. All models achieved AUROC values higher than 0.91. Logistic regression and generalized additive models performed similarly, with no statistically significant difference between them. Calibration analysis showed a good agreement between predicted and observed probabilities. CONCLUSION: Heart disease prediction can be achieved with high accuracy using clinically accessible variables and interpretable models. Our findings suggest that simpler approaches remain suitable for practical clinical applications, while preserving transparency and usability.</w:t>
      </w:r>
    </w:p>
    <w:p>
      <w:pPr/>
      <w:r>
        <w:rPr>
          <w:b/>
        </w:rPr>
        <w:t>POSSIBLE 2026:</w:t>
      </w:r>
      <w:r>
        <w:t xml:space="preserve"> Qualitative effects of resistivity in JET-ILW Europed pedestal predictions — https://doi.org/10.1088/1741-4326/ae5721</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Abstract The effect of resistive MHD in the pedestal predictions for JET-ILW has been investigated, using the Europed workflow (Saarelma et al 2018 Plasma Phys. Control. Fusion 60 014042) with the resistive MHD stability code CASTOR (Kerner et al 1998 J. Comput. Phys. 142 271–303). The inclusion of resistivity in the MHD stability calculations leads to a destabilisation of the peeling-ballooning modes. The effect of resistivity is shown for different plasma conditions with scans of the following parameters: the electron pedestal top density, the electron separatrix density and the normalised plasma pressure. The effect of resistivity is largely dependent on the input electron density pedestal profile, and less dependent on the normalised plasma pressure. Overall, at high temperatures, the predictions performed with ideal and resistive MHD are comparable. At low temperature, resistive effects are not negligible and the resistive MHD predictions produce a pedestal pressure height and gradient lower than ideal MHD predictions. Europed predictions with resistive MHD are also compared to experimental values from power scans and gas scans in JET-ILW. While at low gas both ideal and resistive predictions are reasonable, at high gas the resistive Europed predictions show a better agreement with the experimental pedestal height than ideal predictions. The improvement in the predictions </w:t>
      </w:r>
    </w:p>
    <w:p>
      <w:pPr/>
      <w:r>
        <w:rPr>
          <w:b/>
        </w:rPr>
        <w:t>POSSIBLE 2026:</w:t>
      </w:r>
      <w:r>
        <w:t xml:space="preserve"> Radiation Above the Clouds — https://doi.org/10.67690/n4vcq271</w:t>
      </w:r>
    </w:p>
    <w:p>
      <w:pPr/>
      <w:r>
        <w:rPr>
          <w:b/>
        </w:rPr>
        <w:t>Shared claim-specific concepts:</w:t>
      </w:r>
      <w:r>
        <w:t xml:space="preserve"> radiation, events, crew, space, weather; EU scope not established. This is a provisional connection, not an outcome finding.</w:t>
      </w:r>
    </w:p>
    <w:p>
      <w:pPr>
        <w:pStyle w:val="SourceNote"/>
      </w:pPr>
      <w:r>
        <w:rPr>
          <w:b/>
        </w:rPr>
        <w:t>Available abstract (not full text):</w:t>
      </w:r>
      <w:r>
        <w:t xml:space="preserve"> Commercial cabin crew are occupationally exposed to cosmic ionizing radiation on every flight. At cruising altitude, the atmosphere provides less shielding from galactic cosmic radiation and, during uncommon solar energetic particle events, radiation from the Sun. Dose varies substantially with altitude, geomagnetic latitude, flight duration, route, solar-cycle conditions, and space weather. This narrative review asks how much radiation cabin crew receive, what health effects are supported by evidence, what is commonly misunderstood, and how exposure should be communicated and managed. Recent models place a representative 700-hour annual flight profile in a range of approximately 2.8 – 7.3 mSv across four modeling systems, although real individual doses depend on the routes actually flown and model choice. Earlier flight-attendant assessments commonly estimated annual effective doses of roughly 2–5 mSv, with higher values on long-haul and high-latitude schedules. These are meaningful occupational doses but remain far below levels that cause acute radiation injury. Epidemiologic studies report mixed patterns for cancer and reproductive outcomes; they support continued concern and surveillance but do not isolate cosmic radiation cleanly from circadian disruption, ultraviolet exposure, reproductive history, historical cabin exposures, and other factors. A 2026 U.S. mortality study</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2025:</w:t>
      </w:r>
      <w:r>
        <w:t xml:space="preserve"> Combined Radiations: Biological Effects of Mixed Exposures Across the Radiation Spectrum — https://doi.org/10.3390/biom15091282</w:t>
      </w:r>
    </w:p>
    <w:p>
      <w:pPr/>
      <w:r>
        <w:rPr>
          <w:b/>
        </w:rPr>
        <w:t>Shared claim-specific concepts:</w:t>
      </w:r>
      <w:r>
        <w:t xml:space="preserve"> tool, radiation, space; EU scope visible. This is a provisional connection, not an outcome finding.</w:t>
      </w:r>
    </w:p>
    <w:p>
      <w:pPr>
        <w:pStyle w:val="SourceNote"/>
      </w:pPr>
      <w:r>
        <w:rPr>
          <w:b/>
        </w:rPr>
        <w:t>Available abstract (not full text):</w:t>
      </w:r>
      <w:r>
        <w:t xml:space="preserve"> Combined radiation exposures-pairings of ionizing and non-ionizing radiation-are increasingly relevant in medical, spaceflight, and environmental contexts. This systematic review evaluates their radiobiological effects and therapeutic applications, focusing on synergistic interactions and underlying biological mechanisms. A comprehensive search of PubMed, Google Scholar, Semantic Scholar, bioRxiv, and Europe PMC identified studies published from the 1960s through 2025. Eligible studies assessed biological responses to different radiation types applied either simultaneously or within 24 h, with minor exceptions. A total of 172 studies were included and categorized into radiobiological, therapeutic, and space radiation domains. Due to the predominance of mechanistic research, no formal risk-of-bias tool was applied; methodological limitations were assessed qualitatively. Findings were synthesized narratively by radiation type and domain. Synergistic and additive effects were frequently observed, with responses influenced by dose, sequence, radiation type, and DNA repair dynamics. Therapeutic combinations often enhanced efficacy, while space radiation studies revealed multifaceted biological damage. This review provides a consolidated reference for advancing research and applications involving combined radiation exposures, emphasizing the need for mechanistic insight and standardi</w:t>
      </w:r>
    </w:p>
    <w:p>
      <w:pPr/>
      <w:r>
        <w:rPr>
          <w:b/>
        </w:rPr>
        <w:t>POSSIBLE 2025:</w:t>
      </w:r>
      <w:r>
        <w:t xml:space="preserve"> HYDROGEN HAZARDS, RISKS, AND PROTECTION: AN IN-DEPTH REVIEW — https://doi.org/10.12709/mest.13.13.sp.02</w:t>
      </w:r>
    </w:p>
    <w:p>
      <w:pPr/>
      <w:r>
        <w:rPr>
          <w:b/>
        </w:rPr>
        <w:t>Shared claim-specific concepts:</w:t>
      </w:r>
      <w:r>
        <w:t xml:space="preserve"> reliable, hazards, power, grid; EU scope not established. This is a provisional connection, not an outcome finding.</w:t>
      </w:r>
    </w:p>
    <w:p>
      <w:pPr>
        <w:pStyle w:val="SourceNote"/>
      </w:pPr>
      <w:r>
        <w:rPr>
          <w:b/>
        </w:rPr>
        <w:t>Available abstract (not full text):</w:t>
      </w:r>
      <w:r>
        <w:t xml:space="preserve"> This paper delves into the significance of hydrogen as a clean energy source, focusing on its properties, production, storage, and distribution. The study highlights the general risks associated with hydrogen usage in various sectors, including hydrogen stations, vehicles, and industrial applications. It presents a comprehensive analysis of hydrogen hazards with safety measures, protocols, and regulations at international, national, and occupational levels. A key section of the paper examines several known hydrogen-related incidents, such as explosions and fires at various facilities and locations worldwide, from the BP Texas City Refinery explosion in 2005 to more recent incidents. Each case study provides an in-depth analysis and extracts valuable lessons learned to improve safety standards and protection measures. The paper explores the future of hydrogen and risk management, emphasizing the development of new technologies and innovative solutions for safer hydrogen use. That includes hydrogen fuel cells coupled with renewable energy sources like wind and solar power to ensure a reliable energy supply and enhance grid stability. By integrating hydrogen as an energy storage medium, the study addresses the intermittent nature of renewable energy sources, ultimately contributing to a more stable and flexible energy system. In conclusion, this paper underscores the importance of</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pStyle w:val="Heading2"/>
      </w:pPr>
      <w:r>
        <w:t>670.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Electricity consumption in the mining sector in Spain: Key factors for the energy transition and the supply of critical raw materials to Europe — https://doi.org/10.1007/s13563-025-00567-x</w:t>
      </w:r>
    </w:p>
    <w:p>
      <w:pPr/>
      <w:r>
        <w:rPr>
          <w:b/>
        </w:rPr>
        <w:t>Shared claim-specific concepts:</w:t>
      </w:r>
      <w:r>
        <w:t xml:space="preserve"> key, union, transition, total; EU scope visible. This is a provisional connection, not an outcome finding.</w:t>
      </w:r>
    </w:p>
    <w:p>
      <w:pPr>
        <w:pStyle w:val="SourceNote"/>
      </w:pPr>
      <w:r>
        <w:rPr>
          <w:b/>
        </w:rPr>
        <w:t>Available abstract (not full text):</w:t>
      </w:r>
      <w:r>
        <w:t xml:space="preserve"> Abstract This paper aims to identify the key factors driving changes in electricity consumption in the Spanish mining industry between 2005 and 2019, a period marked by two major structural shifts: the reactivation of the Iberian Pyrite Belt in 2009 and the progressive closure of coal mines beginning in 2015. Using the Logarithmic Mean Divisia Index (LMDI) method, the analysis disaggregates the effects by regions and by type of mineral product, allowing the identification of both drivers and inhibitors. The results highlight the intensity effect as the primary driver of increased electricity consumption, particularly for quarry products and metallic minerals. Additionally, the product structure effect reveals a significant shift toward strategic resources, especially metallic minerals, with metallic mining accounting for 35% of total production value in 2019. This structural transformation has led to a substantial rise in electricity demand, especially in open-pit operations, which are highly energy-intensive. Notably, Andalusia emerges as a strategic region, responsible for 92% of the national increase in mining electricity consumption, due to its concentration of critical mineral deposits essential for the European Union’s energy and digital transitions. In response to the associated energy and environmental challenges, the study recommends the adoption of advanced technologi</w:t>
      </w:r>
    </w:p>
    <w:p>
      <w:pPr/>
      <w:r>
        <w:rPr>
          <w:b/>
        </w:rPr>
        <w:t>POSSIBLE 2026:</w:t>
      </w:r>
      <w:r>
        <w:t xml:space="preserve"> Training for Operating Staff in Control Centres as One Key Factor for Operating Resilience — https://doi.org/10.2478/bhee-2026-0010</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Abstract In large interconnected power systems the operating conditions become more and more complex. The challenges for the operating staff in the responsible control centres are thereby steadily increasing both in grid and system operations: - The rising share of decentralised energy sources (DER) inverses the power flow between TSO and DSO and leads to extended coordination needs between control centres. - Inaccurate forecasts for decentralised infeed and loading challenge system balancing. - In highly loaded systems each unavailable device (e.g. for service) endangers the (n-1) security, and lead to the risk of cascading effects, system splits and blackouts. Control centre staff is one key factor in operating the power system in a safe and secure way, especially in critical situations. The staff has to be steadily aware of the system state in the entire system. Technical knowledge and communication skills of the operators are key factors as well as, coordinated operational concepts and procedures. In interconnected operation, like in the European Network for Transmission System Operators ENTSO-E (ENTSO-E) [1], multiple Transmission System Operators (TSO) are together responsible for coordination and safe operation. The paper outlines the actual situation and challenges in interconnected systems, and the conditions for secure operation are described, with focus on required s</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671.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672.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673.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degradation, security, health, water, food;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degradation, not, climate;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Environmental Rights and Article 2 of the ECHR: A Focus on Central and Eastern European Jurisprudence — https://doi.org/10.71009/2026.arek.hraep_7</w:t>
      </w:r>
    </w:p>
    <w:p>
      <w:pPr/>
      <w:r>
        <w:rPr>
          <w:b/>
        </w:rPr>
        <w:t>Shared claim-specific concepts:</w:t>
      </w:r>
      <w:r>
        <w:t xml:space="preserve"> degradation, environment, health, air, quality, water; EU scope visible. This is a provisional connection, not an outcome finding.</w:t>
      </w:r>
    </w:p>
    <w:p>
      <w:pPr>
        <w:pStyle w:val="SourceNote"/>
      </w:pPr>
      <w:r>
        <w:rPr>
          <w:b/>
        </w:rPr>
        <w:t>Available abstract (not full text):</w:t>
      </w:r>
      <w:r>
        <w:t xml:space="preserve"> Living in the 21st century means living in an era filled with new opportunities and novel challenges. This era has brought humanity economic development, industrial growth, and technological progress, resulting in overall improved well-being. However, this same progress is closely linked to harmful impacts on the human environment, such as daily exposure to harmful anthropogenic influences, soil and air pollution, water contamination and scarcity, resource depletion, deforesta-tion, loss of biodiversity, and other natural and human-made risks exacerbated by climate change and industrial expansion. People are particularly vulnerable in urban and industrial zones, where the living environment becomes unnatural and unsuitable for humans as biological beings. While the right to life as a fundamental principle in human rights law was traditionally understood as protection against arbitrary deprivation of life, in the contemporary context, this right has evolved and encompasses not only the protection of existence in a physical sense but also the quality under which life is lived. Therefore, it is crucial that each state, at both the national and international levels, creates legislative and enforcement systems that allow individuals to benefit from the economic advancements of the 21st century while also being protected from the various factors contributing to environmental pollutio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pStyle w:val="Heading2"/>
      </w:pPr>
      <w:r>
        <w:t>674.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2025:</w:t>
      </w:r>
      <w:r>
        <w:t xml:space="preserve"> Feeling responsible for reducing climate change: a multi-level European study on the role of religion and state — https://doi.org/10.1080/23251042.2025.2512606</w:t>
      </w:r>
    </w:p>
    <w:p>
      <w:pPr/>
      <w:r>
        <w:rPr>
          <w:b/>
        </w:rPr>
        <w:t>Shared claim-specific concepts:</w:t>
      </w:r>
      <w:r>
        <w:t xml:space="preserve"> level, well, compared; EU scope visible. This is a provisional connection, not an outcome finding.</w:t>
      </w:r>
    </w:p>
    <w:p>
      <w:pPr>
        <w:pStyle w:val="SourceNote"/>
      </w:pPr>
      <w:r>
        <w:rPr>
          <w:b/>
        </w:rPr>
        <w:t>Available abstract (not full text):</w:t>
      </w:r>
      <w:r>
        <w:t xml:space="preserve"> Feelings of being responsible for reducing climate change can stimulate climate action. These feelings may depend on the broader cultural (e.g. religious) and social context (e.g. social and environmental welfare expenditure) in which one lives, as well as on individual beliefs and attitudes, such as religiosity, religion and welfare attitudes. This study analyses data from the European Social Survey Round 8 to gain a better understanding of how contextual and individual factors relate to feelings of responsibility toward climate change reduction across European countries. Our findings highlight the association of religions with feelings of responsibility, with Muslims and non-religious people feeling more responsible compared to Christians. Only non-religious people feel more responsible to reduce climate change when expenditures for environmental protection increase. Furthermore, the religious context and individual level of religiosity were found to not affect feelings of responsibility. More positive welfare attitudes were shown to result in greater feelings of responsibility to reduce climate change. The nature of state expenditure (social vs. environmental protection) were found to have an effect.</w:t>
      </w:r>
    </w:p>
    <w:p>
      <w:pPr/>
      <w:r>
        <w:rPr>
          <w:b/>
        </w:rPr>
        <w:t>POSSIBLE 2025:</w:t>
      </w:r>
      <w:r>
        <w:t xml:space="preserve"> The ecological life of eco-villages — https://doi.org/10.5281/zenodo.18226524</w:t>
      </w:r>
    </w:p>
    <w:p>
      <w:pPr/>
      <w:r>
        <w:rPr>
          <w:b/>
        </w:rPr>
        <w:t>Shared claim-specific concepts:</w:t>
      </w:r>
      <w:r>
        <w:t xml:space="preserve"> consumption, aspects, footprint; EU scope not established. This is a provisional connection, not an outcome finding.</w:t>
      </w:r>
    </w:p>
    <w:p>
      <w:pPr>
        <w:pStyle w:val="SourceNote"/>
      </w:pPr>
      <w:r>
        <w:rPr>
          <w:b/>
        </w:rPr>
        <w:t>Available abstract (not full text):</w:t>
      </w:r>
      <w:r>
        <w:t xml:space="preserve"> Eco-villages are practical examples of sustainable living. These communities reduce their carbon footprint by using renewable energy and minimize environmental pollution through waste management and recycling systems. They revitalize local ecosystems by employing organic farming, permaculture, and agroforestry methods to preserve biodiversity. Socially, they foster strong social bonds and solidarity through collaborative decision-making processes and participatory governance models. Education and knowledge sharing are fundamental missions of eco-villages, and these communities serve as educational centers to disseminate sustainable living practices. Economically, they enhance resilience by promoting local production and consumption, and generate income through social enterprises. The challenges they face present opportunities for innovation and advocacy. In conclusion, eco-villages are beacons of hope in building a sustainable and harmonious world. Eco-villages represent a holistic approach to living in harmony with nature while fostering community resilience and well-being. By integrating ecological, social, and economic principles, they offer a blueprint for sustainable development that can be adapted and scaled to various contexts around the globe. One of the key aspects of eco-villages is their emphasis on self-sufficiency and local resilience. By producing their own food t</w:t>
      </w:r>
    </w:p>
    <w:p>
      <w:pPr/>
      <w:r>
        <w:rPr>
          <w:b/>
        </w:rPr>
        <w:t>POSSIBLE 2025:</w:t>
      </w:r>
      <w:r>
        <w:t xml:space="preserve"> The Accelerating Exposure of European Protected Areas to Climate Change — https://doi.org/10.1111/gcb.70261</w:t>
      </w:r>
    </w:p>
    <w:p>
      <w:pPr/>
      <w:r>
        <w:rPr>
          <w:b/>
        </w:rPr>
        <w:t>Shared claim-specific concepts:</w:t>
      </w:r>
      <w:r>
        <w:t xml:space="preserve"> level, all, estimate;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Eco-Design for In-Mold Electronics — https://doi.org/10.1007/978-3-032-04301-6_7</w:t>
      </w:r>
    </w:p>
    <w:p>
      <w:pPr/>
      <w:r>
        <w:rPr>
          <w:b/>
        </w:rPr>
        <w:t>Shared claim-specific concepts:</w:t>
      </w:r>
      <w:r>
        <w:t xml:space="preserve"> technical, consumer, household; EU scope visible. This is a provisional connection, not an outcome finding.</w:t>
      </w:r>
    </w:p>
    <w:p>
      <w:pPr>
        <w:pStyle w:val="SourceNote"/>
      </w:pPr>
      <w:r>
        <w:rPr>
          <w:b/>
        </w:rPr>
        <w:t>Available abstract (not full text):</w:t>
      </w:r>
      <w:r>
        <w:t xml:space="preserve"> In-Mold Electronics (IME) is an attractive technology platform for smart surfaces based on printed electronics. Electronic devices are manufactured on and fully embedded within thermoplastics to protect the electronic functionalities from external influences. IME devices for automotive and household applications are on the verge of mass production. Any early-stage considerations regarding the environmental impact of IME, potential improvements to its sustainability and possible circular strategies that may technologically be feasible may enable designers and producers to incorporate suitable eco-design measures that will save costs and reduce the overall environmental impact. Moreover, they may enable complying with existing and/or upcoming EU legislation targeting consumer rights and supply chain independence through efficient recycling and effective repairing. In this Chapter, we will discuss the IME technology and recent scientific results obtained in the EU CIRC-uits project on lifetime extension of IME. The introduction to IME will continue with a lifecycle assessment to pinpoint the major contributors to the environmental impact. In the framework of EU CIRC-uits, we extended the design-for-recycling principles explored in previous and existing EU projects Treasure and Unicorn to achieve repairability of IME. In addition to the technical feasibility of repairing, we determ</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pStyle w:val="Heading2"/>
      </w:pPr>
      <w:r>
        <w:t>675.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2026:</w:t>
      </w:r>
      <w:r>
        <w:t xml:space="preserve"> Horizon scanning data for the future of outdoor recreation on public lands — https://doi.org/10.3886/e248960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Horizon scanning involves searching both within and outside a topic or field of interest for signals of change. It is fundamental to strategic foresight projects and works by gathering “scan hits”: signals of potential change. Some scan hits are weak signals of change, others are strong signals; both are important to consider. This data publication includes a subset of recreation-related scan hits from the Forest Futures Horizon Scanning Project database. While the data indicate potential changes globally, the focus was changes that could have an impact on U.S. public lands over the next 30 years. The resulting data include the title and original URL (when live at time of publication) for the scan hits relevant to outdoor recreation, the tag which denotes the horizon and content tags used in the horizon scanning, and then an indication of which categories (activities, ecology related, place related, recreation management related, social related, technology related, and economy) and sub-categories the particular scan hit was coded to.</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IOATLAS: scanning across the medical horizon — https://doi.org/10.1017/s0266462325100469</w:t>
      </w:r>
    </w:p>
    <w:p>
      <w:pPr/>
      <w:r>
        <w:rPr>
          <w:b/>
        </w:rPr>
        <w:t>Shared claim-specific concepts:</w:t>
      </w:r>
      <w:r>
        <w:t xml:space="preserve"> two, time, horizons; EU scope not established. This is a provisional connection, not an outcome finding.</w:t>
      </w:r>
    </w:p>
    <w:p>
      <w:pPr>
        <w:pStyle w:val="SourceNote"/>
      </w:pPr>
      <w:r>
        <w:rPr>
          <w:b/>
        </w:rPr>
        <w:t>Available abstract (not full text):</w:t>
      </w:r>
      <w:r>
        <w:t xml:space="preserve"> INTRODUCTION: Horizon scanning (HS) is a methodology that aims to capture signals and trends that highlight future opportunities and challenges. The National Institute for Health and Care Research (NIHR) Innovation Observatory routinely scans for medical technologies and therapeutics to inform policy and practice for healthcare in the United Kingdom (UK). To date, there is no standardized terminology for horizon scanning in healthcare. Here, we discuss the development of a data glossary and the IOAtlas web app. METHODS: We extracted data points from 4 years' worth of NIHR Innovation Observatory HS projects and collated them by technology type and descriptive family. A source repository was established by extracting a list of all sources used in NIHR Innovation Observatory briefing notes between 2017 and 2021. The repository was validated by external HS organizations and experts, and sources were then mapped to the appropriate time horizons. The glossary and repository were converted to an SQLite database format and connected to a free web app, IOAtlas. RESULTS: After de-duplication and consolidation, a total of 148 data points were included in the glossary. The source repository consists of 149 sources, with 99 percent being compliant with searching for two or more technology types. The final SQLite database contained 35 tables with 36 relationships. CONCLUSIONS: We present a d</w:t>
      </w:r>
    </w:p>
    <w:p>
      <w:pPr/>
      <w:r>
        <w:rPr>
          <w:b/>
        </w:rPr>
        <w:t>POSSIBLE 2025:</w:t>
      </w:r>
      <w:r>
        <w:t xml:space="preserve"> Online algorithms with foresight for radiotherapy patient scheduling — https://doi.org/10.1016/j.cor.2025.107132</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 radiotherapy treatment consists of a given number of radiation sessions, which should start before a specified due date and have a duration that varies based on the patient category. Waiting time is the main critical issue in the management of a radiotherapy health system: the time elapsed between the first consultation and the first treatment is typically rather long and delays have the potential to damage the health status of the patients. Then, an efficient use of available linacs is crucial to ensure the success of the treatment. In this paper, we deal with a Radiotherapy Patient Scheduling (RPS) problem at the pure-online level under the blocking policy, which divides work shifts into time slots of equal duration. We propose online algorithms that enable the scheduling of a sequence of appointments for each patient, all at the same time slot each day, whenever a patient needs to commence a series of radiotherapy sessions. Considering a realistic and patient-centered operational context, the problem becomes highly challenging, even in its offline setting. We address this problem by introducing the concept of online optimisation with foresight, which is the common framework of the proposed approaches. The rationale behind foresight is to take real-time decisions under uncertainty by exploiting the partial knowledge of the optimal solution structure. A quantitative analysis</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pStyle w:val="Heading2"/>
      </w:pPr>
      <w:r>
        <w:t>676.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2026:</w:t>
      </w:r>
      <w:r>
        <w:t xml:space="preserve"> Alternative Tourism Opportunities: Analysis of the Potential of Business Tourism in Azerbaijan — https://doi.org/10.58768/joinntt.1931077</w:t>
      </w:r>
    </w:p>
    <w:p>
      <w:pPr/>
      <w:r>
        <w:rPr>
          <w:b/>
        </w:rPr>
        <w:t>Shared claim-specific concepts:</w:t>
      </w:r>
      <w:r>
        <w:t xml:space="preserve"> tourism, sector, among; EU scope not established. This is a provisional connection, not an outcome finding.</w:t>
      </w:r>
    </w:p>
    <w:p>
      <w:pPr>
        <w:pStyle w:val="SourceNote"/>
      </w:pPr>
      <w:r>
        <w:rPr>
          <w:b/>
        </w:rPr>
        <w:t>Available abstract (not full text):</w:t>
      </w:r>
      <w:r>
        <w:t xml:space="preserve"> In an increasingly globalized world, the tourism sector plays a strategic role in national economic development, while alternative forms of tourism have gained growing prominence beyond conventional leisure travel. Among these, business tourism stands out as a significant segment offering destinations a competitive advantage through its high revenue potential and positive contribution to destination image. The successful hosting of large-scale international events in Azerbaijan — including COP29, Formula 1, and the CIS Games — demonstrates the countrys considerable business tourism potential. Azerbaijans strategic position at the East–West transport corridor intersection, developing MICE infrastructure, and accumulated event experience establish it as an emerging regional destination and form the primary focus of this study. The limited number of comprehensive, strategy-oriented studies addressing Azerbaijans business tourism potential constitutes the principal motivation for this research. This study examines business tourism through the dimensions of economic and environmental sustainability and destination competitiveness — encompassing infrastructure, human capital, and event experience — employing an integrated SWOT–TOWS framework that moves beyond situational description to enable actionable strategy generation, thereby constituting the studys original contribution. Withi</w:t>
      </w:r>
    </w:p>
    <w:p>
      <w:pPr>
        <w:pStyle w:val="Heading2"/>
      </w:pPr>
      <w:r>
        <w:t>677.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2026:</w:t>
      </w:r>
      <w:r>
        <w:t xml:space="preserve"> The economic sustainability of farmers’ markets in Europe — https://doi.org/10.1007/s43621-026-04012-z</w:t>
      </w:r>
    </w:p>
    <w:p>
      <w:pPr/>
      <w:r>
        <w:rPr>
          <w:b/>
        </w:rPr>
        <w:t>Shared claim-specific concepts:</w:t>
      </w:r>
      <w:r>
        <w:t xml:space="preserve"> contribute, not;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pStyle w:val="Heading2"/>
      </w:pPr>
      <w:r>
        <w:t>678.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2026:</w:t>
      </w:r>
      <w:r>
        <w:t xml:space="preserve"> Equity-centered dietary transitions: food-related GHG emissions and climate target alignment — https://doi.org/10.1088/1748-9326/ae9563</w:t>
      </w:r>
    </w:p>
    <w:p>
      <w:pPr/>
      <w:r>
        <w:rPr>
          <w:b/>
        </w:rPr>
        <w:t>Shared claim-specific concepts:</w:t>
      </w:r>
      <w:r>
        <w:t xml:space="preserve"> ghg, emissions, reduction, cumulative, based, climate; EU scope not established. This is a provisional connection, not an outcome finding.</w:t>
      </w:r>
    </w:p>
    <w:p>
      <w:pPr>
        <w:pStyle w:val="SourceNote"/>
      </w:pPr>
      <w:r>
        <w:rPr>
          <w:b/>
        </w:rPr>
        <w:t>Available abstract (not full text):</w:t>
      </w:r>
      <w:r>
        <w:t xml:space="preserve"> Abstract Global dietary transitions confront the dual challenge of reconciling nutrition equity with environmental sustainability. This study evaluates three equity-centered dietary transitions scenarios grounded in country-specific dietary recommendations across 181 countries: CP (current patterns), LP (low-emission substitutions, e.g. poultry replacing ruminants), and HP (high-emission alternatives), to quantify emission dynamics and assess alignment with Paris Agreement temperature targets. Business-as-usual trends (BAU) result in cumulative food-related emissions of 1768 Gt CO 2 e between 2020 and 2100. While CP reduces this to 1411 Gt CO 2 e, achieving only marginal alignment with the 2 °C limit, LP achieves a 37% reduction to 1113 Gt CO 2 e, ensuring robust compatibility with the 2 °C target. In contrast, HP emissions surpass even BAU levels. Central to the LP pathway, we propose an equity-centered allocation framework that differentiates mitigation obligations and emission allowances based on deviations from national dietary guidelines. Countries with excessive intakes, particularly of animal-source foods, are thus assigned stringent obligations (e.g. USA: 58.85 Gt CO 2 e; China: 131.10 Gt CO 2 e). Conversely, those with inadequate nutritional intake are allocated safeguarded allowances (e.g. Nigeria: 25.63 Gt CO 2 e; Ethiopia: 24.94 Gt CO 2 e), scaled to population size</w:t>
      </w:r>
    </w:p>
    <w:p>
      <w:pPr>
        <w:pStyle w:val="Heading2"/>
      </w:pPr>
      <w:r>
        <w:t>679.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2026:</w:t>
      </w:r>
      <w:r>
        <w:t xml:space="preserve"> European Workers Job Perceptions Survey — https://doi.org/10.17605/osf.io/dswb6</w:t>
      </w:r>
    </w:p>
    <w:p>
      <w:pPr/>
      <w:r>
        <w:rPr>
          <w:b/>
        </w:rPr>
        <w:t>Shared claim-specific concepts:</w:t>
      </w:r>
      <w:r>
        <w:t xml:space="preserve"> aim, understand, respondents, among; EU scope visible. This is a provisional connection, not an outcome finding.</w:t>
      </w:r>
    </w:p>
    <w:p>
      <w:pPr>
        <w:pStyle w:val="SourceNote"/>
      </w:pPr>
      <w:r>
        <w:rPr>
          <w:b/>
        </w:rPr>
        <w:t>Available abstract (not full text):</w:t>
      </w:r>
      <w:r>
        <w:t xml:space="preserve"> Public health organizations in Denmark and most OECD countries face an urgent demand for nursing staff. However, existing research does not yet offer a systematic understanding of how to attract talent to public healthcare organizations from the international labor markets. This pre-registration focuses on a survey to be conducted among European workers (N=1,800) that aims to understand how varying a job advertisement changes perception of a job. The recruitment messages to be used in this survey come from a prior field experiment pre-registered on January 20th 2025 (https://osf.io/sv5qc). In this follow-up mechanistic survey we aim to understand why a particular treatment underperformed, by examining how survey respondents interpret recruitment messages emphasizing factors that either underperformed or outperformed in the field experiment.</w:t>
      </w:r>
    </w:p>
    <w:p>
      <w:pPr/>
      <w:r>
        <w:rPr>
          <w:b/>
        </w:rPr>
        <w:t>POSSIBLE 2026:</w:t>
      </w:r>
      <w:r>
        <w:t xml:space="preserve"> Economic Burden of Physical Inactivity in Europe — https://doi.org/10.71125/sporteconres.25</w:t>
      </w:r>
    </w:p>
    <w:p>
      <w:pPr/>
      <w:r>
        <w:rPr>
          <w:b/>
        </w:rPr>
        <w:t>Shared claim-specific concepts:</w:t>
      </w:r>
      <w:r>
        <w:t xml:space="preserve"> several, three, four;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r>
        <w:rPr>
          <w:b/>
        </w:rPr>
        <w:t>POSSIBLE 2025:</w:t>
      </w:r>
      <w:r>
        <w:t xml:space="preserve"> EUROPEAN CONSTRUCTION BETWEEN THE IDEA OF A UNITED EUROPE AND THE IDEA OF A UNITARY EUROPE.FROM THE IDEAS OF THE FOUNDING FATHERS TO THE CREATION OFTHE EUROPEAN COAL AND STEEL COMMUNITY, THE EUROPEAN ECONOMIC COMMUNITY AND THE EUROPEAN ATOMIC ENERGY COMMUNITY. — https://openalex.org/W7220638652</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COVID-19 Vaccine Distribution Patterns for Prioritized Age Group: Analysis of European Nations — https://doi.org/10.4236/ojepi.2025.151001</w:t>
      </w:r>
    </w:p>
    <w:p>
      <w:pPr/>
      <w:r>
        <w:rPr>
          <w:b/>
        </w:rPr>
        <w:t>Shared claim-specific concepts:</w:t>
      </w:r>
      <w:r>
        <w:t xml:space="preserve"> understand, several, among; EU scope visible. This is a provisional connection, not an outcome finding.</w:t>
      </w:r>
    </w:p>
    <w:p>
      <w:pPr>
        <w:pStyle w:val="SourceNote"/>
      </w:pPr>
      <w:r>
        <w:rPr>
          <w:b/>
        </w:rPr>
        <w:t>Available abstract (not full text):</w:t>
      </w:r>
      <w:r>
        <w:t xml:space="preserve"> The emergence of the SARS-CoV-2 virus resulted in a health and economic crisis worldwide. Although everyone is susceptible to COVID-19, the elderly have compromised immune systems and often suffer from chronic underlying diseases, which makes them more vulnerable. This study aims to assess variation in COVID-19 vaccine distribution patterns across different age groups in European countries and to understand the extent to which European countries have prioritized vulnerable age groups (age &gt; 70) in their vaccination programs. The study utilized open data from the European Center for Disease Prevention and Control (ECDC) and employed an observational, retrospective study design to examine the distribution of the COVID-19 vaccine among various age groups in several European countries from September 2021 to September 2023. Results reveal that vaccination rates increase with age, peaking at the 25 - 49 age group (1.34 × 10−4), after which there was a decline in vaccination rate. Analysis of variance (ANOVA) was used to investigate the equality of vaccination rates across the 29 countries in Europe, which resulted in a p-value of 70) during the study period as no country achieved the 70% coverage aimed by WHO. Continuous efforts must be made to ensure larger coverage of COVID-19 vaccination among this vulnerable population in order to protect them from severe outcomes in this region.</w:t>
      </w:r>
    </w:p>
    <w:p>
      <w:pPr>
        <w:pStyle w:val="Heading2"/>
      </w:pPr>
      <w:r>
        <w:t>680.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2025:</w:t>
      </w:r>
      <w:r>
        <w:t xml:space="preserve"> Fiscal Reform in Taxation: What is an Optimal Taxation System for the Republic of Kosovo? — https://doi.org/10.54820/entrenova-2024-0011</w:t>
      </w:r>
    </w:p>
    <w:p>
      <w:pPr/>
      <w:r>
        <w:rPr>
          <w:b/>
        </w:rPr>
        <w:t>Shared claim-specific concepts:</w:t>
      </w:r>
      <w:r>
        <w:t xml:space="preserve"> approach, explores, optimal, further; EU scope visible. This is a provisional connection, not an outcome finding.</w:t>
      </w:r>
    </w:p>
    <w:p>
      <w:pPr>
        <w:pStyle w:val="SourceNote"/>
      </w:pPr>
      <w:r>
        <w:rPr>
          <w:b/>
        </w:rPr>
        <w:t>Available abstract (not full text):</w:t>
      </w:r>
      <w:r>
        <w:t xml:space="preserve"> This paper explores the Taxation system in the Republic of Kosovo. It researches the need and reasons for the optimal taxation system that the Republic of Kosovo should develop as part of the proposed Taxation reform (based on recommendation). The Republic of Kosovo is the newest country in Europe. Since 2000, one of its core pillars has been the Tax Administration, which serves as the primary public finance income generator. Its further development, reform, and adaptation with updated Taxation mainstreams is imperative. Taxation systems should implement the best practices in digitalization and innovation. The paper uses secondary data with analyzed findings based on the quantitative empirical approach. The findings show that there is room for the Republic of Kosovo to apply Taxation reforms to further enrich, innovate, and upgrade its Tax system. As stated, the country's economic and business development significantly depends on how its taxation system meets its development and strategic goals. This research paper concludes with concrete recommendations that the Republic of Kosovo is advised to undertake in reforming its Taxation system.</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What are the Policy Drivers to Undertake Green Retrofitting Investments? The Role of Tax Incentives and Communication in Italian Households’ Decision-Making — https://doi.org/10.1007/s40797-024-00283-5</w:t>
      </w:r>
    </w:p>
    <w:p>
      <w:pPr/>
      <w:r>
        <w:rPr>
          <w:b/>
        </w:rPr>
        <w:t>Shared claim-specific concepts:</w:t>
      </w:r>
      <w:r>
        <w:t xml:space="preserve"> explores, energy, high; EU scope visible. This is a provisional connection, not an outcome finding.</w:t>
      </w:r>
    </w:p>
    <w:p>
      <w:pPr>
        <w:pStyle w:val="SourceNote"/>
      </w:pPr>
      <w:r>
        <w:rPr>
          <w:b/>
        </w:rPr>
        <w:t>Available abstract (not full text):</w:t>
      </w:r>
      <w:r>
        <w:t xml:space="preserve"> Abstract This paper explores households’ decision-making process to undertake green retrofitting investments, with the aim to identify the key behavioural drivers to adoption. We developed a discrete choice experiment survey and collected data from a sample of 434 individuals to explore the influence of monetary and non-monetary incentives on energy saving investment choices, focusing on the case of Italy, where a tax relief scheme (the so-called Superbonus) was introduced in 2020 to encourage green retrofitting investments. Our results show that the level of savings on energy bills, the environmental sustainability of the intervention and the comfort achieved all similarly contribute to adopt energy saving measures. Tax incentives, differently, were found to be less important drivers, except for those respondents who have a high level of green retrofitting cognition, suggesting a pivotal role of education and knowledge in driving choices. Our findings also indicate that communication matters: we show that green retrofitting decisions are influenced by the non-technical communication of the environmental benefits, while the use of technical expressions is found to be ineffective. These results are relevant to guide more efficient policy design and point to the need to combine targeted tax interventions with communication to encourage the uptake of energy saving measures.</w:t>
      </w:r>
    </w:p>
    <w:p>
      <w:pPr/>
      <w:r>
        <w:rPr>
          <w:b/>
        </w:rPr>
        <w:t>POSSIBLE 2024:</w:t>
      </w:r>
      <w:r>
        <w:t xml:space="preserve"> A Multicriteria Decision Analysis Model for Optimal Land Uses: Guiding Farmers under the New European Union’s Common Agricultural Policy (2023–2027) — https://doi.org/10.3390/land13060788</w:t>
      </w:r>
    </w:p>
    <w:p>
      <w:pPr/>
      <w:r>
        <w:rPr>
          <w:b/>
        </w:rPr>
        <w:t>Shared claim-specific concepts:</w:t>
      </w:r>
      <w:r>
        <w:t xml:space="preserve"> therefore, optimal, high; EU scope visible. This is a provisional connection, not an outcome finding.</w:t>
      </w:r>
    </w:p>
    <w:p>
      <w:pPr>
        <w:pStyle w:val="SourceNote"/>
      </w:pPr>
      <w:r>
        <w:rPr>
          <w:b/>
        </w:rPr>
        <w:t>Available abstract (not full text):</w:t>
      </w:r>
      <w:r>
        <w:t xml:space="preserve"> Focusing on sustainability, the new Common Agricultural Policy (2023–2027) sets ambitious goals for water management, as reducing irrigation water use is a vital issue. Cooperation among farmers, relevant authorities, and researchers plays a significant role in achieving these objectives. Therefore, this study applies a multicriteria mathematical programming model to optimize land use, considering water use, profit, labor, and cost. The model was applied to three farmer groups located in Greece and proved to be valuable in the implementation of irrigation water use. Using the same methodology, two additional cases of farmer groups that utilize drylands are presented in complementary ways to investigate how the new CAP affects non-irrigated land uses. Regarding the irrigated case, reducing water usage involves decreasing the land dedicated to crops characterized by high water demand, such as rice, corn, vetch, and clover. This adjustment stems from the necessity to replace irrigated land with non-irrigated land because climate change demands low water consumption for crops and underscores the importance of the new policy framework to promote sustainable agriculture. As for the non-irrigated case, achieving optimal farm planning entails reducing the cultivated areas of vetch, grassland, and sunflower. This result is driven by the need to increase crops receiving primary subsidies</w:t>
      </w:r>
    </w:p>
    <w:p>
      <w:pPr>
        <w:pStyle w:val="Heading2"/>
      </w:pPr>
      <w:r>
        <w:t>681.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2026:</w:t>
      </w:r>
      <w:r>
        <w:t xml:space="preserve"> Prevalence of Smith–Lemli–Opitz Syndrome Carriers and the Spectrum of DHCR7 Pathogenic Variants in Representative Czech and Hungarian Population Cohorts — https://doi.org/10.3390/genes17020164</w:t>
      </w:r>
    </w:p>
    <w:p>
      <w:pPr/>
      <w:r>
        <w:rPr>
          <w:b/>
        </w:rPr>
        <w:t>Shared claim-specific concepts:</w:t>
      </w:r>
      <w:r>
        <w:t xml:space="preserve"> hungarian, current, likely, terms, among; EU scope visible. This is a provisional connection, not an outcome finding.</w:t>
      </w:r>
    </w:p>
    <w:p>
      <w:pPr>
        <w:pStyle w:val="SourceNote"/>
      </w:pPr>
      <w:r>
        <w:rPr>
          <w:b/>
        </w:rPr>
        <w:t>Available abstract (not full text):</w:t>
      </w:r>
      <w:r>
        <w:t xml:space="preserve"> Background: Smith–Lemli–Opitz syndrome (SLOS) is an inborn error of cholesterol biosynthesis, caused by biallelic mutations in the DHCR7 gene. Genotype–phenotype correlations regarding DHCR7 variants could explain the variation in severity, ranging from in utero demise or severe SLOS to a mild phenotype. Clinical recognition can be challenging. This study aimed to determine the frequency of SLOS carriers in the Central European population, as well as the mutational spectrum of DHCR7 in these carriers. Methods: A retrospective analysis of DHCR7 variants was conducted using next-generation sequencing data from 55,289 individuals in Czech and Hungarian genetic laboratories. Results: The SLOS carrier frequency and the mutational spectrum of the DHCR7 gene in its carriers were established in the Czech and Hungarian sub-cohorts. In the combined dataset, we identified causative DHCR7 variants on 1567 alleles among 55,289 tested individuals, contributing to an SLOS carrier frequency of 2.83%. Of the 31 DHCR7 variants detected, the c.452G&gt;A variant was the most prevalent, accounting for 1.8% of all detected alleles in our cohorts. In contrast, the c.964-1G&gt;C variant was more frequent in non-Finnish Europeans, as indicated by the gnomAD 4.1.0 database. The DHCR7 mutational spectra of patients and carriers were comparable in terms of the most common variants. Conclusions: The high SLOS ca</w:t>
      </w:r>
    </w:p>
    <w:p>
      <w:pPr/>
      <w:r>
        <w:rPr>
          <w:b/>
        </w:rPr>
        <w:t>POSSIBLE 2026:</w:t>
      </w:r>
      <w:r>
        <w:t xml:space="preserve"> The European Union’s Sanction Policy – Challenges and Opportunities of the 2024 Hungarian EU Presidency — https://doi.org/10.36250/01303_77</w:t>
      </w:r>
    </w:p>
    <w:p>
      <w:pPr/>
      <w:r>
        <w:rPr>
          <w:b/>
        </w:rPr>
        <w:t>Shared claim-specific concepts:</w:t>
      </w:r>
      <w:r>
        <w:t xml:space="preserve"> hungarian, challenges, opportunities; EU scope visible. This is a provisional connection, not an outcome finding.</w:t>
      </w:r>
    </w:p>
    <w:p>
      <w:pPr>
        <w:pStyle w:val="SourceNote"/>
      </w:pPr>
      <w:r>
        <w:rPr>
          <w:b/>
        </w:rPr>
        <w:t>Available abstract (not full text):</w:t>
      </w:r>
      <w:r>
        <w:t xml:space="preserve"> The European</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pStyle w:val="Heading2"/>
      </w:pPr>
      <w:r>
        <w:t>682.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2026:</w:t>
      </w:r>
      <w:r>
        <w:t xml:space="preserve"> Global Uncertainty and Tail Risk in Indonesia’s Islamic and Conventional Equity Markets — https://doi.org/10.25077/amar.10.1.121-142.2026</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Is the Indonesian Islamic stock market more resilient to extreme risks compared to conventional markets when global uncertainty increases? Using daily data from the Jakarta Islamic Index (JKII) and the Jakarta Stock Exchange Composite Index (JKSE), we integrate the GARCH–EVT approach, quantile regression, and Expected Shortfall (ES) regression to simultaneously investigate the distribution structure and transmission of global uncertainty shocks. We decompose extreme risk into two main components—the structural thickness of the tail distribution and the realized conditional loss due to volatility dynamics—and show that these two dimensions can lead to different conclusions. Our results indicate that the conventional market has a thicker tail distribution, indicating a higher probability of extreme events. However, after accounting for conditional volatility, the Islamic market exhibits slightly larger average extreme losses. On the other hand, no significant difference is found in sensitivity to global uncertainty between the two markets. Our findings suggest that the difference between Islamic and conventional markets lies in the structure of extreme risk formation, not in the shock transmission mechanism. Our study contributes by demonstrating that tail risk should be understood as the result of the interaction between the distribution of extremes and volatility dynamics in th</w:t>
      </w:r>
    </w:p>
    <w:p>
      <w:pPr/>
      <w:r>
        <w:rPr>
          <w:b/>
        </w:rPr>
        <w:t>POSSIBLE 2026:</w:t>
      </w:r>
      <w:r>
        <w:t xml:space="preserve"> Global Uncertainty in Moderating Macroeconomics on Banking Stability in Islamic Commercial Banks in Indonesia — https://doi.org/10.22515/jfib.v8i2.13117</w:t>
      </w:r>
    </w:p>
    <w:p>
      <w:pPr/>
      <w:r>
        <w:rPr>
          <w:b/>
        </w:rPr>
        <w:t>Shared claim-specific concepts:</w:t>
      </w:r>
      <w:r>
        <w:t xml:space="preserve"> uncertainty, index, effect; EU scope not established. This is a provisional connection, not an outcome finding.</w:t>
      </w:r>
    </w:p>
    <w:p>
      <w:pPr>
        <w:pStyle w:val="SourceNote"/>
      </w:pPr>
      <w:r>
        <w:rPr>
          <w:b/>
        </w:rPr>
        <w:t>Available abstract (not full text):</w:t>
      </w:r>
      <w:r>
        <w:t xml:space="preserve"> Purpose: This study analyzes the role of the World Uncertainty Index (WUI) in moderating the influence of macroeconomic conditions namely GDP, inflation, and exchange rate on the stability of Islamic banking in Indonesia during 2015 Q1 – 2024 Q4. Method: A quantitative approach was used through multiple linear regression and Moderated Regression Analysis with 40 quarterly data from the Financial Services Authority, Trading Economics, and FRED. Stability was measured using Z scores. Results: Gross Domestic Product and inflation have a significant positive effect on stability with coefficients of β = 0.704421 and β = 0.191898, respectively. The exchange rate is not significant. The World Uncertainty Index has a significant negative effect with β = 18.74672. As a moderator, the World Uncertainty Index strengthens the effect of Gross Domestic Product and exchange rate and weakens the effect of inflation. The R-squared value of 0.771887 indicates a strong explanatory power of the model. Implications: The results of the study emphasize the need for adaptive macroprudential policies to maintain the stability of Islamic banking amid increasing global uncertainty. Originality: This study contributes by including global uncertainty as a moderating variable, thereby broadening the understanding of the determinants of Islamic banking stability.</w:t>
      </w:r>
    </w:p>
    <w:p>
      <w:pPr/>
      <w:r>
        <w:rPr>
          <w:b/>
        </w:rPr>
        <w:t>POSSIBLE 2026:</w:t>
      </w:r>
      <w:r>
        <w:t xml:space="preserve"> Economic Integration in MENA: The Global, Regional, and Subregional Integration Indices and Their Dynamic Interactions — https://doi.org/10.11130/jei.2025026</w:t>
      </w:r>
    </w:p>
    <w:p>
      <w:pPr/>
      <w:r>
        <w:rPr>
          <w:b/>
        </w:rPr>
        <w:t>Shared claim-specific concepts:</w:t>
      </w:r>
      <w:r>
        <w:t xml:space="preserve"> index, level; EU scope visible. This is a provisional connection, not an outcome finding.</w:t>
      </w:r>
    </w:p>
    <w:p>
      <w:pPr>
        <w:pStyle w:val="SourceNote"/>
      </w:pPr>
      <w:r>
        <w:rPr>
          <w:b/>
        </w:rPr>
        <w:t>Available abstract (not full text):</w:t>
      </w:r>
      <w:r>
        <w:t xml:space="preserve"> A new index derived from the gravity model is proposed to measure global, regional, and subregional economic integration. Different intertwined relationships between these three levels of integration are found in Europe, America, Asia, and MENA, with the latter having a distinctive dumbbell integration pattern-strong in the upper global and lower subregional levels but weak in the middle regional level. The panel data cointegration approach finds that different types of integration are complements but not substitutes. Regional integration has the strongest positive externality in fostering the other types of integration. Promoting regionalization is the most efficient policy option.</w:t>
      </w:r>
    </w:p>
    <w:p>
      <w:pPr/>
      <w:r>
        <w:rPr>
          <w:b/>
        </w:rPr>
        <w:t>POSSIBLE 2026:</w:t>
      </w:r>
      <w:r>
        <w:t xml:space="preserve"> Compounding hazards increase flood economic losses across Europe — https://doi.org/10.1038/s41467-026-73248-0</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Energy policy and economic security: a comparison of Europe and Asia — https://doi.org/10.33223/epj/207199</w:t>
      </w:r>
    </w:p>
    <w:p>
      <w:pPr/>
      <w:r>
        <w:rPr>
          <w:b/>
        </w:rPr>
        <w:t>Shared claim-specific concepts:</w:t>
      </w:r>
      <w:r>
        <w:t xml:space="preserve"> france, measures;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find, industrial;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pStyle w:val="Heading2"/>
      </w:pPr>
      <w:r>
        <w:t>683.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2026:</w:t>
      </w:r>
      <w:r>
        <w:t xml:space="preserve"> Mapping Research Trends on the Ageing Workforce and Economic Performance in Europe: A Bibliometric Analysis — https://doi.org/10.14254/1800-5845/2026.22-4.20</w:t>
      </w:r>
    </w:p>
    <w:p>
      <w:pPr/>
      <w:r>
        <w:rPr>
          <w:b/>
        </w:rPr>
        <w:t>Shared claim-specific concepts:</w:t>
      </w:r>
      <w:r>
        <w:t xml:space="preserve"> both, influence; EU scope visible. This is a provisional connection, not an outcome finding.</w:t>
      </w:r>
    </w:p>
    <w:p>
      <w:pPr>
        <w:pStyle w:val="SourceNote"/>
      </w:pPr>
      <w:r>
        <w:rPr>
          <w:b/>
        </w:rPr>
        <w:t>Available abstract (not full text):</w:t>
      </w:r>
      <w:r>
        <w:t xml:space="preserve"> Population ageing is one of the most significant demographic transformations in contemporary Europe, with major implications for labour markets, productivity, pension systems, and healthcare sustainability.Although research on population ageing, healthy ageing, older people's labour market participation, and related economic issues has expanded considerably, the literature remains fragmented across economics, demography, public health, and social policy.This study addresses that gap through a comprehensive bibliometric analysis of research on the ageing workforce and its economic implications in Europe.The analysis is based on English-language articles and review articles indexed in the Social Sciences Citation Index of the Web of Science Core Collection.Using a structured search strategy combining ageing-, economic-, and Europe-related terms, 1,437 publications published between 1993 and 2025 were identified.Bibliometrix-based performance analysis and science mapping were applied to examine publication trends, leading contributors, source influence, geographical distribution, and thematic structures.The results show a rapidly growing, highly collaborative field with an average annual growth rate of 15.95%.The United Kingdom emerged as both the most productive and the most cited country.Ageing &amp; Society and Sustainability were the leading publication outlets, while Social Scien</w:t>
      </w:r>
    </w:p>
    <w:p>
      <w:pPr/>
      <w:r>
        <w:rPr>
          <w:b/>
        </w:rPr>
        <w:t>POSSIBLE 2026:</w:t>
      </w:r>
      <w:r>
        <w:t xml:space="preserve"> The Impact of Digital Skills on Economic Growth in the European Union: A Bayesian Model Averaging Approach — https://doi.org/10.3390/su18062829</w:t>
      </w:r>
    </w:p>
    <w:p>
      <w:pPr/>
      <w:r>
        <w:rPr>
          <w:b/>
        </w:rPr>
        <w:t>Shared claim-specific concepts:</w:t>
      </w:r>
      <w:r>
        <w:t xml:space="preserve"> influence, applying; EU scope visible. This is a provisional connection, not an outcome finding.</w:t>
      </w:r>
    </w:p>
    <w:p>
      <w:pPr>
        <w:pStyle w:val="SourceNote"/>
      </w:pPr>
      <w:r>
        <w:rPr>
          <w:b/>
        </w:rPr>
        <w:t>Available abstract (not full text):</w:t>
      </w:r>
      <w:r>
        <w:t xml:space="preserve"> The accelerated growth of the digitalization process is making digital skills increasingly important in the global economy. The purpose of this research is to empirically assess the impact of digital skills on economic growth in the 27 European Union (EU) member states over the period 2017–2023. In this respect, to measure the concept of digital skills, we employed the following four indicators of the Digital Economy and Society Index (DESI): internet usage, enterprises offering information and communication technologies (ICT) training to their employees, ICT specialists, and ICT graduates, while economic growth was proxied by gross domestic product (GDP) per capita. In addition, to obtain a more nuanced analysis, we included a set of control variables likely to influence growth. In the first stage of the research, we apprised the effect and importance of each explanatory variable on the GDP per capita using the Bayesian model averaging (BMA), while in the second stage, we ran a two-step system generalized method of moments (GMM). Based on the results obtained from applying the BMA, ICT graduates, trade, the new EU countries, and the employed population are the main determinants of economic growth. In addition, the new EU countries and inflation have a negative impact on GDP per capita, and the post-COVID dummy exerts a predominantly negative effect and all remaining regressors</w:t>
      </w:r>
    </w:p>
    <w:p>
      <w:pPr/>
      <w:r>
        <w:rPr>
          <w:b/>
        </w:rPr>
        <w:t>POSSIBLE 2026:</w:t>
      </w:r>
      <w:r>
        <w:t xml:space="preserve"> Governance Indicators and Their Impact on Economic Growth: A Comparison between Developed and Developing European Countries — https://doi.org/10.37075/ea.2026.3.02</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Purpose – This study examines the impact of governance indicators on economic growth in developed and developing European countries from 2005 to 2023. It focuses on GDP per capita as the dependent variable and governance indicators, alongside FDI, inflation, and population growth as explanatory variables. Design/methodology/approach – The study applies pooled OLS, fixed effects, random effects, and the Hausman-Taylor IV model to address endogeneity concerns and ensure robust estimates. Findings – Governance indicators significantly influences GDP per capita growth. Developed countries experience more stable growth trajectories, while developing economies benefit more from stable governance improvements. Control of corruption and political stability being key in developing economies, while government effectiveness and regulatory quality are more influential in developed nations. Inflation negatively impacts growth, while FDI fosters economic expansion, particularly where institutions are strong. Practical implications – The findings highlight the need for governance reforms: developed countries should focus on regulatory efficiency, while developing economies should prioritize political stability and anti-corruption measures. Originality/value – This study provides empirical insights into how governance indicators affect economic growth across different development stages, infor</w:t>
      </w:r>
    </w:p>
    <w:p>
      <w:pPr/>
      <w:r>
        <w:rPr>
          <w:b/>
        </w:rPr>
        <w:t>POSSIBLE 2026:</w:t>
      </w:r>
      <w:r>
        <w:t xml:space="preserve"> Mercantilist and protectionist shocks on innovation, growth, and economic policy in European regions — https://doi.org/10.1007/s00191-025-00921-w</w:t>
      </w:r>
    </w:p>
    <w:p>
      <w:pPr/>
      <w:r>
        <w:rPr>
          <w:b/>
        </w:rPr>
        <w:t>Shared claim-specific concepts:</w:t>
      </w:r>
      <w:r>
        <w:t xml:space="preserve"> both, different; EU scope visible. This is a provisional connection, not an outcome finding.</w:t>
      </w:r>
    </w:p>
    <w:p>
      <w:pPr>
        <w:pStyle w:val="SourceNote"/>
      </w:pPr>
      <w:r>
        <w:rPr>
          <w:b/>
        </w:rPr>
        <w:t>Available abstract (not full text):</w:t>
      </w:r>
      <w:r>
        <w:t xml:space="preserve"> Abstract We assess the potential innovation and growth implications on European regions of the rapid global shifts in political economy towards mercantilism, tariffs, and protectionism. The new trade shocks have the potential to reshape the geography of European innovation, and we examine the likely global value-chain implications on regional innovation in both STI-driven and DUI-driven regions using a unique EU-wide regional input–output database. The analyses undertaken here using the EU EUREGIO -FIGARO datasets allow us to incorporate not only the direct demand-transmission effects of international trade on different EU regions, but also the full trade-in-value-added logic, which also includes the indirect effects of GVCs spanning EU regions and non-EU countries. We demonstrate that both STI-driven and non-STI/DUI-driven regions are exposed in different ways to these trade shocks, and that Europe’s territorial innovation, growth, and development challenges are likely to become even more complicated in today’s global political context, depending on where regions are positioned in global value chains.</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pStyle w:val="Heading2"/>
      </w:pPr>
      <w:r>
        <w:t>684.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2026:</w:t>
      </w:r>
      <w:r>
        <w:t xml:space="preserve"> From Nature to Ecology — https://doi.org/10.1163/18757405-03801004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Abstract Can the Beckettian subject respond to the climate crisis in the Anthropocene that gives the human an ironic ecological agency, suffused with the guilt of being responsible for ecological catastrophe? The article uses the Anthropocene as background to initiate a discussion on environmental subjectivity in Beckett. What is the status of ecology in Beckett’s works given their reticence on nature as a concept? Though there is no explicit naming of ecology in Beckett’s work, this article reads his critique of nature as a linguistic and ideological construct to open a dialogue on ecology. It argues that deconstruction of nature clears the space for weather system and ecology to posit a dialectical principle of environmental subjectivity in Beckett. Following Timothy Morton’s work on ecology without nature, it examines Beckett’s critique of nature to arrive at an object-like nonhuman subjectivity. Interacting with Dipesh Chakrabarty’s thought on species, the article also comments on Beckett’s use of species as a concept to arrive at its empty experience as the subject becomes a nonhuman entity, embedded in the environment.</w:t>
      </w:r>
    </w:p>
    <w:p>
      <w:pPr/>
      <w:r>
        <w:rPr>
          <w:b/>
        </w:rPr>
        <w:t>POSSIBLE 2026:</w:t>
      </w:r>
      <w:r>
        <w:t xml:space="preserve"> How mindfulness and nature are conceptualised and integrated: A systematic review of nature-based mindfulness interventions — https://doi.org/10.1016/j.jenvp.2026.103232</w:t>
      </w:r>
    </w:p>
    <w:p>
      <w:pPr/>
      <w:r>
        <w:rPr>
          <w:b/>
        </w:rPr>
        <w:t>Shared claim-specific concepts:</w:t>
      </w:r>
      <w:r>
        <w:t xml:space="preserve"> given, nature, benefits; EU scope not established. This is a provisional connection, not an outcome finding.</w:t>
      </w:r>
    </w:p>
    <w:p>
      <w:pPr>
        <w:pStyle w:val="SourceNote"/>
      </w:pPr>
      <w:r>
        <w:rPr>
          <w:b/>
        </w:rPr>
        <w:t>Available abstract (not full text):</w:t>
      </w:r>
      <w:r>
        <w:t xml:space="preserve"> Amidst rising mental health and ecological challenges, nature-based mindfulness practices present as an avenue for promoting wellbeing and connections with nature, given the complementary benefits of mindfulness and nature experiences for psychological health. Yet, how mindfulness practices and environmental settings are conceptualised and operationalised within nature-based mindfulness interventions remains poorly understood. Past reviews are also limited by narrow mental health indices, excluding qualitative and environmental dimensions. In this paper, we conducted a systematic review to evaluate how mindfulness and nature are defined and applied within nature-based mindfulness interventions and synthesised the current state of psychological evidence across quantitative, qualitative, and mixed-methods designs. A systematic search in Web of Science, Scopus, and ProQuest was performed. Fifty-three studies were included for synthesis and critically appraised using the Mixed Methods Appraisal Tool. The findings suggested benefits for affective wellbeing, nature and relational connection, and mindful awareness, though mixed findings were present. With limited mechanistic evidence and considerable variability in how mindfulness and nature were detailed and operationalised across interventions, the specific contributions of mindfulness, nature exposure, and their integration remain </w:t>
      </w:r>
    </w:p>
    <w:p>
      <w:pPr/>
      <w:r>
        <w:rPr>
          <w:b/>
        </w:rPr>
        <w:t>POSSIBLE 2026:</w:t>
      </w:r>
      <w:r>
        <w:t xml:space="preserve"> Understanding the Nature of Talent Identification and Development in the Nigerian Context — https://doi.org/10.17869/enu.453361</w:t>
      </w:r>
    </w:p>
    <w:p>
      <w:pPr/>
      <w:r>
        <w:rPr>
          <w:b/>
        </w:rPr>
        <w:t>Shared claim-specific concepts:</w:t>
      </w:r>
      <w:r>
        <w:t xml:space="preserve"> given, nature, work, over; EU scope visible. This is a provisional connection, not an outcome finding.</w:t>
      </w:r>
    </w:p>
    <w:p>
      <w:pPr>
        <w:pStyle w:val="SourceNote"/>
      </w:pPr>
      <w:r>
        <w:rPr>
          <w:b/>
        </w:rPr>
        <w:t>Available abstract (not full text):</w:t>
      </w:r>
      <w:r>
        <w:t xml:space="preserve"> In recent times, the sports sector across the globe has attracted economic interests both from the public and the private sector. For example, the cost of hosting the 2014 FIFA World Cup in Brazil was estimated at over $14.5 billion, with huge investments made into renovating old stadia and building new ones in preparation for the games. Similarly, the 2014 Commonwealth Games in Glasgow generated over 5,000 jobs and apprenticeships for the locals, £200m worth of contracts to local firms, £198m investments in sporting facilities, and £700m worth of transport-related infrastructural development. It is thus clear that sport has assumed more relevance in society than merely serving the purpose of recreation and leisure such that stakeholders now commit resources into sport performance improvement. Consequently, countries (particularly, those in Europe, Australia and North America) consider the sports sector among the key factors of social and economic development. Given the considerably large youthful population of Nigeria, it is possible to take advantage of sports to advance social and economic wellbeing of the people. It is however regrettable that the Nigerian government does not appear to have realised the potential opportunities a robust sports economy could provide for a nation in the quest for social, political and economic development. The opportunities provided by sports </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2025:</w:t>
      </w:r>
      <w:r>
        <w:t xml:space="preserve"> 10. Stimulating Change in Local Contexts — https://doi.org/10.55476/001c.151185</w:t>
      </w:r>
    </w:p>
    <w:p>
      <w:pPr/>
      <w:r>
        <w:rPr>
          <w:b/>
        </w:rPr>
        <w:t>Shared claim-specific concepts:</w:t>
      </w:r>
      <w:r>
        <w:t xml:space="preserve"> nature, contexts, they; EU scope not established. This is a provisional connection, not an outcome finding.</w:t>
      </w:r>
    </w:p>
    <w:p>
      <w:pPr>
        <w:pStyle w:val="SourceNote"/>
      </w:pPr>
      <w:r>
        <w:rPr>
          <w:b/>
        </w:rPr>
        <w:t>Available abstract (not full text):</w:t>
      </w:r>
      <w:r>
        <w:t xml:space="preserve"> Small Christian Communities (SCCs) are a pastoral model that plays a central role in East Africa and worldwide. They serve as spaces for intercultural theological ethics by integrating faith into daily life and contributing to social transformation. SCCs promote dialogue between culture and theology and enable a contextualized reading of the Bible. A key theme is inculturation, which embeds the Christian faith in local cultural contexts. This supports a vibrant, practice-oriented theology that draws from the experiences of believers. SCCs also contribute to a synodal Church by strengthening participation and community. Especially in Africa, where Christianity is rapidly growing, SCCs play a key role in fostering solidarity and moral reflection. They provide a platform for young people and help anchor faith locally. Through their practice-oriented nature, they remain dynamic catalysts of change.</w:t>
      </w:r>
    </w:p>
    <w:p>
      <w:pPr/>
      <w:r>
        <w:rPr>
          <w:b/>
        </w:rPr>
        <w:t>POSSIBLE 2025:</w:t>
      </w:r>
      <w:r>
        <w:t xml:space="preserve"> Gambling: A Story of Remarkable Stability in Fast-Changing High Streets — https://doi.org/10.1080/24694452.2025.2496698</w:t>
      </w:r>
    </w:p>
    <w:p>
      <w:pPr/>
      <w:r>
        <w:rPr>
          <w:b/>
        </w:rPr>
        <w:t>Shared claim-specific concepts:</w:t>
      </w:r>
      <w:r>
        <w:t xml:space="preserve"> given, fast-changing, contexts, they, disruptions, influence; EU scope not established. This is a provisional connection, not an outcome finding.</w:t>
      </w:r>
    </w:p>
    <w:p>
      <w:pPr>
        <w:pStyle w:val="SourceNote"/>
      </w:pPr>
      <w:r>
        <w:rPr>
          <w:b/>
        </w:rPr>
        <w:t>Available abstract (not full text):</w:t>
      </w:r>
      <w:r>
        <w:t xml:space="preserve"> High streets, the main commercial streets in towns and cities, have undergone significant transformations due to the evolving urban retail landscape. Despite these changes, this study demonstrates that the presence of gambling venues in Great Britain remained remarkably stable between 2014 and 2023. Using points of interest data, we constructed a panel data set of gambling shops on high streets. Employing simple autoregressive models estimated with random forests, we predicted annual gambling frequencies during 2015 to 2023 using 2014 frequencies as the sole predictor. Our results show a predictive accuracy of 91.8 percent by 2019, which remained robust at 86.2 percent in 2023, even after the disruptions caused by the COVID-19 pandemic. This highlights the notable stability in the frequency of gambling shops on high streets. Additionally, we developed a two-tiered analytical framework that confirmed this stability across different types of local authorities and high streets. Given the geographically bounded negative externalities of gambling, these findings provide a comprehensive understanding of the evolving spatial footprint of gambling shops. They also offer broader insights into how retail environment characteristics influence the resilience of leisure businesses in diverse urban contexts, contributing to ongoing discussions on high street revitalization.</w:t>
      </w:r>
    </w:p>
    <w:p>
      <w:pPr>
        <w:pStyle w:val="Heading2"/>
      </w:pPr>
      <w:r>
        <w:t>685.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2026:</w:t>
      </w:r>
      <w:r>
        <w:t xml:space="preserve"> The Curious Case of ‘Indian’ Literature — https://doi.org/10.1017/9781009596947.005</w:t>
      </w:r>
    </w:p>
    <w:p>
      <w:pPr/>
      <w:r>
        <w:rPr>
          <w:b/>
        </w:rPr>
        <w:t>Shared claim-specific concepts:</w:t>
      </w:r>
      <w:r>
        <w:t xml:space="preserve"> other, because, indian; EU scope visible. This is a provisional connection, not an outcome finding.</w:t>
      </w:r>
    </w:p>
    <w:p>
      <w:pPr>
        <w:pStyle w:val="SourceNote"/>
      </w:pPr>
      <w:r>
        <w:rPr>
          <w:b/>
        </w:rPr>
        <w:t>Available abstract (not full text):</w:t>
      </w:r>
      <w:r>
        <w:t xml:space="preserve"> What is ‘Indian literature’? This is a question that has vexed literary historians since at least the nineteenth century. One of the first things to note is that something like ‘Indian literature’ is rarely taught in any of the Indian universities. Even when it is, the subject becomes, de facto, an exercise in comparative literature that brings together diverse languages and literatures under one national rubric or offers them through a frame of comparatism with the mediation of English translation. The internal coherence of either ‘Indian’ or ‘literature’ becomes apparent only when the corpus is related to some external frame, such as the nation, or when the same corpus is approached with a specific method, such as comparatism. What this means is that Indian literature is neither Indian nor literary in the way that, for instance, English or French literatures are. And here lies the crux of the story—the way most European national literatures can presume a seamless triangulation of nation, language, and literature (if not of race and religion as well) that cannot be repeated for India, partly because of its internal diversity of languages and literatures and partly because it is not a nation in the way that a European nation is. Unlike the European model, therefore, there cannot be any one single Indian literature, either as a descriptive category or as an object of knowledge. </w:t>
      </w:r>
    </w:p>
    <w:p>
      <w:pPr/>
      <w:r>
        <w:rPr>
          <w:b/>
        </w:rPr>
        <w:t>POSSIBLE 2026:</w:t>
      </w:r>
      <w:r>
        <w:t xml:space="preserve"> Continuity and change in politicians being rude to each other over Europe: A rhetorical political analysis of invective in parliamentary debates over the European issue — https://openalex.org/W7153685673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The 2016 Brexit referendum and the division stemming from the 52:48 vote to leave the EU is often characterised as a low point in British politics, particularly in terms of discourse and rhetoric (Marr, 2019 &amp; 2024). Rather than concluding the issue of Europe Brexit has been suggested to have further divided the nation and ushered in a newly unpleasant politics (Sobolewska &amp; Ford, 2020). One characterised by populism, post truth ism and culture wars like those seen in European nations like Hungary and Donald Trump’s America (Maskovsky, 2020). With the rhetoric of Brexit and politics since focussing upon dividing people into tribes such as remainers or leavers, to be denounced in increasingly more strident terms but never meaningfully engaged with (D'Ancona, 2023, Zeitzoff 2023). Suggestions that problematic rhetoric has reached unprecedented proportions implies that there must have been some period in the past when it was not so problematic. By way of a counter to this narrative of modern decline this paper offers an analysis of the rhetoric of politicians during the UKs entry into the then European Economic Community. Arguing it to be a more divisive issue complete with rhetoric of a more problematic nature than is often remembered. Utilising a Rhetorical Political Analysis (Finlayson &amp; Martin, 2008) of parliamentary debates over the European Communities Bill this paper presen</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2025:</w:t>
      </w:r>
      <w:r>
        <w:t xml:space="preserve"> Caste in Indian Society — https://doi.org/10.36948/ijfmr.2025.v07i04.51784</w:t>
      </w:r>
    </w:p>
    <w:p>
      <w:pPr/>
      <w:r>
        <w:rPr>
          <w:b/>
        </w:rPr>
        <w:t>Shared claim-specific concepts:</w:t>
      </w:r>
      <w:r>
        <w:t xml:space="preserve"> other, because, indian; EU scope not established. This is a provisional connection, not an outcome finding.</w:t>
      </w:r>
    </w:p>
    <w:p>
      <w:pPr>
        <w:pStyle w:val="SourceNote"/>
      </w:pPr>
      <w:r>
        <w:rPr>
          <w:b/>
        </w:rPr>
        <w:t>Available abstract (not full text):</w:t>
      </w:r>
      <w:r>
        <w:t xml:space="preserve"> In this world of globalization, everyone is connecting with the stars of development, progress, growth and are communicating with the end of one side of planet with another one but, other coin of this imperative is very calamitous and astonishing to think about; where people are denied their existential rights of being human only because of their birth, their clan, communities in which they born and so on. And emphasizing on the fact of discrimination, atrocities and communalism; these all ‘conservative ideas’ are existing in the new “sophisticated idea of caste”- which deliberately stands for oppression, suppression and criminalization within the cohesive fabric of our collective society. This paper puts some genuine arguments about moderately accepted, if not fully diminished, abolished notions of caste. Some historical roots of the origin of caste with diverse points of view from the Vedic era to the 21st century’s globalization, including colonial attempts as well. In India, caste not only plays the game of ‘Inferior-Superior complexities’ but also facilitates the progress and engagement in the flow of economy and entrepreneurship. It's well-formed concepts as ‘social capital’ and ‘political capital’, in today’s world, while noting the fact that counter perspective is something on which this paper is mostly based. By encapsulating the multidimensional sides of caste, this p</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Central and Eastern Europe — https://doi.org/10.4324/9781003306900-38</w:t>
      </w:r>
    </w:p>
    <w:p>
      <w:pPr/>
      <w:r>
        <w:rPr>
          <w:b/>
        </w:rPr>
        <w:t>Shared claim-specific concepts:</w:t>
      </w:r>
      <w:r>
        <w:t xml:space="preserve"> period, other, extreme, area; EU scope visible. This is a provisional connection, not an outcome finding.</w:t>
      </w:r>
    </w:p>
    <w:p>
      <w:pPr>
        <w:pStyle w:val="SourceNote"/>
      </w:pPr>
      <w:r>
        <w:rPr>
          <w:b/>
        </w:rPr>
        <w:t>Available abstract (not full text):</w:t>
      </w:r>
      <w:r>
        <w:t xml:space="preserve"> This chapter traces and evaluates three decades of scholarly debate on the democratic development of Central and Eastern Europe (CEE) from skepticism about the region&amp;s;s democratic potential in the immediate aftermath of the fall of communism, through the qualified optimism of the “return to Europe” period, to current fears of region-wide democratic backsliding. However, while much of the recent “backsliding paradigm” focuses on the extreme cases of Hungary and Poland, their pattern of autocratization through executive aggrandizement still remains the exception in CEE. Area studies literature, especially focusing on corruption and technocracy, suggests that elsewhere in the region other processes of democratic degradation may matter more. The chapter reviews the ways in which CEE&amp;s;s evolving political regimes have been studied to draw wider lessons for scholars of comparative autocratization. In particular, the authors argue, a closer look at CEE alerts us to the need to focus more on regional patterns and specificities; better distinguish processes of executive-led autocratization from other processes of democratic degradation; and be wary of searching for elegant but limiting universal causal models of autocratization.</w:t>
      </w:r>
    </w:p>
    <w:p>
      <w:pPr>
        <w:pStyle w:val="Heading2"/>
      </w:pPr>
      <w:r>
        <w:t>686.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2026:</w:t>
      </w:r>
      <w:r>
        <w:t xml:space="preserve"> Core Competencies of the Modern Geriatric Cardiologist: A Framework for Comprehensive Cardiovascular Care in Older Adults — https://doi.org/10.3390/jcm15020749</w:t>
      </w:r>
    </w:p>
    <w:p>
      <w:pPr/>
      <w:r>
        <w:rPr>
          <w:b/>
        </w:rPr>
        <w:t>Shared claim-specific concepts:</w:t>
      </w:r>
      <w:r>
        <w:t xml:space="preserve"> core, competencies; EU scope not established. This is a provisional connection, not an outcome finding.</w:t>
      </w:r>
    </w:p>
    <w:p>
      <w:pPr>
        <w:pStyle w:val="SourceNote"/>
      </w:pPr>
      <w:r>
        <w:rPr>
          <w:b/>
        </w:rPr>
        <w:t>Available abstract (not full text):</w:t>
      </w:r>
      <w:r>
        <w:t xml:space="preserve"> Background: The rapid ageing of the cardiovascular population has profoundly transformed clinical practice, with an increasing proportion of patients presenting advanced age, frailty, multimorbidity, and functional vulnerability. Conventional cardiology models, largely derived from younger and selected populations, often fail to adequately address the complexity of cardiovascular care in older adults. Despite the growing development of cardiogeriatrics, the core competencies required for contemporary geriatric cardiology practice remain insufficiently defined. Methods: This narrative review synthesises evidence from cardiology, geriatrics, heart failure, and the palliative care literature, complemented by clinical expertise in integrated cardiogeriatric care pathways, to identify key competencies relevant to the care of older adults with cardiovascular disease. Results: Four major domains of geriatric cardiology competencies were identified: (1) advanced cardiovascular expertise adapted to ageing physiology, frailty, and multimorbidity; (2) integration of comprehensive geriatric assessment into cardiovascular decision-making; (3) a dedicated cardiogeriatric communication mindset supporting shared decision-making under prognostic uncertainty; and (4) system-based competencies focused on multidisciplinary coordination, care transitions, and therapeutic proportionality. Conclusion</w:t>
      </w:r>
    </w:p>
    <w:p>
      <w:pPr/>
      <w:r>
        <w:rPr>
          <w:b/>
        </w:rPr>
        <w:t>POSSIBLE 2026:</w:t>
      </w:r>
      <w:r>
        <w:t xml:space="preserve"> The Anatomy of Ambition: Identifying Core Competencies Driving Career Progression in Bangalore's IT Sector — https://doi.org/10.59953/paperasia.v42i1b.774</w:t>
      </w:r>
    </w:p>
    <w:p>
      <w:pPr/>
      <w:r>
        <w:rPr>
          <w:b/>
        </w:rPr>
        <w:t>Shared claim-specific concepts:</w:t>
      </w:r>
      <w:r>
        <w:t xml:space="preserve"> core, competencies, training; EU scope not established. This is a provisional connection, not an outcome finding.</w:t>
      </w:r>
    </w:p>
    <w:p>
      <w:pPr>
        <w:pStyle w:val="SourceNote"/>
      </w:pPr>
      <w:r>
        <w:rPr>
          <w:b/>
        </w:rPr>
        <w:t>Available abstract (not full text):</w:t>
      </w:r>
      <w:r>
        <w:t xml:space="preserve"> In Bangalore’s fast-evolving IT sector, professionals face an ambiguous landscape when navigating career advancement, with limited empirical clarity on which competencies truly drive progression. This study addresses that gap by developing a predictive model to evaluate the relative impact of leadership, experience, and problem-solving skills on career growth. Using statistical analysis on a simulated dataset of 150 IT professionals, the findings reveal that leadership competency is the most influential factor (β=2.42, p&lt;0.001), outperforming both experience and problem-solving ability. The research was conducted with the help of statistical analysis, proving that leadership competency is a better indicator of career advancement as compared to experience and problem-solving competency, because the regression model had an R² of 0.904, which indicates that the leadership, experience, and problem-solving competency explained 90.4% of the variance in career advancement. Leadership competency was found to be the most important factor (β=2.42, p&lt;0.001); thus, the ANOVA analysis proved that there are significant differences in leadership scores across different job roles (F(3, 146)=208.66, p&lt;0.001). This indicates that leadership competency is not only a predictor of career advancement but also varies across job roles; therefore, the research is important for individuals to focus on t</w:t>
      </w:r>
    </w:p>
    <w:p>
      <w:pPr/>
      <w:r>
        <w:rPr>
          <w:b/>
        </w:rPr>
        <w:t>POSSIBLE 2026:</w:t>
      </w:r>
      <w:r>
        <w:t xml:space="preserve"> Core Competencies of Early Childhood Education Administrators in Thailand — https://openalex.org/W7221242985</w:t>
      </w:r>
    </w:p>
    <w:p>
      <w:pPr/>
      <w:r>
        <w:rPr>
          <w:b/>
        </w:rPr>
        <w:t>Shared claim-specific concepts:</w:t>
      </w:r>
      <w:r>
        <w:t xml:space="preserve"> core, competencies, professional, national, educational; EU scope not established. This is a provisional connection, not an outcome finding.</w:t>
      </w:r>
    </w:p>
    <w:p>
      <w:pPr>
        <w:pStyle w:val="SourceNote"/>
      </w:pPr>
      <w:r>
        <w:rPr>
          <w:b/>
        </w:rPr>
        <w:t>Available abstract (not full text):</w:t>
      </w:r>
      <w:r>
        <w:t xml:space="preserve"> This study examines the core competencies required of early childhood education administrators in Thailand within the broader context of strengthening leadership capacity and enhancing educational quality. While international scholarship consistently highlights the influence of leadership competencies on educational effectiveness and child development outcomes, Thailand currently lacks a competency-based framework for the preparation and selection of early childhood education leaders. Employing a multi-method design, the study integrated document analysis, regional focus group discussions, expert interviews, and third-order Confirmatory Factor Analysis (CFA) to identify competency domains, assess developmental needs, and propose leadership development guidelines aligned with national standards. Findings revealed three interrelated competency domains: adaptive management of early childhood development centers, academic leadership in early childhood education, and professional development toward excellence. Needs assessment results indicated that knowledge acquisition represented the highest developmental priority, particularly in relation to inclusive education management. The proposed competency model demonstrated strong empirical validity and model fit (χ²/df = 1.139, CFI = 0.997, RMSEA = 0.017). The study further suggests that competency development should emphasize practice-</w:t>
      </w:r>
    </w:p>
    <w:p>
      <w:pPr/>
      <w:r>
        <w:rPr>
          <w:b/>
        </w:rPr>
        <w:t>POSSIBLE 2026:</w:t>
      </w:r>
      <w:r>
        <w:t xml:space="preserve"> Analysis of Correlation Between the Core Competency Status and Spiritual Health of Nursing Intern Students — https://doi.org/10.1155/jonm/3522503</w:t>
      </w:r>
    </w:p>
    <w:p>
      <w:pPr/>
      <w:r>
        <w:rPr>
          <w:b/>
        </w:rPr>
        <w:t>Shared claim-specific concepts:</w:t>
      </w:r>
      <w:r>
        <w:t xml:space="preserve"> core, competencies, they, professional, educational; EU scope not established. This is a provisional connection, not an outcome finding.</w:t>
      </w:r>
    </w:p>
    <w:p>
      <w:pPr>
        <w:pStyle w:val="SourceNote"/>
      </w:pPr>
      <w:r>
        <w:rPr>
          <w:b/>
        </w:rPr>
        <w:t>Available abstract (not full text):</w:t>
      </w:r>
      <w:r>
        <w:t xml:space="preserve"> Aims This study aimed to investigate the current status of nursing intern students’ core competencies and their relationship with spiritual health. Background Cultivating the core competencies of nursing intern students is a significant educational objective. As nursing intern students transition into clinical practice, they encounter heightened levels of stress, which can adversely impact both physical and mental health, potentially hindering the development of their competencies. In recent years, there has been an increasing interest in spiritual health, which can help individuals cope with stress, promoting positive physical and mental health outcomes. However, the relationship between spiritual health and the core competencies of nursing intern students remains unclear. Methods Convenience sampling was used to recruit 312 nursing intern students from five tertiary hospitals in China. Data regarding sociodemographic characteristics, spiritual health, and core competencies were collected using online questionnaires from September 2022 to January 2023. Results The overall average score of core competencies of nursing intern students (149.70 ± 19.09) was at a medium level, among which the score of critical thinking and reasoning ability was the lowest (11.28 ± 2.02). Univariate analysis shows that factors such as place of birth, reasons for choosing the nursing major, and emplo</w:t>
      </w:r>
    </w:p>
    <w:p>
      <w:pPr/>
      <w:r>
        <w:rPr>
          <w:b/>
        </w:rPr>
        <w:t>POSSIBLE 2026:</w:t>
      </w:r>
      <w:r>
        <w:t xml:space="preserve"> Core Competencies of Nurses Working in Hospital Infection Prevention and Control: A Scoping Review and Cluster Analysis — https://doi.org/10.1111/jocn.70410</w:t>
      </w:r>
    </w:p>
    <w:p>
      <w:pPr/>
      <w:r>
        <w:rPr>
          <w:b/>
        </w:rPr>
        <w:t>Shared claim-specific concepts:</w:t>
      </w:r>
      <w:r>
        <w:t xml:space="preserve"> core, competencies, process, training; EU scope not established. This is a provisional connection, not an outcome finding.</w:t>
      </w:r>
    </w:p>
    <w:p>
      <w:pPr>
        <w:pStyle w:val="SourceNote"/>
      </w:pPr>
      <w:r>
        <w:rPr>
          <w:b/>
        </w:rPr>
        <w:t>Available abstract (not full text):</w:t>
      </w:r>
      <w:r>
        <w:t xml:space="preserve"> BACKGROUND: Infection prevention and control (IPC) nursing plays a central role in implementing IPC standards and preventing healthcare-associated infections. However, a unified core competency framework for IPC nursing roles has yet to be clearly defined. AIM: This study aimed to identify and synthesise the core competencies required for IPC nurses, including infection control nurses (ICNs) and infection control link nurses (ICLNs). It also examined how these competencies differ according to role responsibilities and explored patterns of association among competency domains. DESIGN: A scoping review with cluster analysis. METHODS: This scoping review followed a five-stage methodological framework, including identifying the research questions, identifying relevant sources, selecting sources, charting the data and collating, summarising and reporting the results. Based on this process, we conducted high-frequency term analysis and cluster analysis to identify the core competency structure. RESULTS: This review included 18 sources, from which 40 high-frequency terms were extracted and nine core competency domains were identified. Cluster analysis grouped these domains into three clusters: system-supporting and developmental competencies, IPC in clinical practice and microbiology and surveillance. When compared with the World Health Organization framework, these domains showed ove</w:t>
      </w:r>
    </w:p>
    <w:p>
      <w:pPr/>
      <w:r>
        <w:rPr>
          <w:b/>
        </w:rPr>
        <w:t>POSSIBLE 2026:</w:t>
      </w:r>
      <w:r>
        <w:t xml:space="preserve"> Can political economists trace secretive processes? Insights from the case of oil politics and policies in Uganda — https://doi.org/10.1177/07591063261424512</w:t>
      </w:r>
    </w:p>
    <w:p>
      <w:pPr/>
      <w:r>
        <w:rPr>
          <w:b/>
        </w:rPr>
        <w:t>Shared claim-specific concepts:</w:t>
      </w:r>
      <w:r>
        <w:t xml:space="preserve"> economists, particular, individual; EU scope not established. This is a provisional connection, not an outcome finding.</w:t>
      </w:r>
    </w:p>
    <w:p>
      <w:pPr>
        <w:pStyle w:val="SourceNote"/>
      </w:pPr>
      <w:r>
        <w:rPr>
          <w:b/>
        </w:rPr>
        <w:t>Available abstract (not full text):</w:t>
      </w:r>
      <w:r>
        <w:t xml:space="preserve"> Abstract Beyond the diversity of research objects, many political economists share the ambition of providing explanations rather than ‘mere’ descriptions of the social facts and phenomena examined. One way to realize this ambition is to identify and conceptualize causal mechanisms through process-tracing analysis. While process-tracing has been applied in many studies, it has been used far less to investigate activities seen as secretive, located in the Global South, and falling within the domain of quiet politics such as the oil sector. This research gap raises a key issue: can political economists trace secretive processes? Drawing on research on oil politics and policies in Uganda, this article shows to what extent political economists can trace secretive processes. Building on a research design with a broad range of empirical fingerprints such as leaks from the Panama Papers and Wikileaks databases and Hansards from the Ugandan Parliament, I first show that political economists can identify and conceptualize one type of causal mechanism linked to these processes, i.e. “relational mechanisms” that “alter connections among people, groups, and interpersonal networks; with words like ally, attack, subordinate, and appease conveying a sense of relational mechanisms” ( Tilly, 2008 ). Secondly, I shed light on a particular type of causal mechanism that political economists can har</w:t>
      </w:r>
    </w:p>
    <w:p>
      <w:pPr/>
      <w:r>
        <w:rPr>
          <w:b/>
        </w:rPr>
        <w:t>POSSIBLE 2026:</w:t>
      </w:r>
      <w:r>
        <w:t xml:space="preserve"> Developing A Competency Based Framework for OTM in Business Education — Aligning with Industry Needs — https://doi.org/10.56201/ijssmr.vol.12no3.2026.pg1.11</w:t>
      </w:r>
    </w:p>
    <w:p>
      <w:pPr/>
      <w:r>
        <w:rPr>
          <w:b/>
        </w:rPr>
        <w:t>Shared claim-specific concepts:</w:t>
      </w:r>
      <w:r>
        <w:t xml:space="preserve"> core, acquire, training; EU scope not established. This is a provisional connection, not an outcome finding.</w:t>
      </w:r>
    </w:p>
    <w:p>
      <w:pPr>
        <w:pStyle w:val="SourceNote"/>
      </w:pPr>
      <w:r>
        <w:rPr>
          <w:b/>
        </w:rPr>
        <w:t>Available abstract (not full text):</w:t>
      </w:r>
      <w:r>
        <w:t xml:space="preserve"> This study aimed at investigating developing a competency based framework for otm in business education — aligning with industry needs. The study adopted survey research design. The population and sample size of the study was 12 OTM teachers in Business Education department, Nnamdi Azikiwe University, Awka. The instrument used for data collection in this study was questionnaire. Mean statistics was employed to analyzed the data collected. The study found that the frameworks considered necessary in designing competency based model for OTM in business education include; effective stakeholder engagement, framework design, evolution, training and development programs and implementation. The study concluded that the competency based framework for OTM programme contained innovative technical competence, analytical thinking competence, generic/information and problem solvating competence. Hence, the study recommended that curriculum developers should re-design the OTM scheme of work in business education curriculum to reflect on the core competency framework that alien with current industrial needs. Business education department should offer a comprehensive training and development programs for OTM teachers to enhance their understanding of competency frameworks and their relevance to their roles and career development to acquire teaching skills and industry knowledge.</w:t>
      </w:r>
    </w:p>
    <w:p>
      <w:pPr>
        <w:pStyle w:val="Heading2"/>
      </w:pPr>
      <w:r>
        <w:t>687.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2026:</w:t>
      </w:r>
      <w:r>
        <w:t xml:space="preserve"> Cardiovascular Outcomes in Response to Achieved LDL-C Levels After PCI in ACS and CCS — https://doi.org/10.1016/j.jacasi.2026.07.004</w:t>
      </w:r>
    </w:p>
    <w:p>
      <w:pPr/>
      <w:r>
        <w:rPr>
          <w:b/>
        </w:rPr>
        <w:t>Shared claim-specific concepts:</w:t>
      </w:r>
      <w:r>
        <w:t xml:space="preserve"> ccs, compared, current, increased; EU scope not established. This is a provisional connection, not an outcome finding.</w:t>
      </w:r>
    </w:p>
    <w:p>
      <w:pPr>
        <w:pStyle w:val="SourceNote"/>
      </w:pPr>
      <w:r>
        <w:rPr>
          <w:b/>
        </w:rPr>
        <w:t>Available abstract (not full text):</w:t>
      </w:r>
      <w:r>
        <w:t xml:space="preserve"> BACKGROUND: Acute coronary syndrome (ACS) exhibits greater risks of recurrent atherosclerotic cardiovascular disease compared to chronic coronary syndrome (CCS), suggesting the need for more intensified preventive management, including low-density lipoprotein cholesterol (LDL-C) control. However, current guidelines advocate the "same" LDL-C goals in both ACS and CCS. OBJECTIVES: The authors aimed to compare cardiovascular outcomes following attainment of guideline-recommended LDL-C control between ACS and CCS. METHODS: This multicenter retrospective observational study (ACTION-LDLC; jRCT 1050260064) analyzed 2,560 Japanese patients with coronary artery disease (ACS/CCS = 1,682/878). Risk of major adverse cardiovascular events (MACE; cardiac-caused death + nonfatal MI + coronary revascularization in nonculprit segments) was compared according to achieved LDL-C levels 8 weeks after percutaneous coronary intervention (&lt;55, 55-69 and ≥70 mg/dL) in ACS and CCS, respectively. RESULTS: LDL-C &lt;55 mg/dL was achieved in 29.4% and 32.5% of patients with ACS and CCS, respectively (P = 0.124). During the 3.7- and 3.8-year observation, achieving lower LDL-C levels was associated with reduced MACE risks in ACS (P &lt; 0.001) and CCS (P = 0.040). Notably, lower standardized 3-year MACE rates (ACS = 4.4%, CCS = 9.9%, P &lt; 0.001) and greater absolute risk differences (from ≥70 to &lt;55 mg/dL: ACS = -2</w:t>
      </w:r>
    </w:p>
    <w:p>
      <w:pPr/>
      <w:r>
        <w:rPr>
          <w:b/>
        </w:rPr>
        <w:t>POSSIBLE 2026:</w:t>
      </w:r>
      <w:r>
        <w:t xml:space="preserve"> A Systematic Literature Review of Life Cycle Assessment and Environmental Trade-offs Across Green Steel Pathways — https://doi.org/10.12688/f1000research.190858.1</w:t>
      </w:r>
    </w:p>
    <w:p>
      <w:pPr/>
      <w:r>
        <w:rPr>
          <w:b/>
        </w:rPr>
        <w:t>Shared claim-specific concepts:</w:t>
      </w:r>
      <w:r>
        <w:t xml:space="preserve"> show, ccs, blast, furnace, steel, production; EU scope not established. This is a provisional connection, not an outcome finding.</w:t>
      </w:r>
    </w:p>
    <w:p>
      <w:pPr>
        <w:pStyle w:val="SourceNote"/>
      </w:pPr>
      <w:r>
        <w:rPr>
          <w:b/>
        </w:rPr>
        <w:t>Available abstract (not full text):</w:t>
      </w:r>
      <w:r>
        <w:t xml:space="preserve"> Background The steel industry is a major source of global CO 2 emissions, so reducing emissions from steel production is important for meeting climate targets. Life Cycle Assessment (LCA) is widely used to compare the environmental performance of different steel production routes. Methods This systematic literature review examined LCA studies published between 2016 and 2026 on Hydrogen-Based Direct Reduced Iron (H-DRI), electric arc furnace (EAF) steelmaking, and Blast Furnace-Basic Oxygen Furnace (BF-BOF) with Carbon Capture and Storage (CCS). Scopus was used as the main database, while Google Scholar was used as a supplementary source. The review considered GHG emissions, energy use, water consumption, and other environmental impacts. Results The reviewed studies show that H-DRI using renewable electricity can reduce GHG emissions by about 60–96% compared with conventional BF-BOF production. Scrap-based EAF generally reports 400–600 kg CO 2 -eq per tonne of steel, while BF-BOF with CCS can reduce emissions by about 30–50%. Conclusions H-DRI and renewable electricity-based EAF have strong potential for reducing steel-sector emissions. However, their performance varies with electricity and hydrogen sources, resource availability, system boundaries, and LCA assumptions. More consistent LCA methods, wider geographical coverage, and greater consideration of Circular Economy princi</w:t>
      </w:r>
    </w:p>
    <w:p>
      <w:pPr/>
      <w:r>
        <w:rPr>
          <w:b/>
        </w:rPr>
        <w:t>POSSIBLE 2026:</w:t>
      </w:r>
      <w:r>
        <w:t xml:space="preserve"> System Dynamics Model for Decarbonization Pathways in the Global Cement Industry — https://doi.org/10.3390/cleantechnol8040110</w:t>
      </w:r>
    </w:p>
    <w:p>
      <w:pPr/>
      <w:r>
        <w:rPr>
          <w:b/>
        </w:rPr>
        <w:t>Shared claim-specific concepts:</w:t>
      </w:r>
      <w:r>
        <w:t xml:space="preserve"> show, ccs, substitution, primary, production, pathway; EU scope not established. This is a provisional connection, not an outcome finding.</w:t>
      </w:r>
    </w:p>
    <w:p>
      <w:pPr>
        <w:pStyle w:val="SourceNote"/>
      </w:pPr>
      <w:r>
        <w:rPr>
          <w:b/>
        </w:rPr>
        <w:t>Available abstract (not full text):</w:t>
      </w:r>
      <w:r>
        <w:t xml:space="preserve"> Cement production remains one of the largest industrial sources of anthropogenic carbon dioxide (CO2) because of process emissions from limestone calcination and high-temperature fuel combustion. The primary objective of this study is to quantify the comparative effects of isolated and integrated mitigation portfolios on annual and cumulative global cement emissions through 2050 and to identify the principal leverage points needed for deep sectoral decarbonization. To achieve this, a global aggregate system dynamics model was developed and anchored to a 1990–2022 historical production baseline. The model evaluates five internally consistent scenarios: business-as-usual (BAU), efficiency and alternative fuels (EFF), materials efficiency and clinker substitution (MAT), carbon capture and storage (CCS), and an integrated net-zero-emission (NZE) pathway. The results show that while efficiency improvement alone (EFF) reduces 2050 annual emissions by 14.0% relative to BAU, it does not reverse sector-wide emissions growth. Deep decarbonization requires both substantial clinker-demand reduction (MAT, 33.2%) and broad CCS deployment (CCS, 61.1%). Only the integrated NZE pathway achieves an 87.9% reduction, lowering 2050 direct emissions to 325.8 Mt CO2. Cumulative emissions analysis further shows that delayed structural mitigation results in a large long-term carbon burden, with BAU acc</w:t>
      </w:r>
    </w:p>
    <w:p>
      <w:pPr/>
      <w:r>
        <w:rPr>
          <w:b/>
        </w:rPr>
        <w:t>POSSIBLE 2026:</w:t>
      </w:r>
      <w:r>
        <w:t xml:space="preserve"> Environmental assessment of several paths toward a carbon neutral ready-mixed concrete sector — https://doi.org/10.1016/j.cemconres.2026.108148</w:t>
      </w:r>
    </w:p>
    <w:p>
      <w:pPr/>
      <w:r>
        <w:rPr>
          <w:b/>
        </w:rPr>
        <w:t>Shared claim-specific concepts:</w:t>
      </w:r>
      <w:r>
        <w:t xml:space="preserve"> show, ccs, steel, emissions, current; EU scope not established. This is a provisional connection, not an outcome finding.</w:t>
      </w:r>
    </w:p>
    <w:p>
      <w:pPr>
        <w:pStyle w:val="SourceNote"/>
      </w:pPr>
      <w:r>
        <w:rPr>
          <w:b/>
        </w:rPr>
        <w:t>Available abstract (not full text):</w:t>
      </w:r>
      <w:r>
        <w:t xml:space="preserve"> To prevent serious consequences of climate change, it is essential to reduce greenhouse gas emissions, especially CO₂. The concrete industry, largely made up of ready-mixed reinforced concrete (RC), is a key part, as concrete is produced more than all other construction materials combined. This study evaluates decarbonization strategies in the RC sector, including low-clinker concrete (concrete with limestone calcined clay cement - LC 3 and high-volume limestone powder concrete - HVLPC), carbon capture and storage (CCS) and concrete with carbonated recycled aggregates (CRAC). Life cycle assessment was conducted on a typical RC floor slab under current and future conditions, including CCS and full electricity decarbonization. Results show a 60%–90% CO₂ reduction at the concrete level, but only ∼50% overall due to reinforcement impact—insufficient for net-zero under the assumptions made in this study. The best option combines HVLPC, oxyfuel CCS, and green electricity. With CCS and fully decarbonized electricity implemented in the future scenario, differences between conventional and low-clinker concretes drop below 10%. Possible mitigation strategies that can contribute to achieving carbon neutrality in the RC sector are decarbonization of the steel sector, increasing bioenergy and/or green hydrogen use in the kiln's fuel mix and decarbonization of transport.</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show, compared, emissions, process;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pStyle w:val="Heading2"/>
      </w:pPr>
      <w:r>
        <w:t>688.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2026:</w:t>
      </w:r>
      <w:r>
        <w:t xml:space="preserve"> The Missing Half of Capital: Unlocking Finance for Women-Led Firms in Europe and Central Asia — https://doi.org/10.1596/1813-9450-11379</w:t>
      </w:r>
    </w:p>
    <w:p>
      <w:pPr/>
      <w:r>
        <w:rPr>
          <w:b/>
        </w:rPr>
        <w:t>Shared claim-specific concepts:</w:t>
      </w:r>
      <w:r>
        <w:t xml:space="preserve"> finally, drawing, expand, across; EU scope visible. This is a provisional connection, not an outcome finding.</w:t>
      </w:r>
    </w:p>
    <w:p>
      <w:pPr>
        <w:pStyle w:val="SourceNote"/>
      </w:pPr>
      <w:r>
        <w:rPr>
          <w:b/>
        </w:rPr>
        <w:t>Available abstract (not full text):</w:t>
      </w:r>
      <w:r>
        <w:t xml:space="preserve"> This paper analyzes why women-owned and led small and medium-sized enterprises in Europe and Central Asia face persistent financing gaps and discusses ways to reduce them. Using a journey-mapping framework, the paper identifies 49 barriers faced by women-entrepreneurs in accessing debt and equity finance across three domains: demand-side frictions, supply-side frictions, and ecosystem-level constraints. Drawing on available evidence, the paper documents the presence of several barriers in Europe and Central Asia, including limited collateral, unfavorable loan terms, loan officer bias and misaligned incentives, regulatory gaps, and informational asymmetries. The paper reviews 27 interventions from global experience that have been evaluated as mechanisms to relax these constraints. For debt financing, these include asset-collateralized lending, psychometric credit scoring, flexible and innovative contract structures, tailored products for women, and incentive reforms for loan officers. For equity financing, the evidence points to investment-readiness programs, promotion-focused pitch strategies, and approaches to reduce investor bias by exposing investors to role models and sector-specific information. Further, digital financial services can lower entry barriers and expand alternative credit data; however, more sex-disaggregated evidence is needed to establish causal pathways in </w:t>
      </w:r>
    </w:p>
    <w:p>
      <w:pPr/>
      <w:r>
        <w:rPr>
          <w:b/>
        </w:rPr>
        <w:t>POSSIBLE 2026:</w:t>
      </w:r>
      <w:r>
        <w:t xml:space="preserve"> Learning under pressure: Welfare state responses to Covid-19 in Southern Europe — https://doi.org/10.1177/09589287261419976</w:t>
      </w:r>
    </w:p>
    <w:p>
      <w:pPr/>
      <w:r>
        <w:rPr>
          <w:b/>
        </w:rPr>
        <w:t>Shared claim-specific concepts:</w:t>
      </w:r>
      <w:r>
        <w:t xml:space="preserve"> drawing, covid-19, pandemic; EU scope visible. This is a provisional connection, not an outcome finding.</w:t>
      </w:r>
    </w:p>
    <w:p>
      <w:pPr>
        <w:pStyle w:val="SourceNote"/>
      </w:pPr>
      <w:r>
        <w:rPr>
          <w:b/>
        </w:rPr>
        <w:t>Available abstract (not full text):</w:t>
      </w:r>
      <w:r>
        <w:t xml:space="preserve"> Mediterranean welfare states have generally been treated as a homogeneous group; a ‘family of sinners’ that requires structural reforms to tackle persistent problems. While this applied until the Great Recession, new evidence suggests significant departures from this trajectory. Why did Mediterranean countries move from dualization and retrenchment to more generous measures in 2020, especially in outsiders’ protection? Taking the pandemic as a symmetric shock, we investigate welfare state responses in three Mediterranean regimes - Spain, Portugal and Italy. We find that, while all three departed from past austerity logics, Spain adopted a more encompassing response, entailing generous support towards both core and peripheral workers. Italy and Portugal, instead, persisted in a dual model of core segment protection with transfers for the most vulnerable. Drawing on interview and documentary data, we explain this divergence with the interplay between policy learning on the Left and patterns of ‘crisis corporatism’.</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2025:</w:t>
      </w:r>
      <w:r>
        <w:t xml:space="preserve"> The European Union’s experience with the “Hamiltonian moment” after the COVID-19 pandemic — https://doi.org/10.30783/nevsosbilen.1614103</w:t>
      </w:r>
    </w:p>
    <w:p>
      <w:pPr/>
      <w:r>
        <w:rPr>
          <w:b/>
        </w:rPr>
        <w:t>Shared claim-specific concepts:</w:t>
      </w:r>
      <w:r>
        <w:t xml:space="preserve"> covid-19, pandemic, disruptive; EU scope visible. This is a provisional connection, not an outcome finding.</w:t>
      </w:r>
    </w:p>
    <w:p>
      <w:pPr>
        <w:pStyle w:val="SourceNote"/>
      </w:pPr>
      <w:r>
        <w:rPr>
          <w:b/>
        </w:rPr>
        <w:t>Available abstract (not full text):</w:t>
      </w:r>
      <w:r>
        <w:t xml:space="preserve"> This study examines the European Union (EU)’s economic relief package announced for member states in the aftermath of COVID-19 and the ensuing debates over whether the EU is evolving into a federation. To establish the theoretical framework, the origins of the concept of the “Hamiltonian Moment,” as well as the arguments and discussions put forth by proponents of federalism within the EU are analyzed. Following an exploration of these two approaches, a general evaluation of the scope of the economic package is provided. This study argues that, due to the differences between the context in which the federalist structure in the United States (US) was established and the current environment within the EU, it is impossible to replicate the financial system created by A. Hamilton in the US within the EU. After elaborating on the conceptual background and related developments, the institutional and political perspectives of the EU on this matter, the steps it has taken, and the methods it has employed are presented. The post-COVID-19 global order has confronted every state with new political and economic challenges. Supranational structures have also been affected by the disruptive impact of COVID-19.</w:t>
      </w:r>
    </w:p>
    <w:p>
      <w:pPr/>
      <w:r>
        <w:rPr>
          <w:b/>
        </w:rPr>
        <w:t>POSSIBLE 2025:</w:t>
      </w:r>
      <w:r>
        <w:t xml:space="preserve"> From the “European university” to the Europeanisation of universities in Europe — https://doi.org/10.4324/9781003490654-7</w:t>
      </w:r>
    </w:p>
    <w:p>
      <w:pPr/>
      <w:r>
        <w:rPr>
          <w:b/>
        </w:rPr>
        <w:t>Shared claim-specific concepts:</w:t>
      </w:r>
      <w:r>
        <w:t xml:space="preserve"> discuss, need, climate; EU scope visible. This is a provisional connection, not an outcome finding.</w:t>
      </w:r>
    </w:p>
    <w:p>
      <w:pPr>
        <w:pStyle w:val="SourceNote"/>
      </w:pPr>
      <w:r>
        <w:rPr>
          <w:b/>
        </w:rPr>
        <w:t>Available abstract (not full text):</w:t>
      </w:r>
      <w:r>
        <w:t xml:space="preserve"> This chapter seeks to disclose and critically discuss the multifaceted origins of the French President Emmanuel Macron’s European Universities Initiative (EUI) launched in 2017. It argues that the initiative can be grasped in a threefold way, namely, as (i) a recombination of the “Bologna process,” focused on quality and convergence of structures in higher education, and the “Lisbon Strategy,” centred on research excellence and global competitiveness; (ii) a decade-old ambition to create - if not “a European university” - a set of leading comprehensive European Universities capable of competing on a global level with their counterparts from the US ivy league and the likes; and (iii) an extension of the need for further modernisation of the European university landscape, taking into account the need both to engage broadly with a multiplicity of stakeholder groups and to address pending complex societal problems and challenges, such as climate change. In terms of the system of governance put forth by the EUI, the chapter concludes that it can be best conceived of as an “evolutionary and experimental network of university networks” with significant potential for transforming the landscape of European Universities.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pStyle w:val="Heading2"/>
      </w:pPr>
      <w:r>
        <w:t>689.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2026:</w:t>
      </w:r>
      <w:r>
        <w:t xml:space="preserve"> LABOR FORCE PARTICIPATION RATES: DETERMINANTS, TRENDS, AND EMERGING ISSUES ACROSS REGIONS AND DEMOGRAPHICS — https://doi.org/10.21203/rs.3.rs-10078651/v1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Abstract Background Labor force participation rate (LFPR) is a fundamental indicator of economic vitality and social inclusion. Despite its central importance for labor economics and policy, no comprehensive systematic review has synthesized the full spectrum of demographic, household, cultural, economic, and technological determinants of LFPR across global contexts. Objectives This systematic review aims to: (1) identify and synthesize empirical evidence on the determinants of LFPR across regions and demographic groups; (2) assess the effectiveness of policy interventions, particularly family-friendly policies; and (3) identify critical research gaps, particularly regarding technological change and gig economy dynamics. Methods Following PRISMA (Preferred Reporting Items for Systematic Reviews and Meta-Analyses) guidelines, we systematically searched Scopus, JSTOR, and the ILO Research Library. After duplicate removal, title/abstract screening, and full-text eligibility assessment applying predefined inclusion and exclusion criteria, 55 studies were included in the qualitative synthesis. Results Age, gender, education, marital status, and health are primary drivers of participation. Household composition and childcare availability are the single strongest mediators of female LFPR, while cultural norms and institutional policies explain substantial cross-national variation. Fam</w:t>
      </w:r>
    </w:p>
    <w:p>
      <w:pPr/>
      <w:r>
        <w:rPr>
          <w:b/>
        </w:rPr>
        <w:t>POSSIBLE 2026:</w:t>
      </w:r>
      <w:r>
        <w:t xml:space="preserve"> Pakistan-South Korea Relations: Exploring New Avenues and Policy Options — https://doi.org/10.62345/jads.2026.15.3.19</w:t>
      </w:r>
    </w:p>
    <w:p>
      <w:pPr/>
      <w:r>
        <w:rPr>
          <w:b/>
        </w:rPr>
        <w:t>Shared claim-specific concepts:</w:t>
      </w:r>
      <w:r>
        <w:t xml:space="preserve"> terms, options, population; EU scope not established. This is a provisional connection, not an outcome finding.</w:t>
      </w:r>
    </w:p>
    <w:p>
      <w:pPr>
        <w:pStyle w:val="SourceNote"/>
      </w:pPr>
      <w:r>
        <w:rPr>
          <w:b/>
        </w:rPr>
        <w:t>Available abstract (not full text):</w:t>
      </w:r>
      <w:r>
        <w:t xml:space="preserve"> Pakistan and South Korea have enjoyed long-standing relations, based on decades of bilateral cooperation across multiple areas. The relationship between the Islamic Republic of Pakistan and the Republic of Korea is marked by mutual trust, respect and support on important regional and international issues. Both states share similar historical background but a different present picture. Both states achieved independence in the 1940s, both agricultural-based ,but economically poor, depending heavily on foreign aid and investment. However, South Korea has progressed significantly, transforming from an aid recipient to a donor. At the moment, South Korea is the 3rd largest exporter in Asia and the 8th-largest exporter worldwide. Pakistan, on the other hand, progressed slowly, ranking 16th in Asia in exports and 67th globally. South Korea thus offers so much to learn from, in terms of economic development and industrial progress. Nonetheless, Pakistan, with its rich natural resources and youthful population, is attractive to foreign investors such as South Korea. There is so much untapped potential in Pakistan that the partners need to explore and invest in. Further, Pakistan can serve as a vital gateway for South Korea to the Middle East, Central Asia, and Africa. This article examines bilateral relations between Pakistan and South Korea,, focusing on key areas of cooperation. The s</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2025:</w:t>
      </w:r>
      <w:r>
        <w:t xml:space="preserve"> Returning to Work: Older Adults' Labor Force Participation and Health Status — https://doi.org/10.1111/cwe.70001</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Abstract This study investigated the effects of labor force participation on the physical and mental health of older adults, using the implementation of the provincial‐level Regulations on the Protection of the Rights and Interests of the Olderly as an entry point and applying the control function method to address endogeneity. The results indicate that the labor force participation of older adults improved their physical health significantly but had no significant effect on mental health. The positive effect on physical health was stronger for women, urban residents, those with lower education levels, and those with health insurance. Labor force participation operated through income effects and health behavior channels but no evidence was found for a social support channel. These results suggest that removing institutional barriers and empowering older adults can help to address the challenges of an aging population and promote a healthier China.</w:t>
      </w:r>
    </w:p>
    <w:p>
      <w:pPr/>
      <w:r>
        <w:rPr>
          <w:b/>
        </w:rPr>
        <w:t>POSSIBLE 2025:</w:t>
      </w:r>
      <w:r>
        <w:t xml:space="preserve"> The Impact of Female Labor Force Participation on Regional Economic and Income Convergence — https://doi.org/10.15408/etk.v24i2.41688</w:t>
      </w:r>
    </w:p>
    <w:p>
      <w:pPr/>
      <w:r>
        <w:rPr>
          <w:b/>
        </w:rPr>
        <w:t>Shared claim-specific concepts:</w:t>
      </w:r>
      <w:r>
        <w:t xml:space="preserve"> participation, high, even, improve; EU scope not established. This is a provisional connection, not an outcome finding.</w:t>
      </w:r>
    </w:p>
    <w:p>
      <w:pPr>
        <w:pStyle w:val="SourceNote"/>
      </w:pPr>
      <w:r>
        <w:rPr>
          <w:b/>
        </w:rPr>
        <w:t>Available abstract (not full text):</w:t>
      </w:r>
      <w:r>
        <w:t xml:space="preserve"> Research originality: Women tend to be chosen as the non-labor force, even though they are potential workers who can contribute directly to the economy. Their level of education influences this contribution. Research objectives: This research examined the impact of female labor force participation on regional economic and income convergence. Research methods: Pooled Least Squares (PLS) and panel data estimation were conducted using cross-sectional data on 472 cities/districts across Indonesia between 2016 and 2022. Empirical result: The findings reveal that female labor force participation significantly enhances regional economic growth only when women have at least a senior high school education. However, their contribution to accelerating economic convergence remains suboptimal, as most female workers are elementary school graduates. Implications: To improve the contribution of the female workforce to the economy, the government should extend compulsory education from 9 to 12 years, expand access to non-formal education for women, and establish a female-friendly labor market through job flexibility and improved childcare access. JEL Classification: I25, J21, E12, J20</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pStyle w:val="Heading2"/>
      </w:pPr>
      <w:r>
        <w:t>690.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2026:</w:t>
      </w:r>
      <w:r>
        <w:t xml:space="preserve"> Decolonising the entrepreneurship curriculum in South Africa — https://doi.org/10.36096/ijbes.v8i1.1129</w:t>
      </w:r>
    </w:p>
    <w:p>
      <w:pPr/>
      <w:r>
        <w:rPr>
          <w:b/>
        </w:rPr>
        <w:t>Shared claim-specific concepts:</w:t>
      </w:r>
      <w:r>
        <w:t xml:space="preserve"> decolonise, crucial; EU scope not established. This is a provisional connection, not an outcome finding.</w:t>
      </w:r>
    </w:p>
    <w:p>
      <w:pPr>
        <w:pStyle w:val="SourceNote"/>
      </w:pPr>
      <w:r>
        <w:rPr>
          <w:b/>
        </w:rPr>
        <w:t>Available abstract (not full text):</w:t>
      </w:r>
      <w:r>
        <w:t xml:space="preserve"> This paper examines the need to decolonise entrepreneurship education in South Africa by addressing epistemic inequalities and aligning curricula with local socio-economic realities. Grounded in decolonial and human capital theories, the study critiques existing programmes that are dominated by Western pedagogies privileging individualism and profit maximization. A literature review shows that current curricula inadequately reflect indigenous knowledge, community-oriented practices, and the informal economy, which remains a crucial site for livelihoods and economic participation. Three key gaps are identified: an overreliance on Eurocentric content, weak contextual relevance to South Africa’s socio-economic challenges, and the exclusion of indigenous and community-driven approaches. These shortcomings limit the curriculum’s capacity to prepare students to address pressing issues such as unemployment, inequality, and informality. The study argues for a decolonised curriculum that integrates African epistemologies, emphasizes social and community entrepreneurship, and produces graduates capable of contributing to inclusive and sustainable development. This study adopts a conceptual and integrative literature-based approach to examine the decolonisation of entrepreneurship education in South Africa. Drawing on peer-reviewed journal articles, policy documents, doctoral studies, and</w:t>
      </w:r>
    </w:p>
    <w:p>
      <w:pPr/>
      <w:r>
        <w:rPr>
          <w:b/>
        </w:rPr>
        <w:t>POSSIBLE 2026:</w:t>
      </w:r>
      <w:r>
        <w:t xml:space="preserve"> Towards a Decolonised University in South Africa: Filling the Blanks — https://doi.org/10.1057/s41307-026-00452-4</w:t>
      </w:r>
    </w:p>
    <w:p>
      <w:pPr/>
      <w:r>
        <w:rPr>
          <w:b/>
        </w:rPr>
        <w:t>Shared claim-specific concepts:</w:t>
      </w:r>
      <w:r>
        <w:t xml:space="preserve"> efforts, decolonise, understand, they; EU scope not established. This is a provisional connection, not an outcome finding.</w:t>
      </w:r>
    </w:p>
    <w:p>
      <w:pPr>
        <w:pStyle w:val="SourceNote"/>
      </w:pPr>
      <w:r>
        <w:rPr>
          <w:b/>
        </w:rPr>
        <w:t>Available abstract (not full text):</w:t>
      </w:r>
      <w:r>
        <w:t xml:space="preserve"> Abstract Research on the decolonisation of the higher education sector in South Africa continues to mount, though what remains underexplored is an evaluation of the efforts made towards establishing a decolonised university in its triple functions: teaching-learning, research and community engagement. Using literature from the public domain and document analysis, the qualitative study employs the South African context to analyse the efforts done so far to decolonise the three core functions of the university, so as to understand how the country has aligned to the decolonisation call. Deploying the decolonial lens, findings demonstrate that although universities in South Africa have remarkably engaged in the decolonisation of teaching, learning and research, they have overlooked the third core mandate—community engagement, which is still heavily girded by Western thinking and practice. Decolonising only the two core functions of the university, overlooking the third mission, makes the decolonisation agenda incomplete. The review underscores the need to seriously consider the decolonisation of community engagement whose mandate is to enhance social transformation and address societal problems. Beyond South Africa, the study provides valuable lessons to other countries in comparable contexts, given that very few universities in postcolonial contexts are immune to colonial legacies</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pStyle w:val="Heading2"/>
      </w:pPr>
      <w:r>
        <w:t>691.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2026:</w:t>
      </w:r>
      <w:r>
        <w:t xml:space="preserve"> Regularization of divergent integrals in complex geometry — https://doi.org/10.63959/chalmers.dt/5908</w:t>
      </w:r>
    </w:p>
    <w:p>
      <w:pPr/>
      <w:r>
        <w:rPr>
          <w:b/>
        </w:rPr>
        <w:t>Shared claim-specific concepts:</w:t>
      </w:r>
      <w:r>
        <w:t xml:space="preserve"> first, divergent, power, over, associated; EU scope not established. This is a provisional connection, not an outcome finding.</w:t>
      </w:r>
    </w:p>
    <w:p>
      <w:pPr>
        <w:pStyle w:val="SourceNote"/>
      </w:pPr>
      <w:r>
        <w:rPr>
          <w:b/>
        </w:rPr>
        <w:t>Available abstract (not full text):</w:t>
      </w:r>
      <w:r>
        <w:t xml:space="preserve"> A unifying theme of this thesis is the study of Archimedean zeta functions defined by complex-geometric data. Classically, Archimedean zeta functions over C are parameter-dependent integrals over a domain in Cn, where the parameter is a complex power of the modulus of a holomorphic function. We consider a global complex-geometric generalization in which the integration is over a complex manifold or reduced analytic space, and where the modulus of a holomorphic function is replaced by the norm of a holomorphic section of a vector bundle.The first two papers concern finite parts of divergent integrals on reduced complex analytic spaces. Given a singular differential form whose singularities are determined a holomorphic section of a vector bundle, a Hermitian metric induces a natural regularization of the divergent integral, giving rise to an Archimedean zeta function. A finite part of the divergent integral is defined as the constant term in the Laurent expansion of this zeta function about 0. Paper I establishes an explicit formula describing the dependence of the resulting finite part on the choice of Hermitian metric. Paper II develops a current calculus adapted to this setting and derives decomposition formulas that permit explicit computations of certain finite parts. We illustrate these formulas with a family of examples on projective space, where the resulting finite parts</w:t>
      </w:r>
    </w:p>
    <w:p>
      <w:pPr/>
      <w:r>
        <w:rPr>
          <w:b/>
        </w:rPr>
        <w:t>POSSIBLE 2026:</w:t>
      </w:r>
      <w:r>
        <w:t xml:space="preserve"> The Evolution of FTTH Networks in Europe and South Korea—Regulatory Power — https://doi.org/10.3390/telecom7030059</w:t>
      </w:r>
    </w:p>
    <w:p>
      <w:pPr/>
      <w:r>
        <w:rPr>
          <w:b/>
        </w:rPr>
        <w:t>Shared claim-specific concepts:</w:t>
      </w:r>
      <w:r>
        <w:t xml:space="preserve"> show, time, power, differences, over; EU scope visible. This is a provisional connection, not an outcome finding.</w:t>
      </w:r>
    </w:p>
    <w:p>
      <w:pPr>
        <w:pStyle w:val="SourceNote"/>
      </w:pPr>
      <w:r>
        <w:rPr>
          <w:b/>
        </w:rPr>
        <w:t>Available abstract (not full text):</w:t>
      </w:r>
      <w:r>
        <w:t xml:space="preserve"> Regulations of next-generation networks (NGNs) have played a central role in the transition from copper networks to broadband networks in Fiber to The Home (FTTH), also allowing for a reduction in asymmetries between incumbent operators and their competitors. Despite common European Union directives, telecom infrastructure development varies across countries due to differences in regulation, investment models, legacy networks, operators’ behavior, and public policies. This study analyzes the evolution of Very High-Capacity Networks (VHCNs), focusing on the implementation of FTTH in four European countries (Portugal, Spain, France, and Germany), and in South Korea. The latter was included as a benchmark in government-driven broadband development. The analysis considers key factors influencing FTTH development, including infrastructure regulation, fiber investment incentives, incumbent strategies, infrastructure sharing and co-investment, rural coverage plans, and demographic differences of each country. The results show that regulatory measures directly influence the pace of FTTH installation; but its effectiveness also depends on investment incentives, market competition, and demand factors. Portugal, Spain, and France have high FTTH coverage despite different regulatory and investment models. In contrast, Germany relied on xDSL over copper networks for a long time, causing sig</w:t>
      </w:r>
    </w:p>
    <w:p>
      <w:pPr/>
      <w:r>
        <w:rPr>
          <w:b/>
        </w:rPr>
        <w:t>POSSIBLE 2026:</w:t>
      </w:r>
      <w:r>
        <w:t xml:space="preserve"> Behaviour of K. pneumoniae|Carbapenems in Several European Countries According to Clustering Time-Series Health Data with Generalised Affinity Coefficient — https://doi.org/10.3390/antibiotics15090895</w:t>
      </w:r>
    </w:p>
    <w:p>
      <w:pPr/>
      <w:r>
        <w:rPr>
          <w:b/>
        </w:rPr>
        <w:t>Shared claim-specific concepts:</w:t>
      </w:r>
      <w:r>
        <w:t xml:space="preserve"> first, time, over; EU scope visible. This is a provisional connection, not an outcome finding.</w:t>
      </w:r>
    </w:p>
    <w:p>
      <w:pPr>
        <w:pStyle w:val="SourceNote"/>
      </w:pPr>
      <w:r>
        <w:rPr>
          <w:b/>
        </w:rPr>
        <w:t>Available abstract (not full text):</w:t>
      </w:r>
      <w:r>
        <w:t xml:space="preserve"> Background/Objectives: Antimicrobial resistance (AMR) constitutes a major public health and economic burden in contemporary society. This work aims to identify the patterns and temporal trends of Klebsiella pneumoniae resistance to carbapenems across several European countries. Methods: Data on K. pneumoniae resistance to carbapenems in several countries from 2005 to 2021 (with data available up to 2023) were retrieved from the public ECDC website in 2023. Agglomerative Hierarchical Cluster Analysis (HCA), based on the new generalised affinity coefficient, was applied to the estimated ARIMA models. Results: The dendrogram at the cut-off presented four clusters: the first cluster with Slovenia, Luxembourg, Italy and Estonia; the second cluster with Romania, Malta, Greece, Portugal and Spain; the third cluster Denmark, France and Czechia; and finally the fourth cluster with Lithuania, Cyprus, Finland, Austria, Belgium and Slovakia. Although the resistance values showed an increasing trend over the years in clusters II and III, the increase was more pronounced in cluster II. Conclusions: The application of data analysis, for the first time, using HCA based on a new similarity coefficient, namely, the generalised affinity coefficient, enables the evaluation of time-series patterns in different regions and enables the identification of clusters of countries showing similar temporal </w:t>
      </w:r>
    </w:p>
    <w:p>
      <w:pPr/>
      <w:r>
        <w:rPr>
          <w:b/>
        </w:rPr>
        <w:t>POSSIBLE 2026:</w:t>
      </w:r>
      <w:r>
        <w:t xml:space="preserve"> Four Case Studies in Comparison and Analogy: Political and Religious Culture, Conversion, Genealogy, and Time in Latin Europe and Medieval Japan — https://doi.org/10.3390/rel17101120</w:t>
      </w:r>
    </w:p>
    <w:p>
      <w:pPr/>
      <w:r>
        <w:rPr>
          <w:b/>
        </w:rPr>
        <w:t>Shared claim-specific concepts:</w:t>
      </w:r>
      <w:r>
        <w:t xml:space="preserve"> show, first, time, marked, within, any; EU scope visible. This is a provisional connection, not an outcome finding.</w:t>
      </w:r>
    </w:p>
    <w:p>
      <w:pPr>
        <w:pStyle w:val="SourceNote"/>
      </w:pPr>
      <w:r>
        <w:rPr>
          <w:b/>
        </w:rPr>
        <w:t>Available abstract (not full text):</w:t>
      </w:r>
      <w:r>
        <w:t xml:space="preserve"> Our article follows two related objectives. We, first, reconsider the relationship between religion and politics by eschewing the uniform modern State–Church model and questioning its Eurocentric tenets. To do so, we focus on the Middle Ages and pair our decentring perspective with a comparison between Latin Europe in the 9th to 13th centuries and medieval Japan from the late Heian period to the Kamakura and early Muromachi eras (10th to 14th centuries). While comparisons between medieval Japan and Western Europe are well established, we propose, furthermore, to reassess them in light of a comparative approach that is informed less by affinities than by analogies following the pioneering work of the British anthropologist Marilyn Strathern. In our case, we examine the analogy between the conceptual pairs, regnum vs. sacerdotium and ōbō vs. buppō, i.e., imperial vs. Buddhist law. We operationalise in particular Strathern’s strategy of negation, i.e., the productive acknowledgement that some cultural traits cannot truly be present in another culture. Starting with affinities and moving towards analogies, we show, first, that European as well as Japanese binaries admit declensions that extend to the hostile subordination or even violent rejection of one of the terms. Both traditions, for instance, justified armed violence in defence of the sacred, whether through the conversion of</w:t>
      </w:r>
    </w:p>
    <w:p>
      <w:pPr/>
      <w:r>
        <w:rPr>
          <w:b/>
        </w:rPr>
        <w:t>POSSIBLE 2026:</w:t>
      </w:r>
      <w:r>
        <w:t xml:space="preserve"> It’s time for Europe. The first Prodi government and the path toward the euro (1996–98) — https://doi.org/10.1080/1354571x.2026.2616128</w:t>
      </w:r>
    </w:p>
    <w:p>
      <w:pPr/>
      <w:r>
        <w:rPr>
          <w:b/>
        </w:rPr>
        <w:t>Shared claim-specific concepts:</w:t>
      </w:r>
      <w:r>
        <w:t xml:space="preserve"> first, time, over, within; EU scope visible. This is a provisional connection, not an outcome finding.</w:t>
      </w:r>
    </w:p>
    <w:p>
      <w:pPr>
        <w:pStyle w:val="SourceNote"/>
      </w:pPr>
      <w:r>
        <w:rPr>
          <w:b/>
        </w:rPr>
        <w:t>Available abstract (not full text):</w:t>
      </w:r>
      <w:r>
        <w:t xml:space="preserve"> This article reconstructs the trajectory through which the first Prodi government (1996–1998) succeeded in bringing Italy back to the core of European integration after years of political marginalization, financial instability, and diplomatic isolation. Drawing on extensive archival material, it analyzes the dual challenge faced by Prodi: regaining the trust of European partners and restoring domestic credibility after the turbulent Berlusconi and Dini governments. The chapter examines the strategic centrality of Europe within the Olive Tree coalition’s platform, the role of key technocrats such as Ciampi and Dini, and the intense diplomatic efforts undertaken between 1996 and 1998. Particular attention is devoted to the negotiations over the Maastricht parameters, the struggle to meet convergence criteria, and the creation of the ‘Group of Four’, which coordinated Italy’s final push toward E.M.U. membership. Ultimately, the article shows how political determination, fiscal consolidation, and diplomatic activism enabled Italy to join the founding group of countries adopting the euro.</w:t>
      </w:r>
    </w:p>
    <w:p>
      <w:pPr/>
      <w:r>
        <w:rPr>
          <w:b/>
        </w:rPr>
        <w:t>POSSIBLE 2026:</w:t>
      </w:r>
      <w:r>
        <w:t xml:space="preserve"> "An ogre at our doorstep": Can the Russian threat unite Europe? — https://doi.org/10.5937/pr87-64658</w:t>
      </w:r>
    </w:p>
    <w:p>
      <w:pPr/>
      <w:r>
        <w:rPr>
          <w:b/>
        </w:rPr>
        <w:t>Shared claim-specific concepts:</w:t>
      </w:r>
      <w:r>
        <w:t xml:space="preserve"> first, time, divergent, power, balance, over; EU scope visible. This is a provisional connection, not an outcome finding.</w:t>
      </w:r>
    </w:p>
    <w:p>
      <w:pPr>
        <w:pStyle w:val="SourceNote"/>
      </w:pPr>
      <w:r>
        <w:rPr>
          <w:b/>
        </w:rPr>
        <w:t>Available abstract (not full text):</w:t>
      </w:r>
      <w:r>
        <w:t xml:space="preserve"> This paper examines whether the perception of a Russian threat can serve as a unifying force for the European Union (EU) in the field of security and defense. Triggered by Russia's invasion of Ukraine, European political discourse has increasingly framed Moscow as an aggressive and expansionist power posing a continental-scale danger. This narrative, vividly articulated by French President Emmanuel Macron's depiction of Russia as an "ogre at Europe's doorstep," has been used to justify accelerated militarization, deeper defense integration, and renewed calls for European strategic autonomy independent of the United States. The paper critically reassesses these assumptions. The central argument is that emphasizing the Russian threat is insufficient to generate a cohesive and unified European defense policy. The analysis proceeds along two main lines. First, it questions the credibility of portraying Russia as an existential threat to the entire European security architecture. Second, it demonstrates that Russia's actions do not generate uniform levels of concern across EU member states due to divergent threat perceptions and particular interests. The theoretical framework is grounded in realism, primarily Stephen Walt's theory of the balance of threat and Randall Schweller's theory of the balance of interests. The balance of threat approach highlights that states respond not sim</w:t>
      </w:r>
    </w:p>
    <w:p>
      <w:pPr>
        <w:pStyle w:val="Heading2"/>
      </w:pPr>
      <w:r>
        <w:t>692.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2026:</w:t>
      </w:r>
      <w:r>
        <w:t xml:space="preserve"> Life cycle assessment of chemicals: data generation and uncertainty — https://doi.org/10.1007/s00706-026-03527-5</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Chemicals play an important role in many products and industries, but there is a lack of data on the production processes and environmental impacts of the different types of chemicals. Based on this problem, this paper presents a review of methods for the generation of life cycle inventory data and life cycle impact assessment results for chemicals not yet included in life cycle assessment databases. 31 methods in peer-reviewed papers, mainly from 2012 to 2021, were evaluated and methodologies on how to gain the data were identified and clustered. The identified subcategories include knowledge engineering and data mining, process simulation, predictive LCA using machine learning, and multivariate statistics as well as the identification of chemicals for special purposes using computer-aided molecular design. The areas and literature were summarized by application and according to advantages or disadvantages of the methods. Additionally, the possibilities of including model and data uncertainties were discussed and open science aspects of software and programming code were evaluated, as these provide a good basis for other researchers to further expand the solutions developed.</w:t>
      </w:r>
    </w:p>
    <w:p>
      <w:pPr/>
      <w:r>
        <w:rPr>
          <w:b/>
        </w:rPr>
        <w:t>POSSIBLE 2026:</w:t>
      </w:r>
      <w:r>
        <w:t xml:space="preserve"> 3D Glacial Isostatic Adjustment along the deglacial forebulge of the Atlantic coasts of North America and Europe — https://doi.org/10.5194/egusphere-egu26-15680</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The deglacial forebulge along the Atlantic coasts of North America and Europe has been a key area for glacial isostatic adjustment (GIA) studies. Relative sea level (RSL) changes in this region are highly sensitive to the 3D Earth structure, and the area hosts abundant RSL data that can help constrain the 3D Earth structure. However, many previous studies either relied primarily on 1D Earth models or adopted 3D structures without systematically exploring the magnitude of lateral heterogeneity or the uncertainty associated with deglacial ice histories. Here, we use the latest standardized deglacial RSL databases from the Atlantic coasts of North America and Europe for comparison with 3D GIA models coupled with two widely used ice models, ICE-6G_C and ANU-ICE. Our 3D Earth model consists of a 1D background viscosity model (ηo) and lateral viscosity variations; the latter are derived from shear velocity anomalies in a seismic tomography model and scaled by a factor (β) denoting the magnitude of lateral heterogeneity. We explore a range of ηo and β to assess the sensitivity of RSL predictions to both the background viscosity and the magnitude of lateral heterogeneity. The RSL databases include sea-level index points and limiting data, which we further classify by depositional setting (base of basal, basal, intercalated). We compare the RSL data to the GIA model predictions using a </w:t>
      </w:r>
    </w:p>
    <w:p>
      <w:pPr/>
      <w:r>
        <w:rPr>
          <w:b/>
        </w:rPr>
        <w:t>POSSIBLE 2026:</w:t>
      </w:r>
      <w:r>
        <w:t xml:space="preserve"> How Data Uncertainty Influences Estimates of Root Zone Water Storage Capacity — https://doi.org/10.1029/2025wr042672</w:t>
      </w:r>
    </w:p>
    <w:p>
      <w:pPr/>
      <w:r>
        <w:rPr>
          <w:b/>
        </w:rPr>
        <w:t>Shared claim-specific concepts:</w:t>
      </w:r>
      <w:r>
        <w:t xml:space="preserve"> data, uncertainty, high, different; EU scope not established. This is a provisional connection, not an outcome finding.</w:t>
      </w:r>
    </w:p>
    <w:p>
      <w:pPr>
        <w:pStyle w:val="SourceNote"/>
      </w:pPr>
      <w:r>
        <w:rPr>
          <w:b/>
        </w:rPr>
        <w:t>Available abstract (not full text):</w:t>
      </w:r>
      <w:r>
        <w:t xml:space="preserve"> Abstract Root zone water storage capacity () sets the lower limit on the water available to plants and is critical for modeling terrestrial water and carbon fluxes. Due to subsurface heterogeneity in soils, roots, and geology, in‐situ measurements of are infeasible at regional to global scales. Instead, is often estimated using a water balance approach—calculating the difference between precipitation and evapotranspiration to approximate water deficits. This method can be applied using diverse data sets, including those from eddy covariance, satellite remote sensing, reanalysis, and land surface model outputs. However, each data product contains its own uncertainties, and the influence of data set choice on estimates has not been quantified. In this study, we assess the uncertainty in estimates across 90 FLUXNET sites in the continental United States with at least 5 years of data, comparing results from six different precipitation and evapotranspiration data sets. We find substantial variation in estimates across data sets, sites, and land cover types, with particularly high uncertainty for values exceeding 500 mm. Much of this uncertainty can be attributed to differences among evapotranspiration products rather than random errors. Our analysis shows that single data set approaches to quantifying underestimate the variability that emerges when multiple data sets are considered,</w:t>
      </w:r>
    </w:p>
    <w:p>
      <w:pPr/>
      <w:r>
        <w:rPr>
          <w:b/>
        </w:rPr>
        <w:t>POSSIBLE 2026:</w:t>
      </w:r>
      <w:r>
        <w:t xml:space="preserve"> Economic Policy Uncertainty and Income Inequality Across Europe — https://openalex.org/W7128567058</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This paper investigates the impact of Economic Policy Uncertainty (EPU) on income inequality across a broad set of European countries from 1995 to 2022, with a particular focus on the core-periphery divide.Applying both time series and panel data methodologies-including Vector Autoregressions (VAR), panel VAR, and local projections-we assess how economic uncertainty influences inequality dynamics.Our findings reveal three key insights.First, uncertainty shocks significantly affect income inequality in nearly all countries, and the effect is time-varying.Second, the effect is heterogenous across countries but varies: uncertainty tends to reduce inequality in core European countries such as Belgium, Germany, Ireland, and the Netherlands, while mainly increasing it in periphery and intermediate countries like France, Greece, Italy, and Spain.Third, panel analysis confirms this asymmetry, showing more persistent and positive inequality effects in periphery countries.These results suggest that income inequality in Europe's periphery is more vulnerable to economic uncertainty, underscoring the importance of stable policy environments and targeted fiscal responses.</w:t>
      </w:r>
    </w:p>
    <w:p>
      <w:pPr/>
      <w:r>
        <w:rPr>
          <w:b/>
        </w:rPr>
        <w:t>POSSIBLE 2026:</w:t>
      </w:r>
      <w:r>
        <w:t xml:space="preserve"> High-resolution European soil property maps based on LUCAS and AlphaEarth Foundations satellite embeddings — https://doi.org/10.5281/zenodo.18184831</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General Information The dataset can be found under this link: https://igeocloud.boku.ac.at/index.php/s/9KQqb8pxPrArTta It includes maps of soil texture (sand, silt, clay), coarse fragments, pH and bulk density. The values represent the 0-20 cm depth level of soil. Additionally, model uncertainty maps for each soil property are available. Spatially, the maps cover the surface area of all 27 EU member states, as well as the United Kingdom with a spatial resolution of 10 metres. Temporally, they were made with covariates from 2018, based on LUCAS soil sample data from 2009 (texture + coarse) or 2018 (pH + bulk density). Description of the data in the dataset For each included soil property, we provide the property map as well as the uncertainty map as cloud-optimized GeoTiff (COG) files. Each soil property folder includes one COG for each of the 122 tiles that cover Europe (see Fig. 3 of the paper). The projection is always WGS84 (EPSG:4326). In each tile of the bulk density, pH and coarse maps, the first band of the GeoTiff contains the soil property values, while the second band, called "uncertainty", contains the model uncertainty estimation of the soil property values. In the case of soil texture files, the sand, silt and clay values are the first three bands, while their respective uncertainty estimates are bands four through six. Before using the soil property maps, the prop</w:t>
      </w:r>
    </w:p>
    <w:p>
      <w:pPr>
        <w:pStyle w:val="Heading2"/>
      </w:pPr>
      <w:r>
        <w:t>693.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694.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Causes and extent of avoidable mortality across the european union: insights for advancing healthy aging — https://doi.org/10.1007/s11357-025-02045-2</w:t>
      </w:r>
    </w:p>
    <w:p>
      <w:pPr/>
      <w:r>
        <w:rPr>
          <w:b/>
        </w:rPr>
        <w:t>Shared claim-specific concepts:</w:t>
      </w:r>
      <w:r>
        <w:t xml:space="preserve"> three, across, approach; EU scope visible. This is a provisional connection, not an outcome finding.</w:t>
      </w:r>
    </w:p>
    <w:p>
      <w:pPr>
        <w:pStyle w:val="SourceNote"/>
      </w:pPr>
      <w:r>
        <w:rPr>
          <w:b/>
        </w:rPr>
        <w:t>Available abstract (not full text):</w:t>
      </w:r>
      <w:r>
        <w:t xml:space="preserve"> Although population aging is a global worldwide phenomenon, it is most pronounced in European Union countries. An unhealthy ageing population not only places a heavy burden on healthcare, but also hinders sustainable socio-economic development. Supporting healthy aging can be achieved through evidence-based strategies aimed at reducing avoidable mortality and interventions that promote these strategies. Our study is based on a secondary analysis of Eurostat data for 2022 to describe the extent and structure of avoidable (divided to preventable and treatable) mortality stratified by sex for each EU country. Cluster analyses based on avoidable mortality indicators (preventable mortality rate, treatable mortality rate, preventable-to-treatable mortality ratio, and male-to-female avoidable mortality rate ratio) and the cause-specific composition of avoidable mortality were used to highlight similarities and differences between countries. Classification based on the available mortality indicators revealed regional patterns. Western and Northern EU countries were predominantly in Cluster 1 which had the lowest preventable and treatable mortality rates, as well as relatively balanced sex ratios. However, these countries had a higher preventable-to-treatable mortality ratio indicating potential delays or gaps in preventive services. Mediterranean EU countries were in Cluster 2 showing </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project, factors, across;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pStyle w:val="Heading2"/>
      </w:pPr>
      <w:r>
        <w:t>695.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2026:</w:t>
      </w:r>
      <w:r>
        <w:t xml:space="preserve"> FINTECH ECOSYSTEM OF UKRAINE IN THE EUROPEAN CONTEXT — https://doi.org/10.31651/2076-5843-2026-2-174-187</w:t>
      </w:r>
    </w:p>
    <w:p>
      <w:pPr/>
      <w:r>
        <w:rPr>
          <w:b/>
        </w:rPr>
        <w:t>Shared claim-specific concepts:</w:t>
      </w:r>
      <w:r>
        <w:t xml:space="preserve"> therefore, purpose, identify; EU scope visible. This is a provisional connection, not an outcome finding.</w:t>
      </w:r>
    </w:p>
    <w:p>
      <w:pPr>
        <w:pStyle w:val="SourceNote"/>
      </w:pPr>
      <w:r>
        <w:rPr>
          <w:b/>
        </w:rPr>
        <w:t>Available abstract (not full text):</w:t>
      </w:r>
      <w:r>
        <w:t xml:space="preserve"> Introduction. The rapid development of financial technologies (FinTech) is transforming the financial sector through the expansion of digital payment services, open banking, artificial intelligence, and crypto-assets. While the European Union has established a comprehensive regulatory framework for digital finance, Ukraine continues to adapt its legislation to European standards. Therefore, assessing the Ukrainian FinTech ecosystem in the European context is essential for identifying regulatory gaps and substantiating directions for its integration into the European digital financial space. Purpose. The purpose of the article is to investigate the current state of the Ukrainian FinTech ecosystem in the European context, identify the key features of its regulatory environment, and substantiate strategic directions for its harmonization with European Union standards. Results. The current state of the Ukrainian FinTech ecosystem in the European context is assessed through a comparative analysis of its market structure, regulatory environment, and integration potential. The structural characteristics of the Ukrainian FinTech market are identified based on the distribution of companies across the main functional segments, confirming the dominance of technological infrastructure and digital payment services. The key technological trends of the ecosystem are analyzed, including the wi</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DETERMINING POVERTY FACTORS USING LOGIT MODELS — https://doi.org/10.63452/ijafssr.2025.3601</w:t>
      </w:r>
    </w:p>
    <w:p>
      <w:pPr/>
      <w:r>
        <w:rPr>
          <w:b/>
        </w:rPr>
        <w:t>Shared claim-specific concepts:</w:t>
      </w:r>
      <w:r>
        <w:t xml:space="preserve"> factors, determining, four; EU scope visible. This is a provisional connection, not an outcome finding.</w:t>
      </w:r>
    </w:p>
    <w:p>
      <w:pPr>
        <w:pStyle w:val="SourceNote"/>
      </w:pPr>
      <w:r>
        <w:rPr>
          <w:b/>
        </w:rPr>
        <w:t>Available abstract (not full text):</w:t>
      </w:r>
      <w:r>
        <w:t xml:space="preserve"> This study examines the factors of poverty across six European countries—three in Southern Europe (Greece, Spain, Portugal) and three in Central/Northern Europe (Germany, the Netherlands, Belgium)—using 2023 cross-sectional data from the EU Statistics on Income and Living Conditions (EU-SILC). Focusing on individuals aged 30 to 65, the analysis applies logistic regression to assess the impact of nine socioeconomic variables on the probability of living below the poverty line. The findings reveal that four factors—ability to afford a holiday, ability to cover unexpected expenses, access to a car, and participation in leisure activities—are statistically significant predictors of poverty in all countries examined. Notable differences are observed in the significance and magnitude of other variables, such as education level and social activity, highlighting the influence of national socioeconomic contexts. The results underscore the value of targeted, evidence-based social policies that address both shared and countryspecific drivers of poverty.</w:t>
      </w:r>
    </w:p>
    <w:p>
      <w:pPr/>
      <w:r>
        <w:rPr>
          <w:b/>
        </w:rPr>
        <w:t>POSSIBLE 2025:</w:t>
      </w:r>
      <w:r>
        <w:t xml:space="preserve"> Prevalence of Glaucoma in Europe and Projections to 2050 — https://doi.org/10.1016/j.ophtha.2025.06.002</w:t>
      </w:r>
    </w:p>
    <w:p>
      <w:pPr/>
      <w:r>
        <w:rPr>
          <w:b/>
        </w:rPr>
        <w:t>Shared claim-specific concepts:</w:t>
      </w:r>
      <w:r>
        <w:t xml:space="preserve"> purpose, within, regional;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pStyle w:val="Heading2"/>
      </w:pPr>
      <w:r>
        <w:t>696.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providing, regional;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protocol, socio-economic, food;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2021:</w:t>
      </w:r>
      <w:r>
        <w:t xml:space="preserve"> Comparison of Two Experimental Mouse Dry Eye Models through Inflammatory Gene Set Enrichment Analysis Based on a Multiplexed Transcriptomic Approach — https://doi.org/10.3390/ijms221910770</w:t>
      </w:r>
    </w:p>
    <w:p>
      <w:pPr/>
      <w:r>
        <w:rPr>
          <w:b/>
        </w:rPr>
        <w:t>Shared claim-specific concepts:</w:t>
      </w:r>
      <w:r>
        <w:t xml:space="preserve"> set, pathways, approach; EU scope not established. This is a provisional connection, not an outcome finding.</w:t>
      </w:r>
    </w:p>
    <w:p>
      <w:pPr>
        <w:pStyle w:val="SourceNote"/>
      </w:pPr>
      <w:r>
        <w:rPr>
          <w:b/>
        </w:rPr>
        <w:t>Available abstract (not full text):</w:t>
      </w:r>
      <w:r>
        <w:t xml:space="preserve"> The goal of this study was to explore the specific signaling pathways related to inflammation in two experimental mouse dry eye (EDE) models. Female C57BL/6 mice housed for 10 days in a controlled desiccative environment were either treated with scopolamine (EDE-1; n = 18) or subjected to extraorbital lacrimal gland excision bilaterally (EDE-2; n = 10). Non-induced mice (n = 20) served as healthy controls. A corneal fluorescein staining (CFS) scoring was used at baseline through to day (D) 10 to evaluate epitheliopathy. At D10, corneas and conjunctivas were collected for multiplexed transcriptomic analysis with the NanoString® mouse inflammatory CodeSet. Both EDE-1 and EDE-2 mice presented a change in corneal integrity, with a significant increase in CFS scores at D10. More gene transcripts were identified in EDE-2 compared with EDE-1 (116 vs. 96, respectively), and only a few were common to both models, 13 for the cornea and 6 for the conjunctiva. The gene functional annotation analysis revealed that the same inflammatory pathways were involved in both models. Comparative profiling of gene expression in the two EDE models leads to the identification of various targets and signaling pathways, which can be extrapolated to and confirmed in human disease.</w:t>
      </w:r>
    </w:p>
    <w:p>
      <w:pPr/>
      <w:r>
        <w:rPr>
          <w:b/>
        </w:rPr>
        <w:t>POSSIBLE 2021:</w:t>
      </w:r>
      <w:r>
        <w:t xml:space="preserve"> A European aerosol phenomenology - 7: High-time resolution chemical characteristics of submicron particulate matter across Europe — https://doi.org/10.1016/j.aeaoa.2021.100108</w:t>
      </w:r>
    </w:p>
    <w:p>
      <w:pPr/>
      <w:r>
        <w:rPr>
          <w:b/>
        </w:rPr>
        <w:t>Shared claim-specific concepts:</w:t>
      </w:r>
      <w:r>
        <w:t xml:space="preserve"> followed, set, regional; EU scope visible. This is a provisional connection, not an outcome finding.</w:t>
      </w:r>
    </w:p>
    <w:p>
      <w:pPr>
        <w:pStyle w:val="SourceNote"/>
      </w:pPr>
      <w:r>
        <w:rPr>
          <w:b/>
        </w:rPr>
        <w:t>Available abstract (not full text):</w:t>
      </w:r>
      <w:r>
        <w:t xml:space="preserve"> Similarities and differences in the submicron atmospheric aerosol chemical composition are analyzed from a unique set of measurements performed at 21 sites across Europe for at least one year. These sites are located between 35 and 62°N and 10° W – 26°E, and represent various types of settings (remote, coastal, rural, industrial, urban). Measurements were all carried out on-line with a 30-min time resolution using mass spectroscopy based instruments known as Aerosol Chemical Speciation Monitors (ACSM) and Aerosol Mass Spectrometers (AMS) and following common measurement guidelines. Data regarding organics, sulfate, nitrate and ammonium concentrations, as well as the sum of them called non-refractory submicron aerosol mass concentration ([NR-PM1]) are discussed. NR-PM1 concentrations generally increase from remote to urban sites. They are mostly larger in the mid-latitude band than in southern and northern Europe. On average, organics account for the major part (36–64%) of NR-PM1 followed by sulfate (12–44%) and nitrate (6–35%). The annual mean chemical composition of NR-PM1 at rural (or regional background) sites and urban background sites are very similar. Considering rural and regional background sites only, nitrate contribution is higher and sulfate contribution is lower in mid-latitude Europe compared to northern and southern Europe. Large seasonal variations in concentrati</w:t>
      </w:r>
    </w:p>
    <w:p>
      <w:pPr/>
      <w:r>
        <w:rPr>
          <w:b/>
        </w:rPr>
        <w:t>POSSIBLE 2021:</w:t>
      </w:r>
      <w:r>
        <w:t xml:space="preserve"> Content Enrichment of Digital Libraries: Methods, Technologies and Implementations — https://openalex.org/W3159041084</w:t>
      </w:r>
    </w:p>
    <w:p>
      <w:pPr/>
      <w:r>
        <w:rPr>
          <w:b/>
        </w:rPr>
        <w:t>Shared claim-specific concepts:</w:t>
      </w:r>
      <w:r>
        <w:t xml:space="preserve"> enrich, agriculture, approach; EU scope not established. This is a provisional connection, not an outcome finding.</w:t>
      </w:r>
    </w:p>
    <w:p>
      <w:pPr>
        <w:pStyle w:val="SourceNote"/>
      </w:pPr>
      <w:r>
        <w:rPr>
          <w:b/>
        </w:rPr>
        <w:t>Available abstract (not full text):</w:t>
      </w:r>
      <w:r>
        <w:t xml:space="preserve"> Parallel to the establishment of the concept of a "digital library", there have been rapid developments in the fields of semantic technologies, information retrieval and artificial intelligence. The idea is to use make use of these three fields to crosslink bibliographic data, i.e., library content, and to enrich it "intelligently" with additional, especially non-library, information. By linking the contents of a library, it is possible to offer users access to semantically similar contents of different digital libraries. For instance, a list of semantically similar publications from completely different subject areas and from different digital libraries can be made accessible. In addition, the user is able to see a wider profile about authors, enriched with information such as biographical details, name alternatives, images, job titles, institute affiliations, etc. This information comes from a wide variety of sources, most of which are not library sources. In order to make such scenarios a reality, this dissertation follows two approaches. The first approach is about crosslinking digital library content in order to offer semantically similar publications based on additional information for a publication. Hence, this approach uses publication-related metadata as a basis. The aligned terms between linked open data repositories/thesauri are considered as an important starting po</w:t>
      </w:r>
    </w:p>
    <w:p>
      <w:pPr>
        <w:pStyle w:val="Heading2"/>
      </w:pPr>
      <w:r>
        <w:t>697.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2026:</w:t>
      </w:r>
      <w:r>
        <w:t xml:space="preserve"> Pathways to climate-resilient cocoa: is solar-powered Irrigation-as-a-Service a viable adaptation strategy? — https://openalex.org/W7199631403</w:t>
      </w:r>
    </w:p>
    <w:p>
      <w:pPr/>
      <w:r>
        <w:rPr>
          <w:b/>
        </w:rPr>
        <w:t>Shared claim-specific concepts:</w:t>
      </w:r>
      <w:r>
        <w:t xml:space="preserve"> pathways, focus, sector, environmental; EU scope not established. This is a provisional connection, not an outcome finding.</w:t>
      </w:r>
    </w:p>
    <w:p>
      <w:pPr>
        <w:pStyle w:val="SourceNote"/>
      </w:pPr>
      <w:r>
        <w:rPr>
          <w:b/>
        </w:rPr>
        <w:t>Available abstract (not full text):</w:t>
      </w:r>
      <w:r>
        <w:t xml:space="preserve"> This study examines smallholder farmers’ perceptions and the enabling conditions for adopting irrigation in Ghana’s cocoa sector, specifically focusing on solar-powered Irrigation-as-a-Service (IAS). Research was conducted in the Eastern, Ashanti, and Central regions using a qualitative design involving focus groups and interviews with farmers, cooperative leaders, and agricultural officials. The analysis centers on six themes: climate impacts, irrigation technology perceptions, existing IAS models, the viability of solar-powered bundles, financing, and adoption barriers. Findings reveal that erratic rainfall, prolonged dry spells, and rising temperatures are severely disrupting production, leading to yield declines and income instability. Consequently, farmers increasingly view irrigation as a critical adaptation strategy. However, access remains constrained by high capital costs, weak institutional support, and limited technical knowledge. While farmers show strong enthusiasm for solar-powered systems—valuing their low operating costs and alignment with clean energy—implementation is hindered by financing challenges, maintenance issues, and insecure land tenure. Regional dynamics vary: Eastern Region farmers have more exposure to irrigation initiatives; Ashanti farmers demonstrate stronger interest in collective ownership through cooperatives; and in the Central Region, illeg</w:t>
      </w:r>
    </w:p>
    <w:p>
      <w:pPr/>
      <w:r>
        <w:rPr>
          <w:b/>
        </w:rPr>
        <w:t>POSSIBLE 2026:</w:t>
      </w:r>
      <w:r>
        <w:t xml:space="preserve"> Ukraine’s wartime power system: damage, resilience, and pathways for renewable recovery — https://doi.org/10.1186/s13705-026-00597-5</w:t>
      </w:r>
    </w:p>
    <w:p>
      <w:pPr/>
      <w:r>
        <w:rPr>
          <w:b/>
        </w:rPr>
        <w:t>Shared claim-specific concepts:</w:t>
      </w:r>
      <w:r>
        <w:t xml:space="preserve"> pathways, focus, power, electricity, environmental, assessment; EU scope visible. This is a provisional connection, not an outcome finding.</w:t>
      </w:r>
    </w:p>
    <w:p>
      <w:pPr>
        <w:pStyle w:val="SourceNote"/>
      </w:pPr>
      <w:r>
        <w:rPr>
          <w:b/>
        </w:rPr>
        <w:t>Available abstract (not full text):</w:t>
      </w:r>
      <w:r>
        <w:t xml:space="preserve"> Abstract Background The war in Ukraine has caused severe damage to the national power grid, significantly impacting social welfare through the loss of electricity for civilian households, healthcare, and water supply infrastructure. This study examines the urgent need for a sustainable recovery that integrates energy security with European Union decarbonization objectives and environmental resilience. The novelty lies in linking real-time wartime outage dynamics with empirically grounded decentralized recovery pathways, offering a framework to “build back better” under active conflict. The purpose is to evaluate the conditions under which a centralized energy system can be reconstructed to reduce military vulnerability while remaining compatible with long-term climate goals. Methods The study applied an integrated analytical approach by adapting internationally recognized Recovery and Peacebuilding Assessment and Rapid Damage and Needs Assessment frameworks to an active-war context. Data were synthesized from over 100 verified sources supplemented by Geographic Information System based mapping to visualize damage intensity across 24 administrative regions. The analysis relies on cross-referencing state reports with international assessments. Results Findings show that Ukraine’s effective electricity generation capacity fell by approximately 61% by late 2023 (from 36.0 GW to 13.</w:t>
      </w:r>
    </w:p>
    <w:p>
      <w:pPr/>
      <w:r>
        <w:rPr>
          <w:b/>
        </w:rPr>
        <w:t>POSSIBLE 2026:</w:t>
      </w:r>
      <w:r>
        <w:t xml:space="preserve"> Expanding participation in computing: Navigating power and privilege on the pathway to a computer science degree — https://doi.org/10.7282/t3-4c70-v602</w:t>
      </w:r>
    </w:p>
    <w:p>
      <w:pPr/>
      <w:r>
        <w:rPr>
          <w:b/>
        </w:rPr>
        <w:t>Shared claim-specific concepts:</w:t>
      </w:r>
      <w:r>
        <w:t xml:space="preserve"> pathways, power, use, three; EU scope not established. This is a provisional connection, not an outcome finding.</w:t>
      </w:r>
    </w:p>
    <w:p>
      <w:pPr>
        <w:pStyle w:val="SourceNote"/>
      </w:pPr>
      <w:r>
        <w:rPr>
          <w:b/>
        </w:rPr>
        <w:t>Available abstract (not full text):</w:t>
      </w:r>
      <w:r>
        <w:t xml:space="preserve"> Until recently, a great deal of public and private investment focused on expanding participation in the computing education and workforce, focusing on women and other groups who are minoritized in the U.S. So far solutions have included coding clubs for kids, initiatives to increase participation in high school courses, and efforts that improve undergraduate computer science curricula to increase retention and recruitment into degree programs. At the heart of many initiatives is the hope that addressing participation gaps at earlier points in the educational pathway will lead to greater representation of these groups in the computing workforce. The policy framing of the issue has a great deal to do with the solutions and interventions that have been used to solve it. Theories such as the “leaky pipeline,” the chilly climate, and other frameworks have drawn attention to specific aspects of computing pathways and not others, leading to persistent blind spots in our understanding of how inequality is reproduced in computer science, especially at the critically important undergraduate level. These theories have directed our attention to developing educational reforms and supportive curricula without considering how power and privilege are maintained in higher education to exclude those with marginalized identities.The purpose of this study is to contribute to theory that will lead </w:t>
      </w:r>
    </w:p>
    <w:p>
      <w:pPr/>
      <w:r>
        <w:rPr>
          <w:b/>
        </w:rPr>
        <w:t>POSSIBLE 2026:</w:t>
      </w:r>
      <w:r>
        <w:t xml:space="preserve"> Immunomodulatory Phytochemicals in Cancer: Mechanistic Pathways and Translational Potential — https://doi.org/10.1002/cbdv.202502737</w:t>
      </w:r>
    </w:p>
    <w:p>
      <w:pPr/>
      <w:r>
        <w:rPr>
          <w:b/>
        </w:rPr>
        <w:t>Shared claim-specific concepts:</w:t>
      </w:r>
      <w:r>
        <w:t xml:space="preserve"> pathways, focus, including, potential; EU scope not established. This is a provisional connection, not an outcome finding.</w:t>
      </w:r>
    </w:p>
    <w:p>
      <w:pPr>
        <w:pStyle w:val="SourceNote"/>
      </w:pPr>
      <w:r>
        <w:rPr>
          <w:b/>
        </w:rPr>
        <w:t>Available abstract (not full text):</w:t>
      </w:r>
      <w:r>
        <w:t xml:space="preserve"> Cancer development is linked to dysregulated immune surveillance, chronic inflammation, and immunosuppressive signaling within the tumor microenvironment. Emerging evidence suggests that the anticancer effects of naturally occurring phytochemicals are not directly mediated by cytotoxicity but rather by altering key components of both innate and adaptive immunity. Over the last few years, significant progress has been made in understanding the interactions of specific classes of phytochemicals, including polyphenols, flavonoids, alkaloids, and terpenoids, with immune-linked signal transduction mechanisms involved in carcinogenesis. These include the suppression of pro- and anti-inflammatory mediators, the control of immune checkpoint-related pathways, the polarization of tumor-associated macrophages, the enhancement of cytotoxic T-cell and natural killer cell functions, and the suppression of angiogenic and metastatic signaling. Notably, many phytochemicals have demonstrated translational relevance, and some have advanced to later clinical trial phases. This narrative review highlights the recent preclinical, translational, and clinical evidence on the immunomodulatory effects of phytochemicals in cancer prevention and treatment. There is an accentuated focus on mechanistic convergence, the strength of the evidence, and translational potential, and the most frequently targeted i</w:t>
      </w:r>
    </w:p>
    <w:p>
      <w:pPr>
        <w:pStyle w:val="Heading2"/>
      </w:pPr>
      <w:r>
        <w:t>698.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2026:</w:t>
      </w:r>
      <w:r>
        <w:t xml:space="preserve"> Who Receives Scientific Deference? Gender and the Public Construction of Social Scientists — https://doi.org/10.1177/08912432261465433</w:t>
      </w:r>
    </w:p>
    <w:p>
      <w:pPr/>
      <w:r>
        <w:rPr>
          <w:b/>
        </w:rPr>
        <w:t>Shared claim-specific concepts:</w:t>
      </w:r>
      <w:r>
        <w:t xml:space="preserve"> scientists, often, four; EU scope not established. This is a provisional connection, not an outcome finding.</w:t>
      </w:r>
    </w:p>
    <w:p>
      <w:pPr>
        <w:pStyle w:val="SourceNote"/>
      </w:pPr>
      <w:r>
        <w:rPr>
          <w:b/>
        </w:rPr>
        <w:t>Available abstract (not full text):</w:t>
      </w:r>
      <w:r>
        <w:t xml:space="preserve"> Drawing on feminist metascience and Ridgeway’s “framed by gender” theory, I ask: How are men and women social scientists constructed in public media? I conduct a comparative analysis of media portrayals of eight public sociologists (four women–men pairs): Arlie Hochschild–Barry Glassner, Juliet Schor–Richard Florida, Angela Duckworth–Daniel Kahneman, and Michelle Alexander–William Julius Wilson. Findings reveal that women’s work is frequently de-legitimized by trivializing their contributions and emphasizing political biases, whereas men’s work is framed as empirical, rigorous, and legitimate, even when flawed. Women are often denied what I call “scientific deference” á la Goffman. These asymmetries underscore that scientific meritocracy and objectivity are not intrinsic properties of science but are instead culturally constructed ideals. By demonstrating how media narratives reflect and sustain gendered hierarchies of epistemic authority, this study extends feminist critiques of science beyond STEM and highlights the role of public discourse in shaping who counts as a legitimate scientist.</w:t>
      </w:r>
    </w:p>
    <w:p>
      <w:pPr/>
      <w:r>
        <w:rPr>
          <w:b/>
        </w:rPr>
        <w:t>POSSIBLE 2026:</w:t>
      </w:r>
      <w:r>
        <w:t xml:space="preserve"> Applying a psychological problem-solving framework to science communication: insights from a qualitative pilot study observing scientists preparing children’s university lectures — https://doi.org/10.3389/fcomm.2026.1799922</w:t>
      </w:r>
    </w:p>
    <w:p>
      <w:pPr/>
      <w:r>
        <w:rPr>
          <w:b/>
        </w:rPr>
        <w:t>Shared claim-specific concepts:</w:t>
      </w:r>
      <w:r>
        <w:t xml:space="preserve"> scientists, often, planning; EU scope not established. This is a provisional connection, not an outcome finding.</w:t>
      </w:r>
    </w:p>
    <w:p>
      <w:pPr>
        <w:pStyle w:val="SourceNote"/>
      </w:pPr>
      <w:r>
        <w:rPr>
          <w:b/>
        </w:rPr>
        <w:t>Available abstract (not full text):</w:t>
      </w:r>
      <w:r>
        <w:t xml:space="preserve"> The article examines the planning of science communication and empirically tests whether psychological problem-solving theory (i.e., complex problem-solving and Dörner's idealized process model) can be used to describe planning processes. To this end, the authors conducted a qualitative study with eight scientists who were preparing a lecture for a children's university. Using an observational design with think aloud protocol. The results show that the planning process fulfills the characteristics of a complex problem, particularly in terms of variable interconnectedness, the lack of transparency regarding the target group, and conflicting goals (polytely). When applying Dörner's idealized process model, it turned out the planning process was not linear, but predominantly iterative. The modeling and information collection phase accounted for the largest proportion of the process, whereas elementary goal development was often addressed only marginally or at a very late stage. The study concludes that problem-solving psychology can serve as a framework to analyze and potentially enhance planning efficiency in science communication.</w:t>
      </w:r>
    </w:p>
    <w:p>
      <w:pPr/>
      <w:r>
        <w:rPr>
          <w:b/>
        </w:rPr>
        <w:t>POSSIBLE 2026:</w:t>
      </w:r>
      <w:r>
        <w:t xml:space="preserve"> Trends of Major Crop Produdictivity in Nashik District: A Geographical Analysis — https://doi.org/10.5281/zenodo.18907960</w:t>
      </w:r>
    </w:p>
    <w:p>
      <w:pPr/>
      <w:r>
        <w:rPr>
          <w:b/>
        </w:rPr>
        <w:t>Shared claim-specific concepts:</w:t>
      </w:r>
      <w:r>
        <w:t xml:space="preserve"> abstract, planners, scientists, high; EU scope not established. This is a provisional connection, not an outcome finding.</w:t>
      </w:r>
    </w:p>
    <w:p>
      <w:pPr>
        <w:pStyle w:val="SourceNote"/>
      </w:pPr>
      <w:r>
        <w:rPr>
          <w:b/>
        </w:rPr>
        <w:t>Available abstract (not full text):</w:t>
      </w:r>
      <w:r>
        <w:t xml:space="preserve"> Abstract The present research paper an intend to analyse the trends of agricultural productivity of different crops in Nashik District through the period of 1991 to 2024. This study is based on secondary data collected from socio-economic abstract of Nashik district. The cropping productivity is based on physical, climate, social, economic, technological and organization factors, and attitude of farmers, etc. The data regarding trends of cropping productivity have been calculated and presented with the r value and trend line graph. There are several factors such as Physiographic, temperature, rainfall, soil, drainage, etc influenced on the trend of agricultural productivity in Nashik district. Because Nashik district of same part found in dry area and some part found as hilly area as well as some position obtained in the vicinity of river basin so there is high variation in the trends of different crops. Amongst these, rice, wheat, maize, gram, tur, mung, sugarcane, etc having a positive correlation through the period of 1991 to 2024 and bajra, jowar and groundnut having negative correlation with declined trends of the productivity. The current study gives an idea of real situation of agricultural productivity and helps to minimize the regional inequalities in Nashik district and also helps to planners, agricultural scientists and research scholars.</w:t>
      </w:r>
    </w:p>
    <w:p>
      <w:pPr/>
      <w:r>
        <w:rPr>
          <w:b/>
        </w:rPr>
        <w:t>POSSIBLE 2026:</w:t>
      </w:r>
      <w:r>
        <w:t xml:space="preserve"> Preparing future physics teachers through Flat-Earth arguments: strengthening scientific reasoning — https://doi.org/10.1088/1361-6404/ae3403</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article explores the educational potential of engaging with conspiracy theories—specifically the Flat-Earth belief—as a way to foster scientific and critical thinking in future physics teachers. Rather than treating such ideas as mere curiosities, we use them as a basis for applying Newtonian gravity to various mass distributions with planar symmetry. We show how the predictions of these models diverge significantly from empirical observations, such as the direction of gravitational acceleration and the behavior of atmospheric pressure. By systematically analyzing these inconsistencies, students can strengthen their understanding of classical mechanics while learning to recognize pseudoscientific argumentation. We argue that this type of ‘safe sandbox’ can help build epistemic vigilance and prepare educators to address more complex and socially relevant cases of misinformation, such as climate change denial.</w:t>
      </w:r>
    </w:p>
    <w:p>
      <w:pPr/>
      <w:r>
        <w:rPr>
          <w:b/>
        </w:rPr>
        <w:t>POSSIBLE 2026:</w:t>
      </w:r>
      <w:r>
        <w:t xml:space="preserve"> CENSUS UNDERCOUNTS, DIGITAL DISPLACEMENT, AND DATA JUSTICE: What Social Scientists and Data Users Need to Know About the 2020 US Census — https://doi.org/10.1111/1468-2427.70069</w:t>
      </w:r>
    </w:p>
    <w:p>
      <w:pPr/>
      <w:r>
        <w:rPr>
          <w:b/>
        </w:rPr>
        <w:t>Shared claim-specific concepts:</w:t>
      </w:r>
      <w:r>
        <w:t xml:space="preserve"> abstract, scientists, often; EU scope not established. This is a provisional connection, not an outcome finding.</w:t>
      </w:r>
    </w:p>
    <w:p>
      <w:pPr>
        <w:pStyle w:val="SourceNote"/>
      </w:pPr>
      <w:r>
        <w:rPr>
          <w:b/>
        </w:rPr>
        <w:t>Available abstract (not full text):</w:t>
      </w:r>
      <w:r>
        <w:t xml:space="preserve"> Abstract Census data are foundational to democracy, research and equitable urban policy. In addition to supporting political reapportionment and redistricting, census data serve as the backbone of the federal statistical data system and are often considered the highest quality data—the ‘gold standard'—for scholarly and policy research. In the United States, undercounts, new data protection mechanisms, and other challenges are eroding data quality and threatening census data as a trusted public good. First, I review the accuracy of the 2020 Census. The data show that the 2020 Census, while accurate, excluded millions of Americans; undercounts were severe for people of color, immigrants, and other marginalized communities. Second, I explain the US Census Bureau’s decision to protect individual privacy by intentionally distorting census data with differential privacy, leading to the ‘digital displacement' of certain populations. Together, the ‘double whammy' of worsening coverage error and differential privacy disproportionately affects communities of color and other marginalized groups, underscoring issues of data justice. Navigating this uneven and increasingly precarious digital landscape, I argue, requires practicing statistical citizenship , a theoretically informed approach that properly situates data limitations and simultaneously recognizes the politics of census data to s</w:t>
      </w:r>
    </w:p>
    <w:p>
      <w:pPr>
        <w:pStyle w:val="Heading2"/>
      </w:pPr>
      <w:r>
        <w:t>699.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2026:</w:t>
      </w:r>
      <w:r>
        <w:t xml:space="preserve"> Organizational inertia in a digital transformation project — https://openalex.org/W7199709296</w:t>
      </w:r>
    </w:p>
    <w:p>
      <w:pPr/>
      <w:r>
        <w:rPr>
          <w:b/>
        </w:rPr>
        <w:t>Shared claim-specific concepts:</w:t>
      </w:r>
      <w:r>
        <w:t xml:space="preserve"> transformation, processes; EU scope not established. This is a provisional connection, not an outcome finding.</w:t>
      </w:r>
    </w:p>
    <w:p>
      <w:pPr>
        <w:pStyle w:val="SourceNote"/>
      </w:pPr>
      <w:r>
        <w:rPr>
          <w:b/>
        </w:rPr>
        <w:t>Available abstract (not full text):</w:t>
      </w:r>
      <w:r>
        <w:t xml:space="preserve"> Digital transformation is a new strategic imperative for organizations to master in order to stay relevant and competitive in the rapidly changing operating environment. Digital transformation is not merely a technology implementation project, but a considerable transformation for the underlining business processes, business models and organizational elements. When organization is faced with a change, the pace and intensity of the transformation greatly affects how organization and its members react to that change. This is an inflexion point where organizational inertia typically occurs and acts as a hindering force, or when pushed, a cause for resisting force towards transformation. Organizational inertia is estimated to cause 70% of digital transformation projects to fail. Organizational abilities, such as dynamic capabilities and strategic agility plays a significant role in controlling and anticipating these challenges. To illustrate the interplay and effects of organizational inertia, dynamic capabilities and strategic agility to digital transformation outcomes, this study introduces a theoretical framework. The framework further visualizes the enabling effects of dynamic capabilities and strategic agility to a digital transformation project. This illustration visualizes the research setting for the research questions. The purpose of this study is to understand how organiz</w:t>
      </w:r>
    </w:p>
    <w:p>
      <w:pPr/>
      <w:r>
        <w:rPr>
          <w:b/>
        </w:rPr>
        <w:t>POSSIBLE 2026:</w:t>
      </w:r>
      <w:r>
        <w:t xml:space="preserve"> Foodways as Sites of Knowledge and Transformation — https://doi.org/10.1007/978-3-032-28126-5</w:t>
      </w:r>
    </w:p>
    <w:p>
      <w:pPr/>
      <w:r>
        <w:rPr>
          <w:b/>
        </w:rPr>
        <w:t>Shared claim-specific concepts:</w:t>
      </w:r>
      <w:r>
        <w:t xml:space="preserve"> transformation, perspective; EU scope not established. This is a provisional connection, not an outcome finding.</w:t>
      </w:r>
    </w:p>
    <w:p>
      <w:pPr>
        <w:pStyle w:val="SourceNote"/>
      </w:pPr>
      <w:r>
        <w:rPr>
          <w:b/>
        </w:rPr>
        <w:t>Available abstract (not full text):</w:t>
      </w:r>
      <w:r>
        <w:t xml:space="preserve"> This open access book offers an elaboration on foodways as both a geographical concept and an area of study that recognizes local food systems as essential to social justice and long-term sustainability. Approaching food through the lens of foodways provides an alternative to classical scholarship on food security, which often focuses on poverty in order to propose new globalized solutions. Instead, this perspective directs research toward the preservation of cultural and biological diversity, the protection of land rights, and the promotion of social justice. With a specific focus on the MENA region, contributors to this edited collection engage with reflexive and collaborative methodologies, including participatory visual methods, storytelling, radical learning, land-based and socially rooted knowledges, embodied practices, visceral methods, and community mapping. Such approaches can help negotiate outsider–insider tensions while co-producing knowledge that is accountable to communities and relevant to wider societal debates.</w:t>
      </w:r>
    </w:p>
    <w:p>
      <w:pPr/>
      <w:r>
        <w:rPr>
          <w:b/>
        </w:rPr>
        <w:t>POSSIBLE 2026:</w:t>
      </w:r>
      <w:r>
        <w:t xml:space="preserve"> Circular economy transition of European regions: The role of regulative, normative, and cultural–cognitive institutions — https://doi.org/10.1016/j.euroecorev.2026.105409</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The transition toward a circular economy (CE) represents not only an economic shift but also a profound social and institutional transformation that redefines production, consumption, and policy. This study provides the first macro-level empirical assessment of the CE transition across European regions over the last two decades. It then examines how regional regulative, normative, and cultural-cognitive institutions shape regional CE performance, while also accounting for key confounding factors, including EU cohesion funds, regional autonomy, and the EU Circular Economy Action Plan (CEAP). The results reveal strong spatial and temporal heterogeneity, as well as distinct effects across institutional dimensions. Regulative institutions exhibit the most consistent positive association across and within countries. Normative institutions matter most within major regions, while cultural-cognitive institutions provide more modest support for CE efforts. Importantly, the combination of all institutional pillars is associated with the largest gains in circularity. EU cohesion funds significantly support CE progress, while the post-2015 results suggest that the CEAP reshaped the relative importance of institutional pillars. Overall, the findings highlight the importance of coordinated institutional frameworks and targeted policy support in advancing the regional CE transition.</w:t>
      </w:r>
    </w:p>
    <w:p>
      <w:pPr/>
      <w:r>
        <w:rPr>
          <w:b/>
        </w:rPr>
        <w:t>POSSIBLE 2026:</w:t>
      </w:r>
      <w:r>
        <w:t xml:space="preserve"> Integration of Industry 4.0 and Circular Economy as a determinant of sustainable transformation of enterprise value creation chains — https://doi.org/10.2478/emj-2026-0018</w:t>
      </w:r>
    </w:p>
    <w:p>
      <w:pPr/>
      <w:r>
        <w:rPr>
          <w:b/>
        </w:rPr>
        <w:t>Shared claim-specific concepts:</w:t>
      </w:r>
      <w:r>
        <w:t xml:space="preserve"> transformation, circular, economy, processes, innovative; EU scope not established. This is a provisional connection, not an outcome finding.</w:t>
      </w:r>
    </w:p>
    <w:p>
      <w:pPr>
        <w:pStyle w:val="SourceNote"/>
      </w:pPr>
      <w:r>
        <w:rPr>
          <w:b/>
        </w:rPr>
        <w:t>Available abstract (not full text):</w:t>
      </w:r>
      <w:r>
        <w:t xml:space="preserve"> Abstract The contemporary global economy remains overwhelmingly influenced by the inventions of the Industrial Revolution 4.0 (IR 4.0), also referred to as Industry 4.0 (I 4.0). This article examines the potential impact of IR 4.0 inventions on changes in enterprise value-creation processes and their interface with the principles of the Circular Economy (CE) as a sine qua non for the functioning of Sustainable Value Creation Chains (SVCCs). This article is theoretical and conceptual. It is based on desk research. Predictive and prescriptive analyses played a fundamental role in the research due to the predominantly futurological nature of the considerations. The research identifies the benefits, threats, and barriers affecting how the IR 4.0 and CE interface is implemented, as well as its significance for establishing SVCCs. The research expands knowledge on this subject and may inspire entrepreneurs to undertake innovative, pro-ecological activities in their enterprises. These reflections may also serve as a basis for further theoretical and practical research. The originality of the research is demonstrated through its comprehensiveness, i.e. the predicted revolutionary changes arising from applied IR 4.0 inventions combined with CE principles in VCCs and the anticipated effects of this interface.</w:t>
      </w:r>
    </w:p>
    <w:p>
      <w:pPr/>
      <w:r>
        <w:rPr>
          <w:b/>
        </w:rPr>
        <w:t>POSSIBLE 2026:</w:t>
      </w:r>
      <w:r>
        <w:t xml:space="preserve"> AI-Driven campaigning and the transformation of trust in electoral politics — https://doi.org/10.33545/26646021.2026.v8.i1a.827</w:t>
      </w:r>
    </w:p>
    <w:p>
      <w:pPr/>
      <w:r>
        <w:rPr>
          <w:b/>
        </w:rPr>
        <w:t>Shared claim-specific concepts:</w:t>
      </w:r>
      <w:r>
        <w:t xml:space="preserve"> transformation, innovative; EU scope visible. This is a provisional connection, not an outcome finding.</w:t>
      </w:r>
    </w:p>
    <w:p>
      <w:pPr>
        <w:pStyle w:val="SourceNote"/>
      </w:pPr>
      <w:r>
        <w:rPr>
          <w:b/>
        </w:rPr>
        <w:t>Available abstract (not full text):</w:t>
      </w:r>
      <w:r>
        <w:t xml:space="preserve"> Electoral campaigns in democracies are undergoing a fundamental shift from traditional public campaigning to AI-enabled private persuasion [1]. This paper examines how artificial intelligence tools including chatbots, generative media, and microtargeted advertising are deployed in recent campaigns across the United States and Europe, analyzing implications for voter trust, democratic legitimacy, and political accountability [2]. Drawing on comparative case analysis of campaigns in the U.S. (including diaspora-targeted outreach in New York City), Germany, France, and the UK from 2023 to 2025, we demonstrate that AI-driven personalized messaging challenges communication transparency while enabling innovative voter engagement [3]. We argue that AI offers potential for enhanced voter outreach, particularly to marginalized and diaspora communities, while simultaneously eroding trust through hidden messaging, synthetic media, and public discourse fragmentation [4]. The paper concludes with evidence-based policy recommendations for campaign transparency, deepfake detection, and updated electoral regulations, and identifies future research directions at the intersection of artificial intelligence and democratic integrity [5].</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transformation, circular, economy, driven, innovative;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pStyle w:val="Heading2"/>
      </w:pPr>
      <w:r>
        <w:t>700.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Europe's Global Gateway Policy: The European Response to BRI in Africa — https://doi.org/10.4203/ccc.15.13.1</w:t>
      </w:r>
    </w:p>
    <w:p>
      <w:pPr/>
      <w:r>
        <w:rPr>
          <w:b/>
        </w:rPr>
        <w:t>Shared claim-specific concepts:</w:t>
      </w:r>
      <w:r>
        <w:t xml:space="preserve"> also, reduction, external, project; EU scope visible. This is a provisional connection, not an outcome finding.</w:t>
      </w:r>
    </w:p>
    <w:p>
      <w:pPr>
        <w:pStyle w:val="SourceNote"/>
      </w:pPr>
      <w:r>
        <w:rPr>
          <w:b/>
        </w:rPr>
        <w:t>Available abstract (not full text):</w:t>
      </w:r>
      <w:r>
        <w:t xml:space="preserve"> In 2022 European Union has released a new policy to foster trade and transport connections globally, including a specific focus on Africa, by selecting 11 priority transport corridors and a revision of external funding and financing sources.It was also quite clear from the statements that this policy aims at fostering European trade and position in Africa and elsewhere to balance the Belt and Road Initiative (BRI) and other external influences.Given the current economic and geopolitical situations, this strategy is becoming relevant in achieving transport connections also in order to foster the project of Africa trade union and get access to essential mineral resources that are necessary to mitigate climate change and achieve carbon emission reduction targets.The paper aims at providing an analysis of this policy in regards especially of the transport corridors strategy, inherited from the PIDA strategy, and to confront it with BRI initiative on transport corridors in Africa with a specific focus on railway corridors.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2025:</w:t>
      </w:r>
      <w:r>
        <w:t xml:space="preserve"> Continuing recovery of wolves in Europe — https://doi.org/10.1371/journal.pstr.0000158</w:t>
      </w:r>
    </w:p>
    <w:p>
      <w:pPr/>
      <w:r>
        <w:rPr>
          <w:b/>
        </w:rPr>
        <w:t>Shared claim-specific concepts:</w:t>
      </w:r>
      <w:r>
        <w:t xml:space="preserve"> life, eur;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pStyle w:val="Heading2"/>
      </w:pPr>
      <w:r>
        <w:t>701.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Forestry and demographic transition in Europe: exploring the nexus — https://doi.org/10.12899/asr-2709</w:t>
      </w:r>
    </w:p>
    <w:p>
      <w:pPr/>
      <w:r>
        <w:rPr>
          <w:b/>
        </w:rPr>
        <w:t>Shared claim-specific concepts:</w:t>
      </w:r>
      <w:r>
        <w:t xml:space="preserve"> ageing, labour; EU scope visible. This is a provisional connection, not an outcome finding.</w:t>
      </w:r>
    </w:p>
    <w:p>
      <w:pPr>
        <w:pStyle w:val="SourceNote"/>
      </w:pPr>
      <w:r>
        <w:rPr>
          <w:b/>
        </w:rPr>
        <w:t>Available abstract (not full text):</w:t>
      </w:r>
      <w:r>
        <w:t xml:space="preserve"> Europe’s future is being shaped by a demographic transition of unprecedented scale, characterized by population ageing, a declining labour force, and the abandonment of rural areas in favour of urban centres. Within the forestry sector, these dynamics pose critical challenges, particularly in relation to ageing forest landowners and an increasingly elderly workforce. Despite their relevance, the interconnections between demographic change, spatial reorganization of population, and forest management remain insufficiently explored in the forestry literature. This concept note seeks to address this gap by identifying critical risks, emerging needs, and key research opportunities, and by proposing an evidence-based framework to support analysis and decision-making within this complex and evolving context.</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2025:</w:t>
      </w:r>
      <w:r>
        <w:t xml:space="preserve"> Long-Term Spending Projections in Israel — https://doi.org/10.1787/81e81270-en</w:t>
      </w:r>
    </w:p>
    <w:p>
      <w:pPr/>
      <w:r>
        <w:rPr>
          <w:b/>
        </w:rPr>
        <w:t>Shared claim-specific concepts:</w:t>
      </w:r>
      <w:r>
        <w:t xml:space="preserve"> projections, labour; EU scope not established. This is a provisional connection, not an outcome finding.</w:t>
      </w:r>
    </w:p>
    <w:p>
      <w:pPr>
        <w:pStyle w:val="SourceNote"/>
      </w:pPr>
      <w:r>
        <w:rPr>
          <w:b/>
        </w:rPr>
        <w:t>Available abstract (not full text):</w:t>
      </w:r>
      <w:r>
        <w:t xml:space="preserve"> Long-term fiscal projections provide decision makers with tools to assess the long term impact of policy choices. The Israeli Ministry of Finance does not regularly conduct and publish long-term fiscal projections. The absence of such projections limits the Ministry’s ability to reflect the long-term implications of economic decisions for policymakers, which is crucial for addressing structural challenges and maintaining fiscal sustainability. This report presents the key features of a long-term spending projections model to help the Ministry address this limitation. The model is based on an adapted version of the OECD Long-Term Model, calibrated to Israel’s demographics and labour market. The model enables dynamic analyses of how employment, productivity, population growth and policy reforms shape fiscal outcomes. The report presents some key results of the model, emphasising that GDP per capita growth is expected to remain relatively stable and strong. Fiscal pressures are anticipated to ease in the long run, but demography and labour market integration for Haredim and Arab Israelis will be critical factors shaping long-term fiscal results. The report also identifies ways to better monitor long-term fiscal developments and strengthen the fiscal framework.</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2023:</w:t>
      </w:r>
      <w:r>
        <w:t xml:space="preserve"> Feminization, Ageing, and Occupational Change in Europe in the Last 25 Years — https://doi.org/10.1111/padr.12586</w:t>
      </w:r>
    </w:p>
    <w:p>
      <w:pPr/>
      <w:r>
        <w:rPr>
          <w:b/>
        </w:rPr>
        <w:t>Shared claim-specific concepts:</w:t>
      </w:r>
      <w:r>
        <w:t xml:space="preserve"> indicate, ageing, labour; EU scope visible. This is a provisional connection, not an outcome finding.</w:t>
      </w:r>
    </w:p>
    <w:p>
      <w:pPr>
        <w:pStyle w:val="SourceNote"/>
      </w:pPr>
      <w:r>
        <w:rPr>
          <w:b/>
        </w:rPr>
        <w:t>Available abstract (not full text):</w:t>
      </w:r>
      <w:r>
        <w:t xml:space="preserve"> Abstract This paper presents new evidence on the interaction between demographic and occupational change in Europe over the last 25 years. We use data from the European Union Labour Force Survey covering six European countries. The analysis is based on a cross‐sectional comparison between the population and employment distributions in 1995 and 2019. This strategy allows us to study the changing demographic dynamics, which have brought a more feminized, aged, and educated working population, in a context of structural employment change, where higher job polarization or occupational upgrading are the main patterns. The results indicate that the increasing female participation has been associated with a strong general process of occupational upgrading that particularly benefited women. Still, the occupational profile of women is polarized relative to men. Although the process of educational upgrading was also stronger for women and overall they improved their occupational profile more than that of men, we find declining occupational returns to higher education for female workers in two countries. Finally, while European labor markets could accommodate the large increase in older workers, their occupational profile suffered some downgrading.</w:t>
      </w:r>
    </w:p>
    <w:p>
      <w:pPr/>
      <w:r>
        <w:rPr>
          <w:b/>
        </w:rPr>
        <w:t>POSSIBLE 2023:</w:t>
      </w:r>
      <w:r>
        <w:t xml:space="preserve"> Quarterly report and macroeconomic projections for the Spanish economy. September 2023 — https://doi.org/10.53479/33563</w:t>
      </w:r>
    </w:p>
    <w:p>
      <w:pPr/>
      <w:r>
        <w:rPr>
          <w:b/>
        </w:rPr>
        <w:t>Shared claim-specific concepts:</w:t>
      </w:r>
      <w:r>
        <w:t xml:space="preserve"> projections, see, labour; EU scope not established. This is a provisional connection, not an outcome finding.</w:t>
      </w:r>
    </w:p>
    <w:p>
      <w:pPr>
        <w:pStyle w:val="SourceNote"/>
      </w:pPr>
      <w:r>
        <w:rPr>
          <w:b/>
        </w:rPr>
        <w:t>Available abstract (not full text):</w:t>
      </w:r>
      <w:r>
        <w:t xml:space="preserve"> Projections 1 Global economic activity has slowed somewhat in recent months -In 2023 Q2, global growth moderated with respect to that observed in the previous quarter.However, this aggregate performance was marked by highly uneven economic growth across geographical areas.Thus, while GDP growth was higher than expected in some of the main world economies, such as the United States, the United Kingdom and Japan, it surprised on the downside in the euro area and in China.-According to the available indicators, global economic activity has decelerated further in Q3, as the weakness of the manufacturing sector appears to have spread to services (see Chart 1.a), against a backdrop of tightening financing conditions.-Overall, these developments have prompted slight revisions to global growth forecasts for 2023 and 2024 (see Chart 1.b).However, the 2023 growth forecast for the United States has been revised significantly upwards (partly on account of its strong labour market), and the forecast for China (owing, among other factors, to the sluggishness of investment and its real estate sector) and the euro area has been revised downwards for this and the coming year.</w:t>
      </w:r>
    </w:p>
    <w:p>
      <w:pPr>
        <w:pStyle w:val="Heading2"/>
      </w:pPr>
      <w:r>
        <w:t>702.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2026:</w:t>
      </w:r>
      <w:r>
        <w:t xml:space="preserve"> FEMINIZATION OF LABOR, DOUBLE BURDEN AND INVISIBLE WORK — https://doi.org/10.58532/nbennurepscb3p2c4</w:t>
      </w:r>
    </w:p>
    <w:p>
      <w:pPr/>
      <w:r>
        <w:rPr>
          <w:b/>
        </w:rPr>
        <w:t>Shared claim-specific concepts:</w:t>
      </w:r>
      <w:r>
        <w:t xml:space="preserve"> article, presents, international, labor, organization; EU scope not established. This is a provisional connection, not an outcome finding.</w:t>
      </w:r>
    </w:p>
    <w:p>
      <w:pPr>
        <w:pStyle w:val="SourceNote"/>
      </w:pPr>
      <w:r>
        <w:rPr>
          <w:b/>
        </w:rPr>
        <w:t>Available abstract (not full text):</w:t>
      </w:r>
      <w:r>
        <w:t xml:space="preserve"> This article presents a comprehensive sociological and gendered analysis of the feminization of labor, focusing on the intersections between paid employment, unpaid domestic and care work, and gender inequality. While women’s participation in the global labor market is increasing, their work is often concentrated in low-paying, precarious, and gender-segregated occupations, reflecting persistent social, economic, and cultural inequalities (ILO, 2022; UNRISD, 2018). Based on India-specific data from the International Labor Organization (ILO), the United Nations Research Institute for Social Development (UNRISD), and the Periodic Labor Force Survey (PLFS) and Time Use Survey (TUS), this paper examines informal employment, the dual burden, emotional labor, invisible work, domestic work, digital labor, and structural and cultural barriers. The analysis demonstrates that, despite women’s central role in sustaining families and economies, much of their labor remains undervalued and invisible. The article concludes that achieving gender equality requires the parallel cultural recognition of all forms of labor, the redistribution of care responsibilities, and structural reform of labor policy and social systems (Folbre, 2001; Walby, 1990).</w:t>
      </w:r>
    </w:p>
    <w:p>
      <w:pPr/>
      <w:r>
        <w:rPr>
          <w:b/>
        </w:rPr>
        <w:t>POSSIBLE 2026:</w:t>
      </w:r>
      <w:r>
        <w:t xml:space="preserve"> Labor education practices in modern schools: analysis results — https://doi.org/10.54884/1815-7041-2026-86-1-133-143</w:t>
      </w:r>
    </w:p>
    <w:p>
      <w:pPr/>
      <w:r>
        <w:rPr>
          <w:b/>
        </w:rPr>
        <w:t>Shared claim-specific concepts:</w:t>
      </w:r>
      <w:r>
        <w:t xml:space="preserve"> article, presents, labor, professional, skills; EU scope not established. This is a provisional connection, not an outcome finding.</w:t>
      </w:r>
    </w:p>
    <w:p>
      <w:pPr>
        <w:pStyle w:val="SourceNote"/>
      </w:pPr>
      <w:r>
        <w:rPr>
          <w:b/>
        </w:rPr>
        <w:t>Available abstract (not full text):</w:t>
      </w:r>
      <w:r>
        <w:t xml:space="preserve"> The article presents the results of a survey of representatives of educational organizations in 68 regions of the Russian Federation. The purpose of the study was to identify, analyze, and describe current practices of labor education in schools. The analysis of the survey results revealed the dominant role of labor education in the career guidance of schoolchildren, the orientation of labor education practices towards the socialization of students, a significant expansion of social partnership precisely within the framework of the implementation of labor education practices. The results obtained indicate that labor education in modern schools is considered not only as a means of forming practical skills, but also as an important component of professional self-determination, socialization and integration of education with the community and the labor market.</w:t>
      </w:r>
    </w:p>
    <w:p>
      <w:pPr>
        <w:pStyle w:val="Heading2"/>
      </w:pPr>
      <w:r>
        <w:t>703.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net, zero, developed;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Net Zero Ambitions in Heritage Settings — https://doi.org/10.47982/cgc.10.752</w:t>
      </w:r>
    </w:p>
    <w:p>
      <w:pPr/>
      <w:r>
        <w:rPr>
          <w:b/>
        </w:rPr>
        <w:t>Shared claim-specific concepts:</w:t>
      </w:r>
      <w:r>
        <w:t xml:space="preserve"> net, zero, retain, carbon; EU scope not established. This is a provisional connection, not an outcome finding.</w:t>
      </w:r>
    </w:p>
    <w:p>
      <w:pPr>
        <w:pStyle w:val="SourceNote"/>
      </w:pPr>
      <w:r>
        <w:rPr>
          <w:b/>
        </w:rPr>
        <w:t>Available abstract (not full text):</w:t>
      </w:r>
      <w:r>
        <w:t xml:space="preserve"> Net zero ambitions for London’s heritage buildings have long been constrained by conservation requirements that retain poorly performing historic windows or reliance on secondary glazing, limiting gains in thermal performance, airtightness, acoustics, and usability. Between the 1920s and 1960s, single-glazed, non-thermally broken rolled steel window profiles were widely used and are now valued for their slender sightlines and refined detailing. However, they perform poorly by modern standards. While modern systems offer significantly improved performance, they are typically considered unsuitable for listed buildings because their proportions and detailing diverge from original windows. This paper describes a collaborative initiative by Eckersley O’Callaghan, The Crown Estate, Royal MHB, and others to develop a high-performance window system that faithfully replicates the heritage aesthetic. The project operated across three strands: Conservation; close consultation ensured the architectural significance of the original windows was preserved, Whole-building performance; portfolio-wide energy assessments demonstrated a clear whole-life carbon benefit, and Product performance; rigorous design and product testing validated performance. The system has successfully progressed through engagement with Westminster heritage stakeholders, securing planning permission for the installation </w:t>
      </w:r>
    </w:p>
    <w:p>
      <w:pPr/>
      <w:r>
        <w:rPr>
          <w:b/>
        </w:rPr>
        <w:t>POSSIBLE 2026:</w:t>
      </w:r>
      <w:r>
        <w:t xml:space="preserve"> The Legality Of Net Zero Targets Under International Trade Law — https://doi.org/10.2139/ssrn.6374318</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Rethinking chemical clusters: Greenfield and brownfield transition to net-zero by 2050 — https://doi.org/10.1016/j.isci.2026.117077</w:t>
      </w:r>
    </w:p>
    <w:p>
      <w:pPr/>
      <w:r>
        <w:rPr>
          <w:b/>
        </w:rPr>
        <w:t>Shared claim-specific concepts:</w:t>
      </w:r>
      <w:r>
        <w:t xml:space="preserve"> infrastructure, methane, availability; EU scope visible. This is a provisional connection, not an outcome finding.</w:t>
      </w:r>
    </w:p>
    <w:p>
      <w:pPr>
        <w:pStyle w:val="SourceNote"/>
      </w:pPr>
      <w:r>
        <w:rPr>
          <w:b/>
        </w:rPr>
        <w:t>Available abstract (not full text):</w:t>
      </w:r>
      <w:r>
        <w:t xml:space="preserve"> We develop a cluster-level optimization framework to design brownfield transition pathways toward net-zero chemical clusters by 2050, applied to existing ammonia-olefin clusters in the Netherlands. The model represents sequential investment decisions for 2030, 2040, and 2050, includes scope 1-3 emissions, and enables a systematic comparison of greenfield and brownfield configurations. Thirteen olefin and eight ammonia production routes are considered. The results show that, despite reduced flexibility due to legacy assets, net-zero brownfield configurations remain feasible. Plastic gasification combined with methanol-to-olefins emerges as a low-regret option for olefins, while electric steam methane reforming and electrolyzers are robust choices for ammonia. The results support early investment rather than strategic delay. Excluding scope 3 emissions leads to lock-in of fossil-based options that appear cost-effective short-term but raise long-term system costs. Sensitivity analyses highlight uncertainties related to infrastructure and technology availability, bio-feedstock prices, and plastic waste emission accounting.</w:t>
      </w:r>
    </w:p>
    <w:p>
      <w:pPr/>
      <w:r>
        <w:rPr>
          <w:b/>
        </w:rPr>
        <w:t>POSSIBLE 2026:</w:t>
      </w:r>
      <w:r>
        <w:t xml:space="preserve"> Routing India towards Net Zero: Optimal Planning of the CCS Infrastructure — https://doi.org/10.1007/s10666-026-10129-2</w:t>
      </w:r>
    </w:p>
    <w:p>
      <w:pPr/>
      <w:r>
        <w:rPr>
          <w:b/>
        </w:rPr>
        <w:t>Shared claim-specific concepts:</w:t>
      </w:r>
      <w:r>
        <w:t xml:space="preserve"> net, zero, targets, network, infrastructure, carbon;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Reconciling Circular Economy and Net Zero: Firm Capabilities to Resolve Sustainability Tensions — https://doi.org/10.1111/1467-8551.70061</w:t>
      </w:r>
    </w:p>
    <w:p>
      <w:pPr/>
      <w:r>
        <w:rPr>
          <w:b/>
        </w:rPr>
        <w:t>Shared claim-specific concepts:</w:t>
      </w:r>
      <w:r>
        <w:t xml:space="preserve"> net, zero, gas; EU scope not established. This is a provisional connection, not an outcome finding.</w:t>
      </w:r>
    </w:p>
    <w:p>
      <w:pPr>
        <w:pStyle w:val="SourceNote"/>
      </w:pPr>
      <w:r>
        <w:rPr>
          <w:b/>
        </w:rPr>
        <w:t>Available abstract (not full text):</w:t>
      </w:r>
      <w:r>
        <w:t xml:space="preserve"> Abstract Achieving net zero has become a key concern for firms to address climate change, yet growing evidence suggests that reducing reliance on fossil fuels for energy generation alone is insufficient. As material use is increasingly recognized as a significant source of greenhouse gas emissions, the circular economy has emerged as a potential pathway to support decarbonization. Despite the intuitive appeal of aligning circularity with net zero, their relationship remains conceptually underexplored and empirically ambiguous. To address this complexity, this article develops a framework conceptualizing the interaction between circular economy and net zero as a dynamic interplay of virtuous and vicious cycles. Drawing on paradox and capability perspectives, it explains when circular practices reinforce decarbonization and when they generate capability traps that undermine environmental performance. The framework contributes to corporate sustainability scholarship by identifying the capabilities that enable firms and their ecosystems to transform tensions into synergies, thereby supporting more coherent strategies and policy interventions at the intersection of circularity and net zero.</w:t>
      </w:r>
    </w:p>
    <w:p>
      <w:pPr/>
      <w:r>
        <w:rPr>
          <w:b/>
        </w:rPr>
        <w:t>POSSIBLE 2026:</w:t>
      </w:r>
      <w:r>
        <w:t xml:space="preserve"> Eco-equalities for a Just Transition to Net Zero: Applying an equality mainstreaming framework — https://doi.org/10.1016/j.erss.2025.104495</w:t>
      </w:r>
    </w:p>
    <w:p>
      <w:pPr/>
      <w:r>
        <w:rPr>
          <w:b/>
        </w:rPr>
        <w:t>Shared claim-specific concepts:</w:t>
      </w:r>
      <w:r>
        <w:t xml:space="preserve"> net, zero, need; EU scope not established. This is a provisional connection, not an outcome finding.</w:t>
      </w:r>
    </w:p>
    <w:p>
      <w:pPr>
        <w:pStyle w:val="SourceNote"/>
      </w:pPr>
      <w:r>
        <w:rPr>
          <w:b/>
        </w:rPr>
        <w:t>Available abstract (not full text):</w:t>
      </w:r>
      <w:r>
        <w:t xml:space="preserve"> There were hopes that Net Zero policies would provide solutions that address social inequalities, including improved access to fair work and new ‘green’ jobs. This has proved problematic due to a lack of clarity on key beneficiaries and the type and quality of employment required, resulting in calls for Net Zero policies to focus more explicitly on social inequalities. In response, this paper considers whether theoretical debates in the equality and Net Zero literatures can be ‘bridged’ to develop better integrated equality measures to underpin a Just Transition and assesses which systemic challenges we need to overcome so policymakers can deliver those measures. Analysis of exploratory research findings from an action research study of equality mainstreaming in Net Zero policy development – which engaged with equality experts, as well as other stakeholders invested in a green transition in Wales - identifies the potential to promote a more wide-ranging ecological ethos, scope to redefine Net Zero employment, plus a need for wholesale environmental upskilling. The paper advances the concept of eco-equalities as a key construct which has the potential to bridge equalities and Net Zero literatures and concludes by identifying theoretical and policy implications.</w:t>
      </w:r>
    </w:p>
    <w:p>
      <w:pPr>
        <w:pStyle w:val="Heading2"/>
      </w:pPr>
      <w:r>
        <w:t>704.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2026:</w:t>
      </w:r>
      <w:r>
        <w:t xml:space="preserve"> Civil servants as intermediaries contextualizing policy for sustainable energy transitions — https://doi.org/10.63959/chalmers.dt/5833</w:t>
      </w:r>
    </w:p>
    <w:p>
      <w:pPr/>
      <w:r>
        <w:rPr>
          <w:b/>
        </w:rPr>
        <w:t>Shared claim-specific concepts:</w:t>
      </w:r>
      <w:r>
        <w:t xml:space="preserve"> contextual, investigates, used; EU scope visible. This is a provisional connection, not an outcome finding.</w:t>
      </w:r>
    </w:p>
    <w:p>
      <w:pPr>
        <w:pStyle w:val="SourceNote"/>
      </w:pPr>
      <w:r>
        <w:rPr>
          <w:b/>
        </w:rPr>
        <w:t>Available abstract (not full text):</w:t>
      </w:r>
      <w:r>
        <w:t xml:space="preserve"> Climate change requires fundamental transformations in how energy is produced and used. While technological developments on the supply side are critical, meaningful progress also depends on everyday decisions citizens make in their homes – whether in consumption patterns or investments in low-carbon technologies. To support such decisions, policy plays a crucial role in accounting for differences in citizens’ motivations, knowledge, resources, and contextual barriers that make individual action difficult. Public energy advising is one key informational policy instrument, in which civil servants contextualize the broad policy mission of reducing environmental impact of energy use by guiding citizens through technological and behavioral measures. However, the effectiveness of this instrument depends not only on its formal design but on how civil servants interpret and contextualize these missions in practice – an aspect that remains insufficiently understood.This thesis explains how civil servants facilitate sustainable energy transitions when contextualizing policy missions. Conceptualizing them as public intermediaries, it investigates how they enact their mission and contribute to broader ecologies of intermediation. Empirically, it examines Sweden’s public energy advising program through a mixed-methods design combining document analysis, interviews, and surveys.The findings </w:t>
      </w:r>
    </w:p>
    <w:p>
      <w:pPr/>
      <w:r>
        <w:rPr>
          <w:b/>
        </w:rPr>
        <w:t>POSSIBLE 2026:</w:t>
      </w:r>
      <w:r>
        <w:t xml:space="preserve"> Review study on Information Gathering Using OSINT for Forensic Investigations — https://doi.org/10.2991/978-94-6239-610-4_24</w:t>
      </w:r>
    </w:p>
    <w:p>
      <w:pPr/>
      <w:r>
        <w:rPr>
          <w:b/>
        </w:rPr>
        <w:t>Shared claim-specific concepts:</w:t>
      </w:r>
      <w:r>
        <w:t xml:space="preserve"> gathering, analyzing, organization, ethical; EU scope not established. This is a provisional connection, not an outcome finding.</w:t>
      </w:r>
    </w:p>
    <w:p>
      <w:pPr>
        <w:pStyle w:val="SourceNote"/>
      </w:pPr>
      <w:r>
        <w:rPr>
          <w:b/>
        </w:rPr>
        <w:t>Available abstract (not full text):</w:t>
      </w:r>
      <w:r>
        <w:t xml:space="preserve"> In the current era of Digital Forensics, evidence collection and gathering information related to the crime, victim and the attacker is crucial, these evidences can be available at the scene of crime or in the larger databases like the Internet.The data which is present in the internet about a person or an organization is found in the public records and databases.This collection of the data which is publicly available can be performed with the help of OSINT, Open-Source Intelligence, using OSINT we can systematically collect, analyze and interpret the public databases.OSINT tools are mostly found all over the internet with each domain focusing on a specific type of data.OSINT can also be performed using Kali Linux based commands for a simpler and broader user data search.This paper provides a review on the information gathering tools and software which are available for open source while analyzing the accuracy of the selected software along with its legal, technical and ethical considerations.This paper includes rigorous searching for the information over the internet along with evaluating its accuracy and relevance in accordance to the source.In the process of gathering information related to a specific person we find the person's digital footprint and their interaction with various platforms.This paper also highlights the future directions of OSINT, its credibility and reliab</w:t>
      </w:r>
    </w:p>
    <w:p>
      <w:pPr>
        <w:pStyle w:val="Heading2"/>
      </w:pPr>
      <w:r>
        <w:t>705.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2026:</w:t>
      </w:r>
      <w:r>
        <w:t xml:space="preserve"> Ageing and sex attraction of Teratorhabditis nematode — https://doi.org/10.4025/actascianimsci.v48i1.75504</w:t>
      </w:r>
    </w:p>
    <w:p>
      <w:pPr/>
      <w:r>
        <w:rPr>
          <w:b/>
        </w:rPr>
        <w:t>Shared claim-specific concepts:</w:t>
      </w:r>
      <w:r>
        <w:t xml:space="preserve"> different, ageing, produce, but; EU scope not established. This is a provisional connection, not an outcome finding.</w:t>
      </w:r>
    </w:p>
    <w:p>
      <w:pPr>
        <w:pStyle w:val="SourceNote"/>
      </w:pPr>
      <w:r>
        <w:rPr>
          <w:b/>
        </w:rPr>
        <w:t>Available abstract (not full text):</w:t>
      </w:r>
      <w:r>
        <w:t xml:space="preserve"> Sex attraction was observed in the free - living nematode Teratorhabdits palmarum (Gerber &amp; Giblin-Davis, 1990). Attraction by means of pheromones provides the ability to find and distinguish appropriate individual with which to mate. In the present study, we performed sex attraction assay to examine whether males of different age groups or reproductive states respond to volatile sex attractants of females. In T. palmarum, young virgin males were strongly attracted to young virgin females but declined with their age. Young non - virgin males responded to young virgin females while they did not respond to ten - day old virgin female. Similarly, old but not young virgin males failed to respond to non - virgin females. Attraction of virgin and non - virgin males declined with their age and also declined or did not occur with increasing age of females. We also investigated the pheromone system of the gonochoristic nematode Teratorhabdits palmarum that produces sex - specific attractants of the opposite sex. Mass Spectrometric Analysis of the T. palmarum exometabolome revealed that females but not males, produce the male attracting ascr#1 and ascr#9, ascaroside previously identified from C. elegans and other nematodes. The specific function of these ascarosides would not be analysed, because these pheromones play different roles in different nematode species.</w:t>
      </w:r>
    </w:p>
    <w:p>
      <w:pPr/>
      <w:r>
        <w:rPr>
          <w:b/>
        </w:rPr>
        <w:t>POSSIBLE 2026:</w:t>
      </w:r>
      <w:r>
        <w:t xml:space="preserve"> Thermo‐Oxidative Ageing of Degradable Resins Based on Different Transesterification Catalysts — https://doi.org/10.1049/nde2.70035</w:t>
      </w:r>
    </w:p>
    <w:p>
      <w:pPr/>
      <w:r>
        <w:rPr>
          <w:b/>
        </w:rPr>
        <w:t>Shared claim-specific concepts:</w:t>
      </w:r>
      <w:r>
        <w:t xml:space="preserve"> different, ageing, markedly, abstract; EU scope not established. This is a provisional connection, not an outcome finding.</w:t>
      </w:r>
    </w:p>
    <w:p>
      <w:pPr>
        <w:pStyle w:val="SourceNote"/>
      </w:pPr>
      <w:r>
        <w:rPr>
          <w:b/>
        </w:rPr>
        <w:t>Available abstract (not full text):</w:t>
      </w:r>
      <w:r>
        <w:t xml:space="preserve"> ABSTRACT This study investigates the influence of different transesterification catalysts on the performance evolution of degradable epoxy resins under thermal‐oxidative ageing. Three resin systems were prepared using triethanolamine (TEOA), 1,5,7‐triazabicyclo[4.4.0]dec‐5‐ene (TBD), and zinc acetylacetonate as catalysts, followed by ageing tests at 220°C. The effects of ageing time and catalyst type on the electrical, thermal, mechanical properties and degradation behaviour of the resins were systematically analysed. Results reveal that prolonged ageing causes certain performance degradation, yet the resins still maintain favourable overall properties at the late ageing stage. The V‐TEOA system shows the best performance retention after 42 days of ageing, with key indicators as follows: breakdown strength 36.7 kV/mm, dielectric loss factor 0.46%, leakage current 65.34 μA, flexural strength 67.32 MPa and temperature index 170.99°C. Meanwhile, thermal‐oxidative ageing markedly weakens the degradation efficiency of the resins, and a distinct core–shell structure is found in the degraded V‐TBD system. This work deepens the understanding of ageing behaviours of such resins and supports their practical application in the engineering.</w:t>
      </w:r>
    </w:p>
    <w:p>
      <w:pPr>
        <w:pStyle w:val="Heading2"/>
      </w:pPr>
      <w:r>
        <w:t>706.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Economic, environmental, social, and ethical impacts of AI in smart farming — https://doi.org/10.1016/b978-0-443-43918-6.00006-4</w:t>
      </w:r>
    </w:p>
    <w:p>
      <w:pPr/>
      <w:r>
        <w:rPr>
          <w:b/>
        </w:rPr>
        <w:t>Shared claim-specific concepts:</w:t>
      </w:r>
      <w:r>
        <w:t xml:space="preserve"> environmental,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PATTERNS OF ECONOMIC AND SOCIAL INEQUALITY IN DIFFERENT COUNTRIES: A LITERATURE REVIEW — https://openalex.org/W7221250915</w:t>
      </w:r>
    </w:p>
    <w:p>
      <w:pPr/>
      <w:r>
        <w:rPr>
          <w:b/>
        </w:rPr>
        <w:t>Shared claim-specific concepts:</w:t>
      </w:r>
      <w:r>
        <w:t xml:space="preserve"> different, patterns; EU scope not established. This is a provisional connection, not an outcome finding.</w:t>
      </w:r>
    </w:p>
    <w:p>
      <w:pPr>
        <w:pStyle w:val="SourceNote"/>
      </w:pPr>
      <w:r>
        <w:rPr>
          <w:b/>
        </w:rPr>
        <w:t>Available abstract (not full text):</w:t>
      </w:r>
      <w:r>
        <w:t xml:space="preserve"> Inequality is a complex and multidimensional global phenomenon, with varying levels and characteristics among countries with different levels of development. Common trends identified include the increase in inequality in recent decades, the link between inequality and differential access to opportunities, and the negative impact of inequality on economic growth, socio-political stability and people's well-being. The review concludes that a comprehensive and inclusive approach is needed to address economic and social inequality. This should involve collaboration between the government, private sector, and civil society in implementing policies that promote equity, such as progressive tax reforms, investment in education and skills training, expanded access to healthcare and social protection, and the promotion of inclusive and sustainable economic growth. In addition, efforts are needed to strengthen governance, fight corruption, and promote transparency and accountability in public decision-making.</w:t>
      </w:r>
    </w:p>
    <w:p>
      <w:pPr/>
      <w:r>
        <w:rPr>
          <w:b/>
        </w:rPr>
        <w:t>POSSIBLE 2026:</w:t>
      </w:r>
      <w:r>
        <w:t xml:space="preserve"> Compounding hazards increase flood economic losses across Europe — https://doi.org/10.1038/s41467-026-73248-0</w:t>
      </w:r>
    </w:p>
    <w:p>
      <w:pPr/>
      <w:r>
        <w:rPr>
          <w:b/>
        </w:rPr>
        <w:t>Shared claim-specific concepts:</w:t>
      </w:r>
      <w:r>
        <w:t xml:space="preserve"> environmental, impacts, regional;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pStyle w:val="Heading2"/>
      </w:pPr>
      <w:r>
        <w:t>707.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2026:</w:t>
      </w:r>
      <w:r>
        <w:t xml:space="preserve"> Climate Change Action and Climate Geoengineering Under Neorealism — https://doi.org/10.3390/su18136850</w:t>
      </w:r>
    </w:p>
    <w:p>
      <w:pPr/>
      <w:r>
        <w:rPr>
          <w:b/>
        </w:rPr>
        <w:t>Shared claim-specific concepts:</w:t>
      </w:r>
      <w:r>
        <w:t xml:space="preserve"> specifically, action, climate, increase;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How are European small enterprises dealing with the circular economy? — https://doi.org/10.12688/openreseurope.23303.1</w:t>
      </w:r>
    </w:p>
    <w:p>
      <w:pPr/>
      <w:r>
        <w:rPr>
          <w:b/>
        </w:rPr>
        <w:t>Shared claim-specific concepts:</w:t>
      </w:r>
      <w:r>
        <w:t xml:space="preserve"> specifically, action, must; EU scope visible. This is a provisional connection, not an outcome finding.</w:t>
      </w:r>
    </w:p>
    <w:p>
      <w:pPr>
        <w:pStyle w:val="SourceNote"/>
      </w:pPr>
      <w:r>
        <w:rPr>
          <w:b/>
        </w:rPr>
        <w:t>Available abstract (not full text):</w:t>
      </w:r>
      <w:r>
        <w:t xml:space="preserve"> Background: Environmental sustainability and energy savings are crucial for economic development, yet European SMEs account for 63.3% of total CO2 firms emissions. Understanding how these businesses behave when transitioning to a Circular Economy is essential for policymakers to design appropriate measures and incentives for preventing negative environmental externalities. Methods: The study analyzed data from the fifth wave of the "SMEs, resource efficiency, and green markets" survey conducted in late 2021, which included 14,008 enterprises across 27 European Union member states. To categorize the companies, researchers applied a K-modes clustering algorithm-a machine learning method designed specifically for categorical data- to evaluate six qualitative business characteristics and nine environmental actions. Results: The analysis identified three distinct business behavior clusters. Cluster 1 (6,195 firms) primarily provides services to other businesses and focuses heavily on energy savings and waste minimization. Cluster 2 (4,002 firms) is the least environmentally proactive group, predominantly selling products directly to consumers, with 21.14% taking no environmental action at all. Cluster 3 (3,811 firms) is the most active and diverse group, exhibiting the highest participation in minimizing waste and saving energy but also reporting the most difficulties. Regardless of</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2025:</w:t>
      </w:r>
      <w:r>
        <w:t xml:space="preserve"> The Quest for Coherence in Climate Actions: The Case for Québec's Climate Strategy — https://doi.org/10.1002/eet.2164</w:t>
      </w:r>
    </w:p>
    <w:p>
      <w:pPr/>
      <w:r>
        <w:rPr>
          <w:b/>
        </w:rPr>
        <w:t>Shared claim-specific concepts:</w:t>
      </w:r>
      <w:r>
        <w:t xml:space="preserve"> specifically, action, climate, strategy; EU scope not established. This is a provisional connection, not an outcome finding.</w:t>
      </w:r>
    </w:p>
    <w:p>
      <w:pPr>
        <w:pStyle w:val="SourceNote"/>
      </w:pPr>
      <w:r>
        <w:rPr>
          <w:b/>
        </w:rPr>
        <w:t>Available abstract (not full text):</w:t>
      </w:r>
      <w:r>
        <w:t xml:space="preserve"> ABSTRACT Studies on climate policy coherence often focus on policy components as the essential element of success by examining their objectives, instruments, and implementation practices. However, while some studies have demonstrated that it is essential to evaluate the programs or actions that translate policies into success, few have focused specifically on program coherence. This research uses monitoring sheets for programs ( N = 177) funded under the Québec Climate Change Action Plan (CCAP) 2013–2020 to perform a comprehensive analysis of program coherence, combining relational content analysis and social network analysis. Findings suggest a failure to achieve the action plan and provide pertinent shortcomings and gaps related to the program's objectives and indicators, including challenges with collaboration and coordination. Given the complexity and cross‐cutting nature of climate issues, this study contributes to the literature on policy coherence and argues in favor of program coherence for a better design and assessment of the effectiveness of climate policies and programs. Moreover, through an integrative framework for policy coherence, the study suggests adding public programs to the existing policy components for policy coherence assessment. While relying on effective collaboration and coordination, implications for practitioners include a rigorous use of various pr</w:t>
      </w:r>
    </w:p>
    <w:p>
      <w:pPr>
        <w:pStyle w:val="Heading2"/>
      </w:pPr>
      <w:r>
        <w:t>708.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2026:</w:t>
      </w:r>
      <w:r>
        <w:t xml:space="preserve"> Critical Informed Passive Citizens of a Normative Power Europe 2.0 — https://doi.org/10.4324/9781003585138-9</w:t>
      </w:r>
    </w:p>
    <w:p>
      <w:pPr/>
      <w:r>
        <w:rPr>
          <w:b/>
        </w:rPr>
        <w:t>Shared claim-specific concepts:</w:t>
      </w:r>
      <w:r>
        <w:t xml:space="preserve"> article, citizens, between; EU scope visible. This is a provisional connection, not an outcome finding.</w:t>
      </w:r>
    </w:p>
    <w:p>
      <w:pPr>
        <w:pStyle w:val="SourceNote"/>
      </w:pPr>
      <w:r>
        <w:rPr>
          <w:b/>
        </w:rPr>
        <w:t>Available abstract (not full text):</w:t>
      </w:r>
      <w:r>
        <w:t xml:space="preserve"> This chapter discusses the findings with regard to advancing the conceptual debate on the relation between the EU and its citizens. It is first highlighted how especially the unexpected findings derived from the interpretative analysis were the decisive and innovative ones in the research. Second, it is illustrated that the students depicted a highly politicised detailed image of the European Union (EU) as a “Normative Power Europe 2.0”, i.e. a EU that is a fully developed polity, a democracy, marked by the values defined in article 2 Treaty on European Union (TEU), and on this basis acts as a full-fledged actor in the world. This indicates that EU politicisation also regards the character of the EU as a polity, not only certain policies and conflicts. Third, the three gaps found in the course of the research are resumed—a democracy gap, conflicts between states, and gaps between citizens. A fourth gap is added: A politicisation gap that refers to the students’ passive attitude. Fourth, on the basis of the research findings, conceptual reflections with regard to citizenship in the EU, politicisation, and Euroscepticism are outlined. The chapter concludes on two typologies: One of the student relations to the EU and one of democracy in the EU.</w:t>
      </w:r>
    </w:p>
    <w:p>
      <w:pPr/>
      <w:r>
        <w:rPr>
          <w:b/>
        </w:rPr>
        <w:t>POSSIBLE 2026:</w:t>
      </w:r>
      <w:r>
        <w:t xml:space="preserve"> Exploring European urban digital twins for climate adaptation — https://doi.org/10.1186/s42854-026-00102-3</w:t>
      </w:r>
    </w:p>
    <w:p>
      <w:pPr/>
      <w:r>
        <w:rPr>
          <w:b/>
        </w:rPr>
        <w:t>Shared claim-specific concepts:</w:t>
      </w:r>
      <w:r>
        <w:t xml:space="preserve"> article, exploring, citizens, between, support, technology; EU scope visible. This is a provisional connection, not an outcome finding.</w:t>
      </w:r>
    </w:p>
    <w:p>
      <w:pPr>
        <w:pStyle w:val="SourceNote"/>
      </w:pPr>
      <w:r>
        <w:rPr>
          <w:b/>
        </w:rPr>
        <w:t>Available abstract (not full text):</w:t>
      </w:r>
      <w:r>
        <w:t xml:space="preserve"> Abstract Cities are significant sources of emissions, bear the impacts of climate change and are at the forefront of applying new digital tools. This leads to an increased interest in how big data can be leveraged to tackle climate change impacts. One of the emerging big data applications on a city level is the urban digital twin. Current literature on urban digital twins focuses on their data and technology aspects, but studies on their implementation, use, and the role of various stakeholders involved in these remain scarce. Therefore, this study examines how urban digital twins are conceptualized and envisioned to support the decision-making process for climate adaptation measures. This study consists of a literature review and examines six European urban digital twins through eight semi-structured interviews with practitioners. The results show that the main features of the urban digital twins are connected to (1) simulations of extreme weather events and climate adaptation measures to address the impacts of these extreme weather events by city employees, and in the future, (2) co-creation of climate adaptation measures through collaborations between city employees and citizens. Both features aim to support the decision-making process within the local government. In conclusion, this article discusses practical examples of urban digital twins, revealing that more research is</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pStyle w:val="Heading2"/>
      </w:pPr>
      <w:r>
        <w:t>709.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2026:</w:t>
      </w:r>
      <w:r>
        <w:t xml:space="preserve"> ICT investment and carbon emission efficiency in regional port groups: evidence from Chinese coastal provinces — https://doi.org/10.1057/s41599-026-06509-4</w:t>
      </w:r>
    </w:p>
    <w:p>
      <w:pPr/>
      <w:r>
        <w:rPr>
          <w:b/>
        </w:rPr>
        <w:t>Shared claim-specific concepts:</w:t>
      </w:r>
      <w:r>
        <w:t xml:space="preserve"> carbon, investments, indicate, climate; EU scope not established. This is a provisional connection, not an outcome finding.</w:t>
      </w:r>
    </w:p>
    <w:p>
      <w:pPr>
        <w:pStyle w:val="SourceNote"/>
      </w:pPr>
      <w:r>
        <w:rPr>
          <w:b/>
        </w:rPr>
        <w:t>Available abstract (not full text):</w:t>
      </w:r>
      <w:r>
        <w:t xml:space="preserve"> Growing concerns about climate change have intensified scrutiny of port operations as significant contributors to global emissions, prompting ports worldwide to reconcile environmental sustainability with operational efficiency. Yet how digital investments specifically influence environmental performance in regional maritime systems remains insufficiently understood. Existing research has examined ICT’s economic impacts and operational efficiency separately. However, limited empirical attention has been directed towards the relationship between digital transformation and carbon emission efficiency. This gap is particularly notable regarding the differential effects of ICT components and the role of governance structures. This study examines nine Chinese coastal provinces from 2008 to 2019, decomposing ICT capital into hardware, communication equipment, and software components. Using two-way fixed effects models and instrumental variables approaches, we analyse their impacts on carbon emission efficiency within regional port groups. Results indicate that ICT investment significantly enhances carbon emission efficiency, with hardware demonstrating the strongest effect, followed by communication equipment and software. The relationship operates through both direct channels and indirect pathways via functional specialisation. Digital infrastructure enables ports to develop clearer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china, rapid, decarbonization;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2025:</w:t>
      </w:r>
      <w:r>
        <w:t xml:space="preserve"> Japan's Government Pension Investment Fund and ESG Investment: Policy Pathways to Carbon Neutrality — https://doi.org/10.52152/3126</w:t>
      </w:r>
    </w:p>
    <w:p>
      <w:pPr/>
      <w:r>
        <w:rPr>
          <w:b/>
        </w:rPr>
        <w:t>Shared claim-specific concepts:</w:t>
      </w:r>
      <w:r>
        <w:t xml:space="preserve"> china, carbon, reference, climate; EU scope not established. This is a provisional connection, not an outcome finding.</w:t>
      </w:r>
    </w:p>
    <w:p>
      <w:pPr>
        <w:pStyle w:val="SourceNote"/>
      </w:pPr>
      <w:r>
        <w:rPr>
          <w:b/>
        </w:rPr>
        <w:t>Available abstract (not full text):</w:t>
      </w:r>
      <w:r>
        <w:t xml:space="preserve"> With climate change and carbon neutrality becoming focal issues, GPIF, as the world's largest pension fund, plays an important role in promoting sustainable finance in Japan. Although there are still obstacles to achieving Japan's carbon neutrality goal, the Government Pension Investment Fund (GPIF) has proposed solutions in sustainable finance. Its exploration and practice of ESG investment is achieved mainly through participation in engagement-enhanced passive investment, inclusion of ESG indices as passive benchmarks, improvement of ESG rating standards, and increased investment in ESG bonds. As a result, GPIF has not only achieved investment returns higher than the benchmark through ESG investment, but also saw an annual improvement in the portfolio greenhouse gas emission. Drawing on GPIF's experience, this study provides a practical reference for the national social security fund of the People’s Republic of China.</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pStyle w:val="Heading2"/>
      </w:pPr>
      <w:r>
        <w:t>710.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2025:</w:t>
      </w:r>
      <w:r>
        <w:t xml:space="preserve"> An interpretable multi-transformer ensemble for text-based movie genre classification — https://doi.org/10.7717/peerj-cs.2945</w:t>
      </w:r>
    </w:p>
    <w:p>
      <w:pPr/>
      <w:r>
        <w:rPr>
          <w:b/>
        </w:rPr>
        <w:t>Shared claim-specific concepts:</w:t>
      </w:r>
      <w:r>
        <w:t xml:space="preserve"> used, ensemble, combined; EU scope not established. This is a provisional connection, not an outcome finding.</w:t>
      </w:r>
    </w:p>
    <w:p>
      <w:pPr>
        <w:pStyle w:val="SourceNote"/>
      </w:pPr>
      <w:r>
        <w:rPr>
          <w:b/>
        </w:rPr>
        <w:t>Available abstract (not full text):</w:t>
      </w:r>
      <w:r>
        <w:t xml:space="preserve"> Multi-label movie genre classification is challenging due to the inherent ambiguity and overlap between different genres. Most of the existing works in genre classification use audio-visual modalities. The potential of text-based modalities in movie genre classification is still underexplored. This paper proposes an ensemble deep-learning model that uses movie plots to predict movie genres. After pre-processing the text plots, three transformer-based models, Bidirectional Encoder Representations from Transformers (BERT), DistilBERT, and Robustly Optimized BERT Pre-training Approach (ROBERTa), are used to generate genre predictions, combined through a weighted soft-voting method. The proposed ensemble architecture achieves state-of-the-art performance on two benchmark datasets, Trailers12K and LMTD9, with a micro-average precision of 80.10% and 80.37%, respectively, significantly outperforming both traditional machine learning approaches and advanced deep learning models. The ensemble's superior performance is attributed to its ability to combine the diverse strengths of individual models and capture nuanced genre-specific information from textual features. The lack of interpretability in deep learning models for genre classification is addressed using Local Interpretable Model-Agnostic Explanations (LIME), which provides both local and global explanations for the model's predic</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pStyle w:val="Heading2"/>
      </w:pPr>
      <w:r>
        <w:t>711.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regions;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LIFE EXPECTANCY IN UZBEKISTAN: TRENDS AND FORECASTS — https://doi.org/10.5281/zenodo.23313585</w:t>
      </w:r>
    </w:p>
    <w:p>
      <w:pPr/>
      <w:r>
        <w:rPr>
          <w:b/>
        </w:rPr>
        <w:t>Shared claim-specific concepts:</w:t>
      </w:r>
      <w:r>
        <w:t xml:space="preserve"> forecasts, trends, life; EU scope not established. This is a provisional connection, not an outcome finding.</w:t>
      </w:r>
    </w:p>
    <w:p>
      <w:pPr>
        <w:pStyle w:val="SourceNote"/>
      </w:pPr>
      <w:r>
        <w:rPr>
          <w:b/>
        </w:rPr>
        <w:t>Available abstract (not full text):</w:t>
      </w:r>
      <w:r>
        <w:t xml:space="preserve"> This paper explores the relationship between per capita health expenditure and life expectancy in Uzbekistan from 2000 to 2030. Using WHO data, the study constructs regression and ARIMA models to project key health and economic indicators. The analysis reveals a statistically significant relationship between increased per capita health expenditure and rising life expectancy. Based on the regression model, life expectancy is expected to reach 79.5 years by 2030, up from 73 years in 2025.</w:t>
      </w:r>
    </w:p>
    <w:p>
      <w:pPr/>
      <w:r>
        <w:rPr>
          <w:b/>
        </w:rPr>
        <w:t>POSSIBLE 2026:</w:t>
      </w:r>
      <w:r>
        <w:t xml:space="preserve"> Categorical short-term forecasts of respiratory pathogens in Europe — https://doi.org/10.1016/j.epidem.2026.100938</w:t>
      </w:r>
    </w:p>
    <w:p>
      <w:pPr/>
      <w:r>
        <w:rPr>
          <w:b/>
        </w:rPr>
        <w:t>Shared claim-specific concepts:</w:t>
      </w:r>
      <w:r>
        <w:t xml:space="preserve"> forecasts, possible, help; EU scope visible. This is a provisional connection, not an outcome finding.</w:t>
      </w:r>
    </w:p>
    <w:p>
      <w:pPr>
        <w:pStyle w:val="SourceNote"/>
      </w:pPr>
      <w:r>
        <w:rPr>
          <w:b/>
        </w:rPr>
        <w:t>Available abstract (not full text):</w:t>
      </w:r>
      <w:r>
        <w:t xml:space="preserve"> Real-time near-term forecasts of seasonal respiratory infections are currently available from the European Centre for Disease Prevention and Control through the Respicast forecast hub. In this study, we explored the generation of probabilistic forecasts of short-term change in influenza-like illness (ILI) and acute respiratory illness (ARI) disease activity for over twenty countries in Europe. Building on publicly available datasets of respiratory disease activity in Europe, we describe a forecasting pipeline that includes: a) a flexible method to define categories of interest, in relation to disease activity seen in past seasons; and b) an approach based on smoothing splines to translate real-time probabilistic forecasts of continuous targets (available in Respicast) to forecasts of categorical targets. We applied the methods to forecast ILI/ARI consultation rates in Europe, and influenza-associated hospitalization in the United States during the 2024/25 season. For forecasts in the US, results suggest that the simple approximation method can match the skill of at least a third of the models with which a direct comparison was possible. Skill of the approximated forecasts of nearly half of the models in Respicast were better than the benchmark's when predicting ILI rate changes. Approximation of the hub-ensemble's continuous forecasts yielded an improvement of 24% over benchmar</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2025:</w:t>
      </w:r>
      <w:r>
        <w:t xml:space="preserve"> AWaRe classification analysis for European countries with ARIMA forecasts to assess prescribing patterns and ‘One Health’ targets — https://doi.org/10.1007/s00210-025-04121-y</w:t>
      </w:r>
    </w:p>
    <w:p>
      <w:pPr/>
      <w:r>
        <w:rPr>
          <w:b/>
        </w:rPr>
        <w:t>Shared claim-specific concepts:</w:t>
      </w:r>
      <w:r>
        <w:t xml:space="preserve"> forecasts, trends, regions; EU scope visible. This is a provisional connection, not an outcome finding.</w:t>
      </w:r>
    </w:p>
    <w:p>
      <w:pPr>
        <w:pStyle w:val="SourceNote"/>
      </w:pPr>
      <w:r>
        <w:rPr>
          <w:b/>
        </w:rPr>
        <w:t>Available abstract (not full text):</w:t>
      </w:r>
      <w:r>
        <w:t xml:space="preserve"> BACKGROUND: Antimicrobial resistance is a major threat to public health, with a well-established link between antibacterial consumption and bacterial resistance. Stewardship needs to focus on reducing overall consumption and optimising the quality of prescribing. The European Union's 'One Health' approach aims for at least 65% of antibacterial consumption to be in the 'Access' category of the AWaRe framework until 2030. PURPOSE: This study advances the field by shifting the focus from simply quantifying antibacterial consumption to a nuanced assessment of prescribing quality. Prudent and problematic prescribing behaviour is identified in past and projected trends, both for individual countries and European regions. Progress towards the EU's 'One Health' targets for the human sector is assessed and compared with total antibacterial consumption. METHODS: This study analyses data from 1997-2023 and predicts future proportions of AWaRe drug classes for European countries until 2030, using the ARIMA(1,0,1) model. The distribution and changes of the AWaRe groups were analysed to assess prescribing behaviour. Total antibacterial consumption is compared with findings of the 'One Health' targets, and bivariate correlation analyses are performed. RESULTS: Robust forecast models were developed for the AWaRe classification for 30 European countries. In 2030, the 'Access' group is projected</w:t>
      </w:r>
    </w:p>
    <w:p>
      <w:pPr/>
      <w:r>
        <w:rPr>
          <w:b/>
        </w:rPr>
        <w:t>POSSIBLE 2025:</w:t>
      </w:r>
      <w:r>
        <w:t xml:space="preserve"> Global burden trends and forecasts for MAFLD in adolescents and young adults from 1990 to 2021 — https://doi.org/10.1038/s41598-025-98489-9</w:t>
      </w:r>
    </w:p>
    <w:p>
      <w:pPr/>
      <w:r>
        <w:rPr>
          <w:b/>
        </w:rPr>
        <w:t>Shared claim-specific concepts:</w:t>
      </w:r>
      <w:r>
        <w:t xml:space="preserve"> forecasts, trends, life, regions; EU scope not established. This is a provisional connection, not an outcome finding.</w:t>
      </w:r>
    </w:p>
    <w:p>
      <w:pPr>
        <w:pStyle w:val="SourceNote"/>
      </w:pPr>
      <w:r>
        <w:rPr>
          <w:b/>
        </w:rPr>
        <w:t>Available abstract (not full text):</w:t>
      </w:r>
      <w:r>
        <w:t xml:space="preserve"> Metabolic-dysfunction associated fatty liver disease (MAFLD) is a widespread chronic liver condition that has been steadily increasing among adolescents and young adults in recent years, posing a major global public health concern. This study aims to conduct an in-depth analysis of the Global Burden of Disease (GBD) 2021 data on MAFLD, focusing on prevalence, incidence, and disability-adjusted life years (DALY) for individuals aged 15-39, spanning the period from 1990 to 2021. This research examines data from the GBD study covering 1990 to 2021 to assess the prevalence, incidence, and DALYs associated with of MAFLD in adolescents and young adults aged 15-39. The analysis is broken down by socioeconomic status, geographic regions, and specific countries. Advanced statistical methods, including the estimated annual percentage change (EAPC) and Bayesian age-period-cohort (BAPC) modeling, were used to deliver the most current and thorough epidemiological assessment of MAFLD in this demographic. In 2021, the estimated global cases of non-alcoholic fatty liver disease among adolescents and young adults reached approximately 423 million, representing a 75.31% increase from 1990. The age-standardized prevalence rate (ASPR) was 14,221.32 cases per 100,000 population, and the age-standardized incidence rate (ASIR) was 977.61 cases per 100,000 population in 2021. Between 1990 and 2021, th</w:t>
      </w:r>
    </w:p>
    <w:p>
      <w:pPr/>
      <w:r>
        <w:rPr>
          <w:b/>
        </w:rPr>
        <w:t>POSSIBLE 2025:</w:t>
      </w:r>
      <w:r>
        <w:t xml:space="preserve"> The Simons Observatory: science goals and forecasts for the enhanced Large Aperture Telescope — https://doi.org/10.1088/1475-7516/2025/08/034</w:t>
      </w:r>
    </w:p>
    <w:p>
      <w:pPr/>
      <w:r>
        <w:rPr>
          <w:b/>
        </w:rPr>
        <w:t>Shared claim-specific concepts:</w:t>
      </w:r>
      <w:r>
        <w:t xml:space="preserve"> forecasts, science, determine; EU scope not established. This is a provisional connection, not an outcome finding.</w:t>
      </w:r>
    </w:p>
    <w:p>
      <w:pPr>
        <w:pStyle w:val="SourceNote"/>
      </w:pPr>
      <w:r>
        <w:rPr>
          <w:b/>
        </w:rPr>
        <w:t>Available abstract (not full text):</w:t>
      </w:r>
      <w:r>
        <w:t xml:space="preserve"> Abstract We describe updated scientific goals for the wide-field, millimeter-wave survey that will be produced by the Simons Observatory (SO). Significant upgrades to the 6-meter SO Large Aperture Telescope (LAT) are expected to be complete by 2028, and will include a doubled mapping speed with 30,000 new detectors and an automated data reduction pipeline. In addition, a new photovoltaic array will supply most of the observatory's power. The LAT survey will cover about 60% of the sky at a regular observing cadence, with five times the angular resolution and ten times the map depth of the Planck satellite. The science goals are to: (1) determine the physical conditions in the early universe and constrain the existence of new light particles; (2) measure the integrated distribution of mass, electron pressure, and electron momentum in the late-time universe, and, in combination with optical surveys, determine the neutrino mass and the effects of dark energy via tomographic measurements of the growth of structure at redshifts z ≲ 3; (3) measure the distribution of electron density and pressure around galaxy groups and clusters, and calibrate the effects of energy input from galaxy formation on the surrounding environment; (4) produce a sample of more than 30,000 galaxy clusters, and more than 100,000 extragalactic millimeter sources, including regularly sampled AGN light-curves, to</w:t>
      </w:r>
    </w:p>
    <w:p>
      <w:pPr/>
      <w:r>
        <w:rPr>
          <w:b/>
        </w:rPr>
        <w:t>POSSIBLE 2025:</w:t>
      </w:r>
      <w:r>
        <w:t xml:space="preserve"> Energy Demand Forecasting and Policy Development in Turkey — https://doi.org/10.3390/en18133301</w:t>
      </w:r>
    </w:p>
    <w:p>
      <w:pPr/>
      <w:r>
        <w:rPr>
          <w:b/>
        </w:rPr>
        <w:t>Shared claim-specific concepts:</w:t>
      </w:r>
      <w:r>
        <w:t xml:space="preserve"> forecasts, trends; EU scope not established. This is a provisional connection, not an outcome finding.</w:t>
      </w:r>
    </w:p>
    <w:p>
      <w:pPr>
        <w:pStyle w:val="SourceNote"/>
      </w:pPr>
      <w:r>
        <w:rPr>
          <w:b/>
        </w:rPr>
        <w:t>Available abstract (not full text):</w:t>
      </w:r>
      <w:r>
        <w:t xml:space="preserve"> As Turkey’s energy demand surges due to industrialization, population growth, and economic development, precise forecasting of electricity demand has become crucial for ensuring energy security and facilitating sustainable planning. This study undertakes an analysis of Turkey’s current energy landscape and develops long-term electricity demand forecasts utilizing a diverse array of statistical and machine learning models, including linear regression, polynomial regression, and artificial neural networks (ANNs). By incorporating economic indicators, demographic trends, and historical consumption data, this research projects Turkey’s electricity demand up to 2045. Among the various influencing factors, industrial production stands out as the most significant driver. The findings offer strategic insights into infrastructure investments, the integration of renewable energy, and policies aimed at enhancing efficiency. This research presents a data-driven, policy-oriented framework to assist decision-makers in reducing import dependence while steering Turkey towards a sustainable energy transition.</w:t>
      </w:r>
    </w:p>
    <w:p>
      <w:pPr>
        <w:pStyle w:val="Heading2"/>
      </w:pPr>
      <w:r>
        <w:t>712.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Exploring the Interrelationships Among Supply Chain Emissions, Financial Performance, Market Value, and Board Sustainability: An Exploration of the European Landscape — https://doi.org/10.1002/csr.70398</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ABSTRACT National and supranational institutions are establishing emission trading systems and control schemes in an attempt to manage stakeholders' willingness to engage with regulatory systems and reduce greenhouse gas emissions (GHG). Nonetheless, despite the national and supranational focus on carbon neutrality, little research has been centered around the interrelationships impacting organizations' scope 2 and 3 GHG emissions. Specifically, scholars underscore the need to test the link between scope 2 and 3 emissions and organizations' financial performance, market value, and governance bodies. Henceforth, this article seeks to examine the interrelationships between organizations' financial performance, market value, board sustainability, and their scope 2 and 3 GHG emissions. This manuscript is informed by a multidimensional socio‐economic‐based theoretical framework. This research uses a panel dataset composed of 437 publicly listed companies whose headquarters are located in Europe. The sample focuses on European companies given its agenda to become carbon neutral by 2050. The obtained findings suggest a positive association between organizations' supply chain emissions and their market value. Moreover, it is possible to observe a positive association between organizations' supply chain GHG and their financial performance. Finally, the authors observe a positive associa</w:t>
      </w:r>
    </w:p>
    <w:p>
      <w:pPr/>
      <w:r>
        <w:rPr>
          <w:b/>
        </w:rPr>
        <w:t>POSSIBLE 2026:</w:t>
      </w:r>
      <w:r>
        <w:t xml:space="preserve"> An Overview of Advancements in Basalt Fibers and Their Composites — https://doi.org/10.1021/bk-2026-1524.ch001</w:t>
      </w:r>
    </w:p>
    <w:p>
      <w:pPr/>
      <w:r>
        <w:rPr>
          <w:b/>
        </w:rPr>
        <w:t>Shared claim-specific concepts:</w:t>
      </w:r>
      <w:r>
        <w:t xml:space="preserve"> overview, alternatives, pathways; EU scope not established. This is a provisional connection, not an outcome finding.</w:t>
      </w:r>
    </w:p>
    <w:p>
      <w:pPr>
        <w:pStyle w:val="SourceNote"/>
      </w:pPr>
      <w:r>
        <w:rPr>
          <w:b/>
        </w:rPr>
        <w:t>Available abstract (not full text):</w:t>
      </w:r>
      <w:r>
        <w:t xml:space="preserve"> Basalt fiber composites emerge as sustainable alternatives to conventional reinforcements such as glass and carbon fibers.Produced from abundant volcanic rock through a single-step melt-spinning process without the use of chemical additives, they offer reduced energy demand, greenhouse gas emissions, and production waste.Life cycle assessments consistently report substantially lower carbon footprints for basalt fibers compared with E-glass and carbon fibers.Their mineralogical composition, dominated by olivine, pyroxene/clinopyroxene, and plagioclase, confers high mechanical strength and thermal stability.Basalt fibers are also non-toxic, inert, and noncombustible, making them suitable for applications in infrastructure, potable water systems, and fire-resistant products.Research trends emphasize mechanical characterization, processing optimization, multifunctional performance, and sustainability, with emerging directions in biobased resin systems, smart composites, and circular-economy integration.Collaboration among industry, academia, and international forums is accelerating innovation.This chapter provides a comprehensive overview of basalt fiber composites, covering their geological origins, composition, and manufacturing methods, as well as their mechanical, thermal, and environmental performance, industrial applications, and innovation pathways aligned with global sustai</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2025:</w:t>
      </w:r>
      <w:r>
        <w:t xml:space="preserve"> GRAPHICAL MODELLING FOR FUZZY ANALYTICAL HIERARCHY PROCESS BASED COMPLEXITY OF INVESTMENT CASTING — https://doi.org/10.12732/ijam.v38i8s.616</w:t>
      </w:r>
    </w:p>
    <w:p>
      <w:pPr/>
      <w:r>
        <w:rPr>
          <w:b/>
        </w:rPr>
        <w:t>Shared claim-specific concepts:</w:t>
      </w:r>
      <w:r>
        <w:t xml:space="preserve"> graphical, factors; EU scope not established. This is a provisional connection, not an outcome finding.</w:t>
      </w:r>
    </w:p>
    <w:p>
      <w:pPr>
        <w:pStyle w:val="SourceNote"/>
      </w:pPr>
      <w:r>
        <w:rPr>
          <w:b/>
        </w:rPr>
        <w:t>Available abstract (not full text):</w:t>
      </w:r>
      <w:r>
        <w:t xml:space="preserve"> The decision to produce any industrial component through the investment casting process primarily depends on the manufacturing complexity of that specific component. Three factors primarily influence the complexity of the industrial investment casting: geometry, desired features, and manufacturability. These three factors are additionally influenced by 19 elements, 52 attributes, and 212 meta-attributes. The complexity value based on the relative weightage of these variables is computed using one of the widely accepted multi-criteria decision-making methods, such as the fuzzy analytical hierarchy process. The cumulative complexity value assists in identifying the impact of any specific variable as well as the dependency of the variable on the others. However, it can be challenging to represent the complexity value in a way that allows for straightforward interpretation. challenging. This work proposes a method for describing the complexity index in graph-based systems by utilizing an adaptive consensus mechanism derived from graph theory and graph coloring. The suggested method ensures efficient node representations and is sufficiently resilient to ascertain the maximum and least complexity values of specific parameters on the graph. Proper coloring minimizes collection conflict and enhances node distinctiveness, facilitating the easy identification of essential network compone</w:t>
      </w:r>
    </w:p>
    <w:p>
      <w:pPr/>
      <w:r>
        <w:rPr>
          <w:b/>
        </w:rPr>
        <w:t>POSSIBLE 2025:</w:t>
      </w:r>
      <w:r>
        <w:t xml:space="preserve"> Optimizing Industrial Heat Electrification: Balancing Cost and Emissions — https://doi.org/10.69997/sct.113100</w:t>
      </w:r>
    </w:p>
    <w:p>
      <w:pPr/>
      <w:r>
        <w:rPr>
          <w:b/>
        </w:rPr>
        <w:t>Shared claim-specific concepts:</w:t>
      </w:r>
      <w:r>
        <w:t xml:space="preserve"> graphical, pathway; EU scope not established. This is a provisional connection, not an outcome finding.</w:t>
      </w:r>
    </w:p>
    <w:p>
      <w:pPr>
        <w:pStyle w:val="SourceNote"/>
      </w:pPr>
      <w:r>
        <w:rPr>
          <w:b/>
        </w:rPr>
        <w:t>Available abstract (not full text):</w:t>
      </w:r>
      <w:r>
        <w:t xml:space="preserve"> The electrification of industrial heat is a promising pathway for decarbonization, yet challenges persist in balancing capital costs, operating costs, and emissions reduction. While previous studies have assessed electrification through heat integration and graphical methods, these approaches do not inherently determine the optimal hybrid technology configuration. This study introduces an optimization-based framework that systematically evaluates the cost-optimal allocation of electrified and conventional heating technologies. Formulated as a Mixed-Integer Linear Programming (MILP) model and implemented in Gurobi, the framework minimizes Total Annualized Cost (TAC) while satisfying heat demand, technology constraints, and emissions targets. Applied to an industrial case study, the model compares three scenarios: a fully conventional system relying on steam boilers and fired heaters, a fully electrified system utilizing high-temperature heat pumps, electrode boilers, and electric heaters, and an optimized hybrid system that strategically integrates both conventional and electrified technologies. The results demonstrate that the optimized hybrid system achieves a 75% electrification rate, reducing TAC by 7% compared to previous graphical electrification assessments. The model selects a combination of a high-temperature heat pump and a steam boiler, highlighting the importance of </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pStyle w:val="Heading2"/>
      </w:pPr>
      <w:r>
        <w:t>713.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2026:</w:t>
      </w:r>
      <w:r>
        <w:t xml:space="preserve"> Surveillance of Bordetella pertussis in Europe: bacterial changes and population immunity — https://openalex.org/W7220785808</w:t>
      </w:r>
    </w:p>
    <w:p>
      <w:pPr/>
      <w:r>
        <w:rPr>
          <w:b/>
        </w:rPr>
        <w:t>Shared claim-specific concepts:</w:t>
      </w:r>
      <w:r>
        <w:t xml:space="preserve"> key, population, increasing, potential; EU scope visible. This is a provisional connection, not an outcome finding.</w:t>
      </w:r>
    </w:p>
    <w:p>
      <w:pPr>
        <w:pStyle w:val="SourceNote"/>
      </w:pPr>
      <w:r>
        <w:rPr>
          <w:b/>
        </w:rPr>
        <w:t>Available abstract (not full text):</w:t>
      </w:r>
      <w:r>
        <w:t xml:space="preserve"> Pertussis, caused by the bacterium Bordetella pertussis, remains a significant public health concern despite long-standing vaccination programs. Nationwide epidemics continue to occur worldwide. Several factors, including improved diagnostic methods, evolutionary changes in circulating B. pertussis strains, and waning immunity after vaccination may affect this resurgence. Also, the true burden in populations vaccinated with whole-cell (WCV) versus acellular (ACV) vaccines has not been clearly documented. Moreover, the epidemiological role of middle-aged adults needs closer examination, as they often serve as a reservoir for the bacteria, and are a possible source of transmission to vulnerable newborns. Furthermore, methods used to study serological surveillance, and expression of bacterial antigens vary among European countries. With continuously evolving strains, a deeper understanding of the potential risks from many perspectives is essential. This thesis investigated evolution of key pertussis vaccine antigens, pertactin (PRN), pertussis toxin, filamentous haemagglutinin, and fimbriae, with newly developed immunoassay, before and after the introduction of ACVs. Further, it aims to improve and harmonize serological diagnostic methods across European national reference laboratories (NRL), and to investigate seroepidemiological trends in both WCV and acellular ACV vaccinated po</w:t>
      </w:r>
    </w:p>
    <w:p>
      <w:pPr/>
      <w:r>
        <w:rPr>
          <w:b/>
        </w:rPr>
        <w:t>POSSIBLE 2026:</w:t>
      </w:r>
      <w:r>
        <w:t xml:space="preserve"> Fiscal drag in Europe: Key facts — https://openalex.org/W7142563241</w:t>
      </w:r>
    </w:p>
    <w:p>
      <w:pPr/>
      <w:r>
        <w:rPr>
          <w:b/>
        </w:rPr>
        <w:t>Shared claim-specific concepts:</w:t>
      </w:r>
      <w:r>
        <w:t xml:space="preserve"> key, increasing, income, distribution, tax-benefit, systems; EU scope visible. This is a provisional connection, not an outcome finding.</w:t>
      </w:r>
    </w:p>
    <w:p>
      <w:pPr>
        <w:pStyle w:val="SourceNote"/>
      </w:pPr>
      <w:r>
        <w:rPr>
          <w:b/>
        </w:rPr>
        <w:t>Available abstract (not full text):</w:t>
      </w:r>
      <w:r>
        <w:t xml:space="preserve"> High and persistent inflation, observed in Europe in the wake of the COVID-19 pandemic and the energy crisis triggered by Russiaʼs war of aggression against Ukraine, can substantially shift tax burdens through fiscal drag - the tendency for rising nominal incomes to push taxpayers into higher brackets or reduce the real value of credits and deductions when these parameters are not fully indexed to inflation. Because most European personal income tax systems are progressive and defined in nominal terms, even unchanged real earnings can lead to higher effective tax rates, increasing revenues while eroding householdsʼ purchasing power and altering income distribution. In a recent paper (García-Miralles et al. 2026), we present a comprehensive assessment of fiscal drag across Europe, covering 21 countries, including all euro area members and Hungary. Using harmonized household survey data in combination with EUROMOD (Sutherland and Figari 2013), the tax-benefit microsimulation model for the EU, we provide new evidence on both the built-in scope for fiscal drag within personal income tax systems and the extent to which this phenomenon actually emerged between 2019 and 2023. This policy brief summarizes the key findings.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potential, developments;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Assessing adaptive genetic variation for conservation and management of the European grayling (Thymallus thymallus) — https://doi.org/10.83056/mmu.32478942</w:t>
      </w:r>
    </w:p>
    <w:p>
      <w:pPr/>
      <w:r>
        <w:rPr>
          <w:b/>
        </w:rPr>
        <w:t>Shared claim-specific concepts:</w:t>
      </w:r>
      <w:r>
        <w:t xml:space="preserve"> effect, distribution; EU scope visible. This is a provisional connection, not an outcome finding.</w:t>
      </w:r>
    </w:p>
    <w:p>
      <w:pPr>
        <w:pStyle w:val="SourceNote"/>
      </w:pPr>
      <w:r>
        <w:rPr>
          <w:b/>
        </w:rPr>
        <w:t>Available abstract (not full text):</w:t>
      </w:r>
      <w:r>
        <w:t xml:space="preserve"> In this PhD, functional genetic variation of European grayling (Thymallus thymallus) is assessed to inform conservation and management of the species. This study is the first to characterize immune variation at the Major Histocompatibility complex (MHC) in grayling. The MHC is a marker of high ecological relevance, because of the strong association between immunity and fitness. Taking advantage of advances in sequencing technology, an analytical pipeline optimized for high-throughput, efficient and accurate genotyping of multi-gene families in non-model species is presented. Immune genetic variation is compared to neutral marker data. Results confirm the hypothesis that neutral marker variation does not predict immune genetic variation. Further, the possible effect of supplementing wild populations with hatchery-reared fish on immune genetic variation is evaluated. Significantly lower estimates of heterozygosity were found in stocked than purely native populations. Lower differentiation at immune genes than at neutral markers are indicative of the effects of balancing selection acting upon the MHC, within purely native, but not stocked populations. Furthermore species distribution modelling is used to identify environmental parameters shaping the distribution of grayling. To evaluate risks imposed by climate change, the sensitivity of grayling to climatic variables and range ch</w:t>
      </w:r>
    </w:p>
    <w:p>
      <w:pPr/>
      <w:r>
        <w:rPr>
          <w:b/>
        </w:rPr>
        <w:t>POSSIBLE 2026:</w:t>
      </w:r>
      <w:r>
        <w:t xml:space="preserve"> Assessing direct effects of insect change on insectivore populations in the United Kingdom — https://doi.org/10.1007/s10531-026-03329-5</w:t>
      </w:r>
    </w:p>
    <w:p>
      <w:pPr/>
      <w:r>
        <w:rPr>
          <w:b/>
        </w:rPr>
        <w:t>Shared claim-specific concepts:</w:t>
      </w:r>
      <w:r>
        <w:t xml:space="preserve"> effect, key, population, potential; EU scope not established. This is a provisional connection, not an outcome finding.</w:t>
      </w:r>
    </w:p>
    <w:p>
      <w:pPr>
        <w:pStyle w:val="SourceNote"/>
      </w:pPr>
      <w:r>
        <w:rPr>
          <w:b/>
        </w:rPr>
        <w:t>Available abstract (not full text):</w:t>
      </w:r>
      <w:r>
        <w:t xml:space="preserve"> Declines in insect abundance are a cause for concern, with potential downstream impacts on ecosystem function. Insects are key food resources for insectivorous vertebrates, with evidence that reductions in prey availability may influence population dynamics. Yet quantifying direct effects at large spatial scales is difficult, both due to data limitations and because correlations may reflect shared responses to environmental change rather than trophic links. We assess the role of insect abundance in the dynamics of 10 insectivores (five birds, five bats) in the United Kingdom by pairing insect and vertebrate abundance data at three spatial resolutions (100, 50, 10 km) from multiple citizen science programmes. To address the challenges of inference and combining heterogeneous data, we adopt a multiple-specification approach spanning: (1) association, (2) prediction, and (3) causal inference. We found evidence of overall declines for all bird species evaluated and for most indices of insect abundance, though none of the bat species tested showed consistent declines. Despite indices of both insect and bird abundance declining, declines did not always co-occur spatially. We also detected only moderate evidence of links between insect change and insectivore population change, notably blue tit and great tit with moth abundance, and grey partridge with Diptera abundance. Across taxa, s</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pStyle w:val="Heading2"/>
      </w:pPr>
      <w:r>
        <w:t>714.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2025:</w:t>
      </w:r>
      <w:r>
        <w:t xml:space="preserve"> European Security, Borders, Crime and EU Law — https://doi.org/10.47907/europeansecurityborderscrimeandeulaw/livro</w:t>
      </w:r>
    </w:p>
    <w:p>
      <w:pPr/>
      <w:r>
        <w:rPr>
          <w:b/>
        </w:rPr>
        <w:t>Shared claim-specific concepts:</w:t>
      </w:r>
      <w:r>
        <w:t xml:space="preserve"> group, over, brief;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8.M. Skills building seminar: Mental health and substance use in Europe — https://doi.org/10.1093/eurpub/ckae144.523</w:t>
      </w:r>
    </w:p>
    <w:p>
      <w:pPr/>
      <w:r>
        <w:rPr>
          <w:b/>
        </w:rPr>
        <w:t>Shared claim-specific concepts:</w:t>
      </w:r>
      <w:r>
        <w:t xml:space="preserve"> developments, over, perspective; EU scope visible. This is a provisional connection, not an outcome finding.</w:t>
      </w:r>
    </w:p>
    <w:p>
      <w:pPr>
        <w:pStyle w:val="SourceNote"/>
      </w:pPr>
      <w:r>
        <w:rPr>
          <w:b/>
        </w:rPr>
        <w:t>Available abstract (not full text):</w:t>
      </w:r>
      <w:r>
        <w:t xml:space="preserve"> Abstract The impact of social factors on individual and population mental health are well established (Kirkbride, et al., 2024). The same social factors may trigger the substance use behavior developing into substance use disorders. Mental health disorders can contribute to the substance use and substance use disorders with worsening effects over time (EMCDDA, 2016). This association between substance use, substance use disorders and mental health disorders is a key objective for the scientific consideration and policy development. Respective phenomena are universal and a broader perspective would be useful for a better understanding of how the issue of comorbidities of substance use and mental disorders are addressed on a European level. Identification of the substance use problem, especially among populations in vulnerable situations, like migrants, becomes utterly important. Heterogenous systematic reviews show that there is a need for socially and culturally refugee sensitive instruments to measure the substance use in migrants. Oftentimes substance use is followed by the substance use disorders and drug use related infections. Injecting drug use is also a risk factor for having drug use related infections, such as hepatitis B and C, HIV, tuberculosis. Assessment of risk behaviour patterns among people who inject drugs may contribute to a higher participation in treatment a</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2023:</w:t>
      </w:r>
      <w:r>
        <w:t xml:space="preserve"> The burden of skin disease in Europe — https://doi.org/10.1111/jdv.19390</w:t>
      </w:r>
    </w:p>
    <w:p>
      <w:pPr/>
      <w:r>
        <w:rPr>
          <w:b/>
        </w:rPr>
        <w:t>Shared claim-specific concepts:</w:t>
      </w:r>
      <w:r>
        <w:t xml:space="preserve"> contributes, over, part;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Toward an integrated framework for developing European 6G innovation — https://doi.org/10.1016/j.telpol.2023.102641</w:t>
      </w:r>
    </w:p>
    <w:p>
      <w:pPr/>
      <w:r>
        <w:rPr>
          <w:b/>
        </w:rPr>
        <w:t>Shared claim-specific concepts:</w:t>
      </w:r>
      <w:r>
        <w:t xml:space="preserve"> contributes, discussion, perspective; EU scope visible. This is a provisional connection, not an outcome finding.</w:t>
      </w:r>
    </w:p>
    <w:p>
      <w:pPr>
        <w:pStyle w:val="SourceNote"/>
      </w:pPr>
      <w:r>
        <w:rPr>
          <w:b/>
        </w:rPr>
        <w:t>Available abstract (not full text):</w:t>
      </w:r>
      <w:r>
        <w:t xml:space="preserve"> This article contributes to the discussion on 6G and European policy development, outlining an integrated framework for Europe to benefit from 6G innovation in the future, both as a developer and user of 6G technologies. As 6G is envisioned as a general-purpose technology that can transform the whole of society, there is a need to adopt a broader perspective to innovation compared to earlier technology generations. This proposed framework comprises five elements: national and European sovereignty, triple bottom line sustainability, a competitive transformational innovation policy, European values-based anticipatory regulation, and trustworthy networks that addresses the privacy, security, and safety of users and resilience of 6G at the systems level. It is argued that Europe needs both ex ante and ex post actions to competitively develop and deploy future 6G technologies.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pStyle w:val="Heading2"/>
      </w:pPr>
      <w:r>
        <w:t>715.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2026:</w:t>
      </w:r>
      <w:r>
        <w:t xml:space="preserve"> Assessment of Resource Misallocation and Economic Efficiency Losses in Chinese Cities: A Heterogeneity Perspective on Renewable and Non-Renewable Energy Sources — https://doi.org/10.3390/en19030586</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misallocation of renewable (RE) and non-renewable energy (NRE) resources may lead to the inefficiency of economic development, thereby hindering the achievement of sustainable development goals. Basing data on 282 Chinese cities during 2005–2021, a relative factor price distortion coefficient was employed to estimate the degree and direction of resource misallocation (RM) for RE, NRE, capital, and labor at both the aggregate city level and across four disaggregated city categories. Output gaps and efficiency losses are further quantified by incorporating RM analysis into the economic growth accounting framework, revealing significant heterogeneity in RM across cities. Findings show that (1) RE and labor misallocation exceed those of NRE and capital at the city level. RE misallocation is dominant in energy misallocation. There exists an underallocation of RE, NRE, and labor, while capital is overallocated. (2) Renewable energy input and output (RE-IO) cities exhibit the highest overall RM (32.1%), whereas renewable energy input (RE-Input) cities possess the lowest ones (21.2%). Four city types demonstrate an underallocation of RE and an overallocation of capital. (3) Both output gaps and efficiency losses are on the rise. Output changes sources are transferred from the variations in factor inputs to those in total factor productivity (TFP). The contribution from the RM chang</w:t>
      </w:r>
    </w:p>
    <w:p>
      <w:pPr/>
      <w:r>
        <w:rPr>
          <w:b/>
        </w:rPr>
        <w:t>POSSIBLE 2026:</w:t>
      </w:r>
      <w:r>
        <w:t xml:space="preserve"> Coordinated planning of heterogeneous energy storage for renewable-rich urban power grids: a degradation-aware techno-economic approach — https://doi.org/10.1016/j.ecmx.2026.102226</w:t>
      </w:r>
    </w:p>
    <w:p>
      <w:pPr/>
      <w:r>
        <w:rPr>
          <w:b/>
        </w:rPr>
        <w:t>Shared claim-specific concepts:</w:t>
      </w:r>
      <w:r>
        <w:t xml:space="preserve"> renewable, benefit, strategy; EU scope not established. This is a provisional connection, not an outcome finding.</w:t>
      </w:r>
    </w:p>
    <w:p>
      <w:pPr>
        <w:pStyle w:val="SourceNote"/>
      </w:pPr>
      <w:r>
        <w:rPr>
          <w:b/>
        </w:rPr>
        <w:t>Available abstract (not full text):</w:t>
      </w:r>
      <w:r>
        <w:t xml:space="preserve"> High renewable penetration in urban receiving-end power grids increases the need for energy storage resources that can simultaneously support renewable accommodation, congestion relief, voltage regulation, and long-term economic operation. However, conventional storage planning methods often rely on a single storage technology or a single-layer planning perspective, which may lead to techno-economic mismatch under multi-timescale operating conditions. This paper proposes a degradation-aware techno-economic planning approach for heterogeneous energy storage in renewable-rich urban receiving-end power grids. A layered and partitioned planning framework is developed to coordinate source-side, grid-side, and distribution-/load-side storage deployment. Multiple storage technologies, including Li-ion batteries, flywheel storage, supercapacitors, and long-duration storage, are jointly optimized in terms of siting, technology selection, power capacity, and energy capacity. The model incorporates multi-timescale operating scenarios, response-performance requirements, lifecycle cost and benefit, and degradation-aware capacity evolution. Case studies on a renewable-rich urban receiving-end grid show that the proposed strategy allocates 230 MW / 521.5 MWh of heterogeneous storage in a spatially differentiated manner. Compared with benchmark schemes, it increases renewable accommodation to </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pStyle w:val="Heading2"/>
      </w:pPr>
      <w:r>
        <w:t>716.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2026:</w:t>
      </w:r>
      <w:r>
        <w:t xml:space="preserve"> Lobito corridor development and the DRC mining sector: state of play and Implications for mineral supply chains — https://doi.org/10.25928/q1je-z893</w:t>
      </w:r>
    </w:p>
    <w:p>
      <w:pPr/>
      <w:r>
        <w:rPr>
          <w:b/>
        </w:rPr>
        <w:t>Shared claim-specific concepts:</w:t>
      </w:r>
      <w:r>
        <w:t xml:space="preserve"> sector, transport, but, climate; EU scope visible. This is a provisional connection, not an outcome finding.</w:t>
      </w:r>
    </w:p>
    <w:p>
      <w:pPr>
        <w:pStyle w:val="SourceNote"/>
      </w:pPr>
      <w:r>
        <w:rPr>
          <w:b/>
        </w:rPr>
        <w:t>Available abstract (not full text):</w:t>
      </w:r>
      <w:r>
        <w:t xml:space="preserve"> The Lobito Corridor has emerged as one of the most geopolitically prominent infrastructure initiatives in Sub-Saharan Africa, linking the Central African Copperbelt of the Democratic Republic of the Congo (DRC) and Zambia to the Atlantic seaport of Lobito in Angola. In the context of rapidly rising global demand for Critical Raw Materials such as copper and cobalt, the corridor is increasingly framed not only as a transport infrastructure project, but as a geopolitical and economic instrument. The United States and the European Union have elevated the corridor under initiatives such as the Partnership for Global Infrastructure and Investment and Global Gateway, positioning it as a Western alternative to China dominated supply chains and infrastructure influence across Africa. The present study was commissioned by the Federal Institute for Geosciences and Natural Resources (BGR) as part of the German-Congolese development cooperation in the mining sector. It assesses the Lobito Corridor’s current state, future development scenarios, and its mining sector-specific implications for the DRC. Based on an interdisciplinary research process combining desk research, fieldwork, and 40 stakeholder interviews across industry, logistics, government &amp; regulatory bodies, civil society, academia, and financing institutions, the report aims to provide an objective evaluation of opportunities a</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emission, reductions, energy, sector;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Majority of methane emissions from European biogas plant supply chains could be eliminated at no net cost — https://doi.org/10.1038/s44458-026-00065-3</w:t>
      </w:r>
    </w:p>
    <w:p>
      <w:pPr/>
      <w:r>
        <w:rPr>
          <w:b/>
        </w:rPr>
        <w:t>Shared claim-specific concepts:</w:t>
      </w:r>
      <w:r>
        <w:t xml:space="preserve"> energy, dominant, but, mitigation; EU scope visible. This is a provisional connection, not an outcome finding.</w:t>
      </w:r>
    </w:p>
    <w:p>
      <w:pPr>
        <w:pStyle w:val="SourceNote"/>
      </w:pPr>
      <w:r>
        <w:rPr>
          <w:b/>
        </w:rPr>
        <w:t>Available abstract (not full text):</w:t>
      </w:r>
      <w:r>
        <w:t xml:space="preserve"> Abstract Biogas, and its purified form – biomethane, offers substantial low-carbon energy potential, but uncertainties regarding methane emissions may undermine this benefit. This study addresses this uncertainty through a mixed-method emissions survey across three European countries, combined with environmental assessment, mitigation analysis and regional policy comparison. Our findings reveal that methane emissions from biogas production average 14.4 kg/h per site (5.4% of methane produced) with a range of 1.3-57 kg/h (2%-21.7%). These values exceed previous estimates, yet 59% of emissions could be eliminated at no net cost. When considering full supply chain emissions, methane emerged as the dominant greenhouse gas, accounting for 47% (18-93%) and 60% (34-94%) of greenhouse gases over 100- and 20-year time horizons, respectively. We advocate for EU and national policy revisions to better account for methane’s contribution and enhance emissions monitoring, highlighting the need for policy interventions incorporating recent advances in methane measurement and cost-effective mitigation strategies.</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pStyle w:val="Heading2"/>
      </w:pPr>
      <w:r>
        <w:t>717.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2026:</w:t>
      </w:r>
      <w:r>
        <w:t xml:space="preserve"> Optimizing Renewable Energy to Meet Malawi's Electricity Demand — https://doi.org/10.5281/zenodo.18499321</w:t>
      </w:r>
    </w:p>
    <w:p>
      <w:pPr/>
      <w:r>
        <w:rPr>
          <w:b/>
        </w:rPr>
        <w:t>Shared claim-specific concepts:</w:t>
      </w:r>
      <w:r>
        <w:t xml:space="preserve"> electricity, significantly, pathway, but, pathways, three; EU scope not established. This is a provisional connection, not an outcome finding.</w:t>
      </w:r>
    </w:p>
    <w:p>
      <w:pPr>
        <w:pStyle w:val="SourceNote"/>
      </w:pPr>
      <w:r>
        <w:rPr>
          <w:b/>
        </w:rPr>
        <w:t>Available abstract (not full text):</w:t>
      </w:r>
      <w:r>
        <w:t xml:space="preserve"> Malawi’s electricity system is heavily dependent on hydropower, making it vulnerable to climate variability, supply insecurity, and fossil-fuel backup. This study uses OSeMOSYS to assess least-cost and reliable electricity pathways for Malawi from 2022 to 2050 under three scenarios: Business-as-Usual, renewable expansion without storage, and renewable expansion with Battery Energy Storage Systems (BESS). Results show that while the BAU pathway has lower short-term capital requirements, it increases long-term reliability and fuel price risks. Solar PV expansion significantly reduces emissions and system costs, but reliable outcomes are achieved only when supported by adequate storage. The study highlights the importance of a coordinated renewables-plus-storage strategy for improving energy security and enabling a resilient low-carbon transition.</w:t>
      </w:r>
    </w:p>
    <w:p>
      <w:pPr/>
      <w:r>
        <w:rPr>
          <w:b/>
        </w:rPr>
        <w:t>POSSIBLE 2026:</w:t>
      </w:r>
      <w:r>
        <w:t xml:space="preserve"> Net-zero pathways and the future of GB electricity transmission networks — https://openalex.org/W7113082078</w:t>
      </w:r>
    </w:p>
    <w:p>
      <w:pPr/>
      <w:r>
        <w:rPr>
          <w:b/>
        </w:rPr>
        <w:t>Shared claim-specific concepts:</w:t>
      </w:r>
      <w:r>
        <w:t xml:space="preserve"> electricity, pathway, pathways; EU scope not established. This is a provisional connection, not an outcome finding.</w:t>
      </w:r>
    </w:p>
    <w:p>
      <w:pPr>
        <w:pStyle w:val="SourceNote"/>
      </w:pPr>
      <w:r>
        <w:rPr>
          <w:b/>
        </w:rPr>
        <w:t>Available abstract (not full text):</w:t>
      </w:r>
      <w:r>
        <w:t xml:space="preserve"> The UK government set a legally binding net-zero greenhouse gas emission target aiming for a fully decarbonized energy system by 2050. Achieving this will require major reforms in the electricity market. However, a clear, officially recognized pathway to decarbonization has yet to be provided. Several research organizations including the Energy Systems Catapult, the National Energy System Operatthe Centere Center for Alternative Tech and the Climate Change Committee have proposed decarbonization pathways. Although these pathways differ in their assumptions and approaches, they all anticipate a significant increase in both electricity demand and renewable generation. In these scenarios, electricity generation is projected to increase by 51% to 160% by 2050, creating both opportunities and challenges for the power transmission network of GB. In this study, we employ a modeling framework to examine the potential impacts of these decarbonization policies on the Great Britain electricity transmission system up to 2050. We identify likely congestion points and critical transmission lines under the predicted growth in load and generation across all seven pathways, providing information to support planning for a resilient and low-carbon electricity network.</w:t>
      </w:r>
    </w:p>
    <w:p>
      <w:pPr/>
      <w:r>
        <w:rPr>
          <w:b/>
        </w:rPr>
        <w:t>POSSIBLE 2026:</w:t>
      </w:r>
      <w:r>
        <w:t xml:space="preserve"> Electricity demand and grid impacts of AI data centers: Challenges and prospects — https://doi.org/10.1016/j.ynexs.2026.100162</w:t>
      </w:r>
    </w:p>
    <w:p>
      <w:pPr/>
      <w:r>
        <w:rPr>
          <w:b/>
        </w:rPr>
        <w:t>Shared claim-specific concepts:</w:t>
      </w:r>
      <w:r>
        <w:t xml:space="preserve"> electricity, three, electric; EU scope not established. This is a provisional connection, not an outcome finding.</w:t>
      </w:r>
    </w:p>
    <w:p>
      <w:pPr>
        <w:pStyle w:val="SourceNote"/>
      </w:pPr>
      <w:r>
        <w:rPr>
          <w:b/>
        </w:rPr>
        <w:t>Available abstract (not full text):</w:t>
      </w:r>
      <w:r>
        <w:t xml:space="preserve"> The rapid growth of artificial intelligence (AI) is driving an unprecedented increase in the electricity demand of AI data centers, raising emerging challenges for electric power grids. Understanding the characteristics of AI data center loads and their interactions with the grid is therefore critical for ensuring both reliable power system operation and sustainable AI development. This paper provides a comprehensive review and vision of this evolving landscape. Specifically, this paper (i) presents an overview of AI data center infrastructure and its key components, (ii) examines the key characteristics and patterns of electricity demand across the stages of model preparation, training, fine-tuning, and inference, (iii) analyzes the critical challenges that AI data center loads pose to power systems across three interrelated timescales, including long-term planning and interconnection, short-term operation and electricity markets, and real-time dynamics and stability, and (iv) discusses potential solutions from the perspectives of the grid, AI data centers, and AI end-users to address these challenges. By synthesizing current knowledge and outlining future directions, this review aims to guide research and development in support of the joint advancement of AI data centers and power systems toward reliable, efficient, and sustainable operation.</w:t>
      </w:r>
    </w:p>
    <w:p>
      <w:pPr>
        <w:pStyle w:val="Heading2"/>
      </w:pPr>
      <w:r>
        <w:t>718.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2026:</w:t>
      </w:r>
      <w:r>
        <w:t xml:space="preserve"> Effects of wood products substitution on fossil carbon emissions in Finland, the European Union, and the world — https://doi.org/10.14214/sf.25043</w:t>
      </w:r>
    </w:p>
    <w:p>
      <w:pPr/>
      <w:r>
        <w:rPr>
          <w:b/>
        </w:rPr>
        <w:t>Shared claim-specific concepts:</w:t>
      </w:r>
      <w:r>
        <w:t xml:space="preserve"> union, out, carbon; EU scope visible. This is a provisional connection, not an outcome finding.</w:t>
      </w:r>
    </w:p>
    <w:p>
      <w:pPr>
        <w:pStyle w:val="SourceNote"/>
      </w:pPr>
      <w:r>
        <w:rPr>
          <w:b/>
        </w:rPr>
        <w:t>Available abstract (not full text):</w:t>
      </w:r>
      <w:r>
        <w:t xml:space="preserve"> The main driver of climate change is fossil carbon emissions that can be avoided by using renewables instead of fossil-intensive energy or materials. A displacement factor (DF) quantifies fossil emissions avoided by wood use instead of a fossil material. Substitution impact of wood products can be calculated by multiplying their product-specific DFs and their production volumes. We quantified the substitution impact in Finland, the European Union (EU), and worldwide for 2020 using two different DF sets. We extended the analysis out to 2040 in Finland. Depending on DFs used, the avoided fossil emissions by wood use were 13–38 (Finnish wood), 149–317 (EU wood), and 971–2014 (world wood) MtCO2e in 2020. These correspond to 37–94% (Finland), 6–12% (EU), and 3–6% (world) of total fossil emissions in their respective areas, highlighting the importance of substitution impacts. Despite the uncertainties, the estimates show large climate effects. In Finland, the substitution impact approaches the scale of the total fossil emissions of the country, while at the EU and global scales, the impact is similar in scale to the entire reported LULUCF criterion. The DFs for wood use may decrease in the future because of the decarbonization of the energy systems used in the production of alternatives to wood: steel, concrete, and plastics. However, wood products will remain important in avoiding f</w:t>
      </w:r>
    </w:p>
    <w:p>
      <w:pPr/>
      <w:r>
        <w:rPr>
          <w:b/>
        </w:rPr>
        <w:t>POSSIBLE 2026:</w:t>
      </w:r>
      <w:r>
        <w:t xml:space="preserve"> Climate stress, energy shocks and carbon-market connectedness in the European emissions trading system — https://doi.org/10.1108/ijccsm-03-2026-0168</w:t>
      </w:r>
    </w:p>
    <w:p>
      <w:pPr/>
      <w:r>
        <w:rPr>
          <w:b/>
        </w:rPr>
        <w:t>Shared claim-specific concepts:</w:t>
      </w:r>
      <w:r>
        <w:t xml:space="preserve"> union, set, carbon, intensity, approach; EU scope visible. This is a provisional connection, not an outcome finding.</w:t>
      </w:r>
    </w:p>
    <w:p>
      <w:pPr>
        <w:pStyle w:val="SourceNote"/>
      </w:pPr>
      <w:r>
        <w:rPr>
          <w:b/>
        </w:rPr>
        <w:t>Available abstract (not full text):</w:t>
      </w:r>
      <w:r>
        <w:t xml:space="preserve"> Purpose This study aims to examine state-dependent connectedness in the climate-energy uncertainty-carbon system surrounding the European Union Emissions Trading System. It asks whether average connectedness differs from carbon-market stress states and extreme-heat states. Design/methodology/approach This study constructs a monthly data set for 2011–2024 covering heat anomalies, geopolitical risk, energy transportation uncertainty, crude oil returns, European gas returns and carbon allowance returns. It combines correlation and tail-dependence evidence, partial-correlation networks and generalized forecast error variance decomposition to compare contemporaneous dependence and directional spillovers across average and stressed states. Findings The average monthly system is only modestly connected, with carbon allowances mainly receiving shocks. Connectedness rises in both lower- and upper-tail carbon-return states and during extreme-heat months, indicating that stressed conditions reveal stronger energy-carbon-uncertainty transmission than full-sample averages suggest. Under upper carbon-return states, carbon allowances also become more active in transmitting shocks. Originality/value This study integrates physical climate stress, energy shocks and uncertainty indicators into a state-dependent connectedness framework for the European carbon market. The evidence shows that averag</w:t>
      </w:r>
    </w:p>
    <w:p>
      <w:pPr/>
      <w:r>
        <w:rPr>
          <w:b/>
        </w:rPr>
        <w:t>POSSIBLE 2026:</w:t>
      </w:r>
      <w:r>
        <w:t xml:space="preserve"> Recent European Union Court Cases — https://doi.org/10.67330/nebcv492</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installment reports the valuation law of all twenty-seven member states of the European Union, Ireland among them, together with Norway, Switzerland and Ukraine, read for the most part in the states' own languages and checked against official texts. The first and longest part is a set of country studies of expropriation: the measure of compensation, the valuation date, the body that fixes the figure, and what the law directs be left out of account, with the decisions of the period placed inside each framework. Sweden adds a statutory twenty-five percent above market value because dispossession is involuntary, and Finland has done the same since August 2025; Norway awards the higher of sale value and use value; Denmark holds the owner to the position of an ordinary seller. France pays a reinvestment indemnity and separates the date of value from the date of reference for use; the Netherlands compensates the owner's whole damage, of which value is the first head; Spain's justiprecio is fixed by a standing jury and revised by the courts; Portugal builds the value of building land from statutory percentages that must be proved; and Italy's Constitutional Court struck a formula that averaged market value with land income. Switzerland joins compensation for planning restrictions to a levy of at least twenty percent on the value planning creates. Latvia's Constitutional Court str</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pStyle w:val="Heading2"/>
      </w:pPr>
      <w:r>
        <w:t>719.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720.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2026:</w:t>
      </w:r>
      <w:r>
        <w:t xml:space="preserve"> Cybersecurity, knowledge management and sustainability disclosure in DT-Enabled European ports — https://doi.org/10.1108/jkm-12-2025-1721</w:t>
      </w:r>
    </w:p>
    <w:p>
      <w:pPr/>
      <w:r>
        <w:rPr>
          <w:b/>
        </w:rPr>
        <w:t>Shared claim-specific concepts:</w:t>
      </w:r>
      <w:r>
        <w:t xml:space="preserve"> one, knowledge, both, other; EU scope visible. This is a provisional connection, not an outcome finding.</w:t>
      </w:r>
    </w:p>
    <w:p>
      <w:pPr>
        <w:pStyle w:val="SourceNote"/>
      </w:pPr>
      <w:r>
        <w:rPr>
          <w:b/>
        </w:rPr>
        <w:t>Available abstract (not full text):</w:t>
      </w:r>
      <w:r>
        <w:t xml:space="preserve"> Purpose This study aims to investigate how European ports disclose cybersecurity governance and knowledge management (KM) practices within digital twin (DT) technology environments as part of broader operational resilience and net-zero greenhouse gas emissions reduction. Design/methodology/approach This study uses qualitative content analysis of publicly available non-financial disclosures to investigate two leading European ports, i.e. Rotterdam and Hamburg, that have fully implemented the DT adoption process. Based on 36 documents (sustainability reports, DT roadmaps and innovation strategies) published between 2020 and 2024, the analysis focuses on cybersecurity and KM practices disclosed to stakeholders. By combining automated thematic extraction through Leximancer (Version 5) with manual interpretive coding, the study offers novel insights into how ports publicly frame and disclose DT-related cybersecurity and KM practices, contributing to both theory and practice in maritime digitalization. Findings Results reveal significant heterogeneity in the scope and depth of cybersecurity and KM disclosures among ports operating within DT frameworks. One port predominantly frames cybersecurity as an operational safeguard, while the other discloses cybersecurity within broader KM-oriented governance practices associated with data-driven decision-making and net-zero emission targets.</w:t>
      </w:r>
    </w:p>
    <w:p>
      <w:pPr/>
      <w:r>
        <w:rPr>
          <w:b/>
        </w:rPr>
        <w:t>POSSIBLE 2026:</w:t>
      </w:r>
      <w:r>
        <w:t xml:space="preserve"> Mortality patterns and drivers of 11 valuable broadleaved tree species of interest for European forest restoration and agroforestry — https://doi.org/10.1016/j.foreco.2026.124260</w:t>
      </w:r>
    </w:p>
    <w:p>
      <w:pPr/>
      <w:r>
        <w:rPr>
          <w:b/>
        </w:rPr>
        <w:t>Shared claim-specific concepts:</w:t>
      </w:r>
      <w:r>
        <w:t xml:space="preserve"> valuable, knowledge, both, abandonment; EU scope visible. This is a provisional connection, not an outcome finding.</w:t>
      </w:r>
    </w:p>
    <w:p>
      <w:pPr>
        <w:pStyle w:val="SourceNote"/>
      </w:pPr>
      <w:r>
        <w:rPr>
          <w:b/>
        </w:rPr>
        <w:t>Available abstract (not full text):</w:t>
      </w:r>
      <w:r>
        <w:t xml:space="preserve"> Land abandonment and the homogenisation of European forests and agricultural land have created an urgent need for restoration strategies that both diversify and revitalise rural landscapes. Valuable broadleaved species offer strong potential for this dual objective, yet their use remains limited due to scarce ecological knowledge, operational challenges, and high early mortality under changing environmental conditions. Using long-term (2001–2024) monitoring data from 5666 trees across 29 plantations spanning a wide range of ecological conditions in NE Spain, this study characterises species-specific mortality trajectories for 11 valuable broadleaved species and identifies the environmental drivers of early and cumulative mortality, with the aim of informing more successful restoration, agroforestry and afforestation efforts in Europe. Early mortality (three years after planting) averaged 9%, and mid-term mortality (around 20 years, i.e. mid-rotation) reached 26%, with substantial variation among species and plantations. Acer campestre , Fraxinus angustifolia , F. excelsior and Pyrus communis showed the lowest mortality, whereas Sorbus domestica , S. torminalis , Acer pseudoplatanus and Juglans regia the highest, and Prunus avium , Celtis australis and J. × intermedia showed intermediate patterns. Although relationships with environmental variables were species-specific, mortali</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2025:</w:t>
      </w:r>
      <w:r>
        <w:t xml:space="preserve"> THE EFFECTIVE APPLICATION OF THE RULE OF LAW BY THE MEMBER STATES OF THE EUROPEAN UNION — https://doi.org/10.47743/eufire-2024-1-30</w:t>
      </w:r>
    </w:p>
    <w:p>
      <w:pPr/>
      <w:r>
        <w:rPr>
          <w:b/>
        </w:rPr>
        <w:t>Shared claim-specific concepts:</w:t>
      </w:r>
      <w:r>
        <w:t xml:space="preserve"> them, one, both, specific; EU scope visible. This is a provisional connection, not an outcome finding.</w:t>
      </w:r>
    </w:p>
    <w:p>
      <w:pPr>
        <w:pStyle w:val="SourceNote"/>
      </w:pPr>
      <w:r>
        <w:rPr>
          <w:b/>
        </w:rPr>
        <w:t>Available abstract (not full text):</w:t>
      </w:r>
      <w:r>
        <w:t xml:space="preserve"> The paper aims to explain, in the first part, the concept of the rule of law, as it is determined at the level of the European Union. From its creation until today, the principle of the rule of law has experienced a spectacular evolution and a very widespread in democratic states. The second part the paper emphasizes some support mechanisms of the rule of law in the European Union while the last one refers to the analysis of how the member states of the European Union have effectively implemented the analyzed principle. In this sense, in our exposition, important decisions are analyzed, pronounced by the General Court and the Court of Justice of the European Union, with reference to the principles of legality and legal certainty, as well as the effective judicial protection. It was found that, although the rule of law is one of the essential values of the Union, which was constantly promoted by the Union bodies, it was repeatedly violated by the Member States; some of them even had vehement reactions related to the constraints endured in this regard. The article is of real interest both for specialists in the field and, above all, for the Member States of the Union, which have the obligation to comply with the existing legal provisions of the European Union and the specific jurisprudence on the matter.</w:t>
      </w:r>
    </w:p>
    <w:p>
      <w:pPr>
        <w:pStyle w:val="Heading2"/>
      </w:pPr>
      <w:r>
        <w:t>721.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2026:</w:t>
      </w:r>
      <w:r>
        <w:t xml:space="preserve"> Equity-Oriented Decision-Making for Renewable Energy Investments — https://doi.org/10.3390/en19020463</w:t>
      </w:r>
    </w:p>
    <w:p>
      <w:pPr/>
      <w:r>
        <w:rPr>
          <w:b/>
        </w:rPr>
        <w:t>Shared claim-specific concepts:</w:t>
      </w:r>
      <w:r>
        <w:t xml:space="preserve"> decision-making, energy; EU scope not established. This is a provisional connection, not an outcome finding.</w:t>
      </w:r>
    </w:p>
    <w:p>
      <w:pPr>
        <w:pStyle w:val="SourceNote"/>
      </w:pPr>
      <w:r>
        <w:rPr>
          <w:b/>
        </w:rPr>
        <w:t>Available abstract (not full text):</w:t>
      </w:r>
      <w:r>
        <w:t xml:space="preserve"> Renewable energy investment evaluation continues to rely predominantly on techno-economic and environmental criteria, while equity-related considerations remain weakly embedded within formal decision-support frameworks. Although recent research increasingly acknowledges social impacts, spatial constraints, policy uncertainty, and financing structures, these dimensions are rarely integrated in a systematic and operational manner into investment appraisal. This paper addresses this gap by advancing an equity-oriented conceptual framework for renewable energy investment evaluation. Using an integrative literature review combined with thematic analysis, the study synthesises insights from techno-economic assessment, multi-criteria decision-making, energy justice scholarship, and equity-focused modelling studies. The analysis demonstrates that existing evaluation approaches inadequately capture distributional impacts, accessibility constraints, differentiated vulnerability, and equity-adjusted risk. In response, the proposed framework systematises these equity dimensions and embeds them directly into the core logic of investment evaluation alongside conventional criteria. By consolidating fragmented research insights into a coherent evaluative structure, the study contributes to the literature by clarifying how equity can be operationalised within renewable energy investment decisio</w:t>
      </w:r>
    </w:p>
    <w:p>
      <w:pPr/>
      <w:r>
        <w:rPr>
          <w:b/>
        </w:rPr>
        <w:t>POSSIBLE 2026:</w:t>
      </w:r>
      <w:r>
        <w:t xml:space="preserve"> The political economy of energy security in Europe after the Russia–Ukraine war — https://doi.org/10.71085/sss.05.01.475</w:t>
      </w:r>
    </w:p>
    <w:p>
      <w:pPr/>
      <w:r>
        <w:rPr>
          <w:b/>
        </w:rPr>
        <w:t>Shared claim-specific concepts:</w:t>
      </w:r>
      <w:r>
        <w:t xml:space="preserve"> energy, economy; EU scope visible. This is a provisional connection, not an outcome finding.</w:t>
      </w:r>
    </w:p>
    <w:p>
      <w:pPr>
        <w:pStyle w:val="SourceNote"/>
      </w:pPr>
      <w:r>
        <w:rPr>
          <w:b/>
        </w:rPr>
        <w:t>Available abstract (not full text):</w:t>
      </w:r>
      <w:r>
        <w:t xml:space="preserve"> This study discusses the energy security in the aftermath of the war in Europe based on the full-scale invasion of Ukraine by Russia in 2022 and the underlying political economy of policy choices. It asserts that distributional conflicts, institutional capacity and rent dispersion influenced the choices that fell short of technical supply limitations. The study focuses on the evaluation of the diversification of imports, the adequacy of storage, and the price exposure and fiscal instruments by using a mixed-methods design in the form of a pre/post-2022 panel and comparative case studies. The results indicate that there were major decreases in the dependence on Russian pipeline gas and an augmentation of emphasis on storage. It is concluded in the paper that the solution to the problem of securing energy in the long term is the need to balance between the new demands and social legitimacy.</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2025:</w:t>
      </w:r>
      <w:r>
        <w:t xml:space="preserve"> The Barriers to Deployment of Renewable Energy : Application of Sequential Decision-Making and Derisking Models in Emerging Markets and Developing Economies — https://openalex.org/W7113434373</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This thesis analyses barriers to renewable energy deployment using two reference sequential decision-making and derisking models: the Lancaster University's North-West Hydro Resource Model (NWHRM); the United Nations Development Programme's Derisking Renewable Energy Investment (DREI) framework. The study draws on case studies and field research from Sub-Saharan Africa (Equatorial Guinea, South Africa, Namibia); Latin America (Panama, Paraguay); Central Asia (Mongolia, Tajikistan); and, the Caribbean (Barbados, Jamaica). It shows the interlinked nature of technical, financial, and social barriers and refines both DREI and NWHRM models to integrate governance, social acceptance and just inclusive transition considerations. As the site visits show, the policy and financial derisking instruments introduced in emerging markets and developing economies lower investment risks and the levelized cost of energy, such that combining NWHRM and DREI model approaches provides a globally applicable frameworks to assess the barriers to renewable energy investment.</w:t>
      </w:r>
    </w:p>
    <w:p>
      <w:pPr/>
      <w:r>
        <w:rPr>
          <w:b/>
        </w:rPr>
        <w:t>POSSIBLE 2025:</w:t>
      </w:r>
      <w:r>
        <w:t xml:space="preserve"> Simplifying decision-making in model-based co-design of building energy systems through automatically generated optimal controls — https://doi.org/10.26868/25222708.2025.1690</w:t>
      </w:r>
    </w:p>
    <w:p>
      <w:pPr/>
      <w:r>
        <w:rPr>
          <w:b/>
        </w:rPr>
        <w:t>Shared claim-specific concepts:</w:t>
      </w:r>
      <w:r>
        <w:t xml:space="preserve"> decision-making, transition, energy; EU scope visible. This is a provisional connection, not an outcome finding.</w:t>
      </w:r>
    </w:p>
    <w:p>
      <w:pPr>
        <w:pStyle w:val="SourceNote"/>
      </w:pPr>
      <w:r>
        <w:rPr>
          <w:b/>
        </w:rPr>
        <w:t>Available abstract (not full text):</w:t>
      </w:r>
      <w:r>
        <w:t xml:space="preserve"> Energy-efficient technologies and efficient engineering processes are two major prerequisites for the fast and cost-efficient energy transition of the built environment. This study analyzes the potential of automatically generated optimal controls to not only enable high-performing building operation but also to simplify and streamline the decision-making. As a case study, the re-design of the energy supply system for a historic neighborhood in Bruges, Belgium, fully based on renewable and residual energy sources (R2ES) with air-source and ground-source heat pumps, PVT, and PV systems is used. Two design procedures, either using manually generated Rule-Based Controls or automatically generated Optimal Controls, using the Toolchain for Automated Control and Optimization, are compared in terms of the system performance and the design process efficiency. The results illustrate that, for this case study, an optimally controlled system uses around 30 % less electricity than with rule-based control. Moreover, the potential of automatically generated Optimal Controls to simplify the decision-making process in model-based co-design processes and as system integrator, is highlighted.</w:t>
      </w:r>
    </w:p>
    <w:p>
      <w:pPr/>
      <w:r>
        <w:rPr>
          <w:b/>
        </w:rPr>
        <w:t>POSSIBLE 2025:</w:t>
      </w:r>
      <w:r>
        <w:t xml:space="preserve"> Models for industry differentiation in decision-making systems with an application to the Ukrainian economy — https://doi.org/10.32620/reks.2025.3.03</w:t>
      </w:r>
    </w:p>
    <w:p>
      <w:pPr/>
      <w:r>
        <w:rPr>
          <w:b/>
        </w:rPr>
        <w:t>Shared claim-specific concepts:</w:t>
      </w:r>
      <w:r>
        <w:t xml:space="preserve"> decision-making, economy, different; EU scope not established. This is a provisional connection, not an outcome finding.</w:t>
      </w:r>
    </w:p>
    <w:p>
      <w:pPr>
        <w:pStyle w:val="SourceNote"/>
      </w:pPr>
      <w:r>
        <w:rPr>
          <w:b/>
        </w:rPr>
        <w:t>Available abstract (not full text):</w:t>
      </w:r>
      <w:r>
        <w:t xml:space="preserve"> This article is devoted to the study of the problem of using adaptive models of differentiation of sectors of the real sector of the economy as a key component of modern decision support systems (DSS). The subject of the study is models of differentiation of real sectors of the Ukrainian economy for integration into decision support systems to optimize public administration. This research aims to develop and validate adaptive models of industry differentiation into clusters (groups) to improve the effectiveness of decision-making systems applied to the real sector of Ukraine’s economy. The research object is the process of sectoral differentiation, which allows determining the structural features and patterns of economic sector functioning. DSS architecture is proposed that integrates multifactor analysis and machine learning algorithms for automated selection of strategic scenarios. For clustering, we used production volume indicators and the number of strategically important enterprises in Ukraine for the pre-war period (2015–2021), which serve as a benchmark model for comparative analysis. A comparative assessment of the effectiveness of the classical K-means, DBSCAN, and Ensemble model algorithms was conducted with quantitative verification of the results using the Silhouette Score and Davies-Bouldin Score metrics. Empirical analysis showed that the DBSCAN and Ensemble mode</w:t>
      </w:r>
    </w:p>
    <w:p>
      <w:pPr>
        <w:pStyle w:val="Heading2"/>
      </w:pPr>
      <w:r>
        <w:t>722.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2026:</w:t>
      </w:r>
      <w:r>
        <w:t xml:space="preserve"> Forced reorganisation of the North Atlantic SST–NAO relationship and implications for European winter predictability — https://doi.org/10.5194/egusphere-2026-2686</w:t>
      </w:r>
    </w:p>
    <w:p>
      <w:pPr/>
      <w:r>
        <w:rPr>
          <w:b/>
        </w:rPr>
        <w:t>Shared claim-specific concepts:</w:t>
      </w:r>
      <w:r>
        <w:t xml:space="preserve"> regime, forced, ensemble, climate; EU scope visible. This is a provisional connection, not an outcome finding.</w:t>
      </w:r>
    </w:p>
    <w:p>
      <w:pPr>
        <w:pStyle w:val="SourceNote"/>
      </w:pPr>
      <w:r>
        <w:rPr>
          <w:b/>
        </w:rPr>
        <w:t>Available abstract (not full text):</w:t>
      </w:r>
      <w:r>
        <w:t xml:space="preserve"> Abstract. The winter North Atlantic Oscillation (NAO) is a major source of seasonal climate variability across the Euro-Atlantic region, and part of its predictability arises from persistent North Atlantic sea-surface temperature (SST) anomalies. Whether this SST–NAO relationship remains stationary under anthropogenic forcing is uncertain. Here we investigate the evolution of North Atlantic SST–NAO predictability using the 40-member CANARI large ensemble under SSP3-7.0 forcing together with a hierarchy of physically constrained statistical and machine-learning models. We find that the internal component of the SST–NAO teleconnection retains a largely stable spatial structure throughout the 21st century, although the subpolar North Atlantic contribution weakens. In contrast, the externally forced SST–NAO relationship changes substantially as the North Atlantic warming pattern evolves. A three-term stationarity budget shows that forecast-skill degradation in the early 21st century is dominated by changes in the forced mean state rather than by increased internal variability. By the late century, the forced SST–NAO regression reverses sign as differential warming between the tropical and subpolar North Atlantic strengthens. A decomposition of predictability sources indicates a transition from historically interaction-driven predictability, in which forced and internal SST componen</w:t>
      </w:r>
    </w:p>
    <w:p>
      <w:pPr/>
      <w:r>
        <w:rPr>
          <w:b/>
        </w:rPr>
        <w:t>POSSIBLE 2026:</w:t>
      </w:r>
      <w:r>
        <w:t xml:space="preserve"> Northern Greenland transect stacked ice cores as a proxy for winter extreme events in Europe — https://doi.org/10.5194/cp-22-935-2026</w:t>
      </w:r>
    </w:p>
    <w:p>
      <w:pPr/>
      <w:r>
        <w:rPr>
          <w:b/>
        </w:rPr>
        <w:t>Shared claim-specific concepts:</w:t>
      </w:r>
      <w:r>
        <w:t xml:space="preserve"> frequency, ice, two, climate; EU scope visible. This is a provisional connection, not an outcome finding.</w:t>
      </w:r>
    </w:p>
    <w:p>
      <w:pPr>
        <w:pStyle w:val="SourceNote"/>
      </w:pPr>
      <w:r>
        <w:rPr>
          <w:b/>
        </w:rPr>
        <w:t>Available abstract (not full text):</w:t>
      </w:r>
      <w:r>
        <w:t xml:space="preserve"> Abstract. High-resolution ice core records from the Greenland ice sheet provide critical insights into past climate variability across seasonal to multidecadal timescales. A key proxy in these reconstructions is the concentration of stable oxygen isotopes (δ18O), which reflects both regional climatic conditions, such as temperature, as well as atmospheric and oceanic circulation patterns. While recent studies have linked δ18O variability to synoptic-scale phenomena, particularly atmospheric blocking, its relationship to extreme hydroclimatic events in Europe remains underexplored. This study demonstrates that a stacked record of δ18O from the Northern Greenland Transect (NGT), spanning 1602 to 2011, serves as a proxy for hydroclimatic extremes in Europe. The connection between δ18O anomalies and European atmospheric circulation patterns is investigated across two periods: the observational era (1920–2011) and a longer historical context (1602–2003) using paleoclimate reanalysis data. Composite analysis reveals that years characterized by low δ18O values in the NGT record correspond to an increased frequency of atmospheric blocking over Europe. These blocking events are associated with distinct hydroclimatic extremes. Specifically, the analysis shows a consistent pattern of enhanced frequency of extreme precipitation along Norwegian coast and more frequent extreme drier conditio</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2025:</w:t>
      </w:r>
      <w:r>
        <w:t xml:space="preserve"> CLIMK–WINDS: a new database of extreme European winter windstorms — https://doi.org/10.5194/essd-17-4431-2025</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European windstorms pose a significant threat to people, infrastructure and the natural environment. Several windstorms in the recent past have caused substantial damages, and losses associated with extreme windstorms may increase with climate change. Characterizing the footprints of destructive windstorms is thus key to providing quantitative estimates of storm-related economic losses. To that end, we have developed a new, publicly available database of extreme European windstorm footprints for the extended winter season during 1995–2015. In contrast to previously compiled European windstorm databases, we include storm footprints derived from four different data sets, rather than a single source: the ERA5 reanalysis, the COSMO-REA6 reanalysis for Europe, the COSMO-Climate Limited-area Mode regional climate model driven by ERA5 on the EURO-CORDEX domain, and simulation output from the same model but on an enlarged Germany domain with higher horizontal resolution. The database includes both the footprints themselves, expressed as the relative daily maximum wind gusts associated with a storm event, and the daily maximum wind gusts in absolute magnitude associated with the footprints. We derived and included the storm footprints associated with the 50 most extreme storms, or Top50 storms, identified within each of the four input data sets. We applied a consistent methodo</w:t>
      </w:r>
    </w:p>
    <w:p>
      <w:pPr/>
      <w:r>
        <w:rPr>
          <w:b/>
        </w:rPr>
        <w:t>POSSIBLE 2025:</w:t>
      </w:r>
      <w:r>
        <w:t xml:space="preserve"> Increasing frequency and intensity of single, multiple and concurrent meteorological hazards in Europe from a high-resolution dataset (1961–2020) — https://doi.org/10.1088/2752-5295/ae1ce0</w:t>
      </w:r>
    </w:p>
    <w:p>
      <w:pPr/>
      <w:r>
        <w:rPr>
          <w:b/>
        </w:rPr>
        <w:t>Shared claim-specific concepts:</w:t>
      </w:r>
      <w:r>
        <w:t xml:space="preserve"> frequency, increase, two; EU scope visible. This is a provisional connection, not an outcome finding.</w:t>
      </w:r>
    </w:p>
    <w:p>
      <w:pPr>
        <w:pStyle w:val="SourceNote"/>
      </w:pPr>
      <w:r>
        <w:rPr>
          <w:b/>
        </w:rPr>
        <w:t>Available abstract (not full text):</w:t>
      </w:r>
      <w:r>
        <w:t xml:space="preserve"> Abstract By means of a very high (1.5 km) resolution dataset for Europe, we investigate the change between past (1961–1990) and present (1991–2020) periods in the frequency and intensity of meteorological hazards, namely hot (H) and cold (C) waves, droughts (dry (D)), extreme precipitation (wet (W)) and fire weather (F). We analyse not only the changes in hazards taken separately but also the combination of multiple (i.e. two or more hazards happening in the same month but not necessarily in the same year) and concurrent (i.e. happening in the same month and year) events. Europe has become prone to more frequent and intense multiple hazards; in particular, most (&gt;75%) of the land has been subject to increased frequency and intensity of at least two hazards for most of the year, especially H D, H W and H D W combinations. Around 10% of land was subject to an increase in both frequency and intensity of four hazards (H C D W), especially in spring and autumn. Concurrent events have also become more frequent; in particular, the number of concurrent H D events has increased over most of Europe throughout the year, while the number of H F and H D F events has increased over the Mediterranean. Concurrent H W conditions have become more frequent, especially over northeastern Europe and the United Kingdom for most of the year. This led to the population cumulatively exposed to concurren</w:t>
      </w:r>
    </w:p>
    <w:p>
      <w:pPr>
        <w:pStyle w:val="Heading2"/>
      </w:pPr>
      <w:r>
        <w:t>723.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2025:</w:t>
      </w:r>
      <w:r>
        <w:t xml:space="preserve"> Alternative rainfall storylines for the Western European July 2021 floods from ensemble boosting — https://doi.org/10.1038/s43247-025-02386-y</w:t>
      </w:r>
    </w:p>
    <w:p>
      <w:pPr/>
      <w:r>
        <w:rPr>
          <w:b/>
        </w:rPr>
        <w:t>Shared claim-specific concepts:</w:t>
      </w:r>
      <w:r>
        <w:t xml:space="preserve"> here, alternative, terms, system; EU scope visible. This is a provisional connection, not an outcome finding.</w:t>
      </w:r>
    </w:p>
    <w:p>
      <w:pPr>
        <w:pStyle w:val="SourceNote"/>
      </w:pPr>
      <w:r>
        <w:rPr>
          <w:b/>
        </w:rPr>
        <w:t>Available abstract (not full text):</w:t>
      </w:r>
      <w:r>
        <w:t xml:space="preserve"> In July 2021, a cut-off low-pressure system brought extreme rainfall to Western Europe, leading to flooding that caused loss of life and infrastructure damage. Here, we use ensemble boosting to investigate alternative storylines of the event, given the observed dynamical situation. Using a fully coupled free-running climate model, we identify atmospheric flow analogues of the 2021 event in an initial-condition large ensemble. These analogues are re-initialised with slightly perturbed atmospheric initial conditions to generate physically plausible alternative storylines. The storylines are used to investigate how a potentially worse event could have unfolded given the same large-scale dynamics. We identify rainfall events with longer persistence and larger extent, yet the observed event appears to be towards the upper end of what is plausible in the current climate. Such storylines can be used to prepare for possible future events, helping society to imagine dangerous, but plausible, scenarios. The July 2021 extreme rainfall event in Western Europe appears near the upper bound of plausibility in the current climate, though alternative storylines revealing the potential for even more severe outcomes in terms of rainfall persistence, spatial extent, and location – given the large-scale dynamics of the event, according to a boosted ensemble.</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pStyle w:val="Heading2"/>
      </w:pPr>
      <w:r>
        <w:t>724.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2026:</w:t>
      </w:r>
      <w:r>
        <w:t xml:space="preserve"> Progressivity and the tax treatment of children: a microsimulation with administrative personal income tax data — https://openalex.org/W7167384592</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Work Project analyzes the redistributive effects of alternative treatments of children in the Portuguese Personal Income Tax. Using administrative tax microdata from 2017-2020 and a static arithmetic microsimulation model, we compare the observed system of marital quotient and child tax credits with the family quotient regime combined with lower child tax credits applied in 2015. The results show that this policy combination lowers the Kakwani index, indicating a reduction in tax progressivity, and shifts tax relief toward higher-income households, particularly large families, while increasing losses among lower-middle income households. The observed system is more progressive but fiscally more costly.</w:t>
      </w:r>
    </w:p>
    <w:p>
      <w:pPr/>
      <w:r>
        <w:rPr>
          <w:b/>
        </w:rPr>
        <w:t>POSSIBLE 2026:</w:t>
      </w:r>
      <w:r>
        <w:t xml:space="preserve"> Harnessing Technological Innovation for Poverty Reduction: Sectoral and Microsimulation Insights from Cameroon and the DRC — https://doi.org/10.63385/jemm.v2i1.307</w:t>
      </w:r>
    </w:p>
    <w:p>
      <w:pPr/>
      <w:r>
        <w:rPr>
          <w:b/>
        </w:rPr>
        <w:t>Shared claim-specific concepts:</w:t>
      </w:r>
      <w:r>
        <w:t xml:space="preserve"> microsimulation, rates; EU scope not established. This is a provisional connection, not an outcome finding.</w:t>
      </w:r>
    </w:p>
    <w:p>
      <w:pPr>
        <w:pStyle w:val="SourceNote"/>
      </w:pPr>
      <w:r>
        <w:rPr>
          <w:b/>
        </w:rPr>
        <w:t>Available abstract (not full text):</w:t>
      </w:r>
      <w:r>
        <w:t xml:space="preserve"> This study investigates Cameroon and the Democratic Republic of Congo, both contending with significant technological disparities—defined as variations in capital-augmenting technological capacity across sectors that influence productivity and growth potential. Using data from the year 2015, the analysis employs a dynamic computable general equilibrium (CGE) model combined with a microsimulation approach. The study examines how capital-augmenting technological innovation (TI)-that is, improvements in the efficiency of capital use-affects key macroeconomic variables such as GDP growth, wage rates, consumption patterns, and household welfare. Results from the CGE simulations reveal that increased TI positively influences GDP growth through contributions from agriculture, industry, and transport sectors. Welfare and income effects benefit households engaged in innovative sectors, while investment and consumption responses differ across activities. At the micro level, higher TI reduces poverty rates in both countries, especially within agriculture, industry, and transport. The findings highlight the importance of targeted investments in technology-intensive sectors to maximise TI’s benefits for growth, income distribution, and poverty reduction. Policymakers are encouraged to foster innovation-friendly environments, support entrepreneurship, and promote inclusive growth strategies </w:t>
      </w:r>
    </w:p>
    <w:p>
      <w:pPr/>
      <w:r>
        <w:rPr>
          <w:b/>
        </w:rPr>
        <w:t>POSSIBLE 2026:</w:t>
      </w:r>
      <w:r>
        <w:t xml:space="preserve"> How the universal pension scheme shapes poverty outcomes in Zanzibar: Insights from the ZANMOD microsimulation model — https://doi.org/10.35188/unu-wider/2026/734-3</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study is published within the UNU-WIDER project SOUTHMOD -simulating tax and benefit</w:t>
      </w:r>
    </w:p>
    <w:p>
      <w:pPr/>
      <w:r>
        <w:rPr>
          <w:b/>
        </w:rPr>
        <w:t>POSSIBLE 2026:</w:t>
      </w:r>
      <w:r>
        <w:t xml:space="preserve"> The Impact of Demographic Change on Spousal Caregiving and Future Gaps in Long-term Care: Microsimulation Projections for Austria and Italy — https://doi.org/10.1007/s12062-026-09529-9</w:t>
      </w:r>
    </w:p>
    <w:p>
      <w:pPr/>
      <w:r>
        <w:rPr>
          <w:b/>
        </w:rPr>
        <w:t>Shared claim-specific concepts:</w:t>
      </w:r>
      <w:r>
        <w:t xml:space="preserve"> microsimulation, different, size, increase; EU scope visible. This is a provisional connection, not an outcome finding.</w:t>
      </w:r>
    </w:p>
    <w:p>
      <w:pPr>
        <w:pStyle w:val="SourceNote"/>
      </w:pPr>
      <w:r>
        <w:rPr>
          <w:b/>
        </w:rPr>
        <w:t>Available abstract (not full text):</w:t>
      </w:r>
      <w:r>
        <w:t xml:space="preserve"> Abstract As populations age, the sustainability of long-term care systems increasingly depends on the availability of informal care, particularly from partners. This paper addresses the question of how much care we may expect partners to provide in the future by projecting demand for long-term care (LTC), the care supply mix based on current patterns, and the resulting care gaps up to 2070. Using a comparative dynamic microsimulation model, we contrast the results for Austria and Italy, two countries at very different stages in the ageing process and with pronounced institutional differences. Our results suggest that delayed widowhood due to improvements in mortality is a mitigating factor for the increased need for formal care in ageing societies, although it can only offset this increase to a limited extent. Even under optimistic assumptions, potential care gaps substantially increase in both countries, primarily due to demographic change. The size of these gaps is influenced by institutional settings, partnership patterns and gains in longevity, but no scenario reverses the overall upward trend. These findings emphasize the need for comprehensive LTC reforms that extend beyond merely promoting informal care and highlight the necessity for substantial investment in formal care infrastructure.</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illustrating;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The emergence of tax-benefit microsimulation models in the Global South: The experience of SAMOD, SOUTHMOD, and EUROMOD-based models for Latin America — https://doi.org/10.35188/unu-wider/2026/748-0</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paper examines the experience of building and using tax-benefit microsimulation models for countries in the Global South in EUROMOD. The study focuses mainly on three key initiatives: the pioneering SAMOD model, the SOUTHMOD project, and EUROMOD-based models for Latin America. The paper provides an overview of these initiatives and highlights the importance of taking account of the developing-country context in the simulations. Research based on the models has made key contributions to the field of public finance and social policy in the Global South, over a wide range of topics such as distributional analysis, work incentives and informal employment, automatic stabilization, among many others. A number of challenges remain for the update and use of microsimulation models in the Global South. However, these tools offer opportunities for new avenues of research and to contribute with evidence to the policy debate in view of strengthening social protection and increasing fiscal capacity.</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pStyle w:val="Heading2"/>
      </w:pPr>
      <w:r>
        <w:t>725.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2023:</w:t>
      </w:r>
      <w:r>
        <w:t xml:space="preserve"> Analysis of Discourse Markers in Paragraph Writings of Preparatory Elective Class Students in a State University — https://doi.org/10.19160/e-ijer.1190477</w:t>
      </w:r>
    </w:p>
    <w:p>
      <w:pPr/>
      <w:r>
        <w:rPr>
          <w:b/>
        </w:rPr>
        <w:t>Shared claim-specific concepts:</w:t>
      </w:r>
      <w:r>
        <w:t xml:space="preserve"> final, paragraph, three; EU scope not established. This is a provisional connection, not an outcome finding.</w:t>
      </w:r>
    </w:p>
    <w:p>
      <w:pPr>
        <w:pStyle w:val="SourceNote"/>
      </w:pPr>
      <w:r>
        <w:rPr>
          <w:b/>
        </w:rPr>
        <w:t>Available abstract (not full text):</w:t>
      </w:r>
      <w:r>
        <w:t xml:space="preserve"> Writing is one of the productive skills and it is very important. However, it is a very difficult skill to develop even in the native language. In other words, knowing the grammar rules and vocabulary do not create a perfect writing. Using discourse markers between the sentences to relate them with one another makes it more coherent. Therefore, in this study it was aimed to scrutinize the use of discourse markers (DMs) in the paragraphs of high-scored students and low-scored students. In the final exam paper, students were asked to write a story about one of three pictures they chose. They were expected to narrate a story with 100-120 words as they were intermediate level students (B1). After two instructors evaluated each of the students’ writing exams based on the non-academic criteria with the following sub-criteria: “accuracy of vocabulary, variety of vocabulary, accuracy of grammar, variety of grammar, paragraph structure, quality and relevance of ideas, linking words, punctuation and capitalization, and spelling mistakes”, the writings of students who sent their consents were analyzed both quantitatively and qualitatively in this current study. 10 papers for each category (low-scored students’ and high-scored students’ paragraphs) were examined. Results showed that high-scored students used more DMs than low scored-students. Furthermore, misuse of DMs and overused DMs, wh</w:t>
      </w:r>
    </w:p>
    <w:p>
      <w:pPr/>
      <w:r>
        <w:rPr>
          <w:b/>
        </w:rPr>
        <w:t>POSSIBLE 2023:</w:t>
      </w:r>
      <w:r>
        <w:t xml:space="preserve"> Exclusion of the principle of non-refoulement in article 33 paragraph 2 of the 1951 refuge convention — https://doi.org/10.61511/eaebjol.v1i1.2023.108</w:t>
      </w:r>
    </w:p>
    <w:p>
      <w:pPr/>
      <w:r>
        <w:rPr>
          <w:b/>
        </w:rPr>
        <w:t>Shared claim-specific concepts:</w:t>
      </w:r>
      <w:r>
        <w:t xml:space="preserve"> paragraph, relations, outlined; EU scope not established. This is a provisional connection, not an outcome finding.</w:t>
      </w:r>
    </w:p>
    <w:p>
      <w:pPr>
        <w:pStyle w:val="SourceNote"/>
      </w:pPr>
      <w:r>
        <w:rPr>
          <w:b/>
        </w:rPr>
        <w:t>Available abstract (not full text):</w:t>
      </w:r>
      <w:r>
        <w:t xml:space="preserve"> This study aims to examine whether non-refoulement in the refugee context has attained the status of a jus cogens norm or not and how the exceptions in Article 33(2) should be understood if non-refoulement is indeed considered as a jus cogens. This research adopts a normative juridical analysis approach to critically examine the status of the principle of non-refoulement. The study concludes that the principle of non-refoulement qualifies as a norm of jus cogens based on several key criteria. Firstly, it satisfies the requirements of a jus cogens norm by addressing matters of common concern to the international community, serving humanitarian purposes, and aligning with principles outlined in the UN Charter relating to treaties and the use of force in international relations. Secondly, the exception outlined in Article 33 Paragraph 2 of the Refugee Convention does not alter the non-derogable nature of the principle of non-refoulement. The fulfillment of Article 33 Paragraph 2 is contingent upon strict conditions and necessitates objective evidence to be provided by a country. The research is intended to contribute to the understanding of the normative status of the principle of non-refoulement within the framework of international refugee law.</w:t>
      </w:r>
    </w:p>
    <w:p>
      <w:pPr/>
      <w:r>
        <w:rPr>
          <w:b/>
        </w:rPr>
        <w:t>POSSIBLE 2023:</w:t>
      </w:r>
      <w:r>
        <w:t xml:space="preserve"> IMPACT OF THE STATE OF EMERGENCY ON SOCIAL RELATIONS — https://doi.org/10.13165/pspo-23-34-04</w:t>
      </w:r>
    </w:p>
    <w:p>
      <w:pPr/>
      <w:r>
        <w:rPr>
          <w:b/>
        </w:rPr>
        <w:t>Shared claim-specific concepts:</w:t>
      </w:r>
      <w:r>
        <w:t xml:space="preserve"> final, external, relations, provide; EU scope visible. This is a provisional connection, not an outcome finding.</w:t>
      </w:r>
    </w:p>
    <w:p>
      <w:pPr>
        <w:pStyle w:val="SourceNote"/>
      </w:pPr>
      <w:r>
        <w:rPr>
          <w:b/>
        </w:rPr>
        <w:t>Available abstract (not full text):</w:t>
      </w:r>
      <w:r>
        <w:t xml:space="preserve"> The authors of this research paper analyse the impact of declared state of emergency measures on social relations in the Republic of Lithuania within the entire area at the state border of the Republic of Lithuania with the Republic of Belarus and 5 kilometres inland from the border area from 10 November 2021, 24.00 (midnight).Influx of migration as part of the hybrid attack against the Lithuania, Poland, Latvia supported by the Belorussian authorities in 2021 requires Lithuanian institutions to take immediate coordinated contra measures to stop the hybrid attack on the European Union (hereinafter – the EU). The Republic of Lithuania has 679 kilometres eastern external border of the European Union with the Republic of Belarus. Accordingly, Lithuania is in charge for ensuring protection of the border and as sovereign state has the exclusive and discretionary right to make final decisions in a given situation and employ the best suitable and effective measures to handle threats to the national security. Lithuania declared the state emergency at the border with the Republic of Belarus. The territory which falls under the state of emergency obtained a new legal status and concurrently became the object of the specific legal regulation. Also, this gives rise to several questions. How the new legal status of the given territory impacts the four freedoms of the EU, i.e., the free move</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r>
        <w:rPr>
          <w:b/>
        </w:rPr>
        <w:t>POSSIBLE 2022:</w:t>
      </w:r>
      <w:r>
        <w:t xml:space="preserve"> A New Dataset for Topic-Based Paragraph Classification in Genocide-Related Court Transcripts — https://doi.org/10.63317/3o5tq7f6znep</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Recent progress in natural language processing has been impressive in many different areas with transformer-based approaches setting new benchmarks for a wide range of applications.This development has also lowered the barriers for people outside the NLP community to tap into the tools and resources applied to a variety of domain-specific applications.The bottleneck however still remains the lack of annotated gold-standard collections as soon as one's research or professional interest falls outside the scope of what is readily available.One such area is genocide-related research (also including the work of experts who have a professional interest in accessing, exploring and searching large-scale document collections on the topic, such as lawyers).We present GTC (Genocide Transcript Corpus), the first annotated corpus of genocide-related court transcripts which serves three purposes: (1) to provide a first reference corpus for the community, (2) to establish benchmark performances (using state-of-the-art transformer-based approaches) for the new classification task of paragraph identification of violence-related witness statements, (3) to explore first steps towards transfer learning within the domain.We consider our contribution to be addressing in particular this year's hot topic on Language Technology for All.</w:t>
      </w:r>
    </w:p>
    <w:p>
      <w:pPr>
        <w:pStyle w:val="Heading2"/>
      </w:pPr>
      <w:r>
        <w:t>726.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2026:</w:t>
      </w:r>
      <w:r>
        <w:t xml:space="preserve"> Do Environmental, Social, and Governance (ESG) Practices Improve Corporate Profitability? Evidence from European Companies — https://openalex.org/W7198933918</w:t>
      </w:r>
    </w:p>
    <w:p>
      <w:pPr/>
      <w:r>
        <w:rPr>
          <w:b/>
        </w:rPr>
        <w:t>Shared claim-specific concepts:</w:t>
      </w:r>
      <w:r>
        <w:t xml:space="preserve"> does, environmental; EU scope visible. This is a provisional connection, not an outcome finding.</w:t>
      </w:r>
    </w:p>
    <w:p>
      <w:pPr>
        <w:pStyle w:val="SourceNote"/>
      </w:pPr>
      <w:r>
        <w:rPr>
          <w:b/>
        </w:rPr>
        <w:t>Available abstract (not full text):</w:t>
      </w:r>
      <w:r>
        <w:t xml:space="preserve"> The thesis focuses on the correlation between Environmental, Social, and Governance (ESG) performance and corporate profitability of the publicly listed non-financial European companies in the period 2011-2024. The study relies on panel data available in the Refinitiv ESG and financial databases to estimate that ESG engagement improves the profitability of firms and its impact varies by ESG dimension, industry, and economic stress periods. The findings have shown that aggregate ESG performance is not positively correlated with short-term accounting-based profitability, and is, in certain specifications, negatively related to firm performance, indicating the existence of short-term implementation and compliance costs. The performance of governance turns out to be comparatively stronger than the performance of environment and social, whereas the performance of the environment and social turns out to be relatively weak and contingent. The sectoral analyses indicate high heterogeneity of the ESG-profitability relationships, which indicates the significance of industry contexts. In both crisis-interaction models of the COVID-19 pandemic and the European energy crisis, it is revealed that ESG performance does not consistently reduce short-term decreases in profitability during economic stress times. In general, the results indicate that ESG engagement is a short-term tradeoff between</w:t>
      </w:r>
    </w:p>
    <w:p>
      <w:pPr>
        <w:pStyle w:val="Heading2"/>
      </w:pPr>
      <w:r>
        <w:t>727.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2026:</w:t>
      </w:r>
      <w:r>
        <w:t xml:space="preserve"> Global Energy Project for the Future of Humanity — https://doi.org/10.5281/zenodo.20648321</w:t>
      </w:r>
    </w:p>
    <w:p>
      <w:pPr/>
      <w:r>
        <w:rPr>
          <w:b/>
        </w:rPr>
        <w:t>Shared claim-specific concepts:</w:t>
      </w:r>
      <w:r>
        <w:t xml:space="preserve"> energy, rate, technologies, use; EU scope not established. This is a provisional connection, not an outcome finding.</w:t>
      </w:r>
    </w:p>
    <w:p>
      <w:pPr>
        <w:pStyle w:val="SourceNote"/>
      </w:pPr>
      <w:r>
        <w:rPr>
          <w:b/>
        </w:rPr>
        <w:t>Available abstract (not full text):</w:t>
      </w:r>
      <w:r>
        <w:t xml:space="preserve"> A NEW START FOR HUMANITY Global Energy and Civilizational Project for the Future of the World Author:Lukasz Dabrowski From the Author I am not a scientist, an economist, or a politician. I am an entrepreneur who has made many mistakes in his life, gone through many difficult experiences, and thanks to them learned to look at the world from a different perspective. This document was not created because I consider myself a person who has all the answers. It was created because I ask questions which, in my opinion, concern the future of all of us. For years I have observed people, companies, institutions and systems. I have seen both the good and the weaknesses of human nature. I have seen honesty, dedication and hard work, but also greed, corruption, waste of resources and decisions made at the expense of ordinary people. I have come to the conclusion that the greatest problem of the modern world is not the lack of knowledge, technology or money. The greatest problem is the way in which we manage them. We live in times in which humanity possesses possibilities unimaginable to previous generations. We are able to build advanced technologies, communicate with people on the other side of the world within seconds and develop artificial intelligence capable of supporting us in solving increasingly complex problems. At the same time, we still struggle with wars, poverty, corruption, un</w:t>
      </w:r>
    </w:p>
    <w:p>
      <w:pPr/>
      <w:r>
        <w:rPr>
          <w:b/>
        </w:rPr>
        <w:t>POSSIBLE 2026:</w:t>
      </w:r>
      <w:r>
        <w:t xml:space="preserve"> Citizens’ Investments in Collective Renewable Energy Facilities: a Stated Preferences Study with Project Appraisal — https://doi.org/10.2139/ssrn.7006243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2025:</w:t>
      </w:r>
      <w:r>
        <w:t xml:space="preserve"> Financial Modeling for Renewable Energy Projects: Risk and Return Analysis of Wind and Solar Energy Investments — https://doi.org/10.20508/ijrer.v15i4.15391.g9131</w:t>
      </w:r>
    </w:p>
    <w:p>
      <w:pPr/>
      <w:r>
        <w:rPr>
          <w:b/>
        </w:rPr>
        <w:t>Shared claim-specific concepts:</w:t>
      </w:r>
      <w:r>
        <w:t xml:space="preserve"> energy, modeling; EU scope not established. This is a provisional connection, not an outcome finding.</w:t>
      </w:r>
    </w:p>
    <w:p>
      <w:pPr>
        <w:pStyle w:val="SourceNote"/>
      </w:pPr>
      <w:r>
        <w:rPr>
          <w:b/>
        </w:rPr>
        <w:t>Available abstract (not full text):</w:t>
      </w:r>
      <w:r>
        <w:t xml:space="preserve"> In this study, the financial modeling of wind and solar energy investments is investigated with an emphasis on the analysis of risk and return profiles. The primary objective is to provide a comprehensive financial performance assessment for renewable energy projects, focusing specifically on wind and solar energy sectors across various geographic locations. The study contributes to the literature by offering a detailed analysis of the factors influencing the financial performance of these investments and evaluates the applicability and effectiveness of different financial models in the renewable energy domain. Limitations of the research include variability due to geographical factors and potential market dynamics changes. Furthermore, the financial models are based on current economic conditions and technological advancements, which may affect the validity of results over time. Future directions suggest expanding financial modeling to include diverse energy sources and technological innovations, as well as a deeper examination of macroeconomic factors, such as policy making and government incentives, on renewable energy investments.</w:t>
      </w:r>
    </w:p>
    <w:p>
      <w:pPr/>
      <w:r>
        <w:rPr>
          <w:b/>
        </w:rPr>
        <w:t>POSSIBLE 2025:</w:t>
      </w:r>
      <w:r>
        <w:t xml:space="preserve"> Selection of Global Climate Model Data for Downscaling With Generative Machine Learning and Use in the Power Planning for Alignment of Climate and Energy Systems Project — https://doi.org/10.2172/2498329</w:t>
      </w:r>
    </w:p>
    <w:p>
      <w:pPr/>
      <w:r>
        <w:rPr>
          <w:b/>
        </w:rPr>
        <w:t>Shared claim-specific concepts:</w:t>
      </w:r>
      <w:r>
        <w:t xml:space="preserve"> respect, energy, use; EU scope not established. This is a provisional connection, not an outcome finding.</w:t>
      </w:r>
    </w:p>
    <w:p>
      <w:pPr>
        <w:pStyle w:val="SourceNote"/>
      </w:pPr>
      <w:r>
        <w:rPr>
          <w:b/>
        </w:rPr>
        <w:t>Available abstract (not full text):</w:t>
      </w:r>
      <w:r>
        <w:t xml:space="preserve"> The range of results from climate models and scenarios is important to the understanding of uncertainty in power planning analysis. A U.S. Department of Energy-funded analytic project called Power Planning for Alignment of Climate and Energy Systems is developing data and analytic methods to reflect the effects of climate change on key variables for power system planning, as part of the Grid Modernization Lab Consortium. This project will select and prepare global climate model results for use in power system planning models. A related report (Evaluation of Global Climate Models for Use in Energy Analysis) assesses the performance of various global climate models from the Coupled Model Intercomparison Project Phase 6 data archive for their historical skill with respect to energy system performance and for their future projections under multiple climate change scenarios. Building from that report, we describe the selection of a climate scenario (Shared Socioeconomic Pathway [SSP] 2-4.5) and five climate models: TaiESM1, EC-Earth3-CC, GFDL-CM4, EC-Earth3-Veg, and MPI-ESM1-2-HR. We describe the model selection criteria, which were based on the quality of the match between model results under historical conditions and on the representation of the range of future values for several variables. These results will be downscaled via an open-source generative machine learning method call</w:t>
      </w:r>
    </w:p>
    <w:p>
      <w:pPr/>
      <w:r>
        <w:rPr>
          <w:b/>
        </w:rPr>
        <w:t>POSSIBLE 2025:</w:t>
      </w:r>
      <w:r>
        <w:t xml:space="preserve"> An Detailed Analysis of Modelling and Optimisation Techniques for Including Energy Storage and Renewable Energy in District Heating Systems — https://doi.org/10.59075/pjmi.v4i1.512</w:t>
      </w:r>
    </w:p>
    <w:p>
      <w:pPr/>
      <w:r>
        <w:rPr>
          <w:b/>
        </w:rPr>
        <w:t>Shared claim-specific concepts:</w:t>
      </w:r>
      <w:r>
        <w:t xml:space="preserve"> respect, energy, modeling; EU scope not established. This is a provisional connection, not an outcome finding.</w:t>
      </w:r>
    </w:p>
    <w:p>
      <w:pPr>
        <w:pStyle w:val="SourceNote"/>
      </w:pPr>
      <w:r>
        <w:rPr>
          <w:b/>
        </w:rPr>
        <w:t>Available abstract (not full text):</w:t>
      </w:r>
      <w:r>
        <w:t xml:space="preserve"> The construction and infrastructure industry constitutes approximately 47% of worldwide energy utilization. Numerous conventional energy resources, such as petroleum and coal are categorized as non-renewable and are projected to experience depletion within the forthcoming decades. To mitigate the persistent energy dilemmas, the implementation of renewable energy sources such as solar energy, alongside substantial advancements in energy efficiency, has been proposed as feasible remedial measures. Within this framework, District Heating Systems (DHS) have received heightened scrutiny due to their myriad advantages in energy generation, distribution, and application for space heating. This manuscript investigates contemporary advancements in the production, modeling, and optimization of DHS. It systematically classifies energy resources according to their sustainability and their compatibility with the integration of DHS. Furthermore, the prevailing modeling methodologies are assessed with respect to computational efficiency, precision, and reliability of the outcomes. Additionally, the report groups recent DHS research according to various optimisation goals, such as maximising energy and energy efficiency, minimising greenhouse gas (GHG) emissions, reducing costs, and taking exergo-economic and thermo-economic factors into account.</w:t>
      </w:r>
    </w:p>
    <w:p>
      <w:pPr/>
      <w:r>
        <w:rPr>
          <w:b/>
        </w:rPr>
        <w:t>POSSIBLE 2025:</w:t>
      </w:r>
      <w:r>
        <w:t xml:space="preserve"> The invisible traits of professional footballers: a qualitative analysis of attitude and respect from a sports psychology view — https://doi.org/10.56294/saludcyt20252084</w:t>
      </w:r>
    </w:p>
    <w:p>
      <w:pPr/>
      <w:r>
        <w:rPr>
          <w:b/>
        </w:rPr>
        <w:t>Shared claim-specific concepts:</w:t>
      </w:r>
      <w:r>
        <w:t xml:space="preserve"> respect, requires, long-term; EU scope not established. This is a provisional connection, not an outcome finding.</w:t>
      </w:r>
    </w:p>
    <w:p>
      <w:pPr>
        <w:pStyle w:val="SourceNote"/>
      </w:pPr>
      <w:r>
        <w:rPr>
          <w:b/>
        </w:rPr>
        <w:t>Available abstract (not full text):</w:t>
      </w:r>
      <w:r>
        <w:t xml:space="preserve"> Becoming a professional football player is a long and demanding journey that requires more than just physical strength, technical expertise, and tactical awareness. Psychological skills and mental resilience also play a crucial role in ensuring both progression to the professional level and the ability to sustain success over time. This study aims to explore key psychological aspects in the developmental pathway of football players, emphasizing the interplay between attitude, behavior, and overall character growth. Using a qualitative research design with a grounded theory approach, this study involved 10 youth football coaches, all holding official coaching licenses and with a minimum of five years of coaching experience. Data collection was carried out through triangulation methods, including open-ended semi-structured interviews, observations, and document analysis, to ensure credibility and richness of data. The findings reveal that successful football players must demonstrate exemplary behavior, as their attitudes and conduct not only reflect personal character but also influence the broader football environment. Two core qualities identified are maintaining a positive attitude and showing respect for everyone—teammates, coaches, referees, opponents, and even supporters. Beyond technical and physical skills, the long-term development of a football player must integrate psy</w:t>
      </w:r>
    </w:p>
    <w:p>
      <w:pPr>
        <w:pStyle w:val="Heading2"/>
      </w:pPr>
      <w:r>
        <w:t>728.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2026:</w:t>
      </w:r>
      <w:r>
        <w:t xml:space="preserve"> Organic Photovoltaics in European Greenhouses – Mapping Renewable Electricity Potential across Europe — https://doi.org/10.1016/j.ecmx.2026.102162</w:t>
      </w:r>
    </w:p>
    <w:p>
      <w:pPr/>
      <w:r>
        <w:rPr>
          <w:b/>
        </w:rPr>
        <w:t>Shared claim-specific concepts:</w:t>
      </w:r>
      <w:r>
        <w:t xml:space="preserve"> potential, energy; EU scope visible. This is a provisional connection, not an outcome finding.</w:t>
      </w:r>
    </w:p>
    <w:p>
      <w:pPr>
        <w:pStyle w:val="SourceNote"/>
      </w:pPr>
      <w:r>
        <w:rPr>
          <w:b/>
        </w:rPr>
        <w:t>Available abstract (not full text):</w:t>
      </w:r>
      <w:r>
        <w:t xml:space="preserve"> This study investigates the potential of Organic Photovoltaics (OPV) for integration into greenhouses across the European Union (EU), as a pathway to strengthen both energy and food security within the clean energy transition. The integration of renewable electricity generation with agricultural production in greenhouses employs a dual-use strategy for land and energy. As an emerging photovoltaic technology, OPV is explicitly relevant in this context, directly supporting the EU’s goals for sustainable transformation and the clean energy transition. The techno-economic feasibility of OPV greenhouses under varying deployment and performance scenarios is assessed. Depending on the assumptions made regarding coverage and efficiency, the annual electricity generation potential ranges from 14 TWh year⁻1 under conservative conditions to over 130 TWh year⁻1 in advanced cases. The findings indicate that, even under scenarios characterized by low OPV coverage and lower power density, annual OPV electricity generation has the potential to reach or even surpass allocated annual greenhouse electricity demand in numerous EU regions on an annual-balance basis. Under current high-cost assumptions, economic feasibility remains limited, with LCOE values ranging from 0.13 to 0.46 € kWh⁻1 across regions and module-capacity scenarios. Under industrial-scale manufacturing assumptions, LCOE decreases</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2024:</w:t>
      </w:r>
      <w:r>
        <w:t xml:space="preserve"> A review of the current potential of European brown seaweed for the production of biofuels — https://doi.org/10.1186/s13705-024-00452-5</w:t>
      </w:r>
    </w:p>
    <w:p>
      <w:pPr/>
      <w:r>
        <w:rPr>
          <w:b/>
        </w:rPr>
        <w:t>Shared claim-specific concepts:</w:t>
      </w:r>
      <w:r>
        <w:t xml:space="preserve"> potential, energy, interest; EU scope visible. This is a provisional connection, not an outcome finding.</w:t>
      </w:r>
    </w:p>
    <w:p>
      <w:pPr>
        <w:pStyle w:val="SourceNote"/>
      </w:pPr>
      <w:r>
        <w:rPr>
          <w:b/>
        </w:rPr>
        <w:t>Available abstract (not full text):</w:t>
      </w:r>
      <w:r>
        <w:t xml:space="preserve"> Abstract Background In addition to the other uses for macroalgae, since the 1970s, there has been interest in using macroalgae as a source of biofuels, due to the high rates of productivity and intrinsic advantages over other biofuel crops such as not requiring land use or significant freshwater input. A wide range of conversion processes exist but anaerobic digestion was one of the first demonstrated and is still a widely proposed conversion pathway. To be economically viable and scalable within Europe, the industry will need to be based on a small number of fast growing, high-yielding European macroalgae species. There is a wide body of scientific work on the conversion of seaweeds to biofuel via anaerobic digestion. Main text These studies demonstrate that the efficiency of this conversion pathway is highly variable between species, processing techniques, composition and digestor conditions. In this paper, we review this body of work specifically linking it to candidate species for European macroalgae bio-energy cultivation with the aim to promote the future development of the European macroalgal cultivation sector and allow for a better alignment with the requirements for biofuel production from macroalgae. Conclusions Overall, anaerobic digestion of seaweed offers opportunities for large-scale energy production which avoids some of the issues that have faced previous gener</w:t>
      </w:r>
    </w:p>
    <w:p>
      <w:pPr/>
      <w:r>
        <w:rPr>
          <w:b/>
        </w:rPr>
        <w:t>POSSIBLE 2024:</w:t>
      </w:r>
      <w:r>
        <w:t xml:space="preserve"> The Range Potential of North American Tree Species in Europe — https://doi.org/10.3390/f15010130</w:t>
      </w:r>
    </w:p>
    <w:p>
      <w:pPr/>
      <w:r>
        <w:rPr>
          <w:b/>
        </w:rPr>
        <w:t>Shared claim-specific concepts:</w:t>
      </w:r>
      <w:r>
        <w:t xml:space="preserve"> all, potential, especially; EU scope visible. This is a provisional connection, not an outcome finding.</w:t>
      </w:r>
    </w:p>
    <w:p>
      <w:pPr>
        <w:pStyle w:val="SourceNote"/>
      </w:pPr>
      <w:r>
        <w:rPr>
          <w:b/>
        </w:rPr>
        <w:t>Available abstract (not full text):</w:t>
      </w:r>
      <w:r>
        <w:t xml:space="preserve"> European forest ecosystems are projected to change severely under climate change especially due to an anticipated decline in the distribution of major tree species in Europe. Therefore, the adaptation of European forests appears necessary and urgent. While spontaneous adaptation mechanisms bear a large self-guided potential, we focus on quantifying the potential of management-guided mechanisms. Besides other possible tree species groups for adaptation, non-native tree species from North America have a long tradition in Europe, yet their full distribution potential is not completely revealed. We applied an ensemble species distribution model approach to six North American species, using combined occurrence data from the native and naturalized ranges to gain more insights into the species suitability in the introduced area in 2070 (2061–2080) under the emission scenarios RCP 4.5 and 8.5. Our findings support the assumption that there is unreported species potential in the introduced area beyond their current distribution. Next to northeastern range shifts projected for all species, we identified Abies grandis, Liriodendron tulipifera, Quercus rubra, and Robinia pseudoacacia with increasing range potentials in the future. P. ponderosa and P. menziesii var. menziesii are projected to show a steady and decreased range potential under RCP 4.5 and 8.5, respectively.</w:t>
      </w:r>
    </w:p>
    <w:p>
      <w:pPr/>
      <w:r>
        <w:rPr>
          <w:b/>
        </w:rPr>
        <w:t>POSSIBLE 2024:</w:t>
      </w:r>
      <w:r>
        <w:t xml:space="preserve"> A Mapping of Textile Waste Recycling Technologies in Europe and Spain — https://doi.org/10.3390/textiles4030022</w:t>
      </w:r>
    </w:p>
    <w:p>
      <w:pPr/>
      <w:r>
        <w:rPr>
          <w:b/>
        </w:rPr>
        <w:t>Shared claim-specific concepts:</w:t>
      </w:r>
      <w:r>
        <w:t xml:space="preserve"> all, selected, especially;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Evidence of a European seed dispersal crisis — https://doi.org/10.1126/science.ado1464</w:t>
      </w:r>
    </w:p>
    <w:p>
      <w:pPr/>
      <w:r>
        <w:rPr>
          <w:b/>
        </w:rPr>
        <w:t>Shared claim-specific concepts:</w:t>
      </w:r>
      <w:r>
        <w:t xml:space="preserve"> potential, especially, international; EU scope visible. This is a provisional connection, not an outcome finding.</w:t>
      </w:r>
    </w:p>
    <w:p>
      <w:pPr>
        <w:pStyle w:val="SourceNote"/>
      </w:pPr>
      <w:r>
        <w:rPr>
          <w:b/>
        </w:rPr>
        <w:t>Available abstract (not full text):</w:t>
      </w:r>
      <w:r>
        <w:t xml:space="preserve"> Seed dispersal is crucial for ecosystem persistence, especially in fragmented landscapes, such as those common in Europe. Ongoing defaunation might compromise effective seed dispersal, but the conservation status of pairwise interactions remains unknown. With a literature review, we reconstructed the first European-wide seed dispersal network and evaluated the conservation status of interactions by assessing each interacting partner's IUCN (International Union for Conservation of Nature) conservation status and population trends. We found that a third of the disperser species and interactions face potential extinction and that 30% of the plant species have most of their dispersers threatened or declining. Our study reveals a developing seed dispersal crisis in Europe and highlights large knowledge gaps regarding the dispersers and conservation status of zoochorous plants, urging further scrutiny and action to conserve the seed dispersal service.</w:t>
      </w:r>
    </w:p>
    <w:p>
      <w:pPr/>
      <w:r>
        <w:rPr>
          <w:b/>
        </w:rPr>
        <w:t>POSSIBLE 2024:</w:t>
      </w:r>
      <w:r>
        <w:t xml:space="preserve"> An assessment of the species diversity and disease potential of Pythium communities in Europe — https://doi.org/10.1038/s41467-024-52761-0</w:t>
      </w:r>
    </w:p>
    <w:p>
      <w:pPr/>
      <w:r>
        <w:rPr>
          <w:b/>
        </w:rPr>
        <w:t>Shared claim-specific concepts:</w:t>
      </w:r>
      <w:r>
        <w:t xml:space="preserve"> all, countries, potential; EU scope visible. This is a provisional connection, not an outcome finding.</w:t>
      </w:r>
    </w:p>
    <w:p>
      <w:pPr>
        <w:pStyle w:val="SourceNote"/>
      </w:pPr>
      <w:r>
        <w:rPr>
          <w:b/>
        </w:rPr>
        <w:t>Available abstract (not full text):</w:t>
      </w:r>
      <w:r>
        <w:t xml:space="preserve"> Pythium sensu lato (s.l.) is a genus of parasitic oomycetes that poses a serious threat to agricultural production worldwide, but their severity is often neglected because little knowledge about them is available. Using an internal transcribed spacer (ITS) amplicon-based-metagenomics approach, we investigate the occurrence, abundance, and diversity of Pythium spp. s.l. in 127 corn fields of 11 European countries from the years 2019 to 2021. We also identify 73 species, with up to 20 species in a single soil sample, and the prevalent species, which show high species diversity, varying disease potential, and are widespread in most countries. Further, we show species-species co-occurrence patterns considering all detected species and link species abundance to soil parameter using the LUCAS topsoil dataset. Infection experiments with recovered isolates show that Pythium s.l. differ in disease potential, and that effective interference with plant hormone networks suppressing JA (jasmonate)-mediated defenses is an essential component of the virulence mechanism of Pythium s.l. species. This study provides a valuable dataset that enables deep insights into the structure and species diversity of Pythium s.l. communities in European corn fields and knowledge for better understanding plant-Pythium interactions, facilitating the development of an effective strategy to cope with this pathog</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2023:</w:t>
      </w:r>
      <w:r>
        <w:t xml:space="preserve"> The European List of Key Medicines for Medical Education: A Modified Delphi Study — https://doi.org/10.1002/cpt.3132</w:t>
      </w:r>
    </w:p>
    <w:p>
      <w:pPr/>
      <w:r>
        <w:rPr>
          <w:b/>
        </w:rPr>
        <w:t>Shared claim-specific concepts:</w:t>
      </w:r>
      <w:r>
        <w:t xml:space="preserve"> selected, countries, achieve; EU scope visible. This is a provisional connection, not an outcome finding.</w:t>
      </w:r>
    </w:p>
    <w:p>
      <w:pPr>
        <w:pStyle w:val="SourceNote"/>
      </w:pPr>
      <w:r>
        <w:rPr>
          <w:b/>
        </w:rPr>
        <w:t>Available abstract (not full text):</w:t>
      </w:r>
      <w:r>
        <w:t xml:space="preserve"> Rational prescribing is essential for the quality of health care. However, many final-year medical students and junior doctors lack prescribing competence to perform this task. The availability of a list of medicines that a junior doctor working in Europe should be able to independently prescribe safely and effectively without supervision could support and harmonize teaching and training in clinical pharmacology and therapeutics (CPT) in Europe. Therefore, our aim was to achieve consensus on such a list of medicines that are widely accessible in Europe. For this, we used a modified Delphi study method consisting of three parts. In part one, we created an initial list based on a literature search. In part two, a group of 64 coordinators in CPT education, selected via the Network of Teachers in Pharmacotherapy of the European Association for Clinical Pharmacology and Therapeutics, evaluated the accessibility of each medicine in his or her country, and provided a diverse group of experts willing to participate in the Delphi part. In part three, 463 experts from 24 European countries were invited to participate in a 2-round Delphi study. In total, 187 experts (40%) from 24 countries completed both rounds and evaluated 416 medicines, 98 of which were included in the final list. The top three Anatomical Therapeutic Chemical code groups were (1) cardiovascular system (n = 23), (2) ant</w:t>
      </w:r>
    </w:p>
    <w:p>
      <w:pPr/>
      <w:r>
        <w:rPr>
          <w:b/>
        </w:rPr>
        <w:t>POSSIBLE 2023:</w:t>
      </w:r>
      <w:r>
        <w:t xml:space="preserve"> Unlocking the potential of targeting histone-modifying enzymes for treating IBD and CRC — https://doi.org/10.1186/s13148-023-01562-1</w:t>
      </w:r>
    </w:p>
    <w:p>
      <w:pPr/>
      <w:r>
        <w:rPr>
          <w:b/>
        </w:rPr>
        <w:t>Shared claim-specific concepts:</w:t>
      </w:r>
      <w:r>
        <w:t xml:space="preserve"> shown, potential, help; EU scope not established. This is a provisional connection, not an outcome finding.</w:t>
      </w:r>
    </w:p>
    <w:p>
      <w:pPr>
        <w:pStyle w:val="SourceNote"/>
      </w:pPr>
      <w:r>
        <w:rPr>
          <w:b/>
        </w:rPr>
        <w:t>Available abstract (not full text):</w:t>
      </w:r>
      <w:r>
        <w:t xml:space="preserve"> Dysregulation of histone modifications has been implicated in the pathogenesis of both inflammatory bowel disease (IBD) and colorectal cancer (CRC). These diseases are characterized by chronic inflammation, and alterations in histone modifications have been linked to their development and progression. Furthermore, the gut microbiota plays a crucial role in regulating immune responses and maintaining gut homeostasis, and it has been shown to exert effects on histone modifications and gene expression in host cells. Recent advances in our understanding of the roles of histone-modifying enzymes and their associated chromatin modifications in IBD and CRC have provided new insights into potential therapeutic interventions. In particular, inhibitors of histone-modifying enzymes have been explored in clinical trials as a possible therapeutic approach for these diseases. This review aims to explore these potential therapeutic interventions and analyze previous and ongoing clinical trials that examined the use of histone-modifying enzyme inhibitors for the treatment of IBD and CRC. This paper will contribute to the current body of knowledge by exploring the latest advances in the field and discussing the limitations of existing approaches. By providing a comprehensive analysis of the potential benefits of targeting histone-modifying enzymes for the treatment of IBD and CRC, this review w</w:t>
      </w:r>
    </w:p>
    <w:p>
      <w:pPr>
        <w:pStyle w:val="Heading2"/>
      </w:pPr>
      <w:r>
        <w:t>729.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2026:</w:t>
      </w:r>
      <w:r>
        <w:t xml:space="preserve"> Divergent European hail projections from machine learning and physically based models under global warming — https://doi.org/10.1038/s44304-026-00218-3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Abstract Reliable fine-scale hail projections are urgently needed for robust risk assessments, yet future trends remain uncertain and contradictory across methods. Using 11-year pan-European convection-permitting climate simulations for the present and a + 3°C pseudo-global-warming climate, we compare an online hail-growth diagnostic (HAILCAST) with an offline machine learning model (XGBoost) trained on ERA5 hail environments. We show that, under current conditions, both approaches produce comparable hail frequencies across most of Europe. However, XGBoost predicts widespread hail suppression in a warmer climate, mainly driven by increasing freezing level heights, from conditions beyond the training distribution. HAILCAST instead simulates how enhanced storm updrafts can sustain hail growth despite a warmer atmosphere, projecting regional increases over central-eastern Europe and larger hailstones. Our findings show that data-driven approaches alone should be used with caution under global warming, underscoring the need for physically based hail representations in convection-permitting climate models to robustly assess future convective hazards.</w:t>
      </w:r>
    </w:p>
    <w:p>
      <w:pPr/>
      <w:r>
        <w:rPr>
          <w:b/>
        </w:rPr>
        <w:t>POSSIBLE 2026:</w:t>
      </w:r>
      <w:r>
        <w:t xml:space="preserve"> Hydrological drought projections across Europe under climate change — https://doi.org/10.1038/s44304-025-00152-w</w:t>
      </w:r>
    </w:p>
    <w:p>
      <w:pPr/>
      <w:r>
        <w:rPr>
          <w:b/>
        </w:rPr>
        <w:t>Shared claim-specific concepts:</w:t>
      </w:r>
      <w:r>
        <w:t xml:space="preserve"> projections, increases, socioeconomic, climate;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projection of habitat suitability and potential distribution of main European cereal bugs using MaxEnt modelling — https://doi.org/10.1111/afe.70040</w:t>
      </w:r>
    </w:p>
    <w:p>
      <w:pPr/>
      <w:r>
        <w:rPr>
          <w:b/>
        </w:rPr>
        <w:t>Shared claim-specific concepts:</w:t>
      </w:r>
      <w:r>
        <w:t xml:space="preserve"> projections, temperature, not, ssp1, climate; EU scope visible. This is a provisional connection, not an outcome finding.</w:t>
      </w:r>
    </w:p>
    <w:p>
      <w:pPr>
        <w:pStyle w:val="SourceNote"/>
      </w:pPr>
      <w:r>
        <w:rPr>
          <w:b/>
        </w:rPr>
        <w:t>Available abstract (not full text):</w:t>
      </w:r>
      <w:r>
        <w:t xml:space="preserve"> Abstract Main European sap‐sucking cereal bugs— Aelia acuminata , Aelia rostrata , Eurygaster maura and Eurygaster austriaca —are significant pests of wheat, causing significant yield loss in wheat and other cereals. Global climate change will modify their distribution areas by changing environmental conditions (e.g., increasing winter temperatures). Information on their dispersal possibilities can help to clarify their future economic importance and damage potential. Species distribution models are tools for predicting the distribution of species and habitat suitability by quantifying the relationship between species' occurrence records and environmental variables and predicting the potential species distributions. In this study, we modelled their current potential and future distribution by MaxEnt and the currently available occurrence data. For the future projections, we chose two scenarios (SSP1‐2.6 and SSP5‐8.5) of the global climate model IPSL‐CM6A‐LR. Our results show that the boundaries of potentially suitable habitats are shifting polewards with an eastern habitat expansion (total of 121.6%–200.6% increase in continental Europe), and areas of high habitat suitability are shifted towards western Europe and the north‐eastern areas of central Europe in both studied periods (2041–2060 and 2061–2080) for all four species. Based on our models, we can conclude that overwinter</w:t>
      </w:r>
    </w:p>
    <w:p>
      <w:pPr/>
      <w:r>
        <w:rPr>
          <w:b/>
        </w:rPr>
        <w:t>POSSIBLE 2026:</w:t>
      </w:r>
      <w:r>
        <w:t xml:space="preserve"> Machine Learning-Based Bias-Corrected Future Projections of Ozone Concentrations from a Chemistry-Climate Model — https://doi.org/10.1021/acs.est.5c11992</w:t>
      </w:r>
    </w:p>
    <w:p>
      <w:pPr/>
      <w:r>
        <w:rPr>
          <w:b/>
        </w:rPr>
        <w:t>Shared claim-specific concepts:</w:t>
      </w:r>
      <w:r>
        <w:t xml:space="preserve"> projections, increases, socioeconomic, ssp1, over, climate; EU scope visible. This is a provisional connection, not an outcome finding.</w:t>
      </w:r>
    </w:p>
    <w:p>
      <w:pPr>
        <w:pStyle w:val="SourceNote"/>
      </w:pPr>
      <w:r>
        <w:rPr>
          <w:b/>
        </w:rPr>
        <w:t>Available abstract (not full text):</w:t>
      </w:r>
      <w:r>
        <w:t xml:space="preserve"> Reliable projections of future surface ozone are crucial for air quality management and health risk assessment. However, potential biases in spatial distribution, magnitude, and trends in ozone simulated by global chemistry-climate models limit their applicability in regional evaluations. In this study, LightGBM, a machine learning (ML) algorithm, is applied to correct biases in CESM2-simulated ozone over China, the United States, and Europe and to calibrate future projections under two Shared Socioeconomic Pathways (SSP1–2.6 and SSP5–8.5) from 2020 to 2060. The ML-based correction significantly improves spatial distribution and reduces bias by 40 to 60%, also reversing the potentially incorrect trend under SSP1–2.6 in eastern China. When the ML-based correction is applied to CESM2 projections, the warm-season mean ozone shows substantial changes from 2020 to 2060. Under SSP1–2.6, corrected ozone decreases by 13.5, 17.9, and 13.7 μg/m 3 in China, the United States, and Europe, respectively. In contrast, under SSP5–8.5, ozone increases over the same period by 9.4, 2.0, and 5.2 μg/m 3 in these regions. The decomposition analysis shows that anthropogenic emission changes dominate future ozone trends, while a strong climate penalty occurs in polluted eastern China and climate benefits are found in western China, the United States, and Europe under SSP5–8.5. These findings demonstra</w:t>
      </w:r>
    </w:p>
    <w:p>
      <w:pPr/>
      <w:r>
        <w:rPr>
          <w:b/>
        </w:rPr>
        <w:t>POSSIBLE 2026:</w:t>
      </w:r>
      <w:r>
        <w:t xml:space="preserve"> Projections of changes in extreme storm surges for European coasts using statistical downscaling — https://doi.org/10.5194/nhess-26-2269-2026</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Abstract. Understanding future changes in extreme storm surges (ESSs) is critical for coastal risk assessment and adaptation. However, existing projections in Europe are often based on computationally expensive dynamical models, limiting ensemble sizes and thus confidence in projected changes. In this study, we develop a cost-effective statistical downscaling model (SDM) trained to replicate dynamically downscaled storm surges, enabling the generation of a pan-European ensemble of ESS projections based on 17 global climate models (GCMs) – substantially expanding previous efforts. The SDM is trained on a storm surge hindcast and demonstrates stable skill across historical and future climates, effectively capturing projected ESSs changes given by dynamical simulations. Ensemble projections reveal robust multi-model mean (MMM) changes in the 10-year return level (RL10) of ESSs by 2100. Negative MMM changes are identified in the Mediterranean Sea (−7 %), Moroccan Atlantic coast (−10 %), and Danish Straits (−6 %), while positive changes of around +6 % are projected for the Celtic and Irish Seas, western Denmark, and the Gulf of Finland. Despite these robust signals, inter-model spread is substantial, with likely ranges (17th–83rd percentiles) extending from −25 % to +17 % across Europe, and changes of up to ±35 % in individual models. The southern North Sea and northern Baltic Sea e</w:t>
      </w:r>
    </w:p>
    <w:p>
      <w:pPr/>
      <w:r>
        <w:rPr>
          <w:b/>
        </w:rPr>
        <w:t>POSSIBLE 2026:</w:t>
      </w:r>
      <w:r>
        <w:t xml:space="preserve"> DASNordicSLR —A Regional Dataset of Sea Level Projections for Northern Europe — https://doi.org/10.1002/gdj3.70065</w:t>
      </w:r>
    </w:p>
    <w:p>
      <w:pPr/>
      <w:r>
        <w:rPr>
          <w:b/>
        </w:rPr>
        <w:t>Shared claim-specific concepts:</w:t>
      </w:r>
      <w:r>
        <w:t xml:space="preserve"> projections, low, climate; EU scope visible. This is a provisional connection, not an outcome finding.</w:t>
      </w:r>
    </w:p>
    <w:p>
      <w:pPr>
        <w:pStyle w:val="SourceNote"/>
      </w:pPr>
      <w:r>
        <w:rPr>
          <w:b/>
        </w:rPr>
        <w:t>Available abstract (not full text):</w:t>
      </w:r>
      <w:r>
        <w:t xml:space="preserve"> ABSTRACT Sea level rise is an inevitable consequence and one of the most significant threats posed by climate change, increasing the risk of flooding in low‐lying areas along the German coast. Based on the IPCC 6th Assessment Report (AR6) projections, we aimed to deliver improved projections of relative sea‐level change for Northern Europe's coastal regions. These projections are available as spatial data up to 2150. While most drivers of sea level change operate on a continental or global scale, vertical land motion is a regional factor—particularly relevant in Northern Europe—resulting from glacial isostatic adjustment and local processes. By combining the IPCC projections of absolute sea level change with a new, high‐resolution vertical land motion model for Fennoscandia, an optimised set of projections for relative sea level change for the North Sea and Baltic Sea was developed. In this context, the spatial resolution changes from the 1 × 1 grid commonly used in AR6 datasets to the finer 1/6 × 1/12 grid of the regional land motion model. This results in local differences in sea level rise by 2100 up to −200 mm to +500 mm within the domain.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pStyle w:val="Heading2"/>
      </w:pPr>
      <w:r>
        <w:t>730.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2026:</w:t>
      </w:r>
      <w:r>
        <w:t xml:space="preserve"> Ecological characterisation of peatlands and coastal lagoons in Europe — https://doi.org/10.2760/9963649</w:t>
      </w:r>
    </w:p>
    <w:p>
      <w:pPr/>
      <w:r>
        <w:rPr>
          <w:b/>
        </w:rPr>
        <w:t>Shared claim-specific concepts:</w:t>
      </w:r>
      <w:r>
        <w:t xml:space="preserve"> water, ecological, coastal; EU scope visible. This is a provisional connection, not an outcome finding.</w:t>
      </w:r>
    </w:p>
    <w:p>
      <w:pPr>
        <w:pStyle w:val="SourceNote"/>
      </w:pPr>
      <w:r>
        <w:rPr>
          <w:b/>
        </w:rPr>
        <w:t>Available abstract (not full text):</w:t>
      </w:r>
      <w:r>
        <w:t xml:space="preserve"> This report is the response to a policy request submitted by DG Environment to the EC Knowledge Centre for Biodiversity (KCBD) through the KCBD ticketing system. KCBD assigned this to the BioAgora project, to be answered by the Science Service for Biodiversity (SSBD). European wetlands, including peatlands and coastal lagoons, are among the most valuable yet degraded ecosystems, with up to 80% lost over the past century and more than half of peatlands already drained. Despite their limited extent, peatlands store nearly one-third of global soil carbon, while coastal lagoons occupy ~13% of the world’s coastline and sustain highly productive and biodiverse systems. The report identifies hydrology as the key control on ecosystem functioning, showing that drainage, land-use change, and nutrient enrichment trigger cascading and often irreversible degradation, turning carbon sinks into major emission sources. It highlights that no single indicator can capture ecosystem condition, and that effective assessment requires integrated, multi-scale frameworks combining Earth Observation with in-situ data. These findings provide a critical scientific basis for implementing EU policies — including the Habitats Directive (92/43/EEC), Water Framework Directive (2000/60/EC), and Nature Restoration Regulation (2024/1991) — supporting harmonised monitoring, restoration prioritisation, and evidence</w:t>
      </w:r>
    </w:p>
    <w:p>
      <w:pPr/>
      <w:r>
        <w:rPr>
          <w:b/>
        </w:rPr>
        <w:t>POSSIBLE 2026:</w:t>
      </w:r>
      <w:r>
        <w:t xml:space="preserve"> Water Quality, Environmental Contaminants and Disease Burden in Europe: An Ecological Analysis of Associations with Disability-Adjusted Life Years — https://doi.org/10.3390/environments13010036</w:t>
      </w:r>
    </w:p>
    <w:p>
      <w:pPr/>
      <w:r>
        <w:rPr>
          <w:b/>
        </w:rPr>
        <w:t>Shared claim-specific concepts:</w:t>
      </w:r>
      <w:r>
        <w:t xml:space="preserve"> water, ecological, rivers; EU scope visible. This is a provisional connection, not an outcome finding.</w:t>
      </w:r>
    </w:p>
    <w:p>
      <w:pPr>
        <w:pStyle w:val="SourceNote"/>
      </w:pPr>
      <w:r>
        <w:rPr>
          <w:b/>
        </w:rPr>
        <w:t>Available abstract (not full text):</w:t>
      </w:r>
      <w:r>
        <w:t xml:space="preserve"> Rivers and groundwater supply 88% of Europe’s freshwater and are critical for public health. We examined whether cross-country differences in arsenic, lead, mercury, and nickel concentrations in groundwater and rivers are associated with disease burden. In an ecological cross-sectional study of 24 European countries, nationally aggregated concentrations from the European Environment Agency’s Waterbase Water Quality (2016–2019) were linked to cause-specific disability-adjusted life years (DALYs) from the Global Burden of Disease 2021 for six disease groups. Variables were z-standardized. Associations were assessed using Pearson correlations and linear regression with Benjamini–Hochberg correction. Missing concentrations were addressed via multiple imputation by chained equations using 1980–2025 monitoring records, and models were sequentially adjusted for health system, demographic, and economic indices. In groundwater, lead was positively associated with diabetes and kidney disease DALYs and remained significant after imputation and adjustment (β = 0.60, p = 0.011). In rivers, arsenic was positively associated with all-cause, cardiovascular, and neoplasm DALYs in unadjusted analyses but attenuated after adjustment and/or imputation. No consistent associations were observed for mercury or nickel. These continent-wide, non-causal findings can help prioritize monitoring and risk m</w:t>
      </w:r>
    </w:p>
    <w:p>
      <w:pPr/>
      <w:r>
        <w:rPr>
          <w:b/>
        </w:rPr>
        <w:t>POSSIBLE 2026:</w:t>
      </w:r>
      <w:r>
        <w:t xml:space="preserve"> Ecological integrity as a foundation for European health policy — https://doi.org/10.1016/j.lanepe.2026.101833</w:t>
      </w:r>
    </w:p>
    <w:p>
      <w:pPr/>
      <w:r>
        <w:rPr>
          <w:b/>
        </w:rPr>
        <w:t>Shared claim-specific concepts:</w:t>
      </w:r>
      <w:r>
        <w:t xml:space="preserve"> aim, water, ecological; EU scope visible. This is a provisional connection, not an outcome finding.</w:t>
      </w:r>
    </w:p>
    <w:p>
      <w:pPr>
        <w:pStyle w:val="SourceNote"/>
      </w:pPr>
      <w:r>
        <w:rPr>
          <w:b/>
        </w:rPr>
        <w:t>Available abstract (not full text):</w:t>
      </w:r>
      <w:r>
        <w:t xml:space="preserve"> Twenty years after the Council of the European Union endorsed overarching values for health systems, Frischhut and colleagues have proposed updating them in response to demographic, technological, geopolitical, and environmental change. 1 Their proposals rightly enlarge the ethical frame of European health policy.Yet one foundation remains insufficiently articulated: the integrity of the ecological systems on which health depends.The European Group on Ethics in Science and New Technologies (EGE), the European Commission's independent ethics advisory body, called for a right to a clean, healthy, and sustainable environment and for plural ways of valuing nature. 2 We argue that ecological integrity supplies a necessary normative and material foundation for making that right consequential in health policy.We use ecological integrity to denote the capacity of ecological systems to sustain biodiversity, essential functions, adaptive resilience, and regenerative processes over time.3 In ecological science, ecosystem integrity is used similarly.Svenning's dynamic account sharpens it by emphasising the continuation of biodiversitygenerating processes and evolutionary lineages through transformation.4 Integrity therefore does not imply pristine nature, an unchanging species composition, or the exclusion of responsible human use.Why not rely on familiar terms?Sustainability is an importa</w:t>
      </w:r>
    </w:p>
    <w:p>
      <w:pPr/>
      <w:r>
        <w:rPr>
          <w:b/>
        </w:rPr>
        <w:t>POSSIBLE 2026:</w:t>
      </w:r>
      <w:r>
        <w:t xml:space="preserve"> Outcome monitoring of water vole reintroductions in ecological restoration — https://openalex.org/W7165991401</w:t>
      </w:r>
    </w:p>
    <w:p>
      <w:pPr/>
      <w:r>
        <w:rPr>
          <w:b/>
        </w:rPr>
        <w:t>Shared claim-specific concepts:</w:t>
      </w:r>
      <w:r>
        <w:t xml:space="preserve"> aim, water, ecological; EU scope not established. This is a provisional connection, not an outcome finding.</w:t>
      </w:r>
    </w:p>
    <w:p>
      <w:pPr>
        <w:pStyle w:val="SourceNote"/>
      </w:pPr>
      <w:r>
        <w:rPr>
          <w:b/>
        </w:rPr>
        <w:t>Available abstract (not full text):</w:t>
      </w:r>
      <w:r>
        <w:t xml:space="preserve"> Growing awareness socially, economically, and politically, of extensive biodiversity loss in the UK is motivating a wide range of ecological restoration targets and projects. These range from targets for tree cover on farmland for environmental schemes to rewilding. Water voles (Arvicola amphibius) in the UK disappeared from 90% of their known range between 1970-2000. Their decline was driven by the introduction of the American mink (Neovison vison), and land use changes, where intensive livestock and dairy production has encroached on riverbank habitat. The restoration of their riparian habitat has included restricting livestock access, and removing the invasive American mink, permitting the reintroduction of captive bred water voles in over 250 sites across the UK since 2003. However, despite this conservation campaign, outcome monitoring of water vole reintroductions is limited, particularly in terms of health and survival rates. Our aim was to fill some of the gaps in post- reintroduction monitoring of water voles, develop a tool for post-release monitoring, and assess the potential of reintroduced species as sentinels of ecosystem health. Given that gut microbiota plays a vital role in host health, influencing immunity and physiology, identifying hypothesised post- reintroduction shifts is therefore important for animal welfare and reintroduction success. We collected faec</w:t>
      </w:r>
    </w:p>
    <w:p>
      <w:pPr/>
      <w:r>
        <w:rPr>
          <w:b/>
        </w:rPr>
        <w:t>POSSIBLE 2026:</w:t>
      </w:r>
      <w:r>
        <w:t xml:space="preserve"> EVALUATING THE EFFECTS OF ECOLOGICAL WATER ALLOCATION ON WATER RESOURCES AND ENVIRONMENT VIA AN ECOHYDROLOGICAL MODEL — https://doi.org/10.15666/aeer/2403_44254440</w:t>
      </w:r>
    </w:p>
    <w:p>
      <w:pPr/>
      <w:r>
        <w:rPr>
          <w:b/>
        </w:rPr>
        <w:t>Shared claim-specific concepts:</w:t>
      </w:r>
      <w:r>
        <w:t xml:space="preserve"> water, good, ecological; EU scope visible. This is a provisional connection, not an outcome finding.</w:t>
      </w:r>
    </w:p>
    <w:p>
      <w:pPr>
        <w:pStyle w:val="SourceNote"/>
      </w:pPr>
      <w:r>
        <w:rPr>
          <w:b/>
        </w:rPr>
        <w:t>Available abstract (not full text):</w:t>
      </w:r>
      <w:r>
        <w:t xml:space="preserve"> Along with the rapid urbanization, more severe problems of water shortage and degradation to aquatic ecosystem have been manifested in recent years leading to serious compromising of ecosystem health. In this research paper, the MIKE SHE (System Hydrological European) model is established and Beijing City is selected as a case to explore the relationships among ecological water allocation, water environment and water resources. The results indicate that ecological replenishment measures, such as water diverted from the Yellow River and volumes dedicated to river and lake replenishment, exhibit significant positive correlations with improvements in the water environment and water resources, with regression coefficients of 0.962 and 0.874 (p &lt;.01), respectively. In contrast, the number of hydrological monitoring stations and reservoirs shows negative correlations, with coefficients of -0.252 and -0.504, significant at the 10% and 5% levels, respectively. Moreover, the impacts of environmental water allocation are significantly different in diverse basins (such as Yongding River basin, Jiyun River basin, and Chaobai River basin), and most noticeable temporal variations occur between 2014 and 2023. The results verify the improvement of regional water environment and resource through good ecological water management.</w:t>
      </w:r>
    </w:p>
    <w:p>
      <w:pPr/>
      <w:r>
        <w:rPr>
          <w:b/>
        </w:rPr>
        <w:t>POSSIBLE 2026:</w:t>
      </w:r>
      <w:r>
        <w:t xml:space="preserve"> Assessment of the effects of pollutants on rivers and streams ecological health — https://doi.org/10.21248/gups.97990</w:t>
      </w:r>
    </w:p>
    <w:p>
      <w:pPr/>
      <w:r>
        <w:rPr>
          <w:b/>
        </w:rPr>
        <w:t>Shared claim-specific concepts:</w:t>
      </w:r>
      <w:r>
        <w:t xml:space="preserve"> water, achieve, good, ecological, status, all; EU scope visible. This is a provisional connection, not an outcome finding.</w:t>
      </w:r>
    </w:p>
    <w:p>
      <w:pPr>
        <w:pStyle w:val="SourceNote"/>
      </w:pPr>
      <w:r>
        <w:rPr>
          <w:b/>
        </w:rPr>
        <w:t>Available abstract (not full text):</w:t>
      </w:r>
      <w:r>
        <w:t xml:space="preserve"> Increasing human activity worldwide poses a complex threat to ecosystems, particularly for wetlands, 85% of which have now been destroyed by anthropogenic influences. In response, the Water Framework Directive has set the ambitious target to achieve the good ecological and chemical status of all water bodies by 2027. Yet, as of 2025, most surface waters still fall short: 60.8% of the surface water bodies fail to reach the good ecological status, while 46% fail to achieve good chemical status. These assessments are based on monitoring only a limited set of pollutants, and there are currently no methods for evaluating how chemical mixtures affect communities’ integrity of watercourses. Consequently, the real extent of chemical pollution and its effects on ecological health are likely underestimated. Against this background, this cumulative dissertation aims to fill these gaps by investigating chemical pollution and its connection to the ecological health of rivers and streams. It addresses strategies for the monitoring of chemical pollution, its effects on macroinvertebrate communities, and current legislation and practices implemented in this framework. To this end, three scientific studies were conducted, each examining different aspects of this complex topic. The first study overviews the most common biomonitoring methods for assessing chemical pollution. Through a systematic </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pStyle w:val="Heading2"/>
      </w:pPr>
      <w:r>
        <w:t>731.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2024:</w:t>
      </w:r>
      <w:r>
        <w:t xml:space="preserve"> Anticoagulation for people receiving long-term haemodialysis — https://doi.org/10.1002/14651858.cd011858.pub2</w:t>
      </w:r>
    </w:p>
    <w:p>
      <w:pPr/>
      <w:r>
        <w:rPr>
          <w:b/>
        </w:rPr>
        <w:t>Shared claim-specific concepts:</w:t>
      </w:r>
      <w:r>
        <w:t xml:space="preserve"> long-term, prevent, due; EU scope not established. This is a provisional connection, not an outcome finding.</w:t>
      </w:r>
    </w:p>
    <w:p>
      <w:pPr>
        <w:pStyle w:val="SourceNote"/>
      </w:pPr>
      <w:r>
        <w:rPr>
          <w:b/>
        </w:rPr>
        <w:t>Available abstract (not full text):</w:t>
      </w:r>
      <w:r>
        <w:t xml:space="preserve"> BACKGROUND: Haemodialysis (HD) requires safe and effective anticoagulation to prevent clot formation within the extracorporeal circuit during dialysis treatments to enable adequate dialysis and minimise adverse events, including major bleeding. Low molecular weight heparin (LMWH) may provide a more predictable dose, reliable anticoagulant effects and be simpler to administer than unfractionated heparin (UFH) for HD anticoagulation, but may accumulate in the kidneys and lead to bleeding. OBJECTIVES: To assess the efficacy and safety of anticoagulation strategies (including both heparin and non-heparin drugs) for long-term HD in people with kidney failure. Any intervention preventing clotting within the extracorporeal circuit without establishing anticoagulation within the patient, such as regional citrate, citrate enriched dialysate, heparin-coated dialysers, pre-dilution haemodiafiltration (HDF), and saline flushes were also included. SEARCH METHODS: We searched the Cochrane Kidney and Transplant Register of Studies up to November 2023 through contact with the Information Specialist using search terms relevant to this review. Studies in the Register are identified through searches of CENTRAL, MEDLINE, and EMBASE, conference proceedings, the International Clinical Trials Registry Platform (ICTRP) Search Portal and ClinicalTrials.gov. SELECTION CRITERIA: Randomised controlled tri</w:t>
      </w:r>
    </w:p>
    <w:p>
      <w:pPr/>
      <w:r>
        <w:rPr>
          <w:b/>
        </w:rPr>
        <w:t>POSSIBLE 2024:</w:t>
      </w:r>
      <w:r>
        <w:t xml:space="preserve"> City energy planning: Modeling long-term strategies under system uncertainties — https://doi.org/10.1016/j.esr.2024.101564</w:t>
      </w:r>
    </w:p>
    <w:p>
      <w:pPr/>
      <w:r>
        <w:rPr>
          <w:b/>
        </w:rPr>
        <w:t>Shared claim-specific concepts:</w:t>
      </w:r>
      <w:r>
        <w:t xml:space="preserve"> long-term, planning, heat; EU scope not established. This is a provisional connection, not an outcome finding.</w:t>
      </w:r>
    </w:p>
    <w:p>
      <w:pPr>
        <w:pStyle w:val="SourceNote"/>
      </w:pPr>
      <w:r>
        <w:rPr>
          <w:b/>
        </w:rPr>
        <w:t>Available abstract (not full text):</w:t>
      </w:r>
      <w:r>
        <w:t xml:space="preserve"> Cities are facing the dilemma of fulfilling energy service demands for their rapidly growing population while also working towards climate mitigation efforts. City energy planning is essential to deal with this dilemma. Thus, this study explores the role of city energy plans on future cost-efficient energy systems. A technology-rich cost-optimization model was developed using TIMES with intra-sectoral and inter-sectoral interactions and applied to the Gothenburg energy system. The model outcomes are investigated with the application of policy-driven scenarios and further tested under system uncertainties and price sensitivities identified using a participatory approach. Heating sector developments include DH production based on biomass CHP and heat pumps combined with improved building energy efficiency. Cost-efficient transport sector developments show a rapid deployment of biofuel vehicles, followed by increasing electrification later in the time horizon. With the applied uncertainties, different cost-optimal district heat production mixes and heating supply solutions are observed, providing alternative planning strategies. The model results also signify competition of biomass and electricity among sectors in their development pathways. The modeling outcomes enable decision-makers to assess various energy systems transition strategies from a long-term perspective. • TIMES cit</w:t>
      </w:r>
    </w:p>
    <w:p>
      <w:pPr>
        <w:pStyle w:val="Heading2"/>
      </w:pPr>
      <w:r>
        <w:t>732.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2026:</w:t>
      </w:r>
      <w:r>
        <w:t xml:space="preserve"> Analyzing the impact of the Ostend declaration stated offshore wind targets on the European energy system — https://doi.org/10.1088/2753-3751/ae69e4</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The Ostend Declaration commits North Sea countries to installing 300 GW of offshore wind (OW) capacity by 2050, a development that will reshape Europe’s decarbonised energy system. This study assesses how such large-scale OW deployment affects the European energy mix, transmission needs, and OW project profitability. Using the open energy system model GENeSYS-MOD with a 47-node spatial resolution, including 19 offshore nodes, we evaluate scenarios with different offshore grid layouts and OW investment requirements, and conduct a sensitivity analysis on OW capital costs. Results show that meeting the Ostend targets increases total system costs by only about 1%, while OW primarily displaces onshore wind, solar PV, and nuclear power. Achieving the targeted OW levels endogenously requires roughly a 50% reduction in OW CAPEX. The choice of offshore grid layout has little impact on overall system cost or average OW return on investment, but it does shift the geographic distribution of investments; notably, radial grid layouts reduce the need for onshore wind in Norway. Enforcing early OW buildout raises OW profitability due to higher electricity prices in earlier periods. The findings highlight trade-offs between cost efficiency, infrastructure design, and regional policy priorities for North Sea energy development.</w:t>
      </w:r>
    </w:p>
    <w:p>
      <w:pPr/>
      <w:r>
        <w:rPr>
          <w:b/>
        </w:rPr>
        <w:t>POSSIBLE 2026:</w:t>
      </w:r>
      <w:r>
        <w:t xml:space="preserve"> Hydrogen integration into the European energy system — https://doi.org/10.36253/979-12-215-1013-3.04</w:t>
      </w:r>
    </w:p>
    <w:p>
      <w:pPr/>
      <w:r>
        <w:rPr>
          <w:b/>
        </w:rPr>
        <w:t>Shared claim-specific concepts:</w:t>
      </w:r>
      <w:r>
        <w:t xml:space="preserve"> energy, system, analyses;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pStyle w:val="Heading2"/>
      </w:pPr>
      <w:r>
        <w:t>733.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2026:</w:t>
      </w:r>
      <w:r>
        <w:t xml:space="preserve"> The Coherence–Reservoir–Kernel Ontology: A Formal Specification for Narrative Entity Classification — https://doi.org/10.5281/zenodo.21121800</w:t>
      </w:r>
    </w:p>
    <w:p>
      <w:pPr/>
      <w:r>
        <w:rPr>
          <w:b/>
        </w:rPr>
        <w:t>Shared claim-specific concepts:</w:t>
      </w:r>
      <w:r>
        <w:t xml:space="preserve"> three, based, nine, key, literature; EU scope not established. This is a provisional connection, not an outcome finding.</w:t>
      </w:r>
    </w:p>
    <w:p>
      <w:pPr>
        <w:pStyle w:val="SourceNote"/>
      </w:pPr>
      <w:r>
        <w:rPr>
          <w:b/>
        </w:rPr>
        <w:t>Available abstract (not full text):</w:t>
      </w:r>
      <w:r>
        <w:t xml:space="preserve"> Abstract Narrative analysis lacks a universal, rigorous framework for classifying entities across myths, literature, games, comics, and films. Traditional taxonomies rely on culturally specific labels—"god," "vampire," "wizard," "superhero"—that break down in cross-cultural comparison and fail to capture the underlying structural logic of fictional universes. This paper introduces the Coherence–Reservoir–Kernel Ontology (CRK-O), a formal, capability-based classification system that defines entities not by what they are called but by what informational fields they can access and manipulate. Key Contributions Three-Field Framework: Narrative universes are modeled as dynamical systems with three nested informational fields: the Coherence Field (ψ, observable local reality), the Reservoir Field (χ, nonlocal memory and potential), and the Memory Kernel (K, structural transformation rules). Capability-Based Classification: Entities are classified into three ontological ranks based on field access: Rank 0 — Local Entity (LE): Bound to local coherence only (humans, animals, ordinary objects) Rank 1 — Reservoir-Coupled Entity (RCE): Access to nonlocal memory and potential (vampires, wizards, superheroes, demigods, ghosts) Rank 2 — Kernel Entity (KE): Define transformation rules (cosmic forces, archetypes, fundamental principles; theological gods are one cultural instantiation) Formal Ax</w:t>
      </w:r>
    </w:p>
    <w:p>
      <w:pPr/>
      <w:r>
        <w:rPr>
          <w:b/>
        </w:rPr>
        <w:t>POSSIBLE 2026:</w:t>
      </w:r>
      <w:r>
        <w:t xml:space="preserve"> Unemployment Narratives — https://doi.org/10.65864/ek0yrsgq0r</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We study economic narratives - causal accounts of observed events - in a high-stakes real-world context: long-term unemployment. We use open-ended questions to measure narratives about long-term unemployment in samples of Danish unemployed job seekers, firm managers, households from the general population, and experts at labor market institutions, as well as international academic experts. We document three main results. First, there is pronounced heterogeneity in narratives both within and across samples. For instance, job seekers are more likely to attribute long-term unemployment to factors outside the control of the individual and less likely to attribute it to job seekers' own decisions than respondents in the other samples. Second, narratives strongly reflect job seekers' personal experiences during both the current and previous unemployment spells. Third, narratives shape job seekers' and firm managers' quantitative beliefs, decisions and labor market outcomes as measured in survey and linked administrative data, which we demonstrate in a field experiment and correlationally. Our findings highlight the experiential origins of economic narratives and underscore the key role of narratives in belief formation and decision making.</w:t>
      </w:r>
    </w:p>
    <w:p>
      <w:pPr/>
      <w:r>
        <w:rPr>
          <w:b/>
        </w:rPr>
        <w:t>POSSIBLE 2026:</w:t>
      </w:r>
      <w:r>
        <w:t xml:space="preserve"> Mosaic narrative a poetics of cinematic new media narrative — https://doi.org/10.26192/9z55q</w:t>
      </w:r>
    </w:p>
    <w:p>
      <w:pPr/>
      <w:r>
        <w:rPr>
          <w:b/>
        </w:rPr>
        <w:t>Shared claim-specific concepts:</w:t>
      </w:r>
      <w:r>
        <w:t xml:space="preserve"> elaborated, based, key; EU scope not established. This is a provisional connection, not an outcome finding.</w:t>
      </w:r>
    </w:p>
    <w:p>
      <w:pPr>
        <w:pStyle w:val="SourceNote"/>
      </w:pPr>
      <w:r>
        <w:rPr>
          <w:b/>
        </w:rPr>
        <w:t>Available abstract (not full text):</w:t>
      </w:r>
      <w:r>
        <w:t xml:space="preserve"> This thesis proposes the Poetics of Mosaic Narrative as a tool for theorising the creation and telling of cinematic stories in a digital environment. As such the Poetics of Mosaic Narrative is designed to assist creators of new media narrative to design dramatically compelling screen based stories by drawing from established theories of cinema and emerging theories of new media. In doing so it validates the crucial element of cinematic storytelling in the digital medium, which due to its fragmentary, variable and re-combinatory nature, affords the opportunity for audience interaction. The Poetics of Mosaic Narrative re-asserts the dramatic and cinematic nature of narrative in new media by drawing upon the dramatic theory of Aristotle’s Poetics, the cinematic theories of the 1920s Russian Film Theorists and contemporary Neo-Formalists, the narrative theories of the 1960s French Structuralists, and the scriptwriting theories of contemporary cinema. In particular it focuses on the theory and practice of the prominent new media theorist, Lev Manovich, as a means of investigating and creating a practical poetics. The key element of the Poetics of Mosaic Narrative is the expansion of the previously forgotten and undeveloped Russian Formalist concept of cinematurgy which is vital to the successful development of new media storytelling theory and practice. This concept, as originally p</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2025:</w:t>
      </w:r>
      <w:r>
        <w:t xml:space="preserve"> From Prediction to Prevention: Identifying Actionable Crash Factors Through ML and Narrative-Based Sensitivity Testing — https://doi.org/10.3390/futuretransp5040190</w:t>
      </w:r>
    </w:p>
    <w:p>
      <w:pPr/>
      <w:r>
        <w:rPr>
          <w:b/>
        </w:rPr>
        <w:t>Shared claim-specific concepts:</w:t>
      </w:r>
      <w:r>
        <w:t xml:space="preserve"> three, narratives, nine, key, factors; EU scope not established. This is a provisional connection, not an outcome finding.</w:t>
      </w:r>
    </w:p>
    <w:p>
      <w:pPr>
        <w:pStyle w:val="SourceNote"/>
      </w:pPr>
      <w:r>
        <w:rPr>
          <w:b/>
        </w:rPr>
        <w:t>Available abstract (not full text):</w:t>
      </w:r>
      <w:r>
        <w:t xml:space="preserve"> Crashes on roadways continue to represent a major global public health concern due to high rates of death and injury, underscoring the need for predictive tools that can identify high-risk conditions and guide prevention strategies. This study develops a framework that combines structured crash records and road information with unstructured police narratives to predict injury severity using machine learning and natural language processing (NLP). The dataset is used to train, validate, and test nine models, combining three algorithms (Random Forest, AdaBoost, and XGBoost) with two NLP methods (TF-IDF and Word2Vec). Model performance is evaluated using macro-average F1-scores to address severe class imbalance. Results show that XGBoost with TF-IDF achieves the best performance (macro-F1 = 0.644), demonstrating measurable improvements from incorporating narrative features compared to structured data alone. Beyond prediction, a simulation-based sensitivity analysis is conducted on the top 100 features, identifying 11 variables with the greatest impact on severity outcomes in Kentucky. Seatbelt non-use, occupant entrapment, and impaired driver control emerge as the most influential factors, with simulated improvements leading to notable reductions in fatalities and major injuries. The study introduces a “prediction-to-prevention” framework that links injury severity prediction with </w:t>
      </w:r>
    </w:p>
    <w:p>
      <w:pPr>
        <w:pStyle w:val="Heading2"/>
      </w:pPr>
      <w:r>
        <w:t>734.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2025:</w:t>
      </w:r>
      <w:r>
        <w:t xml:space="preserve"> THE DEVELOPMENT OF THE EUROPEAN UNION COUNTRIES UNDER THE INFLUENCE OF THE DIGITAL TRANSFORMATION — https://doi.org/10.24818/cike2024.14</w:t>
      </w:r>
    </w:p>
    <w:p>
      <w:pPr/>
      <w:r>
        <w:rPr>
          <w:b/>
        </w:rPr>
        <w:t>Shared claim-specific concepts:</w:t>
      </w:r>
      <w:r>
        <w:t xml:space="preserve"> present, population, out, countries, union; EU scope visible. This is a provisional connection, not an outcome finding.</w:t>
      </w:r>
    </w:p>
    <w:p>
      <w:pPr>
        <w:pStyle w:val="SourceNote"/>
      </w:pPr>
      <w:r>
        <w:rPr>
          <w:b/>
        </w:rPr>
        <w:t>Available abstract (not full text):</w:t>
      </w:r>
      <w:r>
        <w:t xml:space="preserve"> The main purpose of the study is to determine the main trends of the socio-economic development of the EU countries under the influence of the digital transformation. The modern world has already taken some steps towards a new technological, economic and social reality. The European Commission’s Digital Compass plan sets out goals for a successful digital transformation in Europe by 2030. The 2030 target of the Digital Compass is that at least 80% of citizens have at least basic digital skills, at least 90% of small and medium-sized enterprises in the EU should have a basic level of digital intensity, all key public services for citizens and businesses should be fully online by 2030. Based on the analysis from specialized literature and statistical data, it was possible to present the situation in the field of digital transformation of the EU states. The key aspects of socio-economic development indicators in the field of human capital, connectivity, integration of digital technology, digital public services are analyzed in this paper. Several indicators are analyzed such as: digitally skilled population and highly skilled digital professionals, secure and sustainable digital infrastructures, the degree of digital intensity of business processes, the use of Cloud computing, Big data, Artificial intelligence by enterprises, the share of businesses that sell online and the digita</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2024:</w:t>
      </w:r>
      <w:r>
        <w:t xml:space="preserve"> Prevalence and Characteristics of Metabolic Hyperferritinemia in a Population-Based Central-European Cohort — https://doi.org/10.3390/biomedicines12010207</w:t>
      </w:r>
    </w:p>
    <w:p>
      <w:pPr/>
      <w:r>
        <w:rPr>
          <w:b/>
        </w:rPr>
        <w:t>Shared claim-specific concepts:</w:t>
      </w:r>
      <w:r>
        <w:t xml:space="preserve"> present, population; EU scope visible. This is a provisional connection, not an outcome finding.</w:t>
      </w:r>
    </w:p>
    <w:p>
      <w:pPr>
        <w:pStyle w:val="SourceNote"/>
      </w:pPr>
      <w:r>
        <w:rPr>
          <w:b/>
        </w:rPr>
        <w:t>Available abstract (not full text):</w:t>
      </w:r>
      <w:r>
        <w:t xml:space="preserve"> BACKGROUND: Hyperferritinemia (HF) is a common finding and can be considered as metabolic HF (MHF) in combination with metabolic diseases. The definition of MHF was heterogenous until a consensus statement was published recently. Our aim was to apply the definition of MHF to provide data on the prevalence and characteristics of MHF in a Central-European cohort. METHODS: This study was a retrospective analysis of the Paracelsus 10,000 study, a population-based cohort study from the region of Salzburg, Austria. We included 8408 participants, aged 40-77. Participants with HF were divided into three categories according to their level of HF and evaluated for metabolic co-morbidities defined by the proposed criteria for MHF. RESULTS: HF was present in 13% (n = 1111) with a clear male preponderance (n = 771, 69% of HF). Within the HF group, 81% (n = 901) of subjects fulfilled the metabolic criteria and were defined as MHF, of which 75% (n = 674) were characterized by a major criterion. In the remaining HF cohort, 52% (n = 227 of 437) of subjects were classified as MHF after application of the minor criteria. CONCLUSION: HF is a common finding in the general middle-aged population and the majority of cases are classified as MHF. The new classification provides useful criteria for defining MHF.</w:t>
      </w:r>
    </w:p>
    <w:p>
      <w:pPr/>
      <w:r>
        <w:rPr>
          <w:b/>
        </w:rPr>
        <w:t>POSSIBLE 2024:</w:t>
      </w:r>
      <w:r>
        <w:t xml:space="preserve"> OUT-OF-COURT RESOLUTION OF CONSUMER DISPUTES UNDER THE EUROPEAN UNION LAW — https://doi.org/10.5604/01.3001.0054.4286</w:t>
      </w:r>
    </w:p>
    <w:p>
      <w:pPr/>
      <w:r>
        <w:rPr>
          <w:b/>
        </w:rPr>
        <w:t>Shared claim-specific concepts:</w:t>
      </w:r>
      <w:r>
        <w:t xml:space="preserve"> countries, union; EU scope visible. This is a provisional connection, not an outcome finding.</w:t>
      </w:r>
    </w:p>
    <w:p>
      <w:pPr>
        <w:pStyle w:val="SourceNote"/>
      </w:pPr>
      <w:r>
        <w:rPr>
          <w:b/>
        </w:rPr>
        <w:t>Available abstract (not full text):</w:t>
      </w:r>
      <w:r>
        <w:t xml:space="preserve"> The subject of the article is an analysis of out-of-court methods of resolving consumer disputes in European Union law. They constitute a procedural guarantee of the implementation of consumers’ right to a high level of protection, guaranteed in Art. 38 of the Charter of Fundamental Rights of the European Union. The article describes Directive 2013/11/EU on alternative dispute resolution for consumer disputes. The principles of its implementation in European Union countries are also presented. Also addressed by the analysis is the latest proposal to amend the ADR Directive presented by the European Commission. According to the author, Directive 2013/11/EU has fulfilled its role as the foundation of the consumer rights protection system in the European Union. However, with the development of services on the internet, consumers are exposed to new threats. The proposal to modify the ADR Directive presented by the European Commission is a step aimed at increasing the level of consumer protection.</w:t>
      </w:r>
    </w:p>
    <w:p>
      <w:pPr>
        <w:pStyle w:val="Heading2"/>
      </w:pPr>
      <w:r>
        <w:t>735.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2026:</w:t>
      </w:r>
      <w:r>
        <w:t xml:space="preserve"> Future Projections of Burned Area in Europe Highlight the Importance of Human Action — https://doi.org/10.1111/gcb.71043</w:t>
      </w:r>
    </w:p>
    <w:p>
      <w:pPr/>
      <w:r>
        <w:rPr>
          <w:b/>
        </w:rPr>
        <w:t>Shared claim-specific concepts:</w:t>
      </w:r>
      <w:r>
        <w:t xml:space="preserve"> population, projections, potential, substantially; EU scope visible. This is a provisional connection, not an outcome finding.</w:t>
      </w:r>
    </w:p>
    <w:p>
      <w:pPr>
        <w:pStyle w:val="SourceNote"/>
      </w:pPr>
      <w:r>
        <w:rPr>
          <w:b/>
        </w:rPr>
        <w:t>Available abstract (not full text):</w:t>
      </w:r>
      <w:r>
        <w:t xml:space="preserve"> Wildfires are often a natural part of many European ecosystems, but human activities through land use, other socio-economic factors and climate change have significantly changed how fires behave. Anthropogenic climate change is already intensifying fire-prone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experiments where socio-economic factors are held constant to isolate their influence. Our findings show that both biophysical and socio-economic factors strongly affect future wildfire activity. Fire weather and fire management capacity are important drivers, while population density, vegetation shifts and land use matter more at regional scales. By the end of the century, intensified fi</w:t>
      </w:r>
    </w:p>
    <w:p>
      <w:pPr/>
      <w:r>
        <w:rPr>
          <w:b/>
        </w:rPr>
        <w:t>POSSIBLE 2026:</w:t>
      </w:r>
      <w:r>
        <w:t xml:space="preserve"> The impact of population ageing on temperature-related mortality projections in the Czech Republic — https://doi.org/10.1088/2752-5295/aea925</w:t>
      </w:r>
    </w:p>
    <w:p>
      <w:pPr/>
      <w:r>
        <w:rPr>
          <w:b/>
        </w:rPr>
        <w:t>Shared claim-specific concepts:</w:t>
      </w:r>
      <w:r>
        <w:t xml:space="preserve"> population, projections, substantially; EU scope visible. This is a provisional connection, not an outcome finding.</w:t>
      </w:r>
    </w:p>
    <w:p>
      <w:pPr>
        <w:pStyle w:val="SourceNote"/>
      </w:pPr>
      <w:r>
        <w:rPr>
          <w:b/>
        </w:rPr>
        <w:t>Available abstract (not full text):</w:t>
      </w:r>
      <w:r>
        <w:t xml:space="preserve"> Abstract Climate change and population ageing are jointly reshaping temperature-related mortality patterns in Europe; however, their combined effects remain insufficiently quantified on the national scale. In the Czech Republic, cold-related mortality has historically exceeded heat-related mortality, but this pattern is expected to shift under future climate and demographic transitions. Here, we projected future heat- and cold-attributable mortality under both climate-only and population ageing scenarios. We estimated age-specific (&lt;75 and ⩾75 years) temperature–mortality associations for all 14 NUTS-3 regions using a three-stage time-series modelling framework and combined them with high-resolution EURO-CORDEX climate projections and Shared Socioeconomic Pathway population scenarios under RCP4.5/SSP2 and RCP8.5/SSP5. Heat- and cold-attributable mortalities were projected across four future periods. Heat-attributable mortality increases substantially, rising from 2 deaths historically to 20 deaths by the 2090s under RCP8.5/SSP5. Cold-attributable mortality declines under climate-only scenarios but increases markedly when population ageing is included, reaching 105 deaths by the 2090s and reversing climate-driven reductions. The combined net temperature-related mortality burden increased from 82 deaths in the historical period to 124 under population ageing scenarios, with agein</w:t>
      </w:r>
    </w:p>
    <w:p>
      <w:pPr/>
      <w:r>
        <w:rPr>
          <w:b/>
        </w:rPr>
        <w:t>POSSIBLE 2026:</w:t>
      </w:r>
      <w:r>
        <w:t xml:space="preserve"> Evaluating Livestock Culling Practices Using Population Projection Models in Neolithic Dalmatia — https://doi.org/10.5334/jcaa.257</w:t>
      </w:r>
    </w:p>
    <w:p>
      <w:pPr/>
      <w:r>
        <w:rPr>
          <w:b/>
        </w:rPr>
        <w:t>Shared claim-specific concepts:</w:t>
      </w:r>
      <w:r>
        <w:t xml:space="preserve"> population, production; EU scope not established. This is a provisional connection, not an outcome finding.</w:t>
      </w:r>
    </w:p>
    <w:p>
      <w:pPr>
        <w:pStyle w:val="SourceNote"/>
      </w:pPr>
      <w:r>
        <w:rPr>
          <w:b/>
        </w:rPr>
        <w:t>Available abstract (not full text):</w:t>
      </w:r>
      <w:r>
        <w:t xml:space="preserve"> Mortality profiles derived from age-at-death estimates of archaeological animal remains reveal the outcomes of prehistoric herders slaughtering decisions. Survivorship curves from these data are often interpreted as evidence for herd management strategies optimized for meat, milk, or wool production. Spatial and temporal comparisons can illuminate variation and development in agropastoral economies, but these profiles also carry assumptions. High juvenile mortality, for instance, may compromise long-term herd viability, while interpreting survivorship as a reflection of constant offtake rates across generations can oversimplify pastoral dynamics. This study addresses these issues by modeling sheep and goat herd demography with a stage-structured Lefkovitch projection model. Culling strategies derived from Neolithic Dalmatian sites, informed by caprine age-at-death data, serve as primary constraints on herd growth. By optimizing offtake rates, the simulations evaluate how herders might have adjusted their practices to maintain herd stability amid environmental and subsistence stresses. Results show that sheep herds were generally more sustainable than goat herds, highlighting the demographic impact of differing culling regimes. The findings underscore the adaptive nature of prehistoric herd management and the importance of flexible strategies for mitigating risk and ensuring lon</w:t>
      </w:r>
    </w:p>
    <w:p>
      <w:pPr/>
      <w:r>
        <w:rPr>
          <w:b/>
        </w:rPr>
        <w:t>POSSIBLE 2026:</w:t>
      </w:r>
      <w:r>
        <w:t xml:space="preserve"> Population Dynamics and Demographic Crises in the Parish of Detva (1781–1920): Evidence from Inverse Projection — https://doi.org/10.54694/dem.0389</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This study provides a comprehensive historical demographic analysis of the parish of Detva, located in present-day Slovakia, covering the period 1781–1920. It aims to reconstruct long-term population dynamics and assess the determinants of demographic change in a rural Central European setting, where systematic census data are limited. Parish registers of births, deaths, and marriages serve as the primary sources, with a total of 58,551 baptisms and 39,032 deaths analysed to reconstruct population dynamics. The study applies the inverse projection method, enabling the estimation of population size, age structure, fertility, mortality, and other key demographic indicators in a context where census data are incomplete or unavailable. The results reveal that the parish experienced gradual population growth, punctuated by periods of crisis caused by epidemics, famine, economic instability, and emigration. Crude Birth and Death Rates, along with Gross and Net Reproduction Rates (GRR and NRR), indicate sustained generational replacement, with fertility remaining high until the late 19th century and only declining under the influence of economic and wartime crises. Life expectancy at birth (e_0) remained relatively low, averaging around 32 years, reflecting high mortality among children and the elderly before the demographic transition. The age structure was dominated by children and </w:t>
      </w:r>
    </w:p>
    <w:p>
      <w:pPr>
        <w:pStyle w:val="Heading2"/>
      </w:pPr>
      <w:r>
        <w:t>736.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2026:</w:t>
      </w:r>
      <w:r>
        <w:t xml:space="preserve"> Maternal Group B Streptococcus Vaccination: A Three-Country European Consortium to Improve Surveillance and Data Readiness — https://doi.org/10.2147/clep.s600067</w:t>
      </w:r>
    </w:p>
    <w:p>
      <w:pPr/>
      <w:r>
        <w:rPr>
          <w:b/>
        </w:rPr>
        <w:t>Shared claim-specific concepts:</w:t>
      </w:r>
      <w:r>
        <w:t xml:space="preserve"> objective, three, across, approach; EU scope visible. This is a provisional connection, not an outcome finding.</w:t>
      </w:r>
    </w:p>
    <w:p>
      <w:pPr>
        <w:pStyle w:val="SourceNote"/>
      </w:pPr>
      <w:r>
        <w:rPr>
          <w:b/>
        </w:rPr>
        <w:t>Available abstract (not full text):</w:t>
      </w:r>
      <w:r>
        <w:t xml:space="preserve"> Background: (GBS) is a common gut coloniser, yet it can cause serious disease in pregnant women, newborns, and in adults with predisposing conditions. Estimates suggest that approximately 20 million pregnant women are colonised with GBS, and 394,000 cases of invasive disease occur in infants every year, but there are many data gaps. Several countries lack robust data, leading to likely underestimation of the true disease burden, notably for GBS-associated stillbirths and preterm births. Objective: Recent progress in the development of maternal GBS vaccines adds urgency to the need for comprehensive surveillance data. The aim of this study is to describe advances in routine health information systems and record linkage offer new opportunities for robust monitoring and research on GBS outcomes, both before and after vaccine roll-out. Approach: This review article identifies crucial research gaps, proposes priority outcomes that should be monitored, and highlights opportunities to use routine data from three European countries (Denmark, the Netherlands, the United Kingdom) to harmonise data and strengthen the evidence base to inform national GBS vaccine policy decisions. Conclusion: Strengthening and harmonising routine data collection across Europe and globally will be essential to maximize and measure the benefits of a maternal GBS vaccination.</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CLASSIFICATION OF LARGE EUROPEAN CITIES BASED ON THE RATINGS OF THEIR INHABITANTS — https://doi.org/10.29119/1641-3466.2024.213.37</w:t>
      </w:r>
    </w:p>
    <w:p>
      <w:pPr/>
      <w:r>
        <w:rPr>
          <w:b/>
        </w:rPr>
        <w:t>Shared claim-specific concepts:</w:t>
      </w:r>
      <w:r>
        <w:t xml:space="preserve"> objective, three, factors, methods, approach; EU scope visible. This is a provisional connection, not an outcome finding.</w:t>
      </w:r>
    </w:p>
    <w:p>
      <w:pPr>
        <w:pStyle w:val="SourceNote"/>
      </w:pPr>
      <w:r>
        <w:rPr>
          <w:b/>
        </w:rPr>
        <w:t>Available abstract (not full text):</w:t>
      </w:r>
      <w:r>
        <w:t xml:space="preserve"> Purpose: Trends indicate an increasing share of the population living in an urbanized world.It is important to provide them with appropriate living conditions.Most often, we describe living conditions using objective indicators.We hope that they reflect the expectations of the residents well.What if this is not the case?The aim of the research presented in the article is to provide a classification of large European cities based on the opinions of their inhabitants.Design/methodology/approach: Eurostat provides data from the Perception Survey on the Quality of Life in European Cities.The research is carried out every four years.The last was in 2023.Findings: The existence of three types of large European cities covered by the study was indicated. Research limitations/implications:The results of the research are based on subjective assessments of the residents, perhaps they should be verified with objective factors.Social implications: A work to look at cities through the eyes of their inhabitants.It shows the similarities in their perception of the conditions resulting from the location of the city and the economic conditions of the state.Originality/value: Application of clustering methods to the analyzed data, determination of groups of similar cities.Defining the dimensions in the PCA analysis that cities can be described.</w:t>
      </w:r>
    </w:p>
    <w:p>
      <w:pPr>
        <w:pStyle w:val="Heading2"/>
      </w:pPr>
      <w:r>
        <w:t>737.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Regressive ‘alternative’ media and their role in disrupting the public spheres in Europe and Latin America — https://doi.org/10.1007/s11616-025-00892-9</w:t>
      </w:r>
    </w:p>
    <w:p>
      <w:pPr/>
      <w:r>
        <w:rPr>
          <w:b/>
        </w:rPr>
        <w:t>Shared claim-specific concepts:</w:t>
      </w:r>
      <w:r>
        <w:t xml:space="preserve"> those, role, often; EU scope visible. This is a provisional connection, not an outcome finding.</w:t>
      </w:r>
    </w:p>
    <w:p>
      <w:pPr>
        <w:pStyle w:val="SourceNote"/>
      </w:pPr>
      <w:r>
        <w:rPr>
          <w:b/>
        </w:rPr>
        <w:t>Available abstract (not full text):</w:t>
      </w:r>
      <w:r>
        <w:t xml:space="preserve"> Abstract The emergence of alternative media is linked to the progressive social movements of the 1960s and 1970s, which aimed to democratize media production and amplify marginalized voices. Recently, regressive news sites have emerged, claiming to be “alternative” despite their far-right ideologies. As a result, some independent “digital natives” in Latin America reject the “alternative” label. In disinformation studies, scholars often use the term ‘alternative’ to describe media outlets that oppose mainstream institutions without critically addressing power dynamics. Critical media scholars argue that labeling the far right as a counter-public under the ‘alternative’ banner risks equating undemocratic groups with those advocating for democracy. The global right-wing movement is more accurately characterized as “defensive” publics due to its alignment with systemic inequalities. We contend that the right wing’s alignment with systemic inequalities, coupled with its tenuous relationship with truth, distinguishes it from progressive alternative publics. While independent digital-native media often incorporate fact-checking units to combat disinformation, right-wing outlets are significant sources of falsehoods. These outlets exploit democratic rhetoric and distort constructivist views of facts to advance anti-democratic agendas. To illustrate this tactic, the article examines th</w:t>
      </w:r>
    </w:p>
    <w:p>
      <w:pPr/>
      <w:r>
        <w:rPr>
          <w:b/>
        </w:rPr>
        <w:t>POSSIBLE 2025:</w:t>
      </w:r>
      <w:r>
        <w:t xml:space="preserve"> Continuing recovery of wolves in Europe — https://doi.org/10.1371/journal.pstr.0000158</w:t>
      </w:r>
    </w:p>
    <w:p>
      <w:pPr/>
      <w:r>
        <w:rPr>
          <w:b/>
        </w:rPr>
        <w:t>Shared claim-specific concepts:</w:t>
      </w:r>
      <w:r>
        <w:t xml:space="preserve"> those, role, positive, often;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Cancer burden in Europe: a systematic analysis of the GLOBOCAN database (2022) — https://doi.org/10.1186/s12885-025-13862-1</w:t>
      </w:r>
    </w:p>
    <w:p>
      <w:pPr/>
      <w:r>
        <w:rPr>
          <w:b/>
        </w:rPr>
        <w:t>Shared claim-specific concepts:</w:t>
      </w:r>
      <w:r>
        <w:t xml:space="preserve"> role, common, environmental;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role, large-scale, drivers, driven, initiatives;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The Role of Environmental Factors in Lyme Disease Transmission in the European Union: A Systematic Review — https://doi.org/10.3390/tropicalmed9050113</w:t>
      </w:r>
    </w:p>
    <w:p>
      <w:pPr/>
      <w:r>
        <w:rPr>
          <w:b/>
        </w:rPr>
        <w:t>Shared claim-specific concepts:</w:t>
      </w:r>
      <w:r>
        <w:t xml:space="preserve"> role, environmental, positive; EU scope visible. This is a provisional connection, not an outcome finding.</w:t>
      </w:r>
    </w:p>
    <w:p>
      <w:pPr>
        <w:pStyle w:val="SourceNote"/>
      </w:pPr>
      <w:r>
        <w:rPr>
          <w:b/>
        </w:rPr>
        <w:t>Available abstract (not full text):</w:t>
      </w:r>
      <w:r>
        <w:t xml:space="preserve"> BACKGROUND: spp. Our objective was to determine meteorological and environmental factors associated with LD transmission in Europe and the effect of climate change on LD. MATERIALS AND METHODS: A systematic review following the PRISMA guidelines was performed. We selected studies on LD transmission in the European Union (EU) and the European Economic Area (EEA) published between 2000 and 2022. The protocol was registered in the PROSPERO database. RESULTS: We included 81 studies. The impact of environmental, meteorological or climate change factors on tick vectors was studied in 65 papers (80%), and the impact on human LD cases was studied in 16 papers (19%), whereas animal hosts were only addressed in one study (1%). A significant positive relationship was observed between temperature and precipitation and the epidemiology of LD, although contrasting results were found among studies. Other positive factors were humidity and the expansion of anthropized habitats. CONCLUSIONS: The epidemiology of LD seems to be related to climatic factors that are changing globally due to ongoing climate change. Unfortunately, the complete zoonotic cycle was not systematically analyzed. It is important to adopt a One Health approach to understand LD epidemiology.</w:t>
      </w:r>
    </w:p>
    <w:p>
      <w:pPr/>
      <w:r>
        <w:rPr>
          <w:b/>
        </w:rPr>
        <w:t>POSSIBLE 2024:</w:t>
      </w:r>
      <w:r>
        <w:t xml:space="preserve"> Role of Renewable Energy Adoption in Reducing Climate Change Impacts in Europe — https://doi.org/10.47672/ajcs.2336</w:t>
      </w:r>
    </w:p>
    <w:p>
      <w:pPr/>
      <w:r>
        <w:rPr>
          <w:b/>
        </w:rPr>
        <w:t>Shared claim-specific concepts:</w:t>
      </w:r>
      <w:r>
        <w:t xml:space="preserve"> role, environmental, often;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Proactively boosting home dialysis adoption in Europe — https://doi.org/10.1093/ndt/gfae199</w:t>
      </w:r>
    </w:p>
    <w:p>
      <w:pPr/>
      <w:r>
        <w:rPr>
          <w:b/>
        </w:rPr>
        <w:t>Shared claim-specific concepts:</w:t>
      </w:r>
      <w:r>
        <w:t xml:space="preserve"> those, focus, initiatives;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pStyle w:val="Heading2"/>
      </w:pPr>
      <w:r>
        <w:t>738.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2026:</w:t>
      </w:r>
      <w:r>
        <w:t xml:space="preserve"> Comparison of Building Energy Performance Policies in the European Union and Türkiye in the Context of Climate Risk Management — https://doi.org/10.54864/planarch.1949234</w:t>
      </w:r>
    </w:p>
    <w:p>
      <w:pPr/>
      <w:r>
        <w:rPr>
          <w:b/>
        </w:rPr>
        <w:t>Shared claim-specific concepts:</w:t>
      </w:r>
      <w:r>
        <w:t xml:space="preserve"> energy, system, reduction, period; EU scope visible. This is a provisional connection, not an outcome finding.</w:t>
      </w:r>
    </w:p>
    <w:p>
      <w:pPr>
        <w:pStyle w:val="SourceNote"/>
      </w:pPr>
      <w:r>
        <w:rPr>
          <w:b/>
        </w:rPr>
        <w:t>Available abstract (not full text):</w:t>
      </w:r>
      <w:r>
        <w:t xml:space="preserve"> Due to its significant contribution to global energy consumption and greenhouse gas emissions, the building sector plays an important role in reducing carbon footprints, supporting climate adaptation, and strengthening risk management. This study compares building energy performance policies in the European Union (EU) and Türkiye from the perspective of climate risk management. The analysis focuses on the EU Energy Performance of Buildings Directive (EPBD), which has developed from the nearly zero-energy building (nZEB) approach toward the zero-emission building (ZEB) target, and on Türkiye’s Regulation on Energy Performance in Buildings (BEPY), including the nearly zero-energy building (nSEB) approach, the BEP-TR calculation system, and the Energy Identity Certificate (EKB). In the document analysis, five EU documents and four Turkish documents from the 2010–2024 period were evaluated in terms of design, implementation, and management/supervision dimensions. The findings show that the two approaches share common goals in reducing energy demand, increasing energy efficiency, and supporting the use of renewable energy. While policy tools do not eliminate climate hazards, they can contribute to reducing vulnerability and improving adaptation capacity through building envelope performance, passive design, and performance monitoring. While the EU approach integrates building renova</w:t>
      </w:r>
    </w:p>
    <w:p>
      <w:pPr/>
      <w:r>
        <w:rPr>
          <w:b/>
        </w:rPr>
        <w:t>POSSIBLE 2026:</w:t>
      </w:r>
      <w:r>
        <w:t xml:space="preserve"> The Common European Energy Data Space and the Energy Networks — https://doi.org/10.1007/s40518-026-00288-x</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Abstract Purpose of Review The development of the Common European Energy Data Space (CEEDS) emerges as a pillar to enable secure, interoperable, trusted, and resilient data exchange among stakeholders of the European energy system. Recent Findings We study the potentials for the CEEDS from an energy infrastructure perspective. We focus on the improvement of operational processes, reducing barriers to entry and to data exchanges, utilising AI-driven analytics, new cross-sectoral processes, and flexibility. Summary Recent innovative projects and solutions implemented, show promising and relevant potential for the implementation of the CEEDS in the energy sector. However, there are still not enough empirical analyses of the impact of real-life energy data space initiatives, which are essential for implementing these large-scale solutions.</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energy, system, total;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ENERGY SYSTEM OF UKRAINE: EUROPEAN INTEGRATION TRANSFORMATIONS AND ECONOMIC SECURITY — https://doi.org/10.31617/1.2026(169)01</w:t>
      </w:r>
    </w:p>
    <w:p>
      <w:pPr/>
      <w:r>
        <w:rPr>
          <w:b/>
        </w:rPr>
        <w:t>Shared claim-specific concepts:</w:t>
      </w:r>
      <w:r>
        <w:t xml:space="preserve"> energy, system, period; EU scope visible. This is a provisional connection, not an outcome finding.</w:t>
      </w:r>
    </w:p>
    <w:p>
      <w:pPr>
        <w:pStyle w:val="SourceNote"/>
      </w:pPr>
      <w:r>
        <w:rPr>
          <w:b/>
        </w:rPr>
        <w:t>Available abstract (not full text):</w:t>
      </w:r>
      <w:r>
        <w:t xml:space="preserve"> This article examines the significance of the energy system for the functioning of the national economy and its impact on the level of the stateʼs economic and overall security. Particular atten­tion is paid to the energy systemʼs ability to adapt to crisis conditions, particularly during a period of martial law, when the risks of losing generation, transmission and distribution capa­city increase significantly. It is argued that the recovery and development of the sector require the modernisation of the technical infrastructure and a reorientation of resource provision in line with European approaches. The research hypo­thesis is that the deepening of Ukraineʼs integration into the European economic space creates conditions for the qualitative moderni­sation of the energy system, increases its resilience to external threats and contributes to strengthening the stateʼs economic security. It is demonstrated that attracting international support and developing institutional investment mechanisms are important factors in the restora­tion of energy infrastructure. The theoretical basis of the study is the approach of enterprise economic security, which allows for a compre­hen­sive assessment of the state and prospects of the energy systemʼs development. The study employs general scientific methods, in particular analysis, synthesis and generalisation. It is gene­rally accepted that</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focus, energy, system, total;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pStyle w:val="Heading2"/>
      </w:pPr>
      <w:r>
        <w:t>739.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Beef and dairy emissions: a diagnosis of the international legal order — https://doi.org/10.1093/jel/eqaf020</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Climate Change, Cattle, and the International Legal Order offers a new but necessary view of the role of international law in the fight against climate change. Rebecca Williams’ monograph focuses on the links between climate change and the cattle sector, exploring the integration of this agricultural sector into four relevant regimes—climate change, agriculture, forest and trade—showing how it remains a dangerous black spot of the international legal order. Her ‘diagnosis’ of livestock emissions consideration in the international legal order leads, however, to a broader discussion of understanding climate justice in relation to agriculture and redefines ‘the current conceptualisation of who is responsible for taking agri-climate action’.1 The links between climate change and cattle can be briefly described as 3-fold. Most famously, the first link is the role of enteric fermentation by cattle in producing Greenhouse Gases (GHGs) (with methane being more dangerous for the climate than carbon dioxide). The second link, now gaining traction in public awareness, is land-use impacts, namely the destruction of forests (which are carbon converters) due to cattle feed production and grazing. The third link, and maybe less known, is the way manure management produces carbon and methane and causes nitrogen run-off, creating ocean dead zones. Rebecca Williams employs a nexus approach to fo</w:t>
      </w:r>
    </w:p>
    <w:p>
      <w:pPr/>
      <w:r>
        <w:rPr>
          <w:b/>
        </w:rPr>
        <w:t>POSSIBLE 2025:</w:t>
      </w:r>
      <w:r>
        <w:t xml:space="preserve"> Methane Emissions from Mining in the European Union — https://doi.org/10.3390/en18040791</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Analysis of solar and wind energy utilisation in Europe and Africa — https://doi.org/10.70132/z8468559752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TRANSFORMATION OF EUROPEAN ENERGY LAW AND ITS CONSEQUENCES FOR THE INTERNATIONAL NATURAL GAS MARKET — https://doi.org/10.61525/s231243500036422-2</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process of European integration, undertaken in preparation for the conclusion of the Treaty on European Union, created in the 1980s the need to consolidate the pan-European fuel and energy market and to unify the national energy spaces of European countries. Since then, an intensive process of forming a single energy space of European countries has begun. The initial objective was to establish a unified European energy system to optimize regulatory processes. Between 1996 and 2019, four successive legislative packages were adopted, aimed at integrating markets and liberalizing national gas and electricity markets. Having undergone substantial transformation, European energy legislation has evolved into an instrument designed to phase out fossil fuels, including natural gas, and to increase the share of renewable energy sources in the overall energy mix. To achieve the stated climate goals by 2050, the legal framework governing the operation of the European energy system will continue to be reformed. The global trend towards 2050 involves a steady increase in electricity generation, provided by both carbon-based and carbon-free sources. The energy transition exerts a significant influence on international energy markets, compelling gas producers and exporters to adapt to changing conditions. Owing to fast economic growth and rising demand for energy resources, countries in t</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Financial levers and carbon emissions: analysing the debt-emission nexus in the European Union — https://doi.org/10.1080/00036846.2024.2393901</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paper examines the intricate relationship between the national debts of EU-27 member countries and their CO2 emissions, employing the Logarithmic Mean Divisia Index additive model to dissect the impacts of different financial and economic factors on environmental sustainability. To thoroughly explore the evolution of CO2 emissions and influencing factors, the 27 economies analysed were classified into two categories (advanced economies and emerging economies). Furthermore, three sub-periods for analysis were set (1995–2007, 2008–2016, and 2017–2022). The study identifies significant correlations between debt structures, economic growth, energy consumption patterns, and CO2 emissions. The findings reveal that Economic Growth is the largest contributor to the CO2 emissions increase, followed by Total Debt Level. A powerful and constant counterbalancing effect of CO2 emissions reduction is assured by Fossil Fuel Financing. The results underscore the complex interplay between financial and environmental policies in the EU, emphasizing the need for balanced approaches to achieve climate goals. It suggests that investment in green technologies and renewable energy sources, alongside innovative financing mechanisms for green technologies, enhanced energy efficiency, and fiscal policies aimed at reducing national debts, can have the dual benefit of mitigating climate change while </w:t>
      </w:r>
    </w:p>
    <w:p>
      <w:pPr/>
      <w:r>
        <w:rPr>
          <w:b/>
        </w:rPr>
        <w:t>POSSIBLE 2024:</w:t>
      </w:r>
      <w:r>
        <w:t xml:space="preserve"> Current European Energy Architecture — https://openalex.org/W7110603362</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pStyle w:val="Heading2"/>
      </w:pPr>
      <w:r>
        <w:t>740.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2026:</w:t>
      </w:r>
      <w:r>
        <w:t xml:space="preserve"> TREATMENT OF ACUTE LUNATE DISLOCATION BY CLOSED REDUCTION AND CASTING: A CASE REPORT — https://doi.org/10.25258/ijddt.16.63s.182</w:t>
      </w:r>
    </w:p>
    <w:p>
      <w:pPr/>
      <w:r>
        <w:rPr>
          <w:b/>
        </w:rPr>
        <w:t>Shared claim-specific concepts:</w:t>
      </w:r>
      <w:r>
        <w:t xml:space="preserve"> long-term, casting, applied; EU scope not established. This is a provisional connection, not an outcome finding.</w:t>
      </w:r>
    </w:p>
    <w:p>
      <w:pPr>
        <w:pStyle w:val="SourceNote"/>
      </w:pPr>
      <w:r>
        <w:rPr>
          <w:b/>
        </w:rPr>
        <w:t>Available abstract (not full text):</w:t>
      </w:r>
      <w:r>
        <w:t xml:space="preserve"> Background: Lunate dislocation is an uncommon, high-energy traumatic wrist injury.Due to its rarity, misdiagnosis or delayed treatment is common and frequently leads to poor functional outcomes, median nerve compression, and chronic joint dysfunction.1,2 While open reduction and surgical repair of disrupted ligaments are typically performed in most cases to prevent long-term dysfunction, early-diagnosed acute dislocations may benefit from a conservative approach after stable closed reduction.[3][4][5][6] Case Description: A 28-year-old male physical education teacher presented to the emergency department with acute pain, swelling, and median nerve paresthesia over the right wrist following trauma.Radiographic evaluation confirmed a diagnosis of acute volar lunate dislocation (Mayfield Stage 4 carpal instability).3 Under general anesthesia, successful closed reduction was achieved using Tavernier's method.7 With satisfactory intraoperative stability, a below-elbow cast was applied for three weeks, and oral methylcobalamin therapy was initiated.The patient's tingling sensation completely resolved over the first two weeks.At the 3-month follow-up, the patient experienced no pain at rest, demonstrated an exceptional extension/flexion range of 90°-0°-75° and pronation/supination range of 90°-0°-90°, and successfully resumed his professional duties.Conclusion: Closed reduction and ca</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2025:</w:t>
      </w:r>
      <w:r>
        <w:t xml:space="preserve"> DEVELOPING CRITICAL THINKING SKILLS OF PRIMARY SCHOOL STUDENTS THROUGH INDEPENDENT CURRICULUM LEARNING — https://openalex.org/W7221244119</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development of critical thinking skills among elementary school students plays an important role in preparing the younger generation to face the challenges of the fourth industrial revolution era. The method used is a literature study on this theme. The results of the study revealed that Merdeka Belajar Curriculum provides ample space to improve students' critical thinking skills through flexible learning, focusing on students, and closely related to context. Effective strategies include project-based learning, collaborative problem solving, and technology integration in the learning process. However, the research also identified challenges such as the need for intense enrichment of teacher competencies and adaptation of assessment methods to appropriately measure critical thinking skills. In conclusion, Merdeka Belajar Curriculum has great potential to improve the critical thinking skills of primary school students, but this achievement is highly dependent on careful implementation along with comprehensive support from all education stakeholders. Recommendations for further studies include long-term studies on the long-term impact of this curriculum on the development of students' critical thinking skills and the exploration of new assessment models that are in line with the objectives of the Merdeka Belajar Curriculum</w:t>
      </w:r>
    </w:p>
    <w:p>
      <w:pPr>
        <w:pStyle w:val="Heading2"/>
      </w:pPr>
      <w:r>
        <w:t>741.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DISCUSSION OF FINDINGS, SUMMARY, CONCLUSIONS, RECOMMENDATIONS, SUGGESTIONS FOR FURTHER RESEARCH, AND AUTHOR REFLECTION — https://doi.org/10.5281/zenodo.22797016</w:t>
      </w:r>
    </w:p>
    <w:p>
      <w:pPr/>
      <w:r>
        <w:rPr>
          <w:b/>
        </w:rPr>
        <w:t>Shared claim-specific concepts:</w:t>
      </w:r>
      <w:r>
        <w:t xml:space="preserve"> conclude, summary, recommendations, context; EU scope not established. This is a provisional connection, not an outcome finding.</w:t>
      </w:r>
    </w:p>
    <w:p>
      <w:pPr>
        <w:pStyle w:val="SourceNote"/>
      </w:pPr>
      <w:r>
        <w:rPr>
          <w:b/>
        </w:rPr>
        <w:t>Available abstract (not full text):</w:t>
      </w:r>
      <w:r>
        <w:t xml:space="preserve"> Leadership development plays an important role in increasing the effectiveness and sustainability of church organisations,especially in post conflict situations where the leaders are faced with a myriad of spiritual, social, organisational andresource challenges. The study focused on the effectiveness of leadership development programmes on leadershipcapacity among emerging leaders in African Inland Church (AIC) Torit District Church Council (DCC), South Sudan.Four dimensions of the leadership development programme were mentioned: programme content, training methods,training exposure and programme implementation constraints. The research design used was a mixed research designwhich involved both structured questionnaires and key informant interviews. 90 respondents provided quantitative dataand eight key informants provided qualitative data. Pearson correlation and regression analysis were used to explore therelationships between leadership development programme characteristics and leadership capacity, while descriptivestatistics were used to examine the characteristics of these programmes.The results revealed that there was positive and significant relationship between programme content and leadershipcapacity (r = 0.64; β = 0.30; p = 0.003), meaning that the programme content has a positive relationship with leadershipcapacity when it is relevant and integrated. The training m</w:t>
      </w:r>
    </w:p>
    <w:p>
      <w:pPr/>
      <w:r>
        <w:rPr>
          <w:b/>
        </w:rPr>
        <w:t>POSSIBLE 2026:</w:t>
      </w:r>
      <w:r>
        <w:t xml:space="preserve"> Digitizing the Pre-consultation Experience: Impacts and Design Recommendations — https://doi.org/10.1145/3772318.3791354</w:t>
      </w:r>
    </w:p>
    <w:p>
      <w:pPr/>
      <w:r>
        <w:rPr>
          <w:b/>
        </w:rPr>
        <w:t>Shared claim-specific concepts:</w:t>
      </w:r>
      <w:r>
        <w:t xml:space="preserve"> conclude, recommendations, information; EU scope not established. This is a provisional connection, not an outcome finding.</w:t>
      </w:r>
    </w:p>
    <w:p>
      <w:pPr>
        <w:pStyle w:val="SourceNote"/>
      </w:pPr>
      <w:r>
        <w:rPr>
          <w:b/>
        </w:rPr>
        <w:t>Available abstract (not full text):</w:t>
      </w:r>
      <w:r>
        <w:t xml:space="preserve"> Clinical pre-consultation, where patients share health information prior to an appointment, can offer better patient-centered care by freeing time for meaningful patient–physician conversations. Conversational agents powered by large language models (LLMs) can automate this process to make it more scalable and consistent, but doing so can cause information overload that exacerbates physicians’ workload as they spend time parsing through data. This paper examines the opportunities and challenges of using pre-consultation agents to mediate information transfer between patients and physicians, with the aim of producing clinically useful yet patient-driven summaries that capture their histories and concerns. Through sessions with both patients and physicians, we show that automatically generated pre-consultation summaries can increase patients’ confidence and sense of control over their health information while fostering a more collaborative dynamic. We conclude with design recommendations for integrating pre-consultation agents into clinical workflows.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2025:</w:t>
      </w:r>
      <w:r>
        <w:t xml:space="preserve"> Policy recommendations for enhancing communication efficiency in organizations — https://doi.org/10.70593/978-93-49910-07-2_5</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This chapter presents a summary of the key findings based on the data presentation and analysis discussed in the previous chapter. Conclusions are then drawn, followed by recommendations derived from the study’s findings. Finally, suggestions for future research are provided. 5.2 Summary of Findings The following are the major findings that emerged from the data analysis: The study revealed that effective communication has a significant positive impact on organizational performance. The analysis further showed that effective communication enhances productivity within organizations. The findings indicate that managers who possess strong interpersonal communication skills are better able to disseminate information clearly, thereby minimizing communication gaps within the organization. The study also found that effective manager–employee communication contributes positively to the execution of decisions and the successful accomplishment of tasks. 5.3. Conclusion Based on the findings, the study concludes that effective communication fosters mutual understanding between management and employees. This mutual understanding plays a vital role in building strong relationships within the organization. Communication serves as the channel through which roles, responsibilities, resources, expectations, and tasks are conveyed to subordinates, enabling smoother workflow and enhanced performa</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2024:</w:t>
      </w:r>
      <w:r>
        <w:t xml:space="preserve"> The Politics of Approval — https://doi.org/10.1017/9781009341554.007</w:t>
      </w:r>
    </w:p>
    <w:p>
      <w:pPr/>
      <w:r>
        <w:rPr>
          <w:b/>
        </w:rPr>
        <w:t>Shared claim-specific concepts:</w:t>
      </w:r>
      <w:r>
        <w:t xml:space="preserve"> summary, politics, authors; EU scope not established. This is a provisional connection, not an outcome finding.</w:t>
      </w:r>
    </w:p>
    <w:p>
      <w:pPr>
        <w:pStyle w:val="SourceNote"/>
      </w:pPr>
      <w:r>
        <w:rPr>
          <w:b/>
        </w:rPr>
        <w:t>Available abstract (not full text):</w:t>
      </w:r>
      <w:r>
        <w:t xml:space="preserve"> The most widely read and influential component of the IPCC’s practice of writing is the summary for policymakers (SPM), where the key messages of the underlying report are presented in short sentences and figures to facilitate travel into the media, ministers’ speeches and UNFCCC negotiations. The aim of this chapter is to describe the politics of approval. The chapter begins the historical emergence of this practice and documents the tactics and strategies available to co-chairs, authors and delegates to influence the final outcome. Documenting participation in the authorship and approval of the SPM again illuminates the asymmetries revealed in previous chapters, but also highlights the growing presence of some developing countries in the process. This is evident in the content that has initiated some of the greatest struggle – the categorisation of developing versus developed countries. This account reveals that the forces structuring the final stage of the IPCC’s practice of writing originate in the broader global struggle to determine the meaning of climate change and continue after the approval, only now with a new SPM to substantiate national positions in the negotiation of the collective response.</w:t>
      </w:r>
    </w:p>
    <w:p>
      <w:pPr/>
      <w:r>
        <w:rPr>
          <w:b/>
        </w:rPr>
        <w:t>POSSIBLE 2024:</w:t>
      </w:r>
      <w:r>
        <w:t xml:space="preserve"> Global barriers to decision makers for prioritizing interventions for obesity — https://doi.org/10.1038/s41366-024-01650-z</w:t>
      </w:r>
    </w:p>
    <w:p>
      <w:pPr/>
      <w:r>
        <w:rPr>
          <w:b/>
        </w:rPr>
        <w:t>Shared claim-specific concepts:</w:t>
      </w:r>
      <w:r>
        <w:t xml:space="preserve"> decision, makers, politics, technology; EU scope not established. This is a provisional connection, not an outcome finding.</w:t>
      </w:r>
    </w:p>
    <w:p>
      <w:pPr>
        <w:pStyle w:val="SourceNote"/>
      </w:pPr>
      <w:r>
        <w:rPr>
          <w:b/>
        </w:rPr>
        <w:t>Available abstract (not full text):</w:t>
      </w:r>
      <w:r>
        <w:t xml:space="preserve"> The treatment of obesity remains underprioritized. New pharmacologic options for the treatment of obesity have shown effectiveness and safety but are not widely reimbursed. Despite the unmet need and the existence of effective prevention and treatment strategies, substantial barriers exist to effectively address obesity as a disease. The purpose of this scoping review was to investigate the barriers for decision makers in prioritizing interventions for obesity and to seek out interconnection between barriers to prevention and treatment. A scoping review was conducted using a systematic search of both scientific databases and Health Technology Assessment (HTA) databases. Studies that addressed barriers to reimbursement or prioritization of obesity treatment and prevention were included. A total of 26 articles and 14 HTAs were included. Four main barriers for decision makers to prioritize new interventions for obesity were identified: perceptions, knowledge, economics, and politics. There was a high degree of interconnectedness among barriers, as well as large overlaps between barriers in relation to bariatric surgery, pharmacologic treatments, and prevention regulation. Multiple barriers exist that impact decision makers in prioritizing interventions for treating obesity. A strong interconnectedness of the barriers was found, indicating a systems approach to improve global prior</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pStyle w:val="Heading2"/>
      </w:pPr>
      <w:r>
        <w:t>742.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2025:</w:t>
      </w:r>
      <w:r>
        <w:t xml:space="preserve"> Mentorship in endocrinology training: a cross-sectional study of the United States and Europe — https://doi.org/10.1016/j.eclinm.2025.103377</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Background: Mentorship is crucial for developing both scientific and professional competencies in medical training, yet its role in endocrinology training remains underexplored. We aimed to assess the prevalence of mentorship in endocrinology trainees, analyse demographic and training programme factors, and evaluate the impact of mentor characteristics on trainee outcomes. Methods: We conducted a cross-sectional study of endocrinology trainees in the United States and Europe (23 countries) between June 2023 to January 2024. Participants were recruited via professional societies, email lists, and social media. Those who had completed more than 7 years of training post-medical school or had missing data on duration of training were excluded. A structured online questionnaire was developed using validated mentorship competency tools and adapted for regional nuances to collect data on demographics, mentorship experiences, academic productivity, and well-being. The primary outcome assessed the prevalence of mentorship; secondary outcomes evaluated the associations between mentor characteristics and self-reported academic productivity, satisfaction within the mentorship relationship, and levels of burnout and stress. Univariable and multivariable logistic regression analyses were conducted. Findings: Between June 10, 2023, and January 1, 2024, 250 respondents (154 from the U.S. and 9</w:t>
      </w:r>
    </w:p>
    <w:p>
      <w:pPr/>
      <w:r>
        <w:rPr>
          <w:b/>
        </w:rPr>
        <w:t>POSSIBLE 2025:</w:t>
      </w:r>
      <w:r>
        <w:t xml:space="preserve"> Greening politics? European parties’ and European Parliament groups’ standpoints on sustainability (2019–2024) — https://doi.org/10.1108/sampj-11-2024-1307</w:t>
      </w:r>
    </w:p>
    <w:p>
      <w:pPr/>
      <w:r>
        <w:rPr>
          <w:b/>
        </w:rPr>
        <w:t>Shared claim-specific concepts:</w:t>
      </w:r>
      <w:r>
        <w:t xml:space="preserve"> analyses, presented, union; EU scope visible. This is a provisional connection, not an outcome finding.</w:t>
      </w:r>
    </w:p>
    <w:p>
      <w:pPr>
        <w:pStyle w:val="SourceNote"/>
      </w:pPr>
      <w:r>
        <w:rPr>
          <w:b/>
        </w:rPr>
        <w:t>Available abstract (not full text):</w:t>
      </w:r>
      <w:r>
        <w:t xml:space="preserve"> Purpose The study aims to discuss the “greening” of European Union politics in the European Parliament, by the voice of its political groups/parties, from 2019 to 2024. It aims at characterising the standpoints of each of the groups. Design/methodology/approach The main question guiding the research is: to what extent did the political parties and groups at the European Union level adopt green politics standpoints, in the period 2019–2024? The conceptual framework connects green politics with the three pillars of sustainability (economic, social and environmental); with the debate on weak vs strong sustainability; with anthropocentric vs ecocentric perspectives. The standpoints of the European Parliament (EP) groups/parties are analysed with reference to those categories. The empirical research is based on the qualitative analysis of party manifestos and programmes for the 2019 election, and on a selection of EP parliamentary debates. Findings The data evidence the evolution of green politics in the EP, from 2019 to 2024. Variation across groups is presented. The predominance of each of the three pillars of sustainability by the EP group is demonstrated. Weak vs strong sustainability and anthropocentric vs ecocentric standpoints are mapped. Practical implications The study contributes: to the sustainable development debate (sustainable development goals [SDG]16 “Peace, Justice </w:t>
      </w:r>
    </w:p>
    <w:p>
      <w:pPr/>
      <w:r>
        <w:rPr>
          <w:b/>
        </w:rPr>
        <w:t>POSSIBLE 2025:</w:t>
      </w:r>
      <w:r>
        <w:t xml:space="preserve"> The European Union in a New Emerging Global Order — https://doi.org/10.33067/se.1.2025.7</w:t>
      </w:r>
    </w:p>
    <w:p>
      <w:pPr/>
      <w:r>
        <w:rPr>
          <w:b/>
        </w:rPr>
        <w:t>Shared claim-specific concepts:</w:t>
      </w:r>
      <w:r>
        <w:t xml:space="preserve"> article, vision, union; EU scope visible. This is a provisional connection, not an outcome finding.</w:t>
      </w:r>
    </w:p>
    <w:p>
      <w:pPr>
        <w:pStyle w:val="SourceNote"/>
      </w:pPr>
      <w:r>
        <w:rPr>
          <w:b/>
        </w:rPr>
        <w:t>Available abstract (not full text):</w:t>
      </w:r>
      <w:r>
        <w:t xml:space="preserve"> The European Union (EU) is a very speciﬁc sui generis entity in the international arena as it neither a classical international organisation nor state. Moreover, the process of its creation remains incomplete, with the original vision of establishing a novel, supranational entity on the continent still not fully realised. What is more, European integration and the EU has recently met many challenges and obstacles of different kinds, both internal (a potential Grexit, a very real Brexit, an axiological clash of the elites, and democratic deﬁcit) and external (e.g., conﬂicts on its borders, the resurgence of hard power to the international scene, the so-called “Trump factor”, etc.). This article seeks to examine and specify the current global position of the EU in this new, turbulent era marked by partial de-globalisation, the dominance of hard power, and great-power competition in the world. This era is deﬁned in this essay as a “strategic draft”, during which Russia seems intent on dismantling the international order, while China looks to establish an entirely new one. These are challenging times, as the old order no longer functions properly, while the new one is yet to take shape.</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2022:</w:t>
      </w:r>
      <w:r>
        <w:t xml:space="preserve"> Exposure to Green Spaces and Multiple Child Health Outcomes: a preliminary meta-analysis from 11 European Birth Cohorts — https://doi.org/10.1289/isee.2022.p-0484</w:t>
      </w:r>
    </w:p>
    <w:p>
      <w:pPr/>
      <w:r>
        <w:rPr>
          <w:b/>
        </w:rPr>
        <w:t>Shared claim-specific concepts:</w:t>
      </w:r>
      <w:r>
        <w:t xml:space="preserve"> outcome, analyses, presented; EU scope visible. This is a provisional connection, not an outcome finding.</w:t>
      </w:r>
    </w:p>
    <w:p>
      <w:pPr>
        <w:pStyle w:val="SourceNote"/>
      </w:pPr>
      <w:r>
        <w:rPr>
          <w:b/>
        </w:rPr>
        <w:t>Available abstract (not full text):</w:t>
      </w:r>
      <w:r>
        <w:t xml:space="preserve"> Studies on the association between exposure to green spaces and child health have captured only a narrow range of outcomes. Here, we conducted an outcome-wide study on more than 90,000 mother-children’s dyads from 11 European birth-cohort studies, to examine the association of residential availability (NDVI) and accessibility to green spaces (yes/no) in a 300 meters buffer during pregnancy and childhood with a range of outcomes. Fourteen outcomes in three areas of child health (respiratory health, obesity, neurodevelopment) will be included. The latest available measure of each outcome within the age band 3-12 years, was selected for each child. For postnatal period, green space exposures were calculated from birth up to the age before the outcome assessment. Using a federated-analysis tool (DataSHIELD), we fitted linear and logistic regression models in each cohort separately and then combined the results using random-effects meta-analysis. All the analyses were adjusted for child age (years) and sex, maternal education (low, medium, high), and area-level socioeconomic status (low/medium/high deprived). More than 70% of study participants lived close to green space during pregnancy and childhood period. Preliminary analyses on eight outcomes show no associations between availability of, or accessibility to, green spaces and respiratory (asthma diagnosis, forced expiration volu</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pStyle w:val="Heading2"/>
      </w:pPr>
      <w:r>
        <w:t>743.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2026:</w:t>
      </w:r>
      <w:r>
        <w:t xml:space="preserve"> Digital Transformation and Sustainable Development Goals Disclosure: The Mediating Role of Public Sector Transparency in Europe — https://doi.org/10.3390/su18189316</w:t>
      </w:r>
    </w:p>
    <w:p>
      <w:pPr/>
      <w:r>
        <w:rPr>
          <w:b/>
        </w:rPr>
        <w:t>Shared claim-specific concepts:</w:t>
      </w:r>
      <w:r>
        <w:t xml:space="preserve"> implications, goals, system, based; EU scope visible. This is a provisional connection, not an outcome finding.</w:t>
      </w:r>
    </w:p>
    <w:p>
      <w:pPr>
        <w:pStyle w:val="SourceNote"/>
      </w:pPr>
      <w:r>
        <w:rPr>
          <w:b/>
        </w:rPr>
        <w:t>Available abstract (not full text):</w:t>
      </w:r>
      <w:r>
        <w:t xml:space="preserve"> This study examines the association between national digital transformation and corporate Sustainable Development Goals (SDGs) disclosure and investigates the mediating role of public sector transparency in this relationship. Using an unbalanced panel of 420 EU-listed firms from 20 European Union countries over the period 2019–2024, the study measures SDGs disclosure through a manually constructed content-analysis index based on firms’ reported activities, policies, targets, key performance indicators, and measurable outcomes related to the 17 United Nations SDGs. The empirical analysis employs two-way fixed-effects regressions and country-clustered bootstrap mediation analysis, complemented by System Generalized Method of Moments (System GMM), two-stage least squares (2SLS), and heterogeneity analyses. The findings show that digital transformation is positively associated with public sector transparency and that greater public sector transparency is associated with higher levels of corporate SDGs disclosure. The mediation analysis further reveals a positive and statistically significant implied mediating association between digital transformation and SDGs disclosure through public sector transparency, accounting for approximately 51.4% of the estimated total association. The findings remain robust across alternative specifications and endogeneity tests. This study contributes </w:t>
      </w:r>
    </w:p>
    <w:p>
      <w:pPr/>
      <w:r>
        <w:rPr>
          <w:b/>
        </w:rPr>
        <w:t>POSSIBLE 2026:</w:t>
      </w:r>
      <w:r>
        <w:t xml:space="preserve"> The implications of unification for Germany's role in the European Union. — https://doi.org/10.82444/warw.33741772</w:t>
      </w:r>
    </w:p>
    <w:p>
      <w:pPr/>
      <w:r>
        <w:rPr>
          <w:b/>
        </w:rPr>
        <w:t>Shared claim-specific concepts:</w:t>
      </w:r>
      <w:r>
        <w:t xml:space="preserve"> two, implications, first;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Modeling of root reinforcement of European hornbeam considering the use different fiber bundle models — https://doi.org/10.24425/ace.2026.157490</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This study comprises measurements of root systems of European hornbeam in forests located near Winiary, in the vicinity of Gdów (Wiśnickie Foothills, Poland) and near the town of Kanice (Moravia, Czech Republic). Field research included root measurements using the trench wall method conducted at a distance of approximately 1 m from the tree trunks. Tensile strength of the roots collected from both study sites and the geotechnical properties of the soil were determined in the laboratory. Based on the results of field measurements and laboratory tests, the root reinforcement was calculated using selected fibre bundle models. This study was aimed to compare root systems and mechanical properties of roots of the European hornbeam from the two sites and to compare the root reinforcement results obtained using different bundle models, taking into account different approaches to load distribution. The paper also discusses the impact of the tensile strength-strain characteristics of roots and their orientation relative to the direction of slip plane (zone) on the root reinforcement. The results of laboratory tests showed that tensile strength and elasticity of roots collected from both sites are very similar. Calculations showed that the values of root reinforcement computed using fiber bundle models are even 2.5 times smaller than those obtained from the classic Wu–Waldron model. On t</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pStyle w:val="Heading2"/>
      </w:pPr>
      <w:r>
        <w:t>744.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2026:</w:t>
      </w:r>
      <w:r>
        <w:t xml:space="preserve"> Conditional pathways to loneliness in older adults with vision impairment: a decision-tree analysis — https://doi.org/10.1093/geroni/igag102</w:t>
      </w:r>
    </w:p>
    <w:p>
      <w:pPr/>
      <w:r>
        <w:rPr>
          <w:b/>
        </w:rPr>
        <w:t>Shared claim-specific concepts:</w:t>
      </w:r>
      <w:r>
        <w:t xml:space="preserve"> pathways, vision, lower, robust; EU scope not established. This is a provisional connection, not an outcome finding.</w:t>
      </w:r>
    </w:p>
    <w:p>
      <w:pPr>
        <w:pStyle w:val="SourceNote"/>
      </w:pPr>
      <w:r>
        <w:rPr>
          <w:b/>
        </w:rPr>
        <w:t>Available abstract (not full text):</w:t>
      </w:r>
      <w:r>
        <w:t xml:space="preserve"> Background and Objectives: The prevalence of vision impairment continues to increase globally due to population growth and aging. Among older adults with vision impairment, loneliness is common. Prior studies assessing loneliness risk have relied on regression-based approaches, which may not capture complex, heterogeneous conditional pathways. We apply a theoretically guided machine learning approach to examine loneliness risk among older adults with age-related macular degeneration (AMD). Research Design and Methods: = 80.1 years) enrolled in a randomized controlled trial, we applied a decision tree method using measures of legal blindness, emotional responses to vision loss, social life satisfaction, anxiety, depression, optimism, future planning, and sociodemographic factors to investigate heterogeneous pathways to loneliness. Results: = .78, DeLong 95% confidence interval: 0.68-0.88) and robust classification performance across thresholds. Social life satisfaction emerged as the primary branching condition differentiating loneliness outcomes. Distinct pathways suggested that high social life satisfaction was strongly associated with lower loneliness; optimism served as a compensatory resource when social satisfaction was lower. Additional pathways highlighted the effects of vision loss severity, anxiety, and emotional responses to vision loss on loneliness. Depressive sympt</w:t>
      </w:r>
    </w:p>
    <w:p>
      <w:pPr/>
      <w:r>
        <w:rPr>
          <w:b/>
        </w:rPr>
        <w:t>POSSIBLE 2026:</w:t>
      </w:r>
      <w:r>
        <w:t xml:space="preserve"> Cleaning up cleaning: a pathway to net zero for fast moving consumer goods chemical formulations — https://doi.org/10.3389/frevc.2026.1742124</w:t>
      </w:r>
    </w:p>
    <w:p>
      <w:pPr/>
      <w:r>
        <w:rPr>
          <w:b/>
        </w:rPr>
        <w:t>Shared claim-specific concepts:</w:t>
      </w:r>
      <w:r>
        <w:t xml:space="preserve"> moving, greenhouse, emissions; EU scope not established. This is a provisional connection, not an outcome finding.</w:t>
      </w:r>
    </w:p>
    <w:p>
      <w:pPr>
        <w:pStyle w:val="SourceNote"/>
      </w:pPr>
      <w:r>
        <w:rPr>
          <w:b/>
        </w:rPr>
        <w:t>Available abstract (not full text):</w:t>
      </w:r>
      <w:r>
        <w:t xml:space="preserve"> Household cleaning products and packaged chemicals sold by fast moving consumer goods (FMCG) companies contribute significantly to global emissions. Once used, these products largely enter wastewater systems and degrade into carbon-based greenhouse gases (GHGs). Such end-of-life emissions can account for up to two-thirds of the product's total, but are often overlooked in both environmental assessments and policy. Here, we examine the decarbonization of the FMCG chemical formulations sector, motivated by four questions. First, is it preferable to substitute fossil-based feedstock with bio-based feedstock, or to continue with fossil feedstocks but with capture and permanent storage of the corresponding atmospheric carbon dioxide? Second, how large are the current cost differentials between fossil-based and viable bio-based feedstocks? Third, what is the potential for cost reductions among bio-based feedstocks, given technology learning curves? Fourth, what carbon prices would make bio-based feedstocks competitive with their fossil-based alternatives? The paper concludes with a discussion of policy options to enable the competitiveness of bio-based feedstocks with their fossil carbon equivalents, opening up a pathway to net zero for household chemical formulations.</w:t>
      </w:r>
    </w:p>
    <w:p>
      <w:pPr/>
      <w:r>
        <w:rPr>
          <w:b/>
        </w:rPr>
        <w:t>POSSIBLE 2026:</w:t>
      </w:r>
      <w:r>
        <w:t xml:space="preserve"> 6.4 Vision and pathway development of aqua thermal energy in the EU North Sea region:Version March 2026 — https://openalex.org/W7152935239</w:t>
      </w:r>
    </w:p>
    <w:p>
      <w:pPr/>
      <w:r>
        <w:rPr>
          <w:b/>
        </w:rPr>
        <w:t>Shared claim-specific concepts:</w:t>
      </w:r>
      <w:r>
        <w:t xml:space="preserve"> pathways, vision, actions, enhance; EU scope visible. This is a provisional connection, not an outcome finding.</w:t>
      </w:r>
    </w:p>
    <w:p>
      <w:pPr>
        <w:pStyle w:val="SourceNote"/>
      </w:pPr>
      <w:r>
        <w:rPr>
          <w:b/>
        </w:rPr>
        <w:t>Available abstract (not full text):</w:t>
      </w:r>
      <w:r>
        <w:t xml:space="preserve"> This report presents the outcomes of Work Package 6 (WP6) within the EU Interreg North Sea WaterWarmth Project, focusing on governance, innovation, policy frameworks, and stakeholder engagement for the advancement of aqua thermal energy (AE) systems in the EU North Sea Region. The project aims to accelerate the transition toward sustainable, low-carbon aqua thermal heating and cooling by developing shared strategic knowledge and actionable pathways for AE deployment across six European countries. The central result of WP6 is a co-created vision for aqua thermal energy systems in 2050, supported by country-specific and unified transition pathways spanning the period 2025–2050. The vision was formulated with the WaterWarmth project partners to elicit individual and group level ideas. To enhance the co-creation process, and to apply an innovative mixed methodology approach, Generative Artificial Intelligence (GenAI) was integrated in the process of vision formulation. The vision depicts a fair, sustainable, and community-driven heating system in which decentralized yet interconnected AE networks are owned and managed by local, non-profit cooperatives. These systems ensure affordability, resilience, and secure access to clean heat, while safeguarding aquatic ecosystems. Technological development is another pillar of the vision augmented through smart management systems. To operatio</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pStyle w:val="Heading2"/>
      </w:pPr>
      <w:r>
        <w:t>745.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2026:</w:t>
      </w:r>
      <w:r>
        <w:t xml:space="preserve"> Right Wing Reactionary Populist Radicalism and Migration in Europe — https://doi.org/10.5195/valeus.2026.3</w:t>
      </w:r>
    </w:p>
    <w:p>
      <w:pPr/>
      <w:r>
        <w:rPr>
          <w:b/>
        </w:rPr>
        <w:t>Shared claim-specific concepts:</w:t>
      </w:r>
      <w:r>
        <w:t xml:space="preserve"> findings, migration, countries, between, france, greece; EU scope visible. This is a provisional connection, not an outcome finding.</w:t>
      </w:r>
    </w:p>
    <w:p>
      <w:pPr>
        <w:pStyle w:val="SourceNote"/>
      </w:pPr>
      <w:r>
        <w:rPr>
          <w:b/>
        </w:rPr>
        <w:t>Available abstract (not full text):</w:t>
      </w:r>
      <w:r>
        <w:t xml:space="preserve"> The main purpose of this essay is to assess the relationship between populism and immigration in the European Union. Based on an extensive literature review on the current state of populist movements in the EU as well as on the findings of two sets of comparative fieldwork conducted in various European countries in 2017 (Germany, France, Italy, Greece, and the Netherlands) and between 2020 and 2021 (Germany, France, Italy, and the Netherlands), the essay seeks to understand and explain the relevance of the debates on migration, refugees and Islam with the rise of radical right-wing populism as well as with the current state of the EU. The essay discusses the impact of the growing populist and anti-Muslim sentiments on migration and asylum policies in the EU.</w:t>
      </w:r>
    </w:p>
    <w:p>
      <w:pPr/>
      <w:r>
        <w:rPr>
          <w:b/>
        </w:rPr>
        <w:t>POSSIBLE 2026:</w:t>
      </w:r>
      <w:r>
        <w:t xml:space="preserve"> Rethinking European Migration Through Second-Best Destinations — https://doi.org/10.1007/978-981-92-2630-6_2</w:t>
      </w:r>
    </w:p>
    <w:p>
      <w:pPr/>
      <w:r>
        <w:rPr>
          <w:b/>
        </w:rPr>
        <w:t>Shared claim-specific concepts:</w:t>
      </w:r>
      <w:r>
        <w:t xml:space="preserve"> three, migration, sweden, italy; EU scope visible. This is a provisional connection, not an outcome finding.</w:t>
      </w:r>
    </w:p>
    <w:p>
      <w:pPr>
        <w:pStyle w:val="SourceNote"/>
      </w:pPr>
      <w:r>
        <w:rPr>
          <w:b/>
        </w:rPr>
        <w:t>Available abstract (not full text):</w:t>
      </w:r>
      <w:r>
        <w:t xml:space="preserve"> This chapter develops the theoretical framework of the book by introducing three interrelated concepts: (1) second-best destinations, (2) diasporic marginalities, and (3) learning to stay, to analyze how migration from Turkey unfolds at the edges of Europe’s opportunity structures. It argues that destinations are structurally produced positions within a European migration system that unevenly distribute access, protection, and mobility. Southern Europe, and Italy in particular, emerges as a second-best destination through the combined effects of European migration governance, informal labor market structures, and the foreclosure of preferred alternatives in Northern Europe. The chapter proceeds in three movements. It first traces the consolidation of European migration governance, from the Common European Asylum System and the Dublin Regulation through the EU-Turkey Statement of 2016, showing how supranational frameworks systematically positioned Southern European states as enforcement peripheries while limiting their capacity for long-term protection and incorporation. It then examines Italy’s specific trajectory, from late incorporation into European migration circuits through recurrent regularizations and institutionalized informality, to its current position as a space where migrants can remain but rarely thrive. Finally, it maps the aspirational geographies against which I</w:t>
      </w:r>
    </w:p>
    <w:p>
      <w:pPr/>
      <w:r>
        <w:rPr>
          <w:b/>
        </w:rPr>
        <w:t>POSSIBLE 2026:</w:t>
      </w:r>
      <w:r>
        <w:t xml:space="preserve"> Migration resistance as border politics : counter-imaginaries of EUrope — https://doi.org/10.82444/warw.33687625</w:t>
      </w:r>
    </w:p>
    <w:p>
      <w:pPr/>
      <w:r>
        <w:rPr>
          <w:b/>
        </w:rPr>
        <w:t>Shared claim-specific concepts:</w:t>
      </w:r>
      <w:r>
        <w:t xml:space="preserve"> three, migration, italy; EU scope visible. This is a provisional connection, not an outcome finding.</w:t>
      </w:r>
    </w:p>
    <w:p>
      <w:pPr>
        <w:pStyle w:val="SourceNote"/>
      </w:pPr>
      <w:r>
        <w:rPr>
          <w:b/>
        </w:rPr>
        <w:t>Available abstract (not full text):</w:t>
      </w:r>
      <w:r>
        <w:t xml:space="preserve"> This thesis seeks to conceptualise and mobilise migration resistances as forces of animation through which contemporary forms of EUropean border governance can be productively explored. By following different migration struggles ethnographically, it inquires into their emergence and asks what practices of government and control they reveal. Situated within the academic fields of ‘critical border and migration studies’ and Michel Foucault’s conceptualisations of power, resistance and the art of government, resistance is understood as method. As a set of analytics and catalysts that sets sociopolitical processes and phenomena into frictional motion, resistance is developed as a mode of critical investigation. It is argued that, while always specific and situated, migration struggles form transversal resistances that bring to light particular aspects of the ‘EUropean border dispositif’ which seeks to monitor, regulate and deter certain human mobilities. In a multi-sited ethnography, conducted in diverse borderscapes, heterogeneous struggles are explored. The first study follows the Non-Citizen movement that emerged in Germany and interprets their confrontational and provocative struggle as dissent. The second ethnographic study explores the Boats4People campaign that took place in Italy and Tunisia to protest migrant deaths in the Mediterranean Sea and focuses on their embodied pr</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pStyle w:val="Heading2"/>
      </w:pPr>
      <w:r>
        <w:t>746.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ABSTRACT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Differential impact of gender and socioeconomic indicators on heart failure hospitalisations: A Pan-European population-based time-series analysis — https://doi.org/10.1093/eurheartj/ehaf784.1064</w:t>
      </w:r>
    </w:p>
    <w:p>
      <w:pPr/>
      <w:r>
        <w:rPr>
          <w:b/>
        </w:rPr>
        <w:t>Shared claim-specific concepts:</w:t>
      </w:r>
      <w:r>
        <w:t xml:space="preserve"> average, decline, rate, number, however; EU scope visible. This is a provisional connection, not an outcome finding.</w:t>
      </w:r>
    </w:p>
    <w:p>
      <w:pPr>
        <w:pStyle w:val="SourceNote"/>
      </w:pPr>
      <w:r>
        <w:rPr>
          <w:b/>
        </w:rPr>
        <w:t>Available abstract (not full text):</w:t>
      </w:r>
      <w:r>
        <w:t xml:space="preserve"> Abstract Background Heart failure (HF) is a growing global health challenge, placing an increasing burden on healthcare systems worldwide. There is currently a lack of large-scale multinational studies examining how HF hospitalisation rates vary over time by age and socioeconomic indicators Purpose To examine trends in HF hospitalisation rates across European nations and, assess their association with gender and socioeconomic metrics. Methods Annual HF discharge rates (per 100,000 inhabitants) categorised by sex, along with national socioeconomic data were extracted from the Eurostat and World Bank databases, respectively for the periods 2004-2018. Joinpoint regression was used to analyse trends in discharge rates. Healthcare and socioeconomic metrics were compared between countries with increasing vs. decreasing HF discharge rates for recent years (2014-2018). HF prevalence (per 100,000 inhabitants) from the Global Burden of Disease database was assessed for correlations with discharge rates. Results A total of 19,975,316 HF related hospitalisation were reported across 26 European countries between 2004-2018. Among them, 19 countries showed an increase in HF hospitalisation rates for both sexes. The largest increases were observed in Latvia (+550% males, +510% females), Malta (+188% males, +228% females), and Slovakia (+169% males, +151% females). The largest decrease was seen</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pStyle w:val="Heading2"/>
      </w:pPr>
      <w:r>
        <w:t>747.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2026:</w:t>
      </w:r>
      <w:r>
        <w:t xml:space="preserve"> “Fairness” in Agrifood Systems as Marketing Strategy to Reduce Food Waste by 2027 — https://doi.org/10.54663/2182-9306.2026.specialissuecmth.56-77</w:t>
      </w:r>
    </w:p>
    <w:p>
      <w:pPr/>
      <w:r>
        <w:rPr>
          <w:b/>
        </w:rPr>
        <w:t>Shared claim-specific concepts:</w:t>
      </w:r>
      <w:r>
        <w:t xml:space="preserve"> agrifood, implications, thereby; EU scope visible. This is a provisional connection, not an outcome finding.</w:t>
      </w:r>
    </w:p>
    <w:p>
      <w:pPr>
        <w:pStyle w:val="SourceNote"/>
      </w:pPr>
      <w:r>
        <w:rPr>
          <w:b/>
        </w:rPr>
        <w:t>Available abstract (not full text):</w:t>
      </w:r>
      <w:r>
        <w:t xml:space="preserve"> The complexity of modern agri-food systems, characterized by globalized supply chains and diverse stakeholders, amplifies the risk of waste and increasingly shapes market perceptions and value creation dynamics. Food loss and waste remain a critical challenge, impacting environmental sustainability, economic efficiency, and social equity, as well as consumer trust and brand legitimacy. This study explores the strategic role of fairness in supply chain management (SCM) within the Portuguese agrifood sector, focusing on its potential as a governance and value-signalling factor to achieve ambitious food waste reduction goals by 2027. Fairness could be seeing as a mechanism that enhances transparency, fosters equitable relationships, and mitigates opportunistic behaviours across the supply chain, thereby reinforcing reputational capital and shared value. To address the complexity and future orientation inherent in this topic, and its implications for long-term market positioning, the Delphi method was selected, supported in 24 experts, from Academic, Public and Private sectors. Through successive rounds of structured questionnaires, expert opinions were solicited, evaluated, and refined to forecast two interrelated trajectories for Portugal by 2027: i) local procurement for institutional settings, specifically that all public and private schools will be predominantly supplied by lo</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2025:</w:t>
      </w:r>
      <w:r>
        <w:t xml:space="preserve"> Agrifood policy after Brexit: The growing role of agroecology in Wales — https://doi.org/10.1016/j.jrurstud.2024.103559</w:t>
      </w:r>
    </w:p>
    <w:p>
      <w:pPr/>
      <w:r>
        <w:rPr>
          <w:b/>
        </w:rPr>
        <w:t>Shared claim-specific concepts:</w:t>
      </w:r>
      <w:r>
        <w:t xml:space="preserve"> trade, agrifood, general, implications; EU scope not established. This is a provisional connection, not an outcome finding.</w:t>
      </w:r>
    </w:p>
    <w:p>
      <w:pPr>
        <w:pStyle w:val="SourceNote"/>
      </w:pPr>
      <w:r>
        <w:rPr>
          <w:b/>
        </w:rPr>
        <w:t>Available abstract (not full text):</w:t>
      </w:r>
      <w:r>
        <w:t xml:space="preserve"> The UK's exit from the Common Agricultural Policy has created an opportunity for significant agrifood policy change. In Wales, plans to implement a ‘Community Food Strategy’ promise to lend more support to domestic, community-based, and ecologically sustainable food provision, echoing policy demands made by agroecological organisations. However, The Welsh agrifood system's specialisation around meat production and trade stand in direct opposition to these ambitions. This paper analyses the Welsh government's reforms in light of these tensions to explain what achievements and challenges a small, trade-dependent nation faces when attempting to change its agrifood system. It examines policy claims and advocacy activities by agroecological organisations, assesses to what extent the government addresses those claims, and discusses the overall trajectory of Welsh agrifood policy. The paper draws on ‘Foundational Economy’ scholarship to conceptualise agroecology as a socio-ecological innovation capable of informing large-scale sustainability transitions through active citizenship and policy change. Empirical data is drawn from qualitative analyses of policy documents and interviews with agroecological organisations. The paper finds that agroecological organisations provide the Welsh Government with arguments, data, and best practices, but struggle to see their more ambitious claims im</w:t>
      </w:r>
    </w:p>
    <w:p>
      <w:pPr/>
      <w:r>
        <w:rPr>
          <w:b/>
        </w:rPr>
        <w:t>POSSIBLE 2025:</w:t>
      </w:r>
      <w:r>
        <w:t xml:space="preserve"> AGRIFOOD SUPPLY CHAIN SUSTAINABILITY FOR PERISHABLE GOODS SHIPMENT — https://doi.org/10.70382/tijasdr.v10i2.066</w:t>
      </w:r>
    </w:p>
    <w:p>
      <w:pPr/>
      <w:r>
        <w:rPr>
          <w:b/>
        </w:rPr>
        <w:t>Shared claim-specific concepts:</w:t>
      </w:r>
      <w:r>
        <w:t xml:space="preserve"> agrifood, different, independent; EU scope not established. This is a provisional connection, not an outcome finding.</w:t>
      </w:r>
    </w:p>
    <w:p>
      <w:pPr>
        <w:pStyle w:val="SourceNote"/>
      </w:pPr>
      <w:r>
        <w:rPr>
          <w:b/>
        </w:rPr>
        <w:t>Available abstract (not full text):</w:t>
      </w:r>
      <w:r>
        <w:t xml:space="preserve"> The management of transportation, warehousing, and distribution of perishable goods from the farm to consumers zone has been major concern in the agri-food industry, considering decay of products and effect of methane gas to the environment from this decayed product. A multi-period, strategic and tactical planning model was developed to take care of shipment route for these perishable goods from the farm gate to the consumer’s zone with different cold-hubs via different routes options. The S-T model addressed sensitivity and ambiguity associated with seasonal demand and product loss due to delay in shipment, to ensure timely and efficient delivery of products. Five contradicting objectives (Profit, Power Rating, Credit Performance, Response time and Distributors Reputation) were optimized, initially a single objective optimization was employed to attain a single best solution and then a multi-objective optimization to achieve a compromise solution using Chebyshev goal programming. The model bases its analysis on five objective factors: customer response time, power rating, credit performance, distributor reputation, and profit. Following the tactical and strategic requirements in the aforementioned S-T framework, only three distribution centers of mixed capacity were established for a mid-term planning. In addition to determining the location and capacity of each cold hub, the </w:t>
      </w:r>
    </w:p>
    <w:p>
      <w:pPr/>
      <w:r>
        <w:rPr>
          <w:b/>
        </w:rPr>
        <w:t>POSSIBLE 2025:</w:t>
      </w:r>
      <w:r>
        <w:t xml:space="preserve"> Spatial Imaginaries and the Geopolitics of Trade: A Constructivist Perspective — https://doi.org/10.1080/14650045.2025.2578629</w:t>
      </w:r>
    </w:p>
    <w:p>
      <w:pPr/>
      <w:r>
        <w:rPr>
          <w:b/>
        </w:rPr>
        <w:t>Shared claim-specific concepts:</w:t>
      </w:r>
      <w:r>
        <w:t xml:space="preserve"> trade, perspective, focus, relations; EU scope visible. This is a provisional connection, not an outcome finding.</w:t>
      </w:r>
    </w:p>
    <w:p>
      <w:pPr>
        <w:pStyle w:val="SourceNote"/>
      </w:pPr>
      <w:r>
        <w:rPr>
          <w:b/>
        </w:rPr>
        <w:t>Available abstract (not full text):</w:t>
      </w:r>
      <w:r>
        <w:t xml:space="preserve"> This Special Issue explores the spatial politics of trade through a constructivist lens. While recent debates in international trade policy have emphasised geostrategic concerns, we argue that space in trade governance is not merely a geopolitical backdrop, but a politically contested arena. The establishment, management, and contestation of trade relations are shaped by, and contribute to, social constructions of space, including the power structures that underpin them. Borrowing from political geography and the literature on spatial imaginaries, we set out the conceptual categories and guiding questions that structure this Special Issue. We examine how trade policies construct spatial imaginaries that reflect and reproduce geopolitical hierarchies, particularly between the Global South and North. With a focus on the trade politics of the European Union and the United Kingdom, we demonstrate why it is beneficial to analyse trade through a nuanced conceptualisation that understands space as contingently constructed, rather than as a neutral container.</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trade, perspective, focus, states;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Scientific and Political Narratives: Discursive Strategies in EU Agrifood Policies and Legislation — https://openalex.org/W7126729200</w:t>
      </w:r>
    </w:p>
    <w:p>
      <w:pPr/>
      <w:r>
        <w:rPr>
          <w:b/>
        </w:rPr>
        <w:t>Shared claim-specific concepts:</w:t>
      </w:r>
      <w:r>
        <w:t xml:space="preserve"> focus, agrifood, different; EU scope visible. This is a provisional connection, not an outcome finding.</w:t>
      </w:r>
    </w:p>
    <w:p>
      <w:pPr>
        <w:pStyle w:val="SourceNote"/>
      </w:pPr>
      <w:r>
        <w:rPr>
          <w:b/>
        </w:rPr>
        <w:t>Available abstract (not full text):</w:t>
      </w:r>
      <w:r>
        <w:t xml:space="preserve"> This article analyzes the European Commission’s justification of legislation through a modern dualistic framework, contrasting scientific (objective) and political (subjective) narratives: the political narrative, reflecting the will of the people, and the scientific narrative, grounded in technical harmonization, evidence, and data. The research focuses on the uses and strategic shifts in the Commission’s justifications, particularly the transition from scientific to political narratives. Despite claims of a "more political" Commission, as articulated in Juncker’s State of the Union addresses, we hypothesize that the Commission effectively operates within both narratives and strategically shifts its narrative register to enhance legitimacy. Our approach is interdisciplinary, combining EU law in context, legal philosophy, political science, and formal legislative motivation, alongside discursive analysis methods (Narrative Policy Framework). By analyzing various agrifood cases in which the Commission communicates across different forums (COFE, EC-Biotech and EC-Hormone litigation), with a particular focus on the proposal for a regulation on new genomic techniques (NGT), this article concludes that the Commission strategically utilizes both scientific and political narratives in a complementary manner, depending on the subject matter and the institutions involved.</w:t>
      </w:r>
    </w:p>
    <w:p>
      <w:pPr>
        <w:pStyle w:val="Heading2"/>
      </w:pPr>
      <w:r>
        <w:t>748.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2026:</w:t>
      </w:r>
      <w:r>
        <w:t xml:space="preserve"> Prediction of Retired EV Batteries’ Usable Capacity for Repurposing in Second-Life Applications — https://doi.org/10.3390/technologies14020124</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Increasing electric vehicle (EV) adoption raises concerns about EV waste management and the impact on the environment. To improve energy efficiency and exploit their remaining usable capacity, the retired batteries may be repurposed in second-life applications. This paper predicts the usable second-life capacity of retired EV batteries, considering the European Union (EU) regulation regarding the mandatory recycled critical material quotas in newly manufactured batteries from 2031 onwards. Based on political influences and the market’s capacity to return to pre-pandemic values, four scenarios are proposed regarding future EV sales in the EU market. The algorithm implemented in Matlab R2025a indicates the batteries that must be recycled to meet the mandatory targets and the ones that can be repurposed as battery energy storage systems. Historical data and future predictions are used to determine the number of EV batteries sold, lifetime, the market’s chemistry share and the usable capacity for second life. The annual mandatory recycled critical material content is compared to the available recyclable mass from both retired batteries in the current year and those that are already active in their second life. The economic analysis reveals the scenario with the highest total revenue, including the cascade benefits and recycling value.</w:t>
      </w:r>
    </w:p>
    <w:p>
      <w:pPr/>
      <w:r>
        <w:rPr>
          <w:b/>
        </w:rPr>
        <w:t>POSSIBLE 2026:</w:t>
      </w:r>
      <w:r>
        <w:t xml:space="preserve"> Household Economic Status and Migration: Evidence from Central and Eastern European Countries — https://doi.org/10.54694/dem.0377</w:t>
      </w:r>
    </w:p>
    <w:p>
      <w:pPr/>
      <w:r>
        <w:rPr>
          <w:b/>
        </w:rPr>
        <w:t>Shared claim-specific concepts:</w:t>
      </w:r>
      <w:r>
        <w:t xml:space="preserve"> data, migration, between, countries; EU scope visible. This is a provisional connection, not an outcome finding.</w:t>
      </w:r>
    </w:p>
    <w:p>
      <w:pPr>
        <w:pStyle w:val="SourceNote"/>
      </w:pPr>
      <w:r>
        <w:rPr>
          <w:b/>
        </w:rPr>
        <w:t>Available abstract (not full text):</w:t>
      </w:r>
      <w:r>
        <w:t xml:space="preserve"> Migration has been a defining phenomenon in Eastern Europe since the fall of the Iron Curtain and has intensified with the free movement of people within the European Union. This paper examines the relationship between migration and household economic conditions, an area that has received limited empirical attention. Using panel data for 11 Central and Eastern European EU member states from 2013 to 2023, the study analyses how household financial indicators influence net migration balances. The empirical analysis applies panel regression techniques, including pooled OLS, random effects, and fixed effects models. The results show that household net financial assets and household investment rates are significant predictors of migration outcomes, while household savings and debt exhibit weaker or insignificant effects. These findings suggest that household-level economic resources and investment capacity play an important role in shaping migration dynamics in Eastern Europe. By connecting standardized household economic indicators to migration patterns, the paper provides new comparative evidence with relevant implications for migration and economic policy in the region.</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pStyle w:val="Heading2"/>
      </w:pPr>
      <w:r>
        <w:t>749.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2026:</w:t>
      </w:r>
      <w:r>
        <w:t xml:space="preserve"> Battlelines of Accountability: The Discursive Production of Digital Responsibility — https://doi.org/10.1007/s10551-026-06308-6</w:t>
      </w:r>
    </w:p>
    <w:p>
      <w:pPr/>
      <w:r>
        <w:rPr>
          <w:b/>
        </w:rPr>
        <w:t>Shared claim-specific concepts:</w:t>
      </w:r>
      <w:r>
        <w:t xml:space="preserve"> discursive, about, constructed; EU scope not established. This is a provisional connection, not an outcome finding.</w:t>
      </w:r>
    </w:p>
    <w:p>
      <w:pPr>
        <w:pStyle w:val="SourceNote"/>
      </w:pPr>
      <w:r>
        <w:rPr>
          <w:b/>
        </w:rPr>
        <w:t>Available abstract (not full text):</w:t>
      </w:r>
      <w:r>
        <w:t xml:space="preserve"> Abstract Public inquiries have become pivotal arenas in which the ethical responsibilities of digital platforms are publicly constructed and contested. Yet scholarship has paid limited attention to the linguistic mechanisms through which these contests unfold. This paper examines the 2024 Australian Joint Select Committee on Social Media and Australian Society as a high-stakes moral forum in which technology firms, regulators, and civil society actors engage in discursive struggles over adolescent harm and platform responsibility. Drawing on a qualitative analysis of more than 3000 pages of submissions and hearing transcripts, we show that accountability in this setting is not simply revealed but actively produced through language. Extending prior research on dialogic accountability, we incorporate Searle’s speech act theory to identify how presuppositions and indirect speech acts function as micro-level tools for shaping epistemic contests about what harms occur and responsibility contests about who ought to be held to account. Our findings demonstrate that corporate actors often deploy these linguistic devices to maintain ambiguity, diffuse blame, or perform symbolic responsibility, while legislators and advocates use them to assert duties, establish harms, and press for substantive accountability. We argue that “digital responsibility” emerges as a contingent discursive acco</w:t>
      </w:r>
    </w:p>
    <w:p>
      <w:pPr/>
      <w:r>
        <w:rPr>
          <w:b/>
        </w:rPr>
        <w:t>POSSIBLE 2026:</w:t>
      </w:r>
      <w:r>
        <w:t xml:space="preserve"> Learning as Governance: Discursive Constructions of Learning in the Postdigital Knowledge Economy — https://doi.org/10.1007/978-3-032-21956-5_2</w:t>
      </w:r>
    </w:p>
    <w:p>
      <w:pPr/>
      <w:r>
        <w:rPr>
          <w:b/>
        </w:rPr>
        <w:t>Shared claim-specific concepts:</w:t>
      </w:r>
      <w:r>
        <w:t xml:space="preserve"> logics, discursive, constructed; EU scope visible. This is a provisional connection, not an outcome finding.</w:t>
      </w:r>
    </w:p>
    <w:p>
      <w:pPr>
        <w:pStyle w:val="SourceNote"/>
      </w:pPr>
      <w:r>
        <w:rPr>
          <w:b/>
        </w:rPr>
        <w:t>Available abstract (not full text):</w:t>
      </w:r>
      <w:r>
        <w:t xml:space="preserve"> This chapter traces the reconfiguration of education from the ideal of the knowledge society to the imperatives of the knowledge economy, showing how human and social capital have become central categories of neoliberal governance. It argues that learning is increasingly constructed as an individualized project of adaptability, responsibilization, and self-optimization, mediated by digital infrastructures that intensify surveillance and inequality. Grounded in the post-socialist transformations of Central and Eastern Europe, and Poland in particular, the analysis reveals a hybrid landscape in which neoliberal, nationalist, and technocratic logics intersect. The chapter highlights how the postdigital condition redefines both the purposes of schooling and what it means to be a learner, turning education into a contested arena where the promise of emancipation is undercut by regulation and stratification.</w:t>
      </w:r>
    </w:p>
    <w:p>
      <w:pPr/>
      <w:r>
        <w:rPr>
          <w:b/>
        </w:rPr>
        <w:t>POSSIBLE 2026:</w:t>
      </w:r>
      <w:r>
        <w:t xml:space="preserve"> Inclusive leadership as a discursive-rhetorical practice: A conceptual framework of discourse, identity and power — https://doi.org/10.29107/rr2026.3.7</w:t>
      </w:r>
    </w:p>
    <w:p>
      <w:pPr/>
      <w:r>
        <w:rPr>
          <w:b/>
        </w:rPr>
        <w:t>Shared claim-specific concepts:</w:t>
      </w:r>
      <w:r>
        <w:t xml:space="preserve"> proposes, discursive, construction, conditions, climate; EU scope not established. This is a provisional connection, not an outcome finding.</w:t>
      </w:r>
    </w:p>
    <w:p>
      <w:pPr>
        <w:pStyle w:val="SourceNote"/>
      </w:pPr>
      <w:r>
        <w:rPr>
          <w:b/>
        </w:rPr>
        <w:t>Available abstract (not full text):</w:t>
      </w:r>
      <w:r>
        <w:t xml:space="preserve"> Inclusive leadership is most commonly conceptualized as a behavioral style, psychological climate or managerial practice that promotes participation, belongingness and recognition. While these approaches have generated important insights, they provide only limited explanation of how inclusion is communicatively sustained within organizations. This article develops a conceptual framework for understanding inclusive leadership as a discursive-rhetorical practice of power. Drawing on a critical narrative synthesis of rhetorical theory, discourse studies and leadership scholarship, the article argues that inclusion is not a stable organizational condition, but a communicative accomplishment. The study proposes a three-dimensional framework composed of discursive construction, identity formation and power mediation that explains how rhetorical mechanisms (particularly logos, ethos and pathos) shape the meanings of inclusion, legitimize organizational identities and regulate participation under different institutional conditions. By integrating classical rhetoric and contemporary leadership theory, the article contributes a more precise account of how inclusion is rhetorically enabled, constrained and contested.</w:t>
      </w:r>
    </w:p>
    <w:p>
      <w:pPr/>
      <w:r>
        <w:rPr>
          <w:b/>
        </w:rPr>
        <w:t>POSSIBLE 2026:</w:t>
      </w:r>
      <w:r>
        <w:t xml:space="preserve"> Expert knowledge dissemination online: Discursive choices, roles enacted and authorial voice constructed — https://doi.org/10.1177/14614456261477531</w:t>
      </w:r>
    </w:p>
    <w:p>
      <w:pPr/>
      <w:r>
        <w:rPr>
          <w:b/>
        </w:rPr>
        <w:t>Shared claim-specific concepts:</w:t>
      </w:r>
      <w:r>
        <w:t xml:space="preserve"> proposes, discursive, construction, constructed; EU scope not established. This is a provisional connection, not an outcome finding.</w:t>
      </w:r>
    </w:p>
    <w:p>
      <w:pPr>
        <w:pStyle w:val="SourceNote"/>
      </w:pPr>
      <w:r>
        <w:rPr>
          <w:b/>
        </w:rPr>
        <w:t>Available abstract (not full text):</w:t>
      </w:r>
      <w:r>
        <w:t xml:space="preserve"> A wide range of digital practices are currently employed to disseminate specialised knowledge beyond expert communities. Expert knowledge needs to be recontextualised so that it becomes accessible, understood an acceptable to diversified audiences with varying levels of expertise. How knowledge brokers construct and project their authorial voice plays a key role in this endeavour. This paper proposes a framework for analysing the construction of authorial voice in digital practices that recontextualise expert knowledge, based on the discursive choices made by knowledge brokers and the discursive roles enacted through them. The framework is applied to a corpus of 40 digital dissemination texts: 20 author-generated texts published in The Conversation and 20 writer-mediated research digests in two disciplines: Economy and Natural Sciences. Overall results show that Stance-taking and Comprehensibility roles are more prominent than Credibility and especially Engagement roles. Differences are observed in the Credibility roles enacted by knowledge producers versus mediators, and in Stance-taking across disciplines. The results offer insights into how expert knowledge is disseminated in trustworthy digital sources and can inform more critical consumption and production of such practices.</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2025:</w:t>
      </w:r>
      <w:r>
        <w:t xml:space="preserve"> A Reconceptualization of Schooling and Teaching: A Renewed Interest in Bildung‐Oriented Didaktik and Transactional Realism — https://doi.org/10.1111/edth.12687</w:t>
      </w:r>
    </w:p>
    <w:p>
      <w:pPr/>
      <w:r>
        <w:rPr>
          <w:b/>
        </w:rPr>
        <w:t>Shared claim-specific concepts:</w:t>
      </w:r>
      <w:r>
        <w:t xml:space="preserve"> reconceptualization, about, outcomes; EU scope not established. This is a provisional connection, not an outcome finding.</w:t>
      </w:r>
    </w:p>
    <w:p>
      <w:pPr>
        <w:pStyle w:val="SourceNote"/>
      </w:pPr>
      <w:r>
        <w:rPr>
          <w:b/>
        </w:rPr>
        <w:t>Available abstract (not full text):</w:t>
      </w:r>
      <w:r>
        <w:t xml:space="preserve"> Abstract This study aims to contribute to the ongoing scholarly conversation about education through the lenses of the German philosophy of Bildung and the American philosophy of pragmatism. More concretely, in this article, the two philosophies are represented by the traditions of critical‐constructive Didaktik, based on Wolfgang Klafki's work, and transactional realism, based on John Dewey's. Against the background of the widespread outcomes‐based modes of education today, the authors seek to shed light on the necessary reconceptualization of schooling and teaching and to explore the possibilities for constructive routes forward for curriculum theorizing. They outline the aspects of knowledge and the learning concepts that the two philosophies share and those about which they differ. The authors also analyze the consequences that these similarities and differences have for the educational approaches of critical‐constructive Didaktik and transactional realism. Finally, the authors present an empirical example from a Swedish year‐eight classroom, drawing conclusions based on their findings and considering corresponding implications about the two traditions' potential to contribute to an understanding of teaching as a pedagogical responsibility.</w:t>
      </w:r>
    </w:p>
    <w:p>
      <w:pPr/>
      <w:r>
        <w:rPr>
          <w:b/>
        </w:rPr>
        <w:t>POSSIBLE 2025:</w:t>
      </w:r>
      <w:r>
        <w:t xml:space="preserve"> Migration and Racialization in Times of “Crisis” — https://doi.org/10.1353/book.136296</w:t>
      </w:r>
    </w:p>
    <w:p>
      <w:pPr/>
      <w:r>
        <w:rPr>
          <w:b/>
        </w:rPr>
        <w:t>Shared claim-specific concepts:</w:t>
      </w:r>
      <w:r>
        <w:t xml:space="preserve"> racial, logics, face; EU scope not established. This is a provisional connection, not an outcome finding.</w:t>
      </w:r>
    </w:p>
    <w:p>
      <w:pPr>
        <w:pStyle w:val="SourceNote"/>
      </w:pPr>
      <w:r>
        <w:rPr>
          <w:b/>
        </w:rPr>
        <w:t>Available abstract (not full text):</w:t>
      </w:r>
      <w:r>
        <w:t xml:space="preserve"> List of Figures and Tablesthis work are inscribed in the racial, gendered, and capitalist logics of this system we critique.Although we, as editors, do not all share the same racial positions, nor do we face the same oppressions or privileges, we are critically engaged through our profession in the neoliberal university.As much as the university constitutes a propitious space for the critique of racial capitalism, patriarchy, heteronormativity, and other systemic violence, we are aware that it also participates in such violence (Chatterjee &amp; Maira, 2014) and mobilizes the notion of crisis specific to neoliberal logic (see Pasipanodya &amp; Chowdhury, this volume) and academic capitalism (Boggs &amp; Mitchell</w:t>
      </w:r>
    </w:p>
    <w:p>
      <w:pPr/>
      <w:r>
        <w:rPr>
          <w:b/>
        </w:rPr>
        <w:t>POSSIBLE 2025:</w:t>
      </w:r>
      <w:r>
        <w:t xml:space="preserve"> Negotiating Opera : Discursive Representations, Democratic Accessibility and Social Media Branding — https://openalex.org/W7111780263</w:t>
      </w:r>
    </w:p>
    <w:p>
      <w:pPr/>
      <w:r>
        <w:rPr>
          <w:b/>
        </w:rPr>
        <w:t>Shared claim-specific concepts:</w:t>
      </w:r>
      <w:r>
        <w:t xml:space="preserve"> proposes, form, discursive, about, constructed; EU scope not established. This is a provisional connection, not an outcome finding.</w:t>
      </w:r>
    </w:p>
    <w:p>
      <w:pPr>
        <w:pStyle w:val="SourceNote"/>
      </w:pPr>
      <w:r>
        <w:rPr>
          <w:b/>
        </w:rPr>
        <w:t>Available abstract (not full text):</w:t>
      </w:r>
      <w:r>
        <w:t xml:space="preserve"> This thesis examines opera as a discursive cultural and social phenomenon, constructed not only within theatrical spaces but also in production practices and public discussions that extend beyond a music-theatrical performance. Focusing on discussions of opera in the media landscape of the early 21st century as related to the democratization challenges around an art form traditionally understood as high and elitist, this approach brings novel perspectives to the relationship between opera and society. More specifically, negotiating opera encompasses the idea that opera is a discursive construct that is subject to continuous negotiations in which meanings and values are produced and reproduced. The aim of this thesis is to (i) identify and examine perceptions of opera in contemporary society and (ii) understand how these perceptions are formed and how they relate to wider cultural trends. This aim leads to two main research questions: “What kind of perceptions of opera as a cultural phenomenon are construed on public discussion arenas, such as newspapers and social media, and in official public communications of opera institutions, in Nordic welfare societies?”, and “How do digitalization and changes in cultural production, including the media landscape, influence the perceived meaning and value of opera in contemporary society?”. These processes are studied in three sub-studies</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pStyle w:val="Heading2"/>
      </w:pPr>
      <w:r>
        <w:t>750.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2026:</w:t>
      </w:r>
      <w:r>
        <w:t xml:space="preserve"> Emerging typologies for sustainable urbanism in the 21st century: the case of high-density housing blocks with shared courtyards in Central and Northern Europe — https://openalex.org/W7217440646</w:t>
      </w:r>
    </w:p>
    <w:p>
      <w:pPr/>
      <w:r>
        <w:rPr>
          <w:b/>
        </w:rPr>
        <w:t>Shared claim-specific concepts:</w:t>
      </w:r>
      <w:r>
        <w:t xml:space="preserve"> case, northern, used, open, after; EU scope visible. This is a provisional connection, not an outcome finding.</w:t>
      </w:r>
    </w:p>
    <w:p>
      <w:pPr>
        <w:pStyle w:val="SourceNote"/>
      </w:pPr>
      <w:r>
        <w:rPr>
          <w:b/>
        </w:rPr>
        <w:t>Available abstract (not full text):</w:t>
      </w:r>
      <w:r>
        <w:t xml:space="preserve"> This doctoral thesis investigates high-density shared-courtyard housing as an emerging typology in Central and Northern Europe (2005–2025) and asks how evidence-based precedent analysis can inform sustainable urbanism. The aim is to convert built precedents into comparable design intelligence using a tri-lens framework—physical form, operational functioning, and environmental performance—so that early decisions balance density, daylight, and social sustainability. A sample of 46 delivered blocks is analysed with form, operational and performance metrics to: floor area ratio (FAR), courtyard share (CR), footprint coverage, height; access orientation, residents per entrance, and communal area per resident; configurational legibility and visual choice via Visibility Graph Analysis; and a conservative winter-solstice noon daylight screen. Cases are grouped by intensity bands (Open ≤200% Adaptive 200–270%, Compact ≥270% and by epochs (E1–E3). Quality controls include unit standardisation, cross-source triangulation, non-parametric statistics, and pre-specified robustness checks; a Courtyard Load Index is used diagnostically. Findings show a predictable enclosure gradient: as intensity rises, courtyard share declines while coverage and storeys increase; wing depth remains mid-range. Operationally, street-facing access and legibility persist, but visual choice and communal m² per resi</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Wood exploitation in northern Europe during the Early Neolithic: The case study of the Funnel Beaker site of Frydenlund, ca. 3600 BCE — https://doi.org/10.1016/j.jasrep.2025.105255</w:t>
      </w:r>
    </w:p>
    <w:p>
      <w:pPr/>
      <w:r>
        <w:rPr>
          <w:b/>
        </w:rPr>
        <w:t>Shared claim-specific concepts:</w:t>
      </w:r>
      <w:r>
        <w:t xml:space="preserve"> case, northern, different, possible; EU scope visible. This is a provisional connection, not an outcome finding.</w:t>
      </w:r>
    </w:p>
    <w:p>
      <w:pPr>
        <w:pStyle w:val="SourceNote"/>
      </w:pPr>
      <w:r>
        <w:rPr>
          <w:b/>
        </w:rPr>
        <w:t>Available abstract (not full text):</w:t>
      </w:r>
      <w:r>
        <w:t xml:space="preserve"> Understanding the interaction between people and their environment during the neolithization process in northern Europe requires detailed knowledge of wood exploitation by Funnel Beaker societies (4000–2800 BCE). However, although many sites from this culture are known, wood and/or charcoal analyses from such sites are scarcely available. Moreover, the focus of such analyses is often on the reconstruction of the former vegetation, while the possible selective use of wood for specific purposes is rarely investigated. Here, we present the results of a detailed charcoal analysis from the well-dated Early Neolithic site of Frydenlund in present-day Denmark. The charcoal assemblage from Frydenlund, complementing the available archaeobotanical and palynological data, indicates the presence and exploitation of deciduous woodland. Comparisons of the various samples and contexts indicate that the charcoal from all different types of archaeological contexts primarily represents secondarily deposited material. While the site only offers limited information about the possible selective use of wood, the outcomes offer a new, detailed insight into the site deposition processes at Frydenlund, highlighting the potential of archaeobotany, including wood analysis, that is of methodological relevance for the understanding of archaeological sites in any region and dating to any period. The assembl</w:t>
      </w:r>
    </w:p>
    <w:p>
      <w:pPr/>
      <w:r>
        <w:rPr>
          <w:b/>
        </w:rPr>
        <w:t>POSSIBLE 2025:</w:t>
      </w:r>
      <w:r>
        <w:t xml:space="preserve"> Suspected Sources of Infection and Transmission Factors Associated With Campylobacteriosis in Northern Portugal — https://doi.org/10.1111/zph.70015</w:t>
      </w:r>
    </w:p>
    <w:p>
      <w:pPr/>
      <w:r>
        <w:rPr>
          <w:b/>
        </w:rPr>
        <w:t>Shared claim-specific concepts:</w:t>
      </w:r>
      <w:r>
        <w:t xml:space="preserve"> northern, portugal, local, possible; EU scope visible. This is a provisional connection, not an outcome finding.</w:t>
      </w:r>
    </w:p>
    <w:p>
      <w:pPr>
        <w:pStyle w:val="SourceNote"/>
      </w:pPr>
      <w:r>
        <w:rPr>
          <w:b/>
        </w:rPr>
        <w:t>Available abstract (not full text):</w:t>
      </w:r>
      <w:r>
        <w:t xml:space="preserve"> INTRODUCTION: Campylobacteriosis is considered the most common bacterial cause of human gastroenteritis worldwide, with food being one of the main sources of infection. The occurrence of human campylobacteriosis, however, may differ between geographical areas and other factors. Our study aims to identify possible sources of Campylobacter infection in the Northern region of Portugal. METHODS: A cross-sectional study was conducted, including all laboratory-confirmed campylobacteriosis cases notified through the Portuguese epidemiological surveillance system (SINAVE) between 2015 and 2017. We analysed socio-demographic and exposure variables, including contact with other ill individuals, contact with animals, consumption of suspect food items, consumption of non-controlled water and travelling. RESULTS: A total of 683 confirmed campylobacteriosis cases were reported between 2015 and 2017 in the Northern region of Portugal, corresponding to a notification rate of 6.3 per 100,000 population. The median age was 2 years old (IQR 0.96-4.6); 58.3% were male. Close contact with animals was the most common exposure (50.2%), followed by consumption of non-controlled water (26.1%), suspect food consumption (13.8%) and contact with ill individuals (8.8%). Campylobacteriosis cases from the Tâmega e Sousa subregion were more frequently exposed to non-controlled water (46.0% vs. 26.1%) than in </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pStyle w:val="Heading2"/>
      </w:pPr>
      <w:r>
        <w:t>751.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2026:</w:t>
      </w:r>
      <w:r>
        <w:t xml:space="preserve"> Fluorescence testing of European beech in the Northern Podillia National Nature Park — https://doi.org/10.33730/2310-4678.1.2026.359979</w:t>
      </w:r>
    </w:p>
    <w:p>
      <w:pPr/>
      <w:r>
        <w:rPr>
          <w:b/>
        </w:rPr>
        <w:t>Shared claim-specific concepts:</w:t>
      </w:r>
      <w:r>
        <w:t xml:space="preserve"> test, potential, method; EU scope visible. This is a provisional connection, not an outcome finding.</w:t>
      </w:r>
    </w:p>
    <w:p>
      <w:pPr>
        <w:pStyle w:val="SourceNote"/>
      </w:pPr>
      <w:r>
        <w:rPr>
          <w:b/>
        </w:rPr>
        <w:t>Available abstract (not full text):</w:t>
      </w:r>
      <w:r>
        <w:t xml:space="preserve"> The fluorescent parameters of European beech (Fagus sylvatica L.) were investigated in forest communities of the Northern Podillia National Nature Park. The scientific and practical significance of analyzing fluorescent parameters for integrated monitoring of forest ecosystem condition is substantiated. The relevance of monitoring studies of dendroflora lies in establishing a baseline of environmental data to assess the state and dynamics of the park’s ecosystems. Reconnaissance surveys of forest stands were conducted, and fluorescence intensity was measured in trees of different age classes growing under diverse forest ecological conditions. Based on the numerical characteristics of fluorescence intensity dynamics, a tree vitality index and indicator parameters reflecting the influence of exogenous and endogenous factors were calculated. The highest vitality index values were recorded for old-growth trees, attributed to optimal light conditions and site characteristics. In contrast, understory saplings exhibited reduced vitality index values due to decreased light availability, reflecting a decline in the potential activity of the photosynthetic apparatus. Variations in the tree vitality index were observed across different site conditions. The observed decrease in vitality index values is associated with relatively lower soil fertility and water availability, reflecting stres</w:t>
      </w:r>
    </w:p>
    <w:p>
      <w:pPr/>
      <w:r>
        <w:rPr>
          <w:b/>
        </w:rPr>
        <w:t>POSSIBLE 2025:</w:t>
      </w:r>
      <w:r>
        <w:t xml:space="preserve"> Selenium in cancer management: exploring the therapeutic potential — https://doi.org/10.3389/fonc.2024.1490740</w:t>
      </w:r>
    </w:p>
    <w:p>
      <w:pPr/>
      <w:r>
        <w:rPr>
          <w:b/>
        </w:rPr>
        <w:t>Shared claim-specific concepts:</w:t>
      </w:r>
      <w:r>
        <w:t xml:space="preserve"> potential, exploring; EU scope not established. This is a provisional connection, not an outcome finding.</w:t>
      </w:r>
    </w:p>
    <w:p>
      <w:pPr>
        <w:pStyle w:val="SourceNote"/>
      </w:pPr>
      <w:r>
        <w:rPr>
          <w:b/>
        </w:rPr>
        <w:t>Available abstract (not full text):</w:t>
      </w:r>
      <w:r>
        <w:t xml:space="preserve"> Selenium (Se) is important and plays significant roles in many biological processes or physiological activities. Prolonged selenium deficiency has been conclusively linked to an elevated risk of various diseases, including but not limited to cancer, cardiovascular disease, inflammatory bowel disease, Keshan disease, and acquired immunodeficiency syndrome. The intricate relationship between selenium status and health outcomes is believed to be characterized by a non-linear U-shaped dose-response curve. This review delves into the significance of maintaining optimal selenium levels and the detrimental effects that can arise from selenium deficiency. Of particular interest is the important role that selenium plays in both prevention and treatment of cancer. Finally, this review also explores the diverse classes of selenium entities, encompassing selenoproteins, selenium compounds and selenium nanoparticles, while examining the mechanisms and molecular targets of their anticancer efficacy.</w:t>
      </w:r>
    </w:p>
    <w:p>
      <w:pPr/>
      <w:r>
        <w:rPr>
          <w:b/>
        </w:rPr>
        <w:t>POSSIBLE 2025:</w:t>
      </w:r>
      <w:r>
        <w:t xml:space="preserve"> Exploring the potential of computer simulation models in drug testing and biomedical research: a systematic review — https://doi.org/10.3389/fphar.2025.1644907</w:t>
      </w:r>
    </w:p>
    <w:p>
      <w:pPr/>
      <w:r>
        <w:rPr>
          <w:b/>
        </w:rPr>
        <w:t>Shared claim-specific concepts:</w:t>
      </w:r>
      <w:r>
        <w:t xml:space="preserve"> potential, exploring, capacity; EU scope not established. This is a provisional connection, not an outcome finding.</w:t>
      </w:r>
    </w:p>
    <w:p>
      <w:pPr>
        <w:pStyle w:val="SourceNote"/>
      </w:pPr>
      <w:r>
        <w:rPr>
          <w:b/>
        </w:rPr>
        <w:t>Available abstract (not full text):</w:t>
      </w:r>
      <w:r>
        <w:t xml:space="preserve"> Introduction: The growing limitations of animal models in drug testing and biomedical research, including ethical concerns, high costs, and poor translational relevance to human biology, have driven increasing interest in computational simulation models. These models encompass in silico approaches, pharmacokinetic/pharmacodynamic frameworks, molecular simulations, and organ-on-chip technologies, offering greater precision in replicating human physiological and pathological processes. Methods: A systematic review was conducted to examine the role of computational simulation models as alternatives to traditional animal-based research. Relevant literature on their applications, predictive accuracy, translational value, and alignment with ethical research practices was analyzed. Results: Computational models were found to bridge critical gaps in predictive accuracy and translational relevance, supporting drug development pipelines, reducing late-stage failures, and enhancing opportunities for personalized medicine. Additionally, their capacity to reduce reliance on animal models aligns with global ethical initiatives promoting humane and sustainable research practices. Discussion: Simulation-based approaches represent a transformative opportunity for biomedical research. While their potential to reshape drug development and improve health outcomes is evident, challenges such as sta</w:t>
      </w:r>
    </w:p>
    <w:p>
      <w:pPr/>
      <w:r>
        <w:rPr>
          <w:b/>
        </w:rPr>
        <w:t>POSSIBLE 2025:</w:t>
      </w:r>
      <w:r>
        <w:t xml:space="preserve"> Awareness of genomic testing among patients with breast cancer in Europe — https://doi.org/10.1016/j.breast.2025.104436</w:t>
      </w:r>
    </w:p>
    <w:p>
      <w:pPr/>
      <w:r>
        <w:rPr>
          <w:b/>
        </w:rPr>
        <w:t>Shared claim-specific concepts:</w:t>
      </w:r>
      <w:r>
        <w:t xml:space="preserve"> test, access, find; EU scope visible. This is a provisional connection, not an outcome finding.</w:t>
      </w:r>
    </w:p>
    <w:p>
      <w:pPr>
        <w:pStyle w:val="SourceNote"/>
      </w:pPr>
      <w:r>
        <w:rPr>
          <w:b/>
        </w:rPr>
        <w:t>Available abstract (not full text):</w:t>
      </w:r>
      <w:r>
        <w:t xml:space="preserve"> PURPOSE: Genomic testing, involving expression profiling of tumour tissue, is a powerful tool for determining appropriate treatments for certain cancer patients. This study aimed to evaluate awareness of genomic testing in breast cancer patients in five European countries. METHODS: The survey was initiated by Cancer Patients Europe and developed with patient associations, oncologists, and a psycho-oncologist. Participants were recruited via email and social media and completed a 42-question internet survey. RESULTS: Of 1383 participants in eligible countries completing the survey, 566 women with current or previous HR+/HER2- breast cancer, potentially eligible for genomic testing, were analysed. 245 (43.3 %) were aged 50-59 years and 381 (67.3 %) had received higher education. 238 participants (42.1 %) had heard about genomic testing; 122 (21.6 %) were informed of their eligibility for testing, and 104 (18.4 %) were given reasons for the test. The majority (N = 479; 84.6 %) felt they lacked sufficient information to decide, and only 139 (24.6 %) opted for testing. Overall, 246 (43.5 %) wanted more information on additional testing and 234 (41.3 %) wanted more information on treatment options. The main information sources were medical professionals (N = 363; 64.1 %) and the internet (N = 351; 62.0 %). However, 398 participants (70.3 %) indicated that their healthcare professiona</w:t>
      </w:r>
    </w:p>
    <w:p>
      <w:pPr/>
      <w:r>
        <w:rPr>
          <w:b/>
        </w:rPr>
        <w:t>POSSIBLE 2025:</w:t>
      </w:r>
      <w:r>
        <w:t xml:space="preserve"> Evaluation of the unregulated online kratom market in two east-central European countries: test purchase and analysis of potential toxicological consequences — https://doi.org/10.1186/s12954-025-01363-0</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BACKGROUND: As interest in human enhancement continues to rise in Europe, kratom (Mitragyna speciosa) products have raised significant public health concerns. Kratom, which is used for its dose-dependent stimulant and sedative effects, has grown in popularity to enhance mood and self-manage pain or opioid withdrawal symptoms. This study aimed to assess the East-Central European online kratom market, evaluate product quality, and analyze potential toxicological risks to inform evidence-based harm reduction strategies. METHODS: A comprehensive approach was employed, including online market surveillance, detailed content analysis of vendor websites, test purchase of products, followed by chemical analysis. Google search engine results were used to identify vendors shipping to Hungary. A total of 59 web shops were identified, and 25 distributors were selected for further analysis. Eight online sellers were included in test purchases. Mitragynine content was analyzed using supercritical fluid chromatography coupled with tandem mass spectrometry (SFC-MS/MS) and high-performance liquid chromatography with diode-array detection (HPLC-DAD). Toxicovigilance data were extracted from the United States Food and Drug Administration Adverse Event Reporting System (FAERS) and the Center for Food Safety and Applied Nutrition Adverse Event Reporting System (CAERS). RESULTS: The online kratom mar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pStyle w:val="Heading2"/>
      </w:pPr>
      <w:r>
        <w:t>752.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2026:</w:t>
      </w:r>
      <w:r>
        <w:t xml:space="preserve"> A support vector regression-based prediction model for offshore broadcasting signal propagation — https://doi.org/10.3389/fmars.2026.1791191</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Broadcasting plays an important role in offshore information transmission because of its stability and long-distance propagation characteristics. To improve propagation prediction in the offshore environment of the South China Sea, this study proposes a path loss prediction model based on Support Vector Regression and verifies the performance with measurement data. Compared with ITU-R P.1546, the proposed model achieves an improvement in prediction accuracy of up to 55.50%. The findings of this research can help to give a clearer understanding of the path loss characteristics of the Frequency Modulation broadcasting signal in the offshore environment, which provides a more reliable foundation for radio wave transmission in offshore environments.</w:t>
      </w:r>
    </w:p>
    <w:p>
      <w:pPr/>
      <w:r>
        <w:rPr>
          <w:b/>
        </w:rPr>
        <w:t>POSSIBLE 2026:</w:t>
      </w:r>
      <w:r>
        <w:t xml:space="preserve"> Hybrid Machine Learning Approach for Diabetes Prediction and Healthcare Decision Support — https://doi.org/10.25258/ijddt.16.37s.58</w:t>
      </w:r>
    </w:p>
    <w:p>
      <w:pPr/>
      <w:r>
        <w:rPr>
          <w:b/>
        </w:rPr>
        <w:t>Shared claim-specific concepts:</w:t>
      </w:r>
      <w:r>
        <w:t xml:space="preserve"> prediction, findings, support, but; EU scope not established. This is a provisional connection, not an outcome finding.</w:t>
      </w:r>
    </w:p>
    <w:p>
      <w:pPr>
        <w:pStyle w:val="SourceNote"/>
      </w:pPr>
      <w:r>
        <w:rPr>
          <w:b/>
        </w:rPr>
        <w:t>Available abstract (not full text):</w:t>
      </w:r>
      <w:r>
        <w:t xml:space="preserve"> Elevated glucose levels in the blood can lead to diabetes, a condition characterized by symptoms such as frequent urination, excessive thirst, and increased hunger. Timely management of diabetes is essential to prevent serious complications affecting vital organs including the heart, kidneys, blood vessels, and eyes.Predictive analytics using large healthcare datasets presents challenges but offers valuable support for medical Predictive analytics using large healthcare datasets presents challenges but offers valuable support for medical informed and timely decisions about patient care. This study evaluates various machine learning classification techniques— such as Support Vector Machine (SVM), K-Nearest Neighbors (KNN), Logistic Regression, and Random Forest—for diabetes prediction. Key performance indicators, including Recall, F1Score, Precision, and Accuracy, were measured based on the confusion matrix. Experimental findings indicate that SVM and ontology-based classifiers achieve superior accuracy in predicting diabetes compared to other methods.</w:t>
      </w:r>
    </w:p>
    <w:p>
      <w:pPr/>
      <w:r>
        <w:rPr>
          <w:b/>
        </w:rPr>
        <w:t>POSSIBLE 2026:</w:t>
      </w:r>
      <w:r>
        <w:t xml:space="preserve"> Generative Artificial Intelligence for Diabetes Mellitus Prediction and Intelligent Clinical Decision Support — https://doi.org/10.47957/ijpda.v14i3.751</w:t>
      </w:r>
    </w:p>
    <w:p>
      <w:pPr/>
      <w:r>
        <w:rPr>
          <w:b/>
        </w:rPr>
        <w:t>Shared claim-specific concepts:</w:t>
      </w:r>
      <w:r>
        <w:t xml:space="preserve"> prediction, findings, support, only, but; EU scope not established. This is a provisional connection, not an outcome finding.</w:t>
      </w:r>
    </w:p>
    <w:p>
      <w:pPr>
        <w:pStyle w:val="SourceNote"/>
      </w:pPr>
      <w:r>
        <w:rPr>
          <w:b/>
        </w:rPr>
        <w:t>Available abstract (not full text):</w:t>
      </w:r>
      <w:r>
        <w:t xml:space="preserve"> Diabetes mellitus is a major chronic metabolic disorder characterized by persistent dysregulation of blood glucose and progressive cardiovascular, renal, neurological, and ophthalmic complications. The global prevalence of diabetes has increased substantially, reaching approximately 14% among adults in 2022, with nearly 830 million people living with the disease. The rapid expansion of electronic health records, continuous glucose monitoring, laboratory databases, medical imaging, wearable technologies, and patient-generated health data has created opportunities for artificial intelligence (AI)-based diabetes prediction and clinical decision support. Conventional machine learning models demonstrate potential for diabetes detection and complication prediction; however, challenges remain regarding heterogeneous datasets, external validation, calibration, dataset shift, interpretability, and clinical implementation. This study proposes a systematic framework integrating generative AI, particularly large language models (LLMs), with validated predictive models for diabetes risk assessment and intelligent clinical decision support. A secondary evidence-synthesis approach was used, integrating findings from systematic reviews, clinical trials, diabetes technology research, and recent LLM literature. Evidence indicates that only 36% of evaluated machine learning models for diabetes co</w:t>
      </w:r>
    </w:p>
    <w:p>
      <w:pPr/>
      <w:r>
        <w:rPr>
          <w:b/>
        </w:rPr>
        <w:t>POSSIBLE 2026:</w:t>
      </w:r>
      <w:r>
        <w:t xml:space="preserve"> Prediction Facilitates Perception Through Efficient Use of Predictable Information — https://doi.org/10.57760/sciencedb.014pv</w:t>
      </w:r>
    </w:p>
    <w:p>
      <w:pPr/>
      <w:r>
        <w:rPr>
          <w:b/>
        </w:rPr>
        <w:t>Shared claim-specific concepts:</w:t>
      </w:r>
      <w:r>
        <w:t xml:space="preserve"> prediction, findings, use, also; EU scope not established. This is a provisional connection, not an outcome finding.</w:t>
      </w:r>
    </w:p>
    <w:p>
      <w:pPr>
        <w:pStyle w:val="SourceNote"/>
      </w:pPr>
      <w:r>
        <w:rPr>
          <w:b/>
        </w:rPr>
        <w:t>Available abstract (not full text):</w:t>
      </w:r>
      <w:r>
        <w:t xml:space="preserve"> This repository contains the behavioral data and analysis code supporting the findings reported in the manuscript “Prediction Facilitates Perception Through Efficient Use of Predictable Information.” The dataset includes behavioral data from two preregistered experiments examining the effects of predictive category cues on orientation categorization, orientation reconstruction, and orientation discrimination. The repository also includes the code used to preprocess and analyze the behavioral data and generate the reported statistical results and figures.</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pStyle w:val="Heading2"/>
      </w:pPr>
      <w:r>
        <w:t>753.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2026:</w:t>
      </w:r>
      <w:r>
        <w:t xml:space="preserve"> Case Study: The BBC's Recommendations Team — https://doi.org/10.6084/m9.figshare.31869499</w:t>
      </w:r>
    </w:p>
    <w:p>
      <w:pPr/>
      <w:r>
        <w:rPr>
          <w:b/>
        </w:rPr>
        <w:t>Shared claim-specific concepts:</w:t>
      </w:r>
      <w:r>
        <w:t xml:space="preserve"> case, recommendations, work; EU scope not established. This is a provisional connection, not an outcome finding.</w:t>
      </w:r>
    </w:p>
    <w:p>
      <w:pPr>
        <w:pStyle w:val="SourceNote"/>
      </w:pPr>
      <w:r>
        <w:rPr>
          <w:b/>
        </w:rPr>
        <w:t>Available abstract (not full text):</w:t>
      </w:r>
      <w:r>
        <w:t xml:space="preserve"> This dataset pertains to research data collected at the BBC with the Recommendations Team from September 2023 to February 2024. The data includes fieldnotes from observations during the daily work of developing recommender systems, interviews (audio files and transcriptions) with members of the team, and notes from two workshops conducted with the team.</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pStyle w:val="Heading2"/>
      </w:pPr>
      <w:r>
        <w:t>754.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2026:</w:t>
      </w:r>
      <w:r>
        <w:t xml:space="preserve"> Manifestos and manifestations: The role of a solar designer — https://doi.org/10.1016/j.yjoc.2026.100131</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What does it mean to be a solar designer? The article builds upon earlier work encompassing a 4-year study on the role of a solar designer, and offers further artistic and methodological explorations to re-define what it means to be a solar designer today. I autoethnographically explore what it means to be a solar designer through artistic material making at the world’s first Solar Biennale, conduct 10 micro-phenomenological interviews with solar experts from different fields of expertise, as well as conduct a workshop with 15 high school students as part of an Agenda 2030 exhibition at [anonymised]. These designerly explorations, synthesised through an overarching framework of Relational Design, offer an updated perspective on what it means to be a solar designer – a necessary endeavour as part of an ongoing and evolving sustainable societal transformation. The updated visual taxonomy is offered as a guide to future solar designers and solar design researchers who are interested in a design-as-relationship-building approach, consisting of three key layers: The Embodied Self, Space &amp; Technology, and Embedded &amp; Ecological Relations . The article culminates in a discussion that expands and challenges these three key layers vis-à-vis discourses on sustainability, ethics, and relationality.</w:t>
      </w:r>
    </w:p>
    <w:p>
      <w:pPr/>
      <w:r>
        <w:rPr>
          <w:b/>
        </w:rPr>
        <w:t>POSSIBLE 2024:</w:t>
      </w:r>
      <w:r>
        <w:t xml:space="preserve"> The Designers’ Perspective on Autonomous Mining Systems and Sociotechnology — https://doi.org/10.1007/s42461-024-00952-0</w:t>
      </w:r>
    </w:p>
    <w:p>
      <w:pPr/>
      <w:r>
        <w:rPr>
          <w:b/>
        </w:rPr>
        <w:t>Shared claim-specific concepts:</w:t>
      </w:r>
      <w:r>
        <w:t xml:space="preserve"> increase, designers, work; EU scope visible. This is a provisional connection, not an outcome finding.</w:t>
      </w:r>
    </w:p>
    <w:p>
      <w:pPr>
        <w:pStyle w:val="SourceNote"/>
      </w:pPr>
      <w:r>
        <w:rPr>
          <w:b/>
        </w:rPr>
        <w:t>Available abstract (not full text):</w:t>
      </w:r>
      <w:r>
        <w:t xml:space="preserve"> Abstract Digitalization and automation technology offer new possibilities to increase productivity and obtain higher levels of autonomy in mining operations. Introducing autonomous systems into mining is not only a technical problem in terms of effectiveness and efficiency, nor a problem of safety in human-automation interactions. The systems also need to be designed and developed so that they foster healthy and attractive working environments. The design and development phase of new mining technology has not been extensively studied previously. To fill this knowledge gap, we investigated technology developers’ basic assumptions about humans and their interactions with the technology they develop. We conducted five semi-structured workshops within an EU funded project concerned with developing digitalization and automation solutions for the mining industry. The data suggests that many critical functions will still be under human control in future mining systems. The results also indicate increased complexity in the interaction between autonomous systems and humans as the technology becomes more advanced. As a result, we suggest that a human perspective, based on sociotechnical principles, should not only be considered in implementing the technology at mines but also in the early conceptual phases of developing and designing the technology. This will ensure healthy and attractiv</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2023:</w:t>
      </w:r>
      <w:r>
        <w:t xml:space="preserve"> DIFFERENCES IN ANALOGICAL SOURCE SELECTIONS BETWEEN DESIGNERS AND NON-DESIGNERS DURING THE COLLABORATIVE ANALOGICAL DESIGN PROCESS — https://doi.org/10.1017/pds.2023.149</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The selection of an analogical source is a critical step in the design-by-analogy process. Previous researchers have explored the reasons and preferences of individual designers or design teams in selecting analogical sources. Non-designers, who instead have more knowledge of other fields, may offer new possibilities for retrieving novel analogical sources. This study focuses on differences in the selection of analogical sources between collaborative design teams composed of designers and nondesigners. There are indeed significant differences in the selection of the source type, the reasons for selecting the source, the level of abstraction in inspiration stimuli, and the novelty of design ideas between designers and non-designers. This work may provide theoretical guidance for the development of collaborative design tools and methods for teams composed of designers and non-designers with different knowledge bases.</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r>
        <w:rPr>
          <w:b/>
        </w:rPr>
        <w:t>POSSIBLE 2022:</w:t>
      </w:r>
      <w:r>
        <w:t xml:space="preserve"> Older adults as designers of behavior change strategies to increase physical activity—Report of a participatory design process — https://doi.org/10.3389/fpubh.2022.988470</w:t>
      </w:r>
    </w:p>
    <w:p>
      <w:pPr/>
      <w:r>
        <w:rPr>
          <w:b/>
        </w:rPr>
        <w:t>Shared claim-specific concepts:</w:t>
      </w:r>
      <w:r>
        <w:t xml:space="preserve"> increase, designers, different; EU scope not established. This is a provisional connection, not an outcome finding.</w:t>
      </w:r>
    </w:p>
    <w:p>
      <w:pPr>
        <w:pStyle w:val="SourceNote"/>
      </w:pPr>
      <w:r>
        <w:rPr>
          <w:b/>
        </w:rPr>
        <w:t>Available abstract (not full text):</w:t>
      </w:r>
      <w:r>
        <w:t xml:space="preserve"> Background: Despite the significant value of physical activity for the health of older adults, this population often fails to achieve recommended activity levels. Digital interventions show promise in providing support for self-managed physical activity. However, more information is needed about older adults' preferences for digital support to change physical activity behaviors as well as the process of designing them. The aim of this paper was to describe the participatory design process in which older adults were involved in the co-creation of digitally supported behavioral change strategies to support self-managed physical activity, and how the results were integrated in a prototype. Methods: The participatory design process involved with nine older adults and two researchers. The participants were divided in two groups, and each group participated in three workshops and completed home tasks in between workshops. Following an iterative design process influenced by theories of behavior change, the workshops and home tasks were continuously analyzed, and the content and process were developed between groups and the next set of workshops. Prototypes of a mobile health (mHealth) solution for fall preventive exercise for older adults were developed in which the conceptualized strategies were integrated. To support coherence in reporting and evaluation, the developed techniques we</w:t>
      </w:r>
    </w:p>
    <w:p>
      <w:pPr>
        <w:pStyle w:val="Heading2"/>
      </w:pPr>
      <w:r>
        <w:t>755.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Diversity-in-a-dish: A practical framework for hiPSC model development — https://doi.org/10.1016/j.stemcr.2026.102858</w:t>
      </w:r>
    </w:p>
    <w:p>
      <w:pPr/>
      <w:r>
        <w:rPr>
          <w:b/>
        </w:rPr>
        <w:t>Shared claim-specific concepts:</w:t>
      </w:r>
      <w:r>
        <w:t xml:space="preserve"> practical, implications, framework, basis; EU scope not established. This is a provisional connection, not an outcome finding.</w:t>
      </w:r>
    </w:p>
    <w:p>
      <w:pPr>
        <w:pStyle w:val="SourceNote"/>
      </w:pPr>
      <w:r>
        <w:rPr>
          <w:b/>
        </w:rPr>
        <w:t>Available abstract (not full text):</w:t>
      </w:r>
      <w:r>
        <w:t xml:space="preserve"> Human induced pluripotent stem cell (hiPSC) models inherit genetic and phenotypic variation from their donors that can influence differentiation, function, and disease phenotypes, with implications for model validity and generalizability. While diversity is widely discussed in biomedical research and extensively theorized in fields like genomics, comparable guidance remains limited in hiPSC research. Effectively, diversity-related decisions are often made implicitly without clear criteria for when inclusion is methodologically warranted. We address this by (1) analyzing how diversity is defined and operationalized in (pre)clinical research, (2) extending genomics frameworks to outline stem cell-specific recommendations for describing and reporting diversity, and (3) introducing a decision framework based on four criteria (experimental purpose, biological plausibility, platform readiness, and statistical power) to determine when and how diversity should be incorporated. The overall goal is to establish a shared basis for transparent and reproducible diversity-related design and reporting.</w:t>
      </w:r>
    </w:p>
    <w:p>
      <w:pPr/>
      <w:r>
        <w:rPr>
          <w:b/>
        </w:rPr>
        <w:t>POSSIBLE 2026:</w:t>
      </w:r>
      <w:r>
        <w:t xml:space="preserve"> Cyprus’ Approach to the Digital Services Act: Harmonisation, Enforcement, and Practical Implications — https://doi.org/10.3390/laws15020030</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The Digital Services Act (DSA) represents a landmark regulatory context aiming to secure a safer, trusted and more transparent digital environment. While the DSA establishes a harmonised regulatory framework for intermediary services across the EU, it significantly relies on national regulatory authorities for effective implementation. This article examines the implementation of the DSA in Cyprus and discusses the national legal framework adopted through primary and secondary legislation. It analyses the powers, legally mandated tasks, rights, and obligations of the digital services coordinator in Cyprus including its supervisory, investigatory, and enforcement competences as well as the sanctioning mechanisms. This article provides a comprehensive legal analysis of the coordinator’s operation and contributes to the academic debate on the national implementation of the DSA as a horizontal legal tool of intermediary services and digital platforms accessed by European citizens.</w:t>
      </w:r>
    </w:p>
    <w:p>
      <w:pPr/>
      <w:r>
        <w:rPr>
          <w:b/>
        </w:rPr>
        <w:t>POSSIBLE 2026:</w:t>
      </w:r>
      <w:r>
        <w:t xml:space="preserve"> A regulatory framework for art trade in the European union — https://openalex.org/W7161219836</w:t>
      </w:r>
    </w:p>
    <w:p>
      <w:pPr/>
      <w:r>
        <w:rPr>
          <w:b/>
        </w:rPr>
        <w:t>Shared claim-specific concepts:</w:t>
      </w:r>
      <w:r>
        <w:t xml:space="preserve"> adequate, framework; EU scope visible. This is a provisional connection, not an outcome finding.</w:t>
      </w:r>
    </w:p>
    <w:p>
      <w:pPr>
        <w:pStyle w:val="SourceNote"/>
      </w:pPr>
      <w:r>
        <w:rPr>
          <w:b/>
        </w:rPr>
        <w:t>Available abstract (not full text):</w:t>
      </w:r>
      <w:r>
        <w:t xml:space="preserve"> This thesis examines the regulatory framework applied to sales and acquisitions of cultural goods, especially artworks, within the European Union. The study is motivated by the growing economic significance of the art market and its increasing exposure to criminal misuse, including money laundering, illicit trafficking and terrorist financing. Special emphasis is placed on recently adopted EU legislation, the Fifth Anti-Money Laundering Directive and Regulation 2019/880 on the import of cultural goods, which mark a transition to a more coherent and preventative regulatory regime. The research addresses four central questions: how the art market is regulated in the EU, to which crimes it is particularly vulnerable, whether the current regulatory framework is effective, and how it could be further developed. Using a non-doctrinal approach, the thesis systemises the applicable EU legislative framework and demonstrates that the art market’s structural characteristics, including the portability of artworks, ambiguous valuation practices and historically fragmented oversight, create vulnerabilities to criminal exploitation. The thesis concludes that while the Union framework is now more comprehensive and better suited to identify risks, the regulatory effectiveness remains dependent on consistent implementation across Member States, adequate enforcement capacity and meaningful cooper</w:t>
      </w:r>
    </w:p>
    <w:p>
      <w:pPr/>
      <w:r>
        <w:rPr>
          <w:b/>
        </w:rPr>
        <w:t>POSSIBLE 2026:</w:t>
      </w:r>
      <w:r>
        <w:t xml:space="preserve"> On prenatal attachment – theory, empirical verification and practical implications — https://doi.org/10.71358/pw.1834</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Pregnancy is a complex and special time in the life of a woman and parents-to-be. The changes that occur in a woman's body are evident not only at the biological level, but also affect her social life and have important psychological implications. The process of adapting the attachment theory pioneered by John Bowlby to the framework of prenatal psychology has been underway for many years, resulting in the development of theories on prenatal attachment. Prenatal attachment is described as an emotional bond between a prospective parent and the developing fetus, which is formed during pregnancy and can find its manifestations in a wide range of behavior on the part of the parents. Prenatal attachment theory takes into account both affective and behavioral aspects and can thus play a key role in preparing future parents for their role. Studies have shown that the level of prenatal attachment can be influenced by factors such as the quality of the parental relationship, previous experiences and social support. The purpose of this article is to systematize the current state of scientific knowledge on the construct of prenatal attachment in terms of both theoretical context, empirical verification, its practical implications and the prospects for future research, which can thus provide a starting point for further research, as well as planning appropriate interventions that can stren</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pStyle w:val="Heading2"/>
      </w:pPr>
      <w:r>
        <w:t>756.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757.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758.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industry, especially, chain;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2025:</w:t>
      </w:r>
      <w:r>
        <w:t xml:space="preserve"> Drivers and Preferences of European Farmers for Agri-Environmental Public Goods Schemes: A Two-Stage Analysis — https://doi.org/10.1016/j.jnc.2025.126912</w:t>
      </w:r>
    </w:p>
    <w:p>
      <w:pPr/>
      <w:r>
        <w:rPr>
          <w:b/>
        </w:rPr>
        <w:t>Shared claim-specific concepts:</w:t>
      </w:r>
      <w:r>
        <w:t xml:space="preserve"> farmers, different, climate; EU scope visible. This is a provisional connection, not an outcome finding.</w:t>
      </w:r>
    </w:p>
    <w:p>
      <w:pPr>
        <w:pStyle w:val="SourceNote"/>
      </w:pPr>
      <w:r>
        <w:rPr>
          <w:b/>
        </w:rPr>
        <w:t>Available abstract (not full text):</w:t>
      </w:r>
      <w:r>
        <w:t xml:space="preserve"> • Shorter AES contracts are preferred, with aversion to long-term commitments. • High administrative burdens reduce land enrolled in agri-environment schemes. • Farmers with a successor commit more land to AES, reducing enrolment uncertainty. • Past AES experience affects contract choice and land allocation decisions. • Position ordering weakly influences preferences for contract duration and admin burden. The new Common Agriculture Policy (CAP) intends to give more freedom to countries to manage their budget while increasing funding for income support and provisioning of climate public goods from agriculture and farming. For the past 20 years this has been operationalised through incentivising farmers’ contract participation in agri-environmental schemes (AES). In this paper we examine through a two-stage approach, farmer preferences for contract characteristics in a multi-European country Discrete Choice Experiment (DCE) and the determinants of land enrolment in contracts. Overall, we find that longer contracts and high administrative burden decrease the probability of enrolling in a contract over the base levels while shorter contract length and provisioning of advisory support are desirable. Amongst all available contract options, converting arable to grassland options was by far the one that participants asked the most compensation for, across countries. We also find that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pStyle w:val="Heading2"/>
      </w:pPr>
      <w:r>
        <w:t>759.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2025:</w:t>
      </w:r>
      <w:r>
        <w:t xml:space="preserve"> History of sustainable finance regulation: the European Odyssey — https://doi.org/10.1108/jfrc-11-2024-0226</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Purpose This paper provides a comprehensive overview of the concept of sustainable finance in the European framework to contribute to the clarification of the term, to promote the understanding of the evolution of the phenomenon by presenting the main milestones in chronological sense and to present a matrix of regulatory interrelation to locate patterns of convergence, regulatory gaps and show feedback between actors. Although the origins of the concept date back to the 1960s, the term has become topical with the emergence of environmental, social and governance (ESG) responsibilities in the business world. Design/methodology/approach This study is framed in the field of legal historiography to understand the contemporary phenomenon of sustainability. To this end, in line with the approach of authors such as Paradisi (1973) or de Diego (1974), the evolution of European regulations and their documentation in the field of sustainable finance regulation since the 1960s is studied, to know the influence of standards in corporate contexts and vice versa, and to contribute to the promotion of reflective criticism of legal thought. Findings The complexity of the concept of financial sustainability is highlighted from a legal point of view with the growing and complex regulations issued by different European bodies and commissions. This paper aims to clarify the concept, for its prope</w:t>
      </w:r>
    </w:p>
    <w:p>
      <w:pPr/>
      <w:r>
        <w:rPr>
          <w:b/>
        </w:rPr>
        <w:t>POSSIBLE 2024:</w:t>
      </w:r>
      <w:r>
        <w:t xml:space="preserve"> The Path to a Sustainable Energy Europe: An Analysis of the Transition from Fossil Fuels to Renewable Energy — https://doi.org/10.37075/bjiep.2023.2.01</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study is to investigate the application of predictive analytics techniques in the energy field and to identify strategies to stimulate renewable energy production. The analysis begins by examining four key indicators: renewable energy, gas price, gas consumption and renewable energy consumption through a detailed descriptive analysis. Visual graphs are built to get an overview of the evolution of the energy sector in the period 2011-2020 with the help of Tableau software. The analysis is supported by the use of the Random Forest algorithm as a prediction model, considering critical indicators such as gas price, gas consumption and renewable energy consumption. The prediction results provide insight into anticipating changes in renewable energy production in the European countries studied. At the same time, the study highlights the current situation of renewable energy in Europe and identifies the necessary measures for its sustainable development through the analysis of specialized literature. It also examines the way in which big data management, facilitated by technologies such as smart meters and drone sensors, can help improve the energy sector. This research offers valuable results, providing insights into the evolution of renewable and fossil energy, as well as a detailed comparison of renewable energy, gas prices, gas consumption and trends in re</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2023:</w:t>
      </w:r>
      <w:r>
        <w:t xml:space="preserve"> Anticipating food price crises by reservoir computing — https://doi.org/10.1016/j.chaos.2023.113854</w:t>
      </w:r>
    </w:p>
    <w:p>
      <w:pPr/>
      <w:r>
        <w:rPr>
          <w:b/>
        </w:rPr>
        <w:t>Shared claim-specific concepts:</w:t>
      </w:r>
      <w:r>
        <w:t xml:space="preserve"> purpose, anticipate, trends; EU scope not established. This is a provisional connection, not an outcome finding.</w:t>
      </w:r>
    </w:p>
    <w:p>
      <w:pPr>
        <w:pStyle w:val="SourceNote"/>
      </w:pPr>
      <w:r>
        <w:rPr>
          <w:b/>
        </w:rPr>
        <w:t>Available abstract (not full text):</w:t>
      </w:r>
      <w:r>
        <w:t xml:space="preserve"> Anticipating price crises in the market of agri-commodities is critical to guarantee both the sustainability of the food system and to ensure food security. However, this is not an easy task, since the problem implies analyzing small and very volatile time series, which are highly influenced by external factors. In this paper, we show that suitable reservoir computing algorithms can be developed that outperform traditional approaches, by reducing the Mean Absolute Error and, more importantly, increasing the Market Direction Accuracy. For this purpose, the applicability of five variants of such method to forecast this market is explored, and their performance evaluated by comparing the results with those obtained with the standard LSTM and SARIMA benchmarks. We conclude that decomposing the time series and modeling each component with a separate RCis essential to successfully anticipate price trends, and that this method works even in the complex changing temporal scenario of the Covid-19 pandemic, when part of the data were collected.</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anticipate, main, trends;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r>
        <w:rPr>
          <w:b/>
        </w:rPr>
        <w:t>POSSIBLE 2019:</w:t>
      </w:r>
      <w:r>
        <w:t xml:space="preserve"> Welfare-aligned Sentience: Enhanced Capacities to Experience, Interact, Anticipate, Choose and Survive — https://doi.org/10.3390/ani9070440</w:t>
      </w:r>
    </w:p>
    <w:p>
      <w:pPr/>
      <w:r>
        <w:rPr>
          <w:b/>
        </w:rPr>
        <w:t>Shared claim-specific concepts:</w:t>
      </w:r>
      <w:r>
        <w:t xml:space="preserve"> purpose, anticipate, enable; EU scope not established. This is a provisional connection, not an outcome finding.</w:t>
      </w:r>
    </w:p>
    <w:p>
      <w:pPr>
        <w:pStyle w:val="SourceNote"/>
      </w:pPr>
      <w:r>
        <w:rPr>
          <w:b/>
        </w:rPr>
        <w:t>Available abstract (not full text):</w:t>
      </w:r>
      <w:r>
        <w:t xml:space="preserve"> The focus of this opinion is on the key features of sentience in animals which can experience different states of welfare, encapsulated by the new term 'welfare-aligned sentience'. This term is intended to exclude potential forms of sentience that do not enable animals in some taxa to have the subjective experiences which underlie different welfare states. As the scientific understanding of key features of sentience has increased markedly during the last 10 to 15 years, a major purpose here is to provide up-to-date information regarding those features. Eleven interconnected statements about sentience-associated body functions and behaviour are therefore presented and explained briefly. These statements are sequenced to provide progressively more information about key scientifically-supported attributes of welfare-aligned sentience, leading, in their entirety, to a more comprehensive understanding of those attributes. They are as follows: (1) Internal structure-function interactions and integration are the foundations of sentience; (2) animals posess a capacity to respond behaviourally to a range of sensory inputs; (3) the more sophisticated nervous systems can generate subjective experiences, that is, affects; (4) sentience means that animals perceive or experience different affects consciously; (5) within a species, the stage of neurobiological development is significant; (6) </w:t>
      </w:r>
    </w:p>
    <w:p>
      <w:pPr>
        <w:pStyle w:val="Heading2"/>
      </w:pPr>
      <w:r>
        <w:t>760.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health;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beyond;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 NIHR Public Health Research Review Programme (2019–2025) — https://doi.org/10.3310/gdjr8546</w:t>
      </w:r>
    </w:p>
    <w:p>
      <w:pPr/>
      <w:r>
        <w:rPr>
          <w:b/>
        </w:rPr>
        <w:t>Shared claim-specific concepts:</w:t>
      </w:r>
      <w:r>
        <w:t xml:space="preserve"> project, health, stakeholders, care; EU scope not established. This is a provisional connection, not an outcome finding.</w:t>
      </w:r>
    </w:p>
    <w:p>
      <w:pPr>
        <w:pStyle w:val="SourceNote"/>
      </w:pPr>
      <w:r>
        <w:rPr>
          <w:b/>
        </w:rPr>
        <w:t>Available abstract (not full text):</w:t>
      </w:r>
      <w:r>
        <w:t xml:space="preserve"> Background: The Public Health Review Team, University of Sheffield, was commissioned to deliver a programme of public health evidence synthesis projects. The review programme (2019-25) provided a unique opportunity to develop effective and efficient processes to maximise the value and impact of evidence synthesis for public health practitioners, policy-makers, commissioners and research funders. Objectives: The overall purpose of the programme was to deliver evidence reviews that could inform the commissioning of further primary research and directly inform public health policy and practice. This synopsis summarises the programme content and reflects on lessons learnt. Methods: Diverse appropriate methods were used for individual reviews to ensure the timely and efficient production of evidence synthesis products that were as useful as possible to the relevant stakeholders and decision-makers. These included an umbrella review (review of reviews), mapping reviews, systematic reviews, rapid reviews and evidence briefings. The majority of reviews were informed by both public and practitioner involvement, from defining the review questions and identification of relevant evidence to interpreting and disseminating the findings. Both established public panels and topic-specific groups with relevant lived experience recruited for individual projects were involved in the review process</w:t>
      </w:r>
    </w:p>
    <w:p>
      <w:pPr/>
      <w:r>
        <w:rPr>
          <w:b/>
        </w:rPr>
        <w:t>POSSIBLE 2025:</w:t>
      </w:r>
      <w:r>
        <w:t xml:space="preserve"> The Importance Foresight Internet of Things, Virtual Reality and Telemedicine in Health Care — https://doi.org/10.11648/j.ijdst.20251101.12</w:t>
      </w:r>
    </w:p>
    <w:p>
      <w:pPr/>
      <w:r>
        <w:rPr>
          <w:b/>
        </w:rPr>
        <w:t>Shared claim-specific concepts:</w:t>
      </w:r>
      <w:r>
        <w:t xml:space="preserve"> foresight, health, care, patient, successful, trends; EU scope not established. This is a provisional connection, not an outcome finding.</w:t>
      </w:r>
    </w:p>
    <w:p>
      <w:pPr>
        <w:pStyle w:val="SourceNote"/>
      </w:pPr>
      <w:r>
        <w:rPr>
          <w:b/>
        </w:rPr>
        <w:t>Available abstract (not full text):</w:t>
      </w:r>
      <w:r>
        <w:t xml:space="preserve"> Background: Future studies are the science of shaping the future, in a conscious, scientific, and future-thinking way that protects people from surprises from a storm of dramatic changes and developments. Foresight is a systematic way of looking at the long-term future and making appropriate decisions. This knowledge is a type of study method that strives to unite and integrate the talents and abilities of individuals to create a desirable and ideal future for themselves. Researchers with different research methods emphasize the study of various technological solutions to increase the quantity and quality of healthcare delivery. We need deeper research to get a good understanding of these technologies. The development of health technologies can improve health levels, living standards, and economic growth, and some of these technologies such as telemedicine, the Internet of things, the 3D virtual world, etc. Have reduced medical costs and medical malpractice. Nevertheless, new technologies related to diagnosis, prevention, and rehabilitation will lead to changes in the methods of healthcare delivery. So various technologies create new and different demands and due to widespread changes in health technologies, foresight, and future thinking in health technologies are of great importance. Objective: These studies provide valuable insights into the future trends and potential impac</w:t>
      </w:r>
    </w:p>
    <w:p>
      <w:pPr>
        <w:pStyle w:val="Heading2"/>
      </w:pPr>
      <w:r>
        <w:t>761.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M$^2$Weather: A Benchmark for Joint Multi-Station and Multi-Variable Weather Forecasting — https://doi.org/10.48550/arxiv.2610.00370</w:t>
      </w:r>
    </w:p>
    <w:p>
      <w:pPr/>
      <w:r>
        <w:rPr>
          <w:b/>
        </w:rPr>
        <w:t>Shared claim-specific concepts:</w:t>
      </w:r>
      <w:r>
        <w:t xml:space="preserve"> weather, information; EU scope visible. This is a provisional connection, not an outcome finding.</w:t>
      </w:r>
    </w:p>
    <w:p>
      <w:pPr>
        <w:pStyle w:val="SourceNote"/>
      </w:pPr>
      <w:r>
        <w:rPr>
          <w:b/>
        </w:rPr>
        <w:t>Available abstract (not full text):</w:t>
      </w:r>
      <w:r>
        <w:t xml:space="preserve"> Station weather forecasting is fundamentally shaped by both complex spatial dependencies across stations and strong physical coupling among weather variables. However, existing studies often consider these relationships separately and use different datasets and experimental settings, hindering systematic assessment of their individual and joint contributions. In this paper, we introduce $M^2$Weather, a benchmark for joint multi-station and multi-variable weather forecasting. Through multi-criteria quality control and station stratification, we collect 2,809 high-quality stations with 5 physically coupled weather variables across three spatial scales: France, Europe, and Global. This multi-scale design lets us examine whether conclusions persist from national to global station networks. We also introduce unified training and evaluation protocols to enable fair comparison of different station-variable modeling paradigms. To further examine the benefits of modeling station-variable relationships, we design a lightweight, plug-and-play adapter. With a trained weather forecasting model, this adapter can introduce missing station or variable relationships without retraining the model. This enables fair and efficient investigation of station-variable relationships. Systematic evaluation of 16 representative models shows the benefits of jointly modeling station and variable relationshi</w:t>
      </w:r>
    </w:p>
    <w:p>
      <w:pPr/>
      <w:r>
        <w:rPr>
          <w:b/>
        </w:rPr>
        <w:t>POSSIBLE 2026:</w:t>
      </w:r>
      <w:r>
        <w:t xml:space="preserve"> Fourier Geometric Wind Power Forecasting with Numerical Weather Prediction — https://openalex.org/W7170111850</w:t>
      </w:r>
    </w:p>
    <w:p>
      <w:pPr/>
      <w:r>
        <w:rPr>
          <w:b/>
        </w:rPr>
        <w:t>Shared claim-specific concepts:</w:t>
      </w:r>
      <w:r>
        <w:t xml:space="preserve"> implementation, first, weather, capture; EU scope not established. This is a provisional connection, not an outcome finding.</w:t>
      </w:r>
    </w:p>
    <w:p>
      <w:pPr>
        <w:pStyle w:val="SourceNote"/>
      </w:pPr>
      <w:r>
        <w:rPr>
          <w:b/>
        </w:rPr>
        <w:t>Available abstract (not full text):</w:t>
      </w:r>
      <w:r>
        <w:t xml:space="preserve"> Accurate short-term wind power forecasting is essential for grid stability and operational planning, yet remains challenging due to the complex interactions between atmospheric conditions and turbine dynamics. However, existing methods fail to effectively incorporate weather forecasting with wind turbine data (i.e., SCADA), leading to suboptimal solutions. To address this, we introduce a multimodal framework that integrates historical point-based SCADA data with grid-based Numerical Weather Prediction (NWP) forecasts, which is challenging due to heterogeneous input and the complex physical wind-turbine interactions. Our approach first explicitly decomposes inputs into scalar and vector features to better capture both site-specific and geometric dependencies and then incorporates a geometric encoder to extract rotation-invariant features from wind vectors. We further leverages a Fourier Neural Operator (FNO) architecture, which performs global convolutions in the frequency domain to efficiently model long-range spatiotemporal relationships. Extensive experiments on three real-world wind farms, with weather forecasting data, demonstrate that our model consistently outperforms state-of-the-art baselines, highlighting the effectiveness of its physically-informed design. The core implementation of our method is publicly available at: https://github.com/shawn-sypiao/GWPF.</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2025:</w:t>
      </w:r>
      <w:r>
        <w:t xml:space="preserve"> Arctic Weather Satellite, A Microsatellite Constellation for Improved Weather Forecasting in Arctic and Globally — https://doi.org/10.26077/hjh7-ax68</w:t>
      </w:r>
    </w:p>
    <w:p>
      <w:pPr/>
      <w:r>
        <w:rPr>
          <w:b/>
        </w:rPr>
        <w:t>Shared claim-specific concepts:</w:t>
      </w:r>
      <w:r>
        <w:t xml:space="preserve"> implementation, weather, information, highly; EU scope visible. This is a provisional connection, not an outcome finding.</w:t>
      </w:r>
    </w:p>
    <w:p>
      <w:pPr>
        <w:pStyle w:val="SourceNote"/>
      </w:pPr>
      <w:r>
        <w:rPr>
          <w:b/>
        </w:rPr>
        <w:t>Available abstract (not full text):</w:t>
      </w:r>
      <w:r>
        <w:t xml:space="preserve"> A consortium led by OHB Sweden has started the implementation of a prototype satellite for a possible constellation mission called Arctic Weather Satellite (AWS). This constellation of small satellites in low polar orbits would provide frequent coverage of the polar regions to support improved nowcasting and Numerical Weather Prediction (NWP) of the Arctic and Antarctic regions. The AWS mission is designed to be complementary to the existing polar-orbiting, meteorological satellites (e.g. MetOp and MetOp Second Generation (SG)), providing additional atmospheric sounding information to improve NWP on a global scale. The 120 kg AWS prototype satellite will fly in a ~600km sun-synchronous orbit and is based on OHB Sweden’s InnoSat platform. The payload is across-track scanning, passive microwave radiometer from Omnisys Instruments with 4 frequency bands to provide atmospheric sounding information complementary to the microwave radiometers on MetOp-SG. Global data will be stored onboard the satellite for data dumps over specific regions as well as broadcasted worldwide in real time. The ground segment contains a highly innovative Digital Beam Forming Network (DBFN) ground station from Thales allowing tracking of multiple satellites simultaneously. The final constellation is foreseen to provide data with less than 30-minute latency over the entire Arctic region.</w:t>
      </w:r>
    </w:p>
    <w:p>
      <w:pPr/>
      <w:r>
        <w:rPr>
          <w:b/>
        </w:rPr>
        <w:t>POSSIBLE 2025:</w:t>
      </w:r>
      <w:r>
        <w:t xml:space="preserve"> CLLMate: A Multimodal Benchmark for Weather and Climate Events Forecasting — https://doi.org/10.18653/v1/2025.emnlp-main.886</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Forecasting weather and climate events is crucial for making appropriate measures to mitigate environmental hazards and minimize losses.However, existing environmental forecasting research focuses narrowly on predicting numerical meteorological variables (e.g., temperature), neglecting the translation of these variables into actionable textual narratives of events and their consequences.To bridge this gap, we proposed Weather and Climate Event Forecasting (WCEF), a new task that leverages numerical meteorological raster data and textual event data to predict weather and climate events.This task is challenging to accomplish due to difficulties in aligning multimodal data and the lack of supervised datasets.To address these challenges, we present CLLMate, the first multimodal dataset for WCEF, using 26,156 environmental news articles aligned with ERA5 reanalysis data.We systematically benchmark 32 existing models on CLLMate, including closed-source, open-source, and our fine-tuned models.Our experiments reveal the advantages and limitations of existing MLLMs and the value of CLLMate for the training and benchmarking of the WCEF task.The dataset is available at https://github.com/hobolee/ CLLMate.</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first, space, weather;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pStyle w:val="Heading2"/>
      </w:pPr>
      <w:r>
        <w:t>762.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share, renewable, energy, consumption, increasing;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Econometric Analysis and Forecasts on Exports of Emerging Economies from Central and Eastern Europe — https://doi.org/10.3390/econometrics14010009</w:t>
      </w:r>
    </w:p>
    <w:p>
      <w:pPr/>
      <w:r>
        <w:rPr>
          <w:b/>
        </w:rPr>
        <w:t>Shared claim-specific concepts:</w:t>
      </w:r>
      <w:r>
        <w:t xml:space="preserve"> forecasts, share, all, trend; EU scope visible. This is a provisional connection, not an outcome finding.</w:t>
      </w:r>
    </w:p>
    <w:p>
      <w:pPr>
        <w:pStyle w:val="SourceNote"/>
      </w:pPr>
      <w:r>
        <w:rPr>
          <w:b/>
        </w:rPr>
        <w:t>Available abstract (not full text):</w:t>
      </w:r>
      <w:r>
        <w:t xml:space="preserve"> This study examines the evolution, heterogeneity, and short-term prospects of export performance in seven Central and Eastern European (CEE) economies—Croatia, Czech Republic, Hungary, Poland, Romania, Bulgaria, and Slovakia—over the period 1995–2024. Using annual World Bank data, exports are modeled as a share of GDP to ensure cross-country comparability and to capture differences in trade dependence. The analysis combines descriptive and inferential statistics with Augmented Dickey–Fuller tests, non-parametric comparisons, Granger causality analysis, and country-specific ARIMA models to investigate export dynamics, the role of foreign direct investment (FDI), and future export trajectories. The results reveal a common long-term upward trend in export intensity across all countries, driven by European integration and structural transformation, but with pronounced cross-country differences in export dependence and volatility. Highly open economies such as Slovakia, Hungary, and the Czech Republic exhibit strong export performance alongside greater exposure to external shocks, while larger domestic markets such as Poland and Romania display lower export intensity and greater stabilization. Granger causality tests indicate that FDI contributes to export growth in several economies, often with multi-year lags, highlighting the importance of absorptive capacity and institutional qu</w:t>
      </w:r>
    </w:p>
    <w:p>
      <w:pPr>
        <w:pStyle w:val="Heading2"/>
      </w:pPr>
      <w:r>
        <w:t>763.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2026:</w:t>
      </w:r>
      <w:r>
        <w:t xml:space="preserve"> A Dataset on Legislative Decision‐Making in the European Parliament: The DEU‐IV Dataset — https://doi.org/10.1002/epa2.70054</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This article introduces the DEU IV dataset , the latest iteration of the Decision‐making in the European Union project. While previous versions focused on the Council of the EU, DEU IV systematically applies the framework to the European Parliament (EP) for the 2019–2024 term. The dataset employs the spatial model of politics to map the latent preferences of political groups, the Commission, and the Council across 113 controversial policy issues. The dataset is constructed using triangulated semi‐structured interviews with 119 policy experts, supplemented by document coding and amendment analysis. By capturing the pre‐negotiation ideal points and the final legislative outcomes, DEU IV reveals the internal mechanics of supranational bargaining and the influence of legislative committees. This paper details the selection criteria for the 31 legislative dossiers analysed, demonstrates the dataset's empirical robustness, and discusses its potential to advance our understanding of how preferences transform into policy within the world's most complex transnational parliament.</w:t>
      </w:r>
    </w:p>
    <w:p>
      <w:pPr/>
      <w:r>
        <w:rPr>
          <w:b/>
        </w:rPr>
        <w:t>POSSIBLE 2026:</w:t>
      </w:r>
      <w:r>
        <w:t xml:space="preserve"> European integration and transformed parliamentary opposition: Evidence from five decades of legislative politics — https://doi.org/10.1017/s1475676526100711</w:t>
      </w:r>
    </w:p>
    <w:p>
      <w:pPr/>
      <w:r>
        <w:rPr>
          <w:b/>
        </w:rPr>
        <w:t>Shared claim-specific concepts:</w:t>
      </w:r>
      <w:r>
        <w:t xml:space="preserve"> legislative, proposals, reducing, union, show; EU scope visible. This is a provisional connection, not an outcome finding.</w:t>
      </w:r>
    </w:p>
    <w:p>
      <w:pPr>
        <w:pStyle w:val="SourceNote"/>
      </w:pPr>
      <w:r>
        <w:rPr>
          <w:b/>
        </w:rPr>
        <w:t>Available abstract (not full text):</w:t>
      </w:r>
      <w:r>
        <w:t xml:space="preserve"> Abstract While European integration has transformed national parliaments, its long-term impact on conflicts between governments and opposition parties remains insufficiently understood. This study addresses that gap by analysing how Sweden’s accession to the European Union (EU) in 1995 altered the patterns of parliamentary opposition. Using longitudinal data on government proposals in the Swedish parliament, 1970–2022, we apply a difference-in-differences design to compare opposition intensity before and after accession. Our findings reveal two major transformations. First, we identify a sustained decline in opposition in internationally embedded economic and tax policies, supporting the view that the EU political system structurally depoliticises economic governance. Second, we observe a gradual but pronounced politicisation in policy areas tied to national identity and social welfare, where EU competences are limited and domestic discretion remains. We thus find that European integration reshapes parliamentary conflict by dampening opposition in economic policymaking while intensifying contestation in policy areas related to national identity and social protection. Rather than reducing opposition overall, EU membership redirects it across issue areas. Taken together, the results show that the distribution of national and supranational competences conditions parliamentary oppo</w:t>
      </w:r>
    </w:p>
    <w:p>
      <w:pPr/>
      <w:r>
        <w:rPr>
          <w:b/>
        </w:rPr>
        <w:t>POSSIBLE 2026:</w:t>
      </w:r>
      <w:r>
        <w:t xml:space="preserve"> Do Legislative Agenda-Setters Constrain Judicial Decision-Making? Evidence from the European Union — https://doi.org/10.1017/jlc.2026.10032</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Judicial review allows courts to serve as a powerful check on policymakers. Nonetheless, courts face the possibility of the legislature overriding unwanted decisions when adjudicating cases in which legislators have an interest. I argue that this threat heightens when courts’ decisions affect legislative agenda-setters that can prioritize bills favoring override, prompting courts to act strategically in response. Leveraging exogenous variation in agenda-setting power from the six-month rotating terms of the Presidency of the Council of the European Union, I provide evidence that the Court of Justice of the European Union strategically delays deciding a case when the member state holding the Presidency expresses interest in the case’s outcome. A difference-in-differences design demonstrates that this effect disappears with the introduction of the Trio Presidency in 2007, which reduced each individual Presidency’s agenda-setting power.</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pStyle w:val="Heading2"/>
      </w:pPr>
      <w:r>
        <w:t>764.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2026:</w:t>
      </w:r>
      <w:r>
        <w:t xml:space="preserve"> The European Security System after the End of the Russian–Ukrainian War in the Political Conceptions of Law and Justice and Civic Platform — https://doi.org/10.17951/we.2025.11.2.11-37</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aim of this article is to present the political conceptions of Law and Justice (PiS) and Civic Platform (PO) regarding ways to bring the Russian–Ukrainian war to an end as quickly as possible and to outline a new European security system following the cessation of hostilities. Two research hypotheses are formulated: 1) both parties agree on the need to defeat Russia as swiftly as possible and to establish an international security system capable of protecting European states from further armed aggression; 2) the parties differ in certain respects regarding specific solutions related to the structure of this system. The following research questions are posed: 1) How do the two parties assess the armed conflict? 2) What options do they propose for ending it as quickly as possible? 3) What measures should be taken to prevent further aggression in Europe? 4) What role should Poland play in the future security system? The study employs the analysis of political thought as the primary research method, complemented by sys temic analysis, which reconstructs the European security system proposed by both parties, and compa rative analysis, which identifies similarities and differences between the political concepts of PiS and PO. According to both Law and Justice and Civic Platform, the new European security system established after the end of the Russian–Ukrainian war should guarant</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Tenses of the Present — https://doi.org/10.1080/14409917.2022.2081413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David Roberts’ History of the Present asks what comes after the grand narratives of European modernity. Progress is over, but without a past and with no assured future, the present remains in conceptual limbo. For Roberts, we are entering a new stage of a global cultural modernity marked by the end of European modernism. Taking a fresh look at the contested endings of the modern, Roberts suggests that an extended concept of contemporaneity might replace the problematic dualism of past and present, modernity and post-modernity at the end of the twentieth century. This review article discusses Roberts’ argument with reference to the work of Budapest School members, Ágnes Heller and György Markus, with reference more broadly to seminal theorists such as Georg Lukács, Walter Benjamin, Theodor Adorno, Alain Touraine and Guy Debord, and to writers including Marcel Proust, Heinrich Mann, Aldous Huxley and Michel Houellebecq, in relation to the questions of cultural modernity.</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pStyle w:val="Heading2"/>
      </w:pPr>
      <w:r>
        <w:t>765.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766.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2026:</w:t>
      </w:r>
      <w:r>
        <w:t xml:space="preserve"> Surveys in clinical research: methodological aspects and practical guidance — https://doi.org/10.62675/2965-2774.20260322</w:t>
      </w:r>
    </w:p>
    <w:p>
      <w:pPr/>
      <w:r>
        <w:rPr>
          <w:b/>
        </w:rPr>
        <w:t>Shared claim-specific concepts:</w:t>
      </w:r>
      <w:r>
        <w:t xml:space="preserve"> practical, administration, decisions, must, knowledge; EU scope not established. This is a provisional connection, not an outcome finding.</w:t>
      </w:r>
    </w:p>
    <w:p>
      <w:pPr>
        <w:pStyle w:val="SourceNote"/>
      </w:pPr>
      <w:r>
        <w:rPr>
          <w:b/>
        </w:rPr>
        <w:t>Available abstract (not full text):</w:t>
      </w:r>
      <w:r>
        <w:t xml:space="preserve"> Use of surveys in clinical research allows investigators to explore stakeholders' perspectives, measure implementation of interventions, and inform future decision-making. Surveys are versatile and accessible, but they require methodological rigor to yield adequate results. Their development involves a sequence of decisions that influence both data quality and interpretability - from defining objectives and selecting a sample to designing the questionnaire and choosing the method of administration. Questionnaires must balance clarity with precision, capturing relevant constructs without overburdening respondents. In many cases, frameworks such as Knowledge, Attitude, and Practice questionnaires are employed to structure questions and explore relationships between what individuals know, believe, and do. Online platforms increase the ability to disseminate surveys to a broader, more diverse target population and to improve data-collection workflows. Beyond the technical aspects, using surveys for clinical research faces practical challenges, such as low response rates and variability in engagement across formats. Addressing these issues requires planning and the use of strategies to encourage participation without compromising data quality. This review offers a practical overview intended to guide researchers in designing and conducting survey studies in clinical research.</w:t>
      </w:r>
    </w:p>
    <w:p>
      <w:pPr/>
      <w:r>
        <w:rPr>
          <w:b/>
        </w:rPr>
        <w:t>POSSIBLE 2026:</w:t>
      </w:r>
      <w:r>
        <w:t xml:space="preserve"> Grounded theory methodology and practical application in environmental sustainability research: A methodological review — https://doi.org/10.51867/aqssr.3.3.96</w:t>
      </w:r>
    </w:p>
    <w:p>
      <w:pPr/>
      <w:r>
        <w:rPr>
          <w:b/>
        </w:rPr>
        <w:t>Shared claim-specific concepts:</w:t>
      </w:r>
      <w:r>
        <w:t xml:space="preserve"> practical, application, methodology, must; EU scope not established. This is a provisional connection, not an outcome finding.</w:t>
      </w:r>
    </w:p>
    <w:p>
      <w:pPr>
        <w:pStyle w:val="SourceNote"/>
      </w:pPr>
      <w:r>
        <w:rPr>
          <w:b/>
        </w:rPr>
        <w:t>Available abstract (not full text):</w:t>
      </w:r>
      <w:r>
        <w:t xml:space="preserve"> Grounded Theory (GT) remains one of the most influential qualitative research methodologies for generating theory from empirical data. Since its introduction by Glaser and Strauss in 1967, Grounded Theory has undergone significant philosophical and methodological developments resulting in multiple variants of schools of thoughts including Classical Grounded Theory, Straussian Grounded Theory, and Constructivist Grounded Theory. Despite its widespread application across various disciplines such as health, education and business, Grounded Theory is often misunderstood and inconsistently applied, especially in the areas of theoretical sampling, data collection, constant comparative analysis, coding procedures, and memo writing. This paper reviews the historical evolution, fundamental principles, data collection procedures, analytical processes, and contributions of Grounded Theory to qualitative research. Using a methodological literature review of scholarly publications discussing Grounded Theory from 1967 to 2025 were examined. The review demonstrates that while Grounded Theory has evolved from a largely positivist orientation to more interpretive and constructivist perspectives, its core objective of generating theory grounded in empirical data remains unchanged. The paper further highlights the relevance of Grounded Theory in contemporary research and provides guidance for res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pStyle w:val="Heading2"/>
      </w:pPr>
      <w:r>
        <w:t>767.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2026:</w:t>
      </w:r>
      <w:r>
        <w:t xml:space="preserve"> Constructing extreme heatwave storylines with differentiable climate models — https://doi.org/10.5194/wcd-7-393-2026</w:t>
      </w:r>
    </w:p>
    <w:p>
      <w:pPr/>
      <w:r>
        <w:rPr>
          <w:b/>
        </w:rPr>
        <w:t>Shared claim-specific concepts:</w:t>
      </w:r>
      <w:r>
        <w:t xml:space="preserve"> based, storylines, explore, here, large; EU scope not established. This is a provisional connection, not an outcome finding.</w:t>
      </w:r>
    </w:p>
    <w:p>
      <w:pPr>
        <w:pStyle w:val="SourceNote"/>
      </w:pPr>
      <w:r>
        <w:rPr>
          <w:b/>
        </w:rPr>
        <w:t>Available abstract (not full text):</w:t>
      </w:r>
      <w:r>
        <w:t xml:space="preserve"> Understanding the plausible upper bounds of extreme weather events is essential for risk assessment in a warming climate. Existing methods, based on large ensembles of physics-based models, are often computationally expensive or lack the fidelity needed to simulate rare, high-impact extremes. Here, we present a novel framework that leverages a differentiable hybrid climate model, NeuralGCM, to optimize initial conditions and generate physically consistent worst-case heatwave trajectories. Applied to the 2021 Pacific Northwest heatwave, our method produces heatwave intensity up to 3.7 °C above the most extreme member of a 75-member ensemble. These trajectories feature intensified atmospheric blocking and amplified Rossby wave patterns—hallmarks of severe heat events. Our results demonstrate that differentiable climate models can efficiently explore the upper tails of event likelihoods, providing a powerful new approach for constructing targeted storylines of extreme weather under climate change.</w:t>
      </w:r>
    </w:p>
    <w:p>
      <w:pPr/>
      <w:r>
        <w:rPr>
          <w:b/>
        </w:rPr>
        <w:t>POSSIBLE 2026:</w:t>
      </w:r>
      <w:r>
        <w:t xml:space="preserve"> Storylines of extreme summer temperatures in southern South America — https://doi.org/10.5194/wcd-7-149-2026</w:t>
      </w:r>
    </w:p>
    <w:p>
      <w:pPr/>
      <w:r>
        <w:rPr>
          <w:b/>
        </w:rPr>
        <w:t>Shared claim-specific concepts:</w:t>
      </w:r>
      <w:r>
        <w:t xml:space="preserve"> based, storylines, explore, different, characteristics; EU scope not established. This is a provisional connection, not an outcome finding.</w:t>
      </w:r>
    </w:p>
    <w:p>
      <w:pPr>
        <w:pStyle w:val="SourceNote"/>
      </w:pPr>
      <w:r>
        <w:rPr>
          <w:b/>
        </w:rPr>
        <w:t>Available abstract (not full text):</w:t>
      </w:r>
      <w:r>
        <w:t xml:space="preserve"> Abstract. Understanding the sources of uncertainty in future climate extremes is crucial for developing effective regional adaptation strategies. This study examines projections of summer absolute maximum temperature (TXx) over four regions of southern South America: northern, central-eastern, central Argentina, and southern areas. We analyse simulations from 26 global climate models and apply a storyline approach to explore how different climate drivers combine to shape future changes in TXx for the late 21st century (2070–2099). The storylines are based on changes in key physical drivers, including mid-tropospheric circulation, regional soil moisture, sea surface temperature in Niño 3.4 region, and the intensity of the South Atlantic Convergence Zone. A multi-linear regression framework reveals that the dominant drivers of the projected warming in TXx vary substantially across regions. In northern areas, warming is primarily influenced by remote drivers such as tropical sea surface temperatures and changes in the South Atlantic Convergence Zone. Central-eastern and central Argentina exhibit mixed local and remote influences, while southern regions are predominantly affected by local drivers (soil drying and atmospheric circulation changes). Together, these drivers explain up to 56 % of the inter-model spread in future projections of TXx. However, their ability to account for </w:t>
      </w:r>
    </w:p>
    <w:p>
      <w:pPr/>
      <w:r>
        <w:rPr>
          <w:b/>
        </w:rPr>
        <w:t>POSSIBLE 2026:</w:t>
      </w:r>
      <w:r>
        <w:t xml:space="preserve"> Development of a digital numeracy assessment instrument based on Articulate Storyline for pre-service elementary teachers — https://doi.org/10.30762/f_m.v9i1.8206</w:t>
      </w:r>
    </w:p>
    <w:p>
      <w:pPr/>
      <w:r>
        <w:rPr>
          <w:b/>
        </w:rPr>
        <w:t>Shared claim-specific concepts:</w:t>
      </w:r>
      <w:r>
        <w:t xml:space="preserve"> based, tool, develop; EU scope not established. This is a provisional connection, not an outcome finding.</w:t>
      </w:r>
    </w:p>
    <w:p>
      <w:pPr>
        <w:pStyle w:val="SourceNote"/>
      </w:pPr>
      <w:r>
        <w:rPr>
          <w:b/>
        </w:rPr>
        <w:t>Available abstract (not full text):</w:t>
      </w:r>
      <w:r>
        <w:t xml:space="preserve"> Digital numeracy literacy is an essential competence for prospective elementary school teachers because it supports contextual problem-solving, data interpretation, and mathematical reasoning in 21st-century learning. However, contextual and technology-based assessment instruments capable of authentically measuring these competencies remain limited in teacher education. This study aimed to develop an interactive digital numeracy assessment instrument using Articulate Storyline, which supports multimedia-based and contextual assessment activities for prospective teachers in Madrasah Ibtidaiyah Teacher Education (PGMI) and Primary School Teacher Education (PGSD) programs. This research adopted a 4D Research and Development framework that included the stages of defining, designing, developing, and disseminating the instrument. The instrument was developed through needs analysis, expert validation, pilot, and field testing involving prospective teachers from three universities. The instrument contained contextual numeracy tasks of varying difficulty, covering geometry, measurement, equations, functions, ratios, and data representation. It was based on three digital numeracy indicators: mathematical symbol use, information analysis, and interpretation for decision-making. Validity was assessed through expert judgment, practicality through lecturer and student questionnaires, and eff</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pStyle w:val="Heading2"/>
      </w:pPr>
      <w:r>
        <w:t>768.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2026:</w:t>
      </w:r>
      <w:r>
        <w:t xml:space="preserve"> Intra-EU Trade Share Dynamics under Sequential Shocks: Evidence from Eurostat Data — https://doi.org/10.2478/picbe-2026-0290</w:t>
      </w:r>
    </w:p>
    <w:p>
      <w:pPr/>
      <w:r>
        <w:rPr>
          <w:b/>
        </w:rPr>
        <w:t>Shared claim-specific concepts:</w:t>
      </w:r>
      <w:r>
        <w:t xml:space="preserve"> data, eurostat, share, energy; EU scope visible. This is a provisional connection, not an outcome finding.</w:t>
      </w:r>
    </w:p>
    <w:p>
      <w:pPr>
        <w:pStyle w:val="SourceNote"/>
      </w:pPr>
      <w:r>
        <w:rPr>
          <w:b/>
        </w:rPr>
        <w:t>Available abstract (not full text):</w:t>
      </w:r>
      <w:r>
        <w:t xml:space="preserve"> Abstract Countries in the European Union (EU) trade with each other constantly, but big crises can cause financial trouble to spread easily across borders. This study looked at EU trade data from 2013 to 2024 to see how the system handled the COVID-19 pandemic and the war/energy crisis. Surprisingly, these major events didn’t break the trading system or cause sudden disruptions. Instead, trade slowly became more spread out among different countries over time rather than just being controlled by a few wealthy ones. Most countries kept their usual trading positions—with Romania showing great resilience by keeping steady exports and making minor import gains after 2022. Ultimately, the study shows that while the EU trade network is highly stable, sequential crises still slowly shift who relies on whom, meaning leaders must monitor these connections closely to manage future financial risks.</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Electricity market governance and the historical performance of electricity transitions in European countries: insights from retrospective modeling — https://doi.org/10.1016/j.esr.2025.101787</w:t>
      </w:r>
    </w:p>
    <w:p>
      <w:pPr/>
      <w:r>
        <w:rPr>
          <w:b/>
        </w:rPr>
        <w:t>Shared claim-specific concepts:</w:t>
      </w:r>
      <w:r>
        <w:t xml:space="preserve"> historical, work, share; EU scope visible. This is a provisional connection, not an outcome finding.</w:t>
      </w:r>
    </w:p>
    <w:p>
      <w:pPr>
        <w:pStyle w:val="SourceNote"/>
      </w:pPr>
      <w:r>
        <w:rPr>
          <w:b/>
        </w:rPr>
        <w:t>Available abstract (not full text):</w:t>
      </w:r>
      <w:r>
        <w:t xml:space="preserve"> In the last decades, the governance of national electricity systems in Europe has experienced several shifts between market liberalization and policy intervention. However, there remains a lack of consistent evidence about impacts of electricity market governance on the performance of electricity systems. This work uses retrospective bottom-up modeling to explore potential links between electricity market governance in 31 European countries and their electricity system transitions during 1990–2019. We identify historical governance regimes based on indicators of market regulation, renewable electricity policy support, and combined regulation and policy support. To assess performance of electricity systems, we quantify deviations between modeled historical and least-cost pathways using net present costs per unit of supplied electricity, emissions intensity, transformation of generation mix, and share of new renewable technologies. Countries with earlier liberalization of electricity markets on average had higher unit net present costs, lower emissions intensity, and higher share of new renewable generation relative to modeled least-cost pathways. Countries combining late liberalization with high support for renewable generation, which includes countries with higher public ownership of incumbent low-carbon generation, had the lowest relative values for unit net present costs and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pStyle w:val="Heading2"/>
      </w:pPr>
      <w:r>
        <w:t>769.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Next-Gen Monitoring: Technological Interventions for Climate-Adaptive Agriculture — https://doi.org/10.5281/zenodo.19417401</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Climate change poses a serious threat to global agriculture by altering temperature regimes, atmospheric CO₂ levels, and ecosystem dynamics, ultimately affecting crop productivity and food security. This paper highlights next-generation monitoring technologies designed to study crop responses under climate variability. Controlled environment systems such as Temperature Gradient Chambers (TGC), Temperature Gradient Greenhouses (TGG), and Soil-Plant-Atmosphere Research (SPARE) facilities provide precise regulation of environmental parameters, enabling detailed analysis of plant physiological responses. In contrast, field-based technologies including Infrared (IR) warming, Free Air Temperature Enrichment (FATE), and soil warming systems simulate realistic field conditions, allowing ecosystem-level assessment of climate impacts. Each approach offers distinct advantages: controlled systems ensure accuracy and repeatability, while field technologies enhance realism and scalability. However, limitations such as high cost, technical complexity, and challenges in maintaining natural environmental interactions persist. The integration of both approaches is essential for comprehensive understanding and reliable prediction of crop responses to climate change. These advanced technological interventions support the development of climate-resilient crop varieties, improved agronomic practices</w:t>
      </w:r>
    </w:p>
    <w:p>
      <w:pPr/>
      <w:r>
        <w:rPr>
          <w:b/>
        </w:rPr>
        <w:t>POSSIBLE 2026:</w:t>
      </w:r>
      <w:r>
        <w:t xml:space="preserve"> Unlocking Climate Mitigation in BRICS: The Role of Economic and Technological Drivers — https://doi.org/10.66529/jass.2026.1.2.55</w:t>
      </w:r>
    </w:p>
    <w:p>
      <w:pPr/>
      <w:r>
        <w:rPr>
          <w:b/>
        </w:rPr>
        <w:t>Shared claim-specific concepts:</w:t>
      </w:r>
      <w:r>
        <w:t xml:space="preserve"> climate, technological, used, but; EU scope not established. This is a provisional connection, not an outcome finding.</w:t>
      </w:r>
    </w:p>
    <w:p>
      <w:pPr>
        <w:pStyle w:val="SourceNote"/>
      </w:pPr>
      <w:r>
        <w:rPr>
          <w:b/>
        </w:rPr>
        <w:t>Available abstract (not full text):</w:t>
      </w:r>
      <w:r>
        <w:t xml:space="preserve"> The study uses Autoregressive Distributed Lag (ARDL) modeling to analyze the dynamic link between carbon emissions and economic and environmental factors. Agriculture, energy consumption, financial development, forestry, economic expansion, and ICT are used to assess short- and long-term environmental impacts. The Panel data set for the period of 1991-2022 for BRICS Economies was used for estimation. Strong emissions persistence and important short-term changes toward long-run equilibrium are shown empirically. Energy consumption is the main cause of environmental deterioration over both time periods, indicating structural dependency on energy-intensive manufacturing processes. Short-term findings show that agriculture and forestry reduce emissions, but financial development raises environmental strain. Economic development and ICT have little direct impact. Long-term projections show that agriculture and energy use raise emissions, while forestry conservation and technology enhance the environment. Long-term consequences of financial development and GDP are insignificant. The error correction process verifies convergence toward equilibrium, although adjustment is sluggish. Diagnostics confirm model stability despite heteroscedasticity and non-normal residuals. To reduce emissions and stabilize the climate, combined economic and environmental measures are needed.</w:t>
      </w:r>
    </w:p>
    <w:p>
      <w:pPr/>
      <w:r>
        <w:rPr>
          <w:b/>
        </w:rPr>
        <w:t>POSSIBLE 2026:</w:t>
      </w:r>
      <w:r>
        <w:t xml:space="preserve"> Integrating aviation’s non-CO2 effects into EU ETS: Impact of CO2e accounting on operational and technological climate mitigation measures — https://doi.org/10.1016/j.trpro.2026.02.025</w:t>
      </w:r>
    </w:p>
    <w:p>
      <w:pPr/>
      <w:r>
        <w:rPr>
          <w:b/>
        </w:rPr>
        <w:t>Shared claim-specific concepts:</w:t>
      </w:r>
      <w:r>
        <w:t xml:space="preserve"> climate, technological, increase; EU scope visible. This is a provisional connection, not an outcome finding.</w:t>
      </w:r>
    </w:p>
    <w:p>
      <w:pPr>
        <w:pStyle w:val="SourceNote"/>
      </w:pPr>
      <w:r>
        <w:rPr>
          <w:b/>
        </w:rPr>
        <w:t>Available abstract (not full text):</w:t>
      </w:r>
      <w:r>
        <w:t xml:space="preserve"> To comply with defined ambitious climate goals, technical and operational improvements are required to reduce the climate impact of aviation. Non-CO 2 emissions contribute to a majority of aviation’s total effect and a reduction of the associated climate impact is often associated with an increase in fuel consumption and CO 2 effects. These trade-offs typically result in higher operating costs, which create a lack of economic incentive to pursue such measures, ultimately slowing implementation. Therefore, this study investigates implications from a market-based policy scheme designed to support the implementation of climate mitigation strategies by internalizing non-CO 2 effects. An extension of the EU ETS to account for non-CO 2 effects in terms of CO 2 equivalents is modeled and resulting climate mitigation potentials and operating cost changes are analyzed. The results demonstrate the suitability of an extension of the existing accounting to non-CO 2 effects as this reduces cost in relation to the reference without measure implementation. Furthermore, benefits of operational climate mitigation measures are demonstrated in comparison to the use of sustainable fuels. Technical efficiency improvements can further help to increase mitigation potentials and reduce operating cost, while reduced accounting shares can help to limit cost and ticket price increase.</w:t>
      </w:r>
    </w:p>
    <w:p>
      <w:pPr/>
      <w:r>
        <w:rPr>
          <w:b/>
        </w:rPr>
        <w:t>POSSIBLE 2026:</w:t>
      </w:r>
      <w:r>
        <w:t xml:space="preserve"> Climate Change Mitigation Approaches — https://doi.org/10.1201/9781003674658-3</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With the continuously growing atmospheric CO 2 emissions that cause planetary warming; and threaten human communities and their economic activities, it is imperative that we study and implement some of the known and technologically feasible methods to reduce CO 2 emissions and mitigate the Global Climate Change (GCC). This chapter offers a succinct and critical survey on the key methods that have been proposed for the control and eventual reduction of the anthropogenic CO 2 emissions. Emphasis is given to energy efficiency, use of nuclear energy, and higher use of renewable energy – in particular wind and solar energy that are available everywhere on the planet – strategies that have been advocated in all the pathways and roadmaps to reduce CO 2 emissions. Detailed data on the conditions and requirements to decarbonize at three levels, a single home, a city, and an entire grid are also presented. The Chapter concludes with the effects electric vehicles may have on decarbonization efforts and the roadmaps presented by the agencies of the United Nations.</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pStyle w:val="Heading2"/>
      </w:pPr>
      <w:r>
        <w:t>770.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2026:</w:t>
      </w:r>
      <w:r>
        <w:t xml:space="preserve"> Climate matters: Differences in trends and drivers of summer humid heat in Europe and the Southeast United States — https://doi.org/10.5194/egusphere-egu26-1886</w:t>
      </w:r>
    </w:p>
    <w:p>
      <w:pPr/>
      <w:r>
        <w:rPr>
          <w:b/>
        </w:rPr>
        <w:t>Shared claim-specific concepts:</w:t>
      </w:r>
      <w:r>
        <w:t xml:space="preserve"> additional, example, climate; EU scope visible. This is a provisional connection, not an outcome finding.</w:t>
      </w:r>
    </w:p>
    <w:p>
      <w:pPr>
        <w:pStyle w:val="SourceNote"/>
      </w:pPr>
      <w:r>
        <w:rPr>
          <w:b/>
        </w:rPr>
        <w:t>Available abstract (not full text):</w:t>
      </w:r>
      <w:r>
        <w:t xml:space="preserve"> Humid heat has increased in intensity, frequency, and duration across the world, including in mid-latitude regions not acclimated to it. Wet bulb globe temperature (WBGT) is one of the most representative humid heat metrics in terms of impacts to human health. Here, an established WBGT estimation formula and the high-resolution (9-km) ERA5-Land reanalysis dataset are used to examine summer humid heat trends and drivers across Europe and the Southeast United States. In Europe, both daytime and nighttime WBGT are increasing significantly across nearly the entire domain. Daytime and nighttime trends are of similar magnitude in many areas, with daytime trends largest in western and northern Europe and nighttime trends greatest in eastern and southern Europe. In addition, there are statistically significant and large frequency and duration trends in extreme (90th percentile) WBGT, especially at night near the Mediterranean, where there are approximately three additional extreme nights per decade and extreme event duration is more than one day longer each decade. Unlike in Europe, nighttime WBGT trends in the Southeast United States are larger and more widely statistically significant than daytime trends across most of the region. Like in Europe, there are large increases in the frequency and duration of extremes, particularly at night. For example, regions near the Gulf and in Flori</w:t>
      </w:r>
    </w:p>
    <w:p>
      <w:pPr/>
      <w:r>
        <w:rPr>
          <w:b/>
        </w:rPr>
        <w:t>POSSIBLE 2026:</w:t>
      </w:r>
      <w:r>
        <w:t xml:space="preserve"> SDGs DISCLOSURE DEPENDENCY ON INFORMATION ASYMMETRY TO REDUCE FIRMS’ STOCK VOLATILITY — https://doi.org/10.23969/jrak.v18i1.36044</w:t>
      </w:r>
    </w:p>
    <w:p>
      <w:pPr/>
      <w:r>
        <w:rPr>
          <w:b/>
        </w:rPr>
        <w:t>Shared claim-specific concepts:</w:t>
      </w:r>
      <w:r>
        <w:t xml:space="preserve"> show, dependency, higher; EU scope not established. This is a provisional connection, not an outcome finding.</w:t>
      </w:r>
    </w:p>
    <w:p>
      <w:pPr>
        <w:pStyle w:val="SourceNote"/>
      </w:pPr>
      <w:r>
        <w:rPr>
          <w:b/>
        </w:rPr>
        <w:t>Available abstract (not full text):</w:t>
      </w:r>
      <w:r>
        <w:t xml:space="preserve"> Motivated by limited SDGs financing and largely symbolic corporate engagement in Indonesia, concerns arise regarding how SDGs disclosure relates to stock volatility. This study examines the effect of SDGs disclosure on stock volatility and the role of information asymmetry, with SDGs disclosure decomposed into depth, breadth, and concentration. This quantitative study uses firms in the ESGQ KEHATI Index over 2020–2024, resulting in 197 firm-year observations and analyzed using panel regression. The findings indicate that SDGs disclosure tends to reduce stock volatility, although this effect depends on information asymmetry. At the dimensional level, depth is associated with higher volatility, while breadth and concentration show an inverse relationship. These findings provide empirical insights into the role of SDGs disclosure in capital market dynamics and contribute to the limited literature in Indonesia.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pStyle w:val="Heading2"/>
      </w:pPr>
      <w:r>
        <w:t>771.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climate, policies, three, warming;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climate, information;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Nature-Based Tourism in National and Natural Parks in Europe: A Systematic Review — https://doi.org/10.3390/f15040588</w:t>
      </w:r>
    </w:p>
    <w:p>
      <w:pPr/>
      <w:r>
        <w:rPr>
          <w:b/>
        </w:rPr>
        <w:t>Shared claim-specific concepts:</w:t>
      </w:r>
      <w:r>
        <w:t xml:space="preserve"> knowledge, natural, strategies;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Knowledge Management in Parliament. A quantitative overview for Europe — https://doi.org/10.52514/sier.v2i1.39</w:t>
      </w:r>
    </w:p>
    <w:p>
      <w:pPr/>
      <w:r>
        <w:rPr>
          <w:b/>
        </w:rPr>
        <w:t>Shared claim-specific concepts:</w:t>
      </w:r>
      <w:r>
        <w:t xml:space="preserve"> knowledge, information, work, flood; EU scope visible. This is a provisional connection, not an outcome finding.</w:t>
      </w:r>
    </w:p>
    <w:p>
      <w:pPr>
        <w:pStyle w:val="SourceNote"/>
      </w:pPr>
      <w:r>
        <w:rPr>
          <w:b/>
        </w:rPr>
        <w:t>Available abstract (not full text):</w:t>
      </w:r>
      <w:r>
        <w:t xml:space="preserve"> Despite being the fundamental pillar of our democratic systems, there has been a notable scarcity of research on knowledge management within parliamentary settings. The few existing approaches fail to consider the unique structure of parliaments and the challenges newly elected members face. Previous research concluded that knowledge in parliaments still tends to be tacit, informal, and not recorded. In view of the multitude of highly knowledge-intensive crises in the last decade, the need for political knowledge management becomes apparent. This paper investigates how members of the national parliaments in Europe manage their knowledge relevant for policy-making, using original data collected in a quantitative online-survey in mid-2023. I was able to show that both organizational and cultural barriers hinder good knowledge work and that a systematic approach is still not being pursued. I come to the conclusion that modern politics lacks sufficient resources and know-how to adequately evaluate and apply the flood of information in everyday business. This deficiency is especially detrimental to inexperienced MPs and members of the opposition. Building on these findings, a proposed model for political knowledge management is presented. The central pillars are, on the one hand, the creation of awareness, the formulation of a knowledge strategy, the more intensive integration of ex</w:t>
      </w:r>
    </w:p>
    <w:p>
      <w:pPr>
        <w:pStyle w:val="Heading2"/>
      </w:pPr>
      <w:r>
        <w:t>772.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2026:</w:t>
      </w:r>
      <w:r>
        <w:t xml:space="preserve"> Retrospective pig welfare assessment at rendering plants – a useful tool for monitoring and inspection — https://doi.org/10.1186/s40813-026-00504-6</w:t>
      </w:r>
    </w:p>
    <w:p>
      <w:pPr/>
      <w:r>
        <w:rPr>
          <w:b/>
        </w:rPr>
        <w:t>Shared claim-specific concepts:</w:t>
      </w:r>
      <w:r>
        <w:t xml:space="preserve"> useful, tool, number, present, until; EU scope visible. This is a provisional connection, not an outcome finding.</w:t>
      </w:r>
    </w:p>
    <w:p>
      <w:pPr>
        <w:pStyle w:val="SourceNote"/>
      </w:pPr>
      <w:r>
        <w:rPr>
          <w:b/>
        </w:rPr>
        <w:t>Available abstract (not full text):</w:t>
      </w:r>
      <w:r>
        <w:t xml:space="preserve"> BACKGROUND: The COUNCIL DIRECTIVE 98/58/EC (1) states that animal owners and care takers must ensure that animals under their care are not subjected to unnecessary pain, suffering and injury. Until now, rendering plants as a potential ‘exit’ in animal production have been largely ignored as a potential assessment site for animal welfare monitoring. The aim of the present work was to provide an overview of welfare-related lesions commonly found in pigs at rendering plants. Data collection was carried out in Austrian and German rendering plants and focussed on lesions that were expected to be recognizable for any pig farmer. RESULTS: In the Austrian study, 20.8% of all pigs delivered to a rendering plant showed lesions potentially associated with substantial pain and/or suffering. In Germany, 16.0% of examined pigs (sample A) may have been exposed to substantial pain and/or suffering. Most common lesions were biting wounds, ulcerative skin lesions and swellings. CONCLUSIONS: Based on the results it must be assumed that a considerable number of pigs experienced substantial pain and/or suffering prior to death. External examinations focusing on potentially welfare-relevant lesions carried out at rendering plants could be helpful in identifying farms at high risk of non-compliance with the Animal Welfare Act.</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Spirulina in the 21st century: Five reasons for success in Europe — https://doi.org/10.1007/s10811-025-03536-7</w:t>
      </w:r>
    </w:p>
    <w:p>
      <w:pPr/>
      <w:r>
        <w:rPr>
          <w:b/>
        </w:rPr>
        <w:t>Shared claim-specific concepts:</w:t>
      </w:r>
      <w:r>
        <w:t xml:space="preserve"> recognised, number, existing; EU scope visible. This is a provisional connection, not an outcome finding.</w:t>
      </w:r>
    </w:p>
    <w:p>
      <w:pPr>
        <w:pStyle w:val="SourceNote"/>
      </w:pPr>
      <w:r>
        <w:rPr>
          <w:b/>
        </w:rPr>
        <w:t>Available abstract (not full text):</w:t>
      </w:r>
      <w:r>
        <w:t xml:space="preserve"> The commercialised Spirulina (scientific name, Limnospira spp.), a filamentous multicellular blue-green cyanobacterium, is increasingly cultivated and utilised worldwide, including in Europe, as food and feed, due to its high nutritional value and health benefits. Its global usage has surged nearly tenfold over the past two decades, with annual production levels reaching around 30,000 tonnes of biomass according to FAO. The growing popularity of Spirulina stems from a rising demand but also from general acceptance as a protein alternative and a healthier and more sustainable source of food, thereby underlining the nutritional limitations and environmental impacts of conventional agricultural systems. Recognised as a healthy and safe food product, Spirulina is listed in the EU Food Catalog and, since 2017, has been officially categorised under the existing "Marine Algae" EU category and hence incorporated into the RCE 889/2008 EU regulation of organic products. The evolution of Spirulina research topics, on the number of large-scale cultivation sites and use of safe industrial processing technologies have brought Spirulina biomass to a global international scale providing safe products now able to be marketed under official EU regulation. Looking ahead, Spirulina's application has extended beyond the sole nutritional supplement benefit to become an ingredient in mainstream foods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773.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2026:</w:t>
      </w:r>
      <w:r>
        <w:t xml:space="preserve"> Regionally Stratified Analysis of Technology Adoption Curves for Aluminum Production (2023–2050) — https://doi.org/10.1201/9781003672807-9</w:t>
      </w:r>
    </w:p>
    <w:p>
      <w:pPr/>
      <w:r>
        <w:rPr>
          <w:b/>
        </w:rPr>
        <w:t>Shared claim-specific concepts:</w:t>
      </w:r>
      <w:r>
        <w:t xml:space="preserve"> business-as-usual, bau, union, compared; EU scope visible. This is a provisional connection, not an outcome finding.</w:t>
      </w:r>
    </w:p>
    <w:p>
      <w:pPr>
        <w:pStyle w:val="SourceNote"/>
      </w:pPr>
      <w:r>
        <w:rPr>
          <w:b/>
        </w:rPr>
        <w:t>Available abstract (not full text):</w:t>
      </w:r>
      <w:r>
        <w:t xml:space="preserve"> This study presents a groundbreaking regionally stratified analysis of technology adoption curves for aluminum production from 2023 to 2050, focusing on the transformative potential of hydrogen smelting, inert anode technology, and artificial intelligence (AI)-driven scrap sorting to decarbonize the sector. By evaluating four scenarios—Business-as-Usual (BAU), Assisted, Greater Support, and Smarter—the research reveals stark regional disparities in adoption rates, driven by policy frameworks, infrastructure readiness, and economic incentives. For instance, under the Smarter scenario, hydrogen smelting adoption soars to 90% in China and 100% in the European Union (EU) by 2050, while inert anode penetration reaches 75% in China and 95% in Japan, highlighting the catalytic role of state-backed initiatives and carbon pricing mechanisms. The study underscores how AI-based scrap sorting can achieve efficiency gains of up to 50% in advanced economies, transforming recycling into a high-precision, circular economy pillar. These findings illuminate the critical interplay between technological innovation, policy ambition, and regional resource endowments in shaping the aluminum industry’s low-carbon future. This study further integrates a sensitivity analysis of hydrogen price volatility, revealing its profound impact on regional adoption risks, with Africa facing critical challenges (ra</w:t>
      </w:r>
    </w:p>
    <w:p>
      <w:pPr/>
      <w:r>
        <w:rPr>
          <w:b/>
        </w:rPr>
        <w:t>POSSIBLE 2026:</w:t>
      </w:r>
      <w:r>
        <w:t xml:space="preserve"> Deliverable D5.2 (D10) Stakeholder validated baselines — https://doi.org/10.5281/zenodo.20410868</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Executive summary This deliverable presents the development of stakeholder-validated baseline scenarios within the BrightSpace project, structured as an iterative process combining modelling activities, database development, and structured stakeholder engagement. The baseline work builds on Deliverable D5.1 and integrates feedback from two stakeholder retreats held in Leuven (June 2024 and September 2025), which informed successive refinements of both a “business-as-usual” (BAU) baseline and a more exploratory “challenging” baseline. The resulting revised BAU baseline is provided as an electronic annex to this deliverable, while the challenging baseline is presented alongside its motivation and key differences. The baseline development process is embedded in a broader modelling framework linking major integrated assessment and partial equilibrium models (e.g. IMAGE, GLOBIOM, MAGNET, AGMEMOD, CAPRI, FarmDyn), ensuring consistency, complementarity, and uncertainty assessment across spatial scales and thematic domains. Stakeholder engagement played a central role in validating assumptions, identifying gaps, and refining model interpretations, particularly regarding macroeconomic drivers, demand-side developments, and structural uncertainties affecting EU food systems. The BAU baseline reflects updated projections of key socio-economic and biophysical drivers under continuation of </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2025:</w:t>
      </w:r>
      <w:r>
        <w:t xml:space="preserve"> Assessing material requirements, supply and circularity potentials for photovoltaic systems – the case of Cyprus — https://doi.org/10.1016/j.renene.2025.124357</w:t>
      </w:r>
    </w:p>
    <w:p>
      <w:pPr/>
      <w:r>
        <w:rPr>
          <w:b/>
        </w:rPr>
        <w:t>Shared claim-specific concepts:</w:t>
      </w:r>
      <w:r>
        <w:t xml:space="preserve"> business-as-usual, bau, union, increase; EU scope visible. This is a provisional connection, not an outcome finding.</w:t>
      </w:r>
    </w:p>
    <w:p>
      <w:pPr>
        <w:pStyle w:val="SourceNote"/>
      </w:pPr>
      <w:r>
        <w:rPr>
          <w:b/>
        </w:rPr>
        <w:t>Available abstract (not full text):</w:t>
      </w:r>
      <w:r>
        <w:t xml:space="preserve"> Solar photovoltaic (PV) systems play a crucial role in the global green energy transition, but their material requirements present challenges in terms of supply chain resilience. The required materials include concrete, steel, silver, cadmium, tellurium, indium, and selenium, as well as a range of other materials (aluminium, copper, silicon, germanium and gallium) that are considered either critical or strategically important due to their supply risks and economic importance. Although the challenges for PV systems are addressed in the ambitious European Green Deal of the European Union (EU) through circular economy strategies, implementation at the national level faces obstacles. To analyse the material implications of a green energy transition dominated by solar PVs, this paper focuses on Cyprus, an island country with a high solar energy potential and ambitious PV deployment targets. We use Material Flow Analysis to examine the retrospective and prospective material accumulations and trends under three scenarios: Business-As-Usual (BAU) that reflects a continuation of historical trends; With Existing Measures (WEM) which incorporates currently adopted and legislated policies; and Net-Zero Scenario (NZS) that targets full climate neutrality by 2050. The results show a substantial increase in material stocks across all scenarios, with the NZS projecting the most-significant gro</w:t>
      </w:r>
    </w:p>
    <w:p>
      <w:pPr/>
      <w:r>
        <w:rPr>
          <w:b/>
        </w:rPr>
        <w:t>POSSIBLE 2025:</w:t>
      </w:r>
      <w:r>
        <w:t xml:space="preserve"> Is geothermal and biomass energy a better alternative for seven renewable energy courteous countries: Evidence from Fourier ARDL , Fourier B ootstrap T oda‐ Y amamoto and wavelet coherence — https://doi.org/10.1002/ep.70090</w:t>
      </w:r>
    </w:p>
    <w:p>
      <w:pPr/>
      <w:r>
        <w:rPr>
          <w:b/>
        </w:rPr>
        <w:t>Shared claim-specific concepts:</w:t>
      </w:r>
      <w:r>
        <w:t xml:space="preserve"> seven, compared; EU scope visible. This is a provisional connection, not an outcome finding.</w:t>
      </w:r>
    </w:p>
    <w:p>
      <w:pPr>
        <w:pStyle w:val="SourceNote"/>
      </w:pPr>
      <w:r>
        <w:rPr>
          <w:b/>
        </w:rPr>
        <w:t>Available abstract (not full text):</w:t>
      </w:r>
      <w:r>
        <w:t xml:space="preserve"> Abstract This study examines geothermal and biomass energy as cleaner alternatives in seven renewable‐focused countries in the context of sustainable development and global carbon‐neutrality objectives. Geothermal power provides significant emission reductions, with facilities around 99% less CO 2 and 97% less SO 2 compared to equivalent fossil‐fuel plants. Biomass energy is regarded as carbon‐neutral in CO 2 assessments; however, it still emits SO 2 and NO x . We utilize a Fourier‐augmented bootstrap ARDL model to examine long‐term energy‐emissions relationships, a Fourier‐augmented Toda‐Yamamoto causality test, and wavelet coherence for time‐frequency co‐movements. Research indicates validation of the Environmental Kuznets Curve in certain economies (USA, Italy), but not in others (France, Portugal, New Zealand, Turkey, Australia). France has no Environmental Kuznets Curve impact. Data from the EEA for Italy indicate the possible advantages; geothermal expansion from 2005 to 2018 averted approximately 2 Mt of CO 2 and reduced around 0.9 kt of NO x and 0.7 kt of SO 2 . Current business‐as‐usual predictions significantly exceed net‐zero objectives, with existing commitments anticipated to result in around 22 Gt CO 2 emissions by 2050. Conversely, IEA models anticipate over 90% renewable electricity by 2050, emphasizing the benefits of geothermal and biomass optimization. Essent</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2024:</w:t>
      </w:r>
      <w:r>
        <w:t xml:space="preserve"> Global spillover effects of the European Green Deal and plausible mitigation options — https://doi.org/10.1038/s41893-024-01428-1</w:t>
      </w:r>
    </w:p>
    <w:p>
      <w:pPr/>
      <w:r>
        <w:rPr>
          <w:b/>
        </w:rPr>
        <w:t>Shared claim-specific concepts:</w:t>
      </w:r>
      <w:r>
        <w:t xml:space="preserve"> union, increase, million; EU scope visible. This is a provisional connection, not an outcome finding.</w:t>
      </w:r>
    </w:p>
    <w:p>
      <w:pPr>
        <w:pStyle w:val="SourceNote"/>
      </w:pPr>
      <w:r>
        <w:rPr>
          <w:b/>
        </w:rPr>
        <w:t>Available abstract (not full text):</w:t>
      </w:r>
      <w:r>
        <w:t xml:space="preserve"> Achieving European Green Deal (EGD) targets for carbon removal and ecological restoration would reduce agricultural and forestry production within the European Union yet simultaneously extend ecosystem impacts elsewhere. Here we quantify such spillover impacts by coupling an extended multi-regional input–output analysis with an agro-ecological zones model. We find that EGD’s agricultural and forestry targets set for 2030 could result in a 23.9 Mha increase in demand for agricultural land outside the European Union, which in turn would lead to an increase in land-use-related carbon emissions by 758.9 MtCO2-equivalent (244.8% of EGD’s carbon removal target in the land, land-use-change and forestry sectors) and a biodiversity loss of 3.86 million mean species abundance loss. Such spillover impacts far exceed the ecological benefits from EGD conservation-based import policies, such as promoting deforestation-free products and phasing out food-based biofuel. We then propose three options beyond the primary targets of the EGD with the aim to mitigate such spillover impacts. The assessment of these options reveals the critical role of reducing meat and dairy consumption, highlighting the impact of consumer behaviour on environmental outcomes. This raises questions about public awareness, willingness to change diets and the role of policy in influencing consumer behaviours. Achieving E</w:t>
      </w:r>
    </w:p>
    <w:p>
      <w:pPr/>
      <w:r>
        <w:rPr>
          <w:b/>
        </w:rPr>
        <w:t>POSSIBLE 2024:</w:t>
      </w:r>
      <w:r>
        <w:t xml:space="preserve"> Evaluation of a Peer-to-Peer Smart Grid Using Digital Twins: A Case Study of a Remote European Island — https://doi.org/10.3390/en17225541</w:t>
      </w:r>
    </w:p>
    <w:p>
      <w:pPr/>
      <w:r>
        <w:rPr>
          <w:b/>
        </w:rPr>
        <w:t>Shared claim-specific concepts:</w:t>
      </w:r>
      <w:r>
        <w:t xml:space="preserve"> increase; EU scope visible. This is a provisional connection, not an outcome finding.</w:t>
      </w:r>
    </w:p>
    <w:p>
      <w:pPr>
        <w:pStyle w:val="SourceNote"/>
      </w:pPr>
      <w:r>
        <w:rPr>
          <w:b/>
        </w:rPr>
        <w:t>Available abstract (not full text):</w:t>
      </w:r>
      <w:r>
        <w:t xml:space="preserve"> Decarbonization of the built environment by electrifying energy systems and decarbonizing the electrical grid coupled with the digitization of these systems is a central strategy implemented by the European Commission (EC) to meet carbon reduction policies. The proliferation of technologies such as renewable energy sources (RES) and demand-side management (DSM) systems can be improved by using digital twins to predict and optimize their integration with existing systems. Digital twins in the built environment have been used for multiple purposes, such as predicting the performance of a system before its inception or optimizing its operation during use. To this end, a novel application of a combination of these technologies towards optimized DSM is peer-to-peer (P2P) energy trading, which can improve the local use of RES in the built environment. This paper investigates the potential of P2P energy trading in optimizing local RES of a remote island, Inishmore, Republic of Ireland, using a combination of data-driven and predictive digital twins towards the island’s journey to net zero. Data-driven digital twins are used to evaluate the current energy use at the pilot site. Predictive digital twins are applied to estimate the impact of applying P2P in the future and its influence on RES consumption at the pilot site. The findings show that in scenarios with limited RES coverage, P2</w:t>
      </w:r>
    </w:p>
    <w:p>
      <w:pPr>
        <w:pStyle w:val="Heading2"/>
      </w:pPr>
      <w:r>
        <w:t>774.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2026:</w:t>
      </w:r>
      <w:r>
        <w:t xml:space="preserve"> THE CONTENT OF GEOECOLOGICAL EDUCATION IN THE GENERAL SYSTEM OF SECONDARY EDUCATION: THE STATE OF SCIENTIFIC RESEARCH AND STUDIES — https://openalex.org/W7216943096</w:t>
      </w:r>
    </w:p>
    <w:p>
      <w:pPr/>
      <w:r>
        <w:rPr>
          <w:b/>
        </w:rPr>
        <w:t>Shared claim-specific concepts:</w:t>
      </w:r>
      <w:r>
        <w:t xml:space="preserve"> article, presented, system, general, secondary, education; EU scope not established. This is a provisional connection, not an outcome finding.</w:t>
      </w:r>
    </w:p>
    <w:p>
      <w:pPr>
        <w:pStyle w:val="SourceNote"/>
      </w:pPr>
      <w:r>
        <w:rPr>
          <w:b/>
        </w:rPr>
        <w:t>Available abstract (not full text):</w:t>
      </w:r>
      <w:r>
        <w:t xml:space="preserve"> The article is devoted to the analysis of the state of geoecological education in the general system of Secondary Education, the study of the content within the framework of scientific research, the popularization of existing experience and research. In it, the authors presented important scientific hypotheses, noting that the content of geoecological education aimed at the formation of a geoecological culture of schoolchildren, which is necessary to provide scientific, methodological and practical recommendations, has not become the subject of scientific research.</w:t>
      </w:r>
    </w:p>
    <w:p>
      <w:pPr/>
      <w:r>
        <w:rPr>
          <w:b/>
        </w:rPr>
        <w:t>POSSIBLE 2026:</w:t>
      </w:r>
      <w:r>
        <w:t xml:space="preserve"> The Role of the Article in Patterns of Modification in Greek — https://doi.org/10.3390/encyclopedia6060122</w:t>
      </w:r>
    </w:p>
    <w:p>
      <w:pPr/>
      <w:r>
        <w:rPr>
          <w:b/>
        </w:rPr>
        <w:t>Shared claim-specific concepts:</w:t>
      </w:r>
      <w:r>
        <w:t xml:space="preserve"> article, four, first, second; EU scope not established. This is a provisional connection, not an outcome finding.</w:t>
      </w:r>
    </w:p>
    <w:p>
      <w:pPr>
        <w:pStyle w:val="SourceNote"/>
      </w:pPr>
      <w:r>
        <w:rPr>
          <w:b/>
        </w:rPr>
        <w:t>Available abstract (not full text):</w:t>
      </w:r>
      <w:r>
        <w:t xml:space="preserve"> The present entry focuses on definiteness agreement patterns in Modern Greek by exploring the function of the definite article in structures that involve a head noun and a modifier—typically an adjective, but not only—that is also accompanied by the definite article. Such structures have been variously dubbed polydefinite noun phrases/Determiner Phrases (or, simply, polydefinites), appositions, (pseudo)partitives, and evaluative appositives in the numerous studies that have been put forward to account for them over the past four decades or so. The peculiarity of these structures is the very presence of the second definite article that shows up whenever the modified noun itself is definite; at first sight, this ‘second’ article seems redundant, or expletive. Polydefiniteness has earned a privileged position in the literature, as has been discussed extensively and in depth over the past thirty years or so. The aim of this entry is to provide i. a description of the patterns that involve a noun and a modifier accompanied by its own definite article, and ii. a comprehensive survey of the relevant literature by highlighting commonalities and differences across the basic studies that have been written about polydefiniteness.</w:t>
      </w:r>
    </w:p>
    <w:p>
      <w:pPr/>
      <w:r>
        <w:rPr>
          <w:b/>
        </w:rPr>
        <w:t>POSSIBLE 2026:</w:t>
      </w:r>
      <w:r>
        <w:t xml:space="preserve"> Pedagogical technology for designing a developing system of in-house training for teachers in a general education organization — https://doi.org/10.24923/2222-243x.2026-60.48</w:t>
      </w:r>
    </w:p>
    <w:p>
      <w:pPr/>
      <w:r>
        <w:rPr>
          <w:b/>
        </w:rPr>
        <w:t>Shared claim-specific concepts:</w:t>
      </w:r>
      <w:r>
        <w:t xml:space="preserve"> article, presented, system, general, education, characteristics; EU scope not established. This is a provisional connection, not an outcome finding.</w:t>
      </w:r>
    </w:p>
    <w:p>
      <w:pPr>
        <w:pStyle w:val="SourceNote"/>
      </w:pPr>
      <w:r>
        <w:rPr>
          <w:b/>
        </w:rPr>
        <w:t>Available abstract (not full text):</w:t>
      </w:r>
      <w:r>
        <w:t xml:space="preserve"> The article addresses the problem of improving the content and methods of informal professional development of specialists in the general education system. The results of the study are presented, the purpose of which is to substantiate and characterize the pedagogical technology of designing a developing system of intra-corporate education for teachers of a general education organization. The work is supported by a systematic methodology, the principle of regulated evolution, the idea of a self-learning organization, and a technological approach to creating educational systems. This expands the theoretical understanding of the design of informal learning processes for teachers. The scientific novelty of the obtained results is the characteristic of the bases, signs, stages and content of the technology of designing the developing system of intra-corporate education. During its design, the emphasis is placed on ensuring the developing potential of the system being created, its compliance with the characteristics of in-house training. The practical significance of the solution obtained lies in the possibility of using the proposed technology in the activities of specialists of educational institutions interested in improving the processes of continuous professional development of teachers of the general education system.</w:t>
      </w:r>
    </w:p>
    <w:p>
      <w:pPr/>
      <w:r>
        <w:rPr>
          <w:b/>
        </w:rPr>
        <w:t>POSSIBLE 2026:</w:t>
      </w:r>
      <w:r>
        <w:t xml:space="preserve"> ORGANIZATIONAL AND MANAGERIAL FOUNDATIONS OF FUNDRAISING IN THE SYSTEM OF GENERAL SECONDARY EDUCATION OF UKRAINE — https://doi.org/10.33989/2075-146x.2026.37.361684</w:t>
      </w:r>
    </w:p>
    <w:p>
      <w:pPr/>
      <w:r>
        <w:rPr>
          <w:b/>
        </w:rPr>
        <w:t>Shared claim-specific concepts:</w:t>
      </w:r>
      <w:r>
        <w:t xml:space="preserve"> article, presented, ukraine, system, general, secondary; EU scope not established. This is a provisional connection, not an outcome finding.</w:t>
      </w:r>
    </w:p>
    <w:p>
      <w:pPr>
        <w:pStyle w:val="SourceNote"/>
      </w:pPr>
      <w:r>
        <w:rPr>
          <w:b/>
        </w:rPr>
        <w:t>Available abstract (not full text):</w:t>
      </w:r>
      <w:r>
        <w:t xml:space="preserve"> The article examines the organizational and managerial foundations of fundraising activities in the system of general secondary education in Ukraine. The relevance of implementing fundraising as a strategic development tool is substantiated. It is determined that modern educational fundraising is evolving into a systemic activity grounded in strategic planning, partnership engagement, reputation management, transparency, and effective communication with stakeholders. The multifaceted nature of the concept of "fundraising" is clarified as a specific managerial activity, a resource support tool, a mechanism of strategic development, and an art of communication. The main structural components of fundraising activities are identified: resource, technological, subject-object, communication, and ethical-value components. The stages of the managerial cycle of fundraising activities in general secondary education institutions are characterized. Special attention is paid to substantiating the diagnostic system for assessing an educational institution's readiness to implement fundraising activities as an important organizational and managerial aspect. The expediency of using SWOT and PEST analyses to evaluate the internal potential of an educational institution, human resources, partnership opportunities, and external environmental risks is emphasized. The results of a survey on the stat</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2025:</w:t>
      </w:r>
      <w:r>
        <w:t xml:space="preserve"> History Education in the General Education System: Scientific Foundations and Educational Practice — https://doi.org/10.54884/1815-7041-2025-82-1-92-102</w:t>
      </w:r>
    </w:p>
    <w:p>
      <w:pPr/>
      <w:r>
        <w:rPr>
          <w:b/>
        </w:rPr>
        <w:t>Shared claim-specific concepts:</w:t>
      </w:r>
      <w:r>
        <w:t xml:space="preserve"> article, presented, system, general, education; EU scope not established. This is a provisional connection, not an outcome finding.</w:t>
      </w:r>
    </w:p>
    <w:p>
      <w:pPr>
        <w:pStyle w:val="SourceNote"/>
      </w:pPr>
      <w:r>
        <w:rPr>
          <w:b/>
        </w:rPr>
        <w:t>Available abstract (not full text):</w:t>
      </w:r>
      <w:r>
        <w:t xml:space="preserve"> The article is devoted to the study of the socio-pedagogical phenomenon of "history education" as well as the analysis of the established practice of implementing history education in the general education system. The conduction of terminological analysis made it possible to trace the evolution of the meaning and use of the concept of "history education" and to clarify its features and properties. The author's definition of historical education reveals its pedagogical essence and semantic meaning. History education is presented as a specially organized pedagogical process aimed at creating conditions for increasing the level of history literacy of an individual, which is considered as the basis for the formation of an all-Russian civic identity, collective history memory and the preservation of traditional spiritual, moral, cultural and history values. The results of the study present the current state of regional practice of implementing history education in general education organizations. The reliability of the obtained results is confirmed by the selected research methodology built on the basis of the use of systemic, activity-based, socio-cultural approaches and a number of pedagogical search methods: questionnaires, interviews, analytical processing of the obtained data, representativeness of the sample and its criteria, a comprehensive assessment of the significance of t</w:t>
      </w:r>
    </w:p>
    <w:p>
      <w:pPr>
        <w:pStyle w:val="Heading2"/>
      </w:pPr>
      <w:r>
        <w:t>775.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2026:</w:t>
      </w:r>
      <w:r>
        <w:t xml:space="preserve"> A finite-order answer to a problem of Erdős on maximum modulus points — https://doi.org/10.48550/arxiv.2607.09462</w:t>
      </w:r>
    </w:p>
    <w:p>
      <w:pPr/>
      <w:r>
        <w:rPr>
          <w:b/>
        </w:rPr>
        <w:t>Shared claim-specific concepts:</w:t>
      </w:r>
      <w:r>
        <w:t xml:space="preserve"> set, order, answer, question; EU scope not established. This is a provisional connection, not an outcome finding.</w:t>
      </w:r>
    </w:p>
    <w:p>
      <w:pPr>
        <w:pStyle w:val="SourceNote"/>
      </w:pPr>
      <w:r>
        <w:rPr>
          <w:b/>
        </w:rPr>
        <w:t>Available abstract (not full text):</w:t>
      </w:r>
      <w:r>
        <w:t xml:space="preserve"> In 1964, Erdős asked whether, for a non-monomial entire function, the number of maximum modulus points on the circle \(|z|=r\) can become arbitrarily large as $r\to\infty$. In 1968, Herzog and Piranian answered this question affirmatively, but without quantitative control on the resulting function. We prove that such an example can be chosen to have finite order and, moreover, to belong to the Eremenko--Lyubich class \(\B\). We also prove an interpolation theorem for maximum modulus sets: prescribed points with pairwise distinct moduli can be forced to lie in the maximum modulus set of some function in \(\B\), with finite order under a geometric separation condition.</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pStyle w:val="Heading2"/>
      </w:pPr>
      <w:r>
        <w:t>776.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2026:</w:t>
      </w:r>
      <w:r>
        <w:t xml:space="preserve"> The Relationship between Organisational Life Cycle and the Use of Multiple Performance Measures: A Configuration Approach — https://doi.org/10.22452/ajap.vol18no2.4</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Abstract Research aim: This study investigates the relationship between organisational life cycle (OLC) stages and the use of multiple performance measures (MPMs) across Indonesian manufacturers. A configuration approach was used to categorise companies into different OLC stages using Miller and Friesen’s (1984) typology. Design/ Methodology/ Approach: A survey method was utilised, with the respondents comprising 96 managers of Indonesian manufacturing companies. A cluster analysis with hierarchical agglomeration and Ward’s minimum variance method was used to classify companies into OLC stages. Analysis of variance (ANOVA) and pairwise comparison analysis were used to examine the hypotheses. Research finding: Significant differences in the usage of each and all MPM perspectives was observable across OLC stages. A greater extent of the use of each and all MPM perspectives was also demonstrated by companies in the growth stage, compared to those in the maturity and birth OLC stages. A greater extent of the use of the customer perspective and all MPM perspectives was documented by companies in the revival stage. The learning and growth perspective was implemented to a marginally greater extent by revival-stage companies than birth- and maturity-stage companies. Theoretical contribution/Originality: This study contributes to contingency-based OLC and performance measurement systems</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2025:</w:t>
      </w:r>
      <w:r>
        <w:t xml:space="preserve"> The deep approach to learning as a measure of quality education in accreditation — https://doi.org/10.1108/qae-04-2025-0088</w:t>
      </w:r>
    </w:p>
    <w:p>
      <w:pPr/>
      <w:r>
        <w:rPr>
          <w:b/>
        </w:rPr>
        <w:t>Shared claim-specific concepts:</w:t>
      </w:r>
      <w:r>
        <w:t xml:space="preserve"> approach, aimed, processes; EU scope not established. This is a provisional connection, not an outcome finding.</w:t>
      </w:r>
    </w:p>
    <w:p>
      <w:pPr>
        <w:pStyle w:val="SourceNote"/>
      </w:pPr>
      <w:r>
        <w:rPr>
          <w:b/>
        </w:rPr>
        <w:t>Available abstract (not full text):</w:t>
      </w:r>
      <w:r>
        <w:t xml:space="preserve"> Purpose This paper aims to offer an alternative approach to traditional accreditation processes for measuring the quality of learning in higher education. The paper emphasizes identifying specific learning environment variables that foster deep learning and demonstrable learning outcomes. Design/methodology/approach A survey of 873 students from public and private colleges was conducted. The relationship between the antecedents and consequences of a deep approach to learning was hypothesized using a conceptual model. Findings Learning environment variables like motivation, self-efficacy, curriculum and assessment emerged as robust predictors of deep learning, which in turn led to improved learning outcomes. Practical implications The implications extend beyond the academic realm, informing policy and accreditation frameworks aimed at fostering an enriched and effective learning environment. This paper advocates for the integration of student learning to provide a more nuanced and accurate understanding of educational quality. Originality/value The originality lies in the critical evaluation of traditional accreditation as the primary means of measuring the quality of learning in higher education and its proposition of a complementary approach focused directly on assessing the depth of student learning. This focus on the antecedents and consequences of deep learning, as a comple</w:t>
      </w:r>
    </w:p>
    <w:p>
      <w:pPr/>
      <w:r>
        <w:rPr>
          <w:b/>
        </w:rPr>
        <w:t>POSSIBLE 2025:</w:t>
      </w:r>
      <w:r>
        <w:t xml:space="preserve"> Establishing International Cooperation In The Use Of Transboundary Water Resources In Uzbekistan: Historical Approach And Contemporary Measures — https://doi.org/10.37547/ijhps/volume05issue09-06</w:t>
      </w:r>
    </w:p>
    <w:p>
      <w:pPr/>
      <w:r>
        <w:rPr>
          <w:b/>
        </w:rPr>
        <w:t>Shared claim-specific concepts:</w:t>
      </w:r>
      <w:r>
        <w:t xml:space="preserve"> approach, establish, measures; EU scope not established. This is a provisional connection, not an outcome finding.</w:t>
      </w:r>
    </w:p>
    <w:p>
      <w:pPr>
        <w:pStyle w:val="SourceNote"/>
      </w:pPr>
      <w:r>
        <w:rPr>
          <w:b/>
        </w:rPr>
        <w:t>Available abstract (not full text):</w:t>
      </w:r>
      <w:r>
        <w:t xml:space="preserve"> This article provides a comprehensive analysis of the Republic of Uzbekistan’s efforts to establish international cooperation in the management of transboundary water resources, with particular attention to the Amu Darya and Syr Darya river basins. Situating the issue within a historical perspective, the study critically examines the evolution of regional water policies from the Soviet era to the post-independence period, highlighting Uzbekistan’s initiatives, collaboration with international organizations, and the conceptual development of water diplomacy. The analysis underscores how historical legacies and contemporary challenges have shaped both bilateral and multilateral approaches to water governance in Central Asia. The findings contribute to the broader discourse on hydro-political relations and the role of water diplomacy in fostering regional stability, ecological sustainability, and socio-economic development.</w:t>
      </w:r>
    </w:p>
    <w:p>
      <w:pPr/>
      <w:r>
        <w:rPr>
          <w:b/>
        </w:rPr>
        <w:t>POSSIBLE 2025:</w:t>
      </w:r>
      <w:r>
        <w:t xml:space="preserve"> Establishing next-generation reference intervals for pro-gastrin-releasing peptide using a dynamic modeling approach — https://doi.org/10.1186/s12967-025-07014-z</w:t>
      </w:r>
    </w:p>
    <w:p>
      <w:pPr/>
      <w:r>
        <w:rPr>
          <w:b/>
        </w:rPr>
        <w:t>Shared claim-specific concepts:</w:t>
      </w:r>
      <w:r>
        <w:t xml:space="preserve"> approach, used, continuous; EU scope not established. This is a provisional connection, not an outcome finding.</w:t>
      </w:r>
    </w:p>
    <w:p>
      <w:pPr>
        <w:pStyle w:val="SourceNote"/>
      </w:pPr>
      <w:r>
        <w:rPr>
          <w:b/>
        </w:rPr>
        <w:t>Available abstract (not full text):</w:t>
      </w:r>
      <w:r>
        <w:t xml:space="preserve"> BACKGROUND: Serum pro-gastrin-releasing peptide (ProGRP) levels significantly vary with age. However, conventional partitioned reference intervals (RIs) fail to reflect the continuous and subtle physiological changes associated with aging. To address this limitation, we investigated the age- and sex-specific dynamics of ProGRP levels and innovatively developed next-generation RIs for adults and elderly individuals in North China. METHODS: A total of 4136 rigorously screened individuals (aged 20-80 years) were analyzed. The effects of age and sex on ProGRP levels were assessed using Mann-Whitney U tests, Spearman's correlation, and Kruskal-Wallis tests. The Harris-Boyd method was used to evaluate the necessity of sex or age partitioning. Age-partitioned RIs were established using a nonparametric method. Next-generation RI models were developed using generalized additive models for location, scale, and shape, with age-related dynamics visualized. The clinical applicability of both RI types was evaluated by comparing upper reference limit flagging rates across age subgroups; rates closer to the theoretical 2.5% were considered indicative of superior RI accuracy. RESULTS: Sex had a minimal and clinically insignificant effect on ProGRP levels. In contrast, age had a significant effect: concentrations remained stable until approximately 40 years of age, followed by progressive increa</w:t>
      </w:r>
    </w:p>
    <w:p>
      <w:pPr/>
      <w:r>
        <w:rPr>
          <w:b/>
        </w:rPr>
        <w:t>POSSIBLE 2025:</w:t>
      </w:r>
      <w:r>
        <w:t xml:space="preserve"> Enhancing Academic Excellence Using a Data-Driven Approach for NIRF Ranking Improvement of Newly Established IITs — https://doi.org/10.1109/autocom64127.2025.10957633</w:t>
      </w:r>
    </w:p>
    <w:p>
      <w:pPr/>
      <w:r>
        <w:rPr>
          <w:b/>
        </w:rPr>
        <w:t>Shared claim-specific concepts:</w:t>
      </w:r>
      <w:r>
        <w:t xml:space="preserve"> approach, measures, improvement; EU scope not established. This is a provisional connection, not an outcome finding.</w:t>
      </w:r>
    </w:p>
    <w:p>
      <w:pPr>
        <w:pStyle w:val="SourceNote"/>
      </w:pPr>
      <w:r>
        <w:rPr>
          <w:b/>
        </w:rPr>
        <w:t>Available abstract (not full text):</w:t>
      </w:r>
      <w:r>
        <w:t xml:space="preserve"> In this paper, we discuss the urgent need for better evaluation techniques in educational institutions, concentrating about 10 recently founded Indian Institutes of Technology (IITs). We point out that conventional bibliometric measures fall short of adequately expressing the research influence and capacities of these universities. In order to improve the rankings of these IITs in the National Institutional Ranking Framework (NIRF), we suggest a novel method to evaluate their academic output and impact using data analytics and altmetrics. Here we compare Scopus publishing figures against NIRF rankings over many years. Furthermore, we advocate a thorough evaluation strategy including social media metrics and other kinds of scholarly influence outside conventional references. Here we introduce ResNet-PSO, a deep learning technique whereby Particle Swarm Optimisation (PSO) is coupled with Residual Neural Networks (ResNet) to improve the accuracy and efficiency of our research. By means of ResNet-PSO for data analytics, we can obtain significant insights from extensive academic datasets, so augmenting a more complete knowledge of research trends and impact variables. Our work intends to provide academic institutions and legislators important insights to promote research quality and competitiveness by bridging the gap between current metrics and developing altmetrics.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pStyle w:val="Heading2"/>
      </w:pPr>
      <w:r>
        <w:t>777.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778.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Navigating global health futures under the Shared Socioeconomic Pathways — https://doi.org/10.1016/j.lanplh.2026.101514</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The Shared Socioeconomic Pathways (SSPs) provide valuable insights to understand how future socioeconomic changes could alter the magnitude and pattern of climate-related risks across sectors, which might facilitate or hinder adaptation and mitigation responses. Many sectors have created SSP narrative extensions to specify insights for their domains. In this Viewpoint, we created health narrative extensions for the SSPs, considering socioeconomic and demographic drivers and population health and health-system drivers. The projected health-relevant trajectories diverge substantially over the course of the 21st century. The SSP3 and SSP4 narratives detail changes that could contribute considerable risks to health, whereas the SSP1 and SSP5 narratives highlight the role of effective governance and adequate resourcing in reducing climate-sensitive population health outcomes and health-system drivers. Given that climate forcing is considered exogenous to these narrative extensions, SSP5's favourable health driver paths do not account for the potential adverse impacts of this high-emissions pathway. The narratives elaborate population health drivers that can improve the policy relevance of population health and health-system risk projections associated with climate change across a range of possible pathways, and link these drivers with relevant cross-sectoral issues (eg, water and en</w:t>
      </w:r>
    </w:p>
    <w:p>
      <w:pPr/>
      <w:r>
        <w:rPr>
          <w:b/>
        </w:rPr>
        <w:t>POSSIBLE 2026:</w:t>
      </w:r>
      <w:r>
        <w:t xml:space="preserve"> UK livestock futures: co-designing Shared Socioeconomic Pathways — https://doi.org/10.1007/s10113-026-02625-8</w:t>
      </w:r>
    </w:p>
    <w:p>
      <w:pPr/>
      <w:r>
        <w:rPr>
          <w:b/>
        </w:rPr>
        <w:t>Shared claim-specific concepts:</w:t>
      </w:r>
      <w:r>
        <w:t xml:space="preserve"> shared, socioeconomic, pathways, alternative, societal, inform; EU scope not established. This is a provisional connection, not an outcome finding.</w:t>
      </w:r>
    </w:p>
    <w:p>
      <w:pPr>
        <w:pStyle w:val="SourceNote"/>
      </w:pPr>
      <w:r>
        <w:rPr>
          <w:b/>
        </w:rPr>
        <w:t>Available abstract (not full text):</w:t>
      </w:r>
      <w:r>
        <w:t xml:space="preserve"> Abstract The UK livestock sector faces complex socio-economic, political, and environmental challenges, requiring approaches for exploring trade-offs and resilience across a range of plausible futures. To address these challenges, this study develops the UK Livestock Shared Socioeconomic Pathways (UK-Livestock-SSPs) through an iterative, stakeholder-driven co-design process that incorporates UK livestock sector realities. Engaging diverse actors from policy, industry, academia, and civil society, we co-produce narratives, visual summaries, and semi-quantitative trends that capture sector-specific dynamics while remaining consistent with the global and regional SSP frameworks. Visual and interactive methods supported the co-design process by helping stakeholders articulate and examine their values, trade-offs, and priorities. The resulting five scenarios highlight interactions between governance, societal, and production drivers, emphasising the diversity of plausible futures, uncertainties, and potential trade-offs facing the sector. The scenario outputs support the exploration of alternative futures, and have the potential to inform policy, research, and decision making to assess sector vulnerabilities, mitigation and adaptation options, and resilience building strategies.</w:t>
      </w:r>
    </w:p>
    <w:p>
      <w:pPr/>
      <w:r>
        <w:rPr>
          <w:b/>
        </w:rPr>
        <w:t>POSSIBLE 2026:</w:t>
      </w:r>
      <w:r>
        <w:t xml:space="preserve"> Projections for the future of electoral democracy across the Shared Socioeconomic Pathways — https://doi.org/10.2139/ssrn.6294020</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Projections for the future of electoral democracy across the Shared Socioeconomic Pathways — https://doi.org/10.7910/dvn/zsyocq</w:t>
      </w:r>
    </w:p>
    <w:p>
      <w:pPr/>
      <w:r>
        <w:rPr>
          <w:b/>
        </w:rPr>
        <w:t>Shared claim-specific concepts:</w:t>
      </w:r>
      <w:r>
        <w:t xml:space="preserve"> shared, socioeconomic, pathways, inform, climate; EU scope not established. This is a provisional connection, not an outcome finding.</w:t>
      </w:r>
    </w:p>
    <w:p>
      <w:pPr>
        <w:pStyle w:val="SourceNote"/>
      </w:pPr>
      <w:r>
        <w:rPr>
          <w:b/>
        </w:rPr>
        <w:t>Available abstract (not full text):</w:t>
      </w:r>
      <w:r>
        <w:t xml:space="preserve"> The future of climate change and sustainable development will be shaped by future patterns of, among other things, democratic governance. However, while an important factor determining future patterns of mitigation and adaptation, projections of democracy remain largely missing from long-term quantitative projections that are used to inform a wide range of integrated assessment modeling. We introduce projections of long-term levels of democracy across the Shared Socioeconomic Pathways (SSP) in the International Futures model by creating a historical model of electoral democracy from macro-level structural correlates of democracy and then adjusting to meet the SSP narratives. We find that, through the end of the century, worlds of few challenges to adaptation are associated with substantial growth in electoral democracy. Alternatively, worlds of high challenges to both adaptation and mitigation see reductions in the average country level of electoral democracy by the year 2100 to levels last seen in the 1980s.</w:t>
      </w:r>
    </w:p>
    <w:p>
      <w:pPr/>
      <w:r>
        <w:rPr>
          <w:b/>
        </w:rPr>
        <w:t>POSSIBLE 2026:</w:t>
      </w:r>
      <w:r>
        <w:t xml:space="preserve"> Data centre energy demand projections within shared socioeconomic pathways — https://doi.org/10.1016/j.egycc.2026.100253</w:t>
      </w:r>
    </w:p>
    <w:p>
      <w:pPr/>
      <w:r>
        <w:rPr>
          <w:b/>
        </w:rPr>
        <w:t>Shared claim-specific concepts:</w:t>
      </w:r>
      <w:r>
        <w:t xml:space="preserve"> shared, socioeconomic, pathways, climate, within; EU scope not established. This is a provisional connection, not an outcome finding.</w:t>
      </w:r>
    </w:p>
    <w:p>
      <w:pPr>
        <w:pStyle w:val="SourceNote"/>
      </w:pPr>
      <w:r>
        <w:rPr>
          <w:b/>
        </w:rPr>
        <w:t>Available abstract (not full text):</w:t>
      </w:r>
      <w:r>
        <w:t xml:space="preserve"> Widespread digital transformation and the rapid expansion of data centres for artificial intelligence (AI) pose growing challenges for electricity systems and global climate targets. Many studies project near-term data centre energy demand, but few extend beyond five years due to the high degree of uncertainty in technological trends and a lack of robust and widely accepted methodologies. This is a problem for climate mitigation research that covers plausible scenario envelopes over longer time horizons to assess carbon budgets and warming outcomes. In this study, we extend data centre energy demand projections to 2050 within the Shared Socioeconomic Pathways (SSP) framework, aligning with common approaches in climate scenario analysis. Our method draws on three main historical periods since 2010 marked by distinctive trends in data centre service demand growth or efficiency gains, combined with projected future trends in digital transformation levels. Across the five SSP scenarios, we find global data centre electricity demand ranges widely, reaching between 1,800 and 5,000 TWh by 2050. We also find that the average weighted carbon intensity of electricity consumed by data centres must fall to below 100 gCO₂/kWh from 2030 to remain compatible with 1.5°C climate targets. Unlike most SSP-based studies, we find that uncertainties in data centre energy demand growth as a result of</w:t>
      </w:r>
    </w:p>
    <w:p>
      <w:pPr/>
      <w:r>
        <w:rPr>
          <w:b/>
        </w:rPr>
        <w:t>POSSIBLE 2026:</w:t>
      </w:r>
      <w:r>
        <w:t xml:space="preserve"> TECHNOLOGY WAQF: A NEW PARADIGM FOR SUSTAINABLE SOCIOECONOMIC DEVELOPMENT — https://doi.org/10.35631/aijbes.829106</w:t>
      </w:r>
    </w:p>
    <w:p>
      <w:pPr/>
      <w:r>
        <w:rPr>
          <w:b/>
        </w:rPr>
        <w:t>Shared claim-specific concepts:</w:t>
      </w:r>
      <w:r>
        <w:t xml:space="preserve"> shared, socioeconomic; EU scope not established. This is a provisional connection, not an outcome finding.</w:t>
      </w:r>
    </w:p>
    <w:p>
      <w:pPr>
        <w:pStyle w:val="SourceNote"/>
      </w:pPr>
      <w:r>
        <w:rPr>
          <w:b/>
        </w:rPr>
        <w:t>Available abstract (not full text):</w:t>
      </w:r>
      <w:r>
        <w:t xml:space="preserve"> Technological advancements have transformed the world's socio-economic conditions by changing the way knowledge is created, used and shared. In Islamic Social Finance, technology is used to improve the governance and operational efficiency of waqf institutions through the use of digital platforms, financial technology and blockchain applications. Therefore, the objective of this paper is to conceptualize Technology Waqf as a new paradigm in Islamic Social Finance and assess its ability to achieve sustainable socioeconomic development using a qualitative conceptual research design through a comprehensive study and thematic synthesis of waqf, Islamic Social Finance, digital transformation, sustainable development and Islamic legal literature. The characteristics, dimensions, principles and possible uses of Technology Waqf are being developed using a broad conceptual framework by conducting a critical analysis of existing current theories and practices. This research develops the idea of Technology Waqf which means the waqf of technological assets, whether tangible or intangible, of a techno-economic nature for the ongoing public benefit in accordance with Sharia. Compared to previous studies. this paper proposes that technology resources including digital infrastructure, software, artificial intelligence applications, intellectual property, technological knowledge, research facil</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pStyle w:val="Heading2"/>
      </w:pPr>
      <w:r>
        <w:t>779.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2025:</w:t>
      </w:r>
      <w:r>
        <w:t xml:space="preserve"> A framework for scalable ambient air pollution concentration estimation — https://doi.org/10.1017/eds.2025.9</w:t>
      </w:r>
    </w:p>
    <w:p>
      <w:pPr/>
      <w:r>
        <w:rPr>
          <w:b/>
        </w:rPr>
        <w:t>Shared claim-specific concepts:</w:t>
      </w:r>
      <w:r>
        <w:t xml:space="preserve"> concentrations, pm2, used, range; EU scope not established. This is a provisional connection, not an outcome finding.</w:t>
      </w:r>
    </w:p>
    <w:p>
      <w:pPr>
        <w:pStyle w:val="SourceNote"/>
      </w:pPr>
      <w:r>
        <w:rPr>
          <w:b/>
        </w:rPr>
        <w:t>Available abstract (not full text):</w:t>
      </w:r>
      <w:r>
        <w:t xml:space="preserve"> Abstract Ambient air pollution remains a global challenge, with adverse impacts on health and the environment. Addressing air pollution requires reliable data on pollutant concentrations, which form the foundation for interventions aimed at improving air quality. However, in many regions, including the United Kingdom, air pollution monitoring networks are characterized by spatial sparsity, heterogeneous placement, and frequent temporal data gaps, often due to issues such as power outages. We introduce a scalable data-driven supervised machine learning model framework designed to address temporal and spatial data gaps by filling missing measurements within the United Kingdom. The machine learning framework used is LightGBM, a gradient boosting algorithm based on decision trees, for efficient and scalable modeling. This approach provides a comprehensive dataset for England throughout 2018 at a 1 km2 hourly resolution. Leveraging machine learning techniques and real-world data from the sparsely distributed monitoring stations, we generate 355,827 synthetic monitoring stations across the study area. Validation was conducted to assess the model’s performance in forecasting, estimating missing locations, and capturing peak concentrations. The resulting dataset is of particular interest to a diverse range of stakeholders engaged in downstream assessments supported by outdoor air pollu</w:t>
      </w:r>
    </w:p>
    <w:p>
      <w:pPr>
        <w:pStyle w:val="Heading2"/>
      </w:pPr>
      <w:r>
        <w:t>780.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2025:</w:t>
      </w:r>
      <w:r>
        <w:t xml:space="preserve"> Gender equality plans and institutional change: pathways for substantial and sustainable outcomes — https://openalex.org/W7132644943</w:t>
      </w:r>
    </w:p>
    <w:p>
      <w:pPr/>
      <w:r>
        <w:rPr>
          <w:b/>
        </w:rPr>
        <w:t>Shared claim-specific concepts:</w:t>
      </w:r>
      <w:r>
        <w:t xml:space="preserve"> outcomes, support, national, plans; EU scope visible. This is a provisional connection, not an outcome finding.</w:t>
      </w:r>
    </w:p>
    <w:p>
      <w:pPr>
        <w:pStyle w:val="SourceNote"/>
      </w:pPr>
      <w:r>
        <w:rPr>
          <w:b/>
        </w:rPr>
        <w:t>Available abstract (not full text):</w:t>
      </w:r>
      <w:r>
        <w:t xml:space="preserve"> In recent decades, the structural change approach has become central to addressing gender inequality in European Research and Innovation (R&amp;I) policies. Through FP7 and Horizon 2020, the European Commission funded Gender Equality Plans (GEPs) in Research Performing and Funding Organisations. More recently, under Horizon Europe (2021-2027), GEPs have become mandatory for institutions seeking funding. Despite these efforts, progress in achieving gender equality remains uneven and slow, as noted in reports such as She Figures 2021 and scholarly analyses. This thesis explores barriers and opportunities to progress by analysing institutional change as a process, examining whether there is a shared understanding of the goal among stakeholders, identifying facilitators and barriers to GEP implementation, and evaluating factors affecting the sustainability of institutional changes in the long haul. Grounded in gender studies, organisational studies, and political science theories, particularly Feminist Institutionalism (FI), it explores the interplay of formal and informal rules, structure and agency dynamics, and the role of power, resistance, and strategic actions in institutional transformation. The research centres on the GEARING-Roles project, a Horizon 2020-funded initiative implementing GEPs in six European academic institutions, and includes additional data from other FP7 and H</w:t>
      </w:r>
    </w:p>
    <w:p>
      <w:pPr/>
      <w:r>
        <w:rPr>
          <w:b/>
        </w:rPr>
        <w:t>POSSIBLE 2025:</w:t>
      </w:r>
      <w:r>
        <w:t xml:space="preserve"> Hippocampal-entorhinal cognitive maps and cortical motor system represent action plans and their outcomes — https://doi.org/10.1038/s41467-025-59153-y</w:t>
      </w:r>
    </w:p>
    <w:p>
      <w:pPr/>
      <w:r>
        <w:rPr>
          <w:b/>
        </w:rPr>
        <w:t>Shared claim-specific concepts:</w:t>
      </w:r>
      <w:r>
        <w:t xml:space="preserve"> outcomes, plans, showing, system; EU scope not established. This is a provisional connection, not an outcome finding.</w:t>
      </w:r>
    </w:p>
    <w:p>
      <w:pPr>
        <w:pStyle w:val="SourceNote"/>
      </w:pPr>
      <w:r>
        <w:rPr>
          <w:b/>
        </w:rPr>
        <w:t>Available abstract (not full text):</w:t>
      </w:r>
      <w:r>
        <w:t xml:space="preserve"> Efficiently interacting with the environment requires weighing and selecting among multiple alternative actions based on their associated outcomes. However, the neural mechanisms underlying these processes are still debated. We show that forming relations between arbitrary action-outcome associations involve building a cognitive map. Using an immersive virtual reality paradigm, participants learned 2D abstract motor action-outcome associations and later compared action combinations while their brain activity was monitored with fMRI. We observe a hexadirectional modulation of the activity in entorhinal cortex while participants compared different action plans. Furthermore, hippocampal activity scales with the 2D similarity between outcomes of these action plans. Conversely, the supplementary motor area represents individual actions, showing a stronger response to overlapping action plans. Crucially, the connectivity between hippocampus and supplementary motor area is modulated by the similarity between the action plans, suggesting their complementary roles in action evaluation. These findings provide evidence for the role of cognitive maps in action selection, challenging classical models of memory taxonomy and its neural bases.</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pStyle w:val="Heading2"/>
      </w:pPr>
      <w:r>
        <w:t>781.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2026:</w:t>
      </w:r>
      <w:r>
        <w:t xml:space="preserve"> Multi-objective supply chain optimization of renewable energy carrier imports for Europe — https://doi.org/10.1016/j.apenergy.2026.127884</w:t>
      </w:r>
    </w:p>
    <w:p>
      <w:pPr/>
      <w:r>
        <w:rPr>
          <w:b/>
        </w:rPr>
        <w:t>Shared claim-specific concepts:</w:t>
      </w:r>
      <w:r>
        <w:t xml:space="preserve"> present, renewable; EU scope visible. This is a provisional connection, not an outcome finding.</w:t>
      </w:r>
    </w:p>
    <w:p>
      <w:pPr>
        <w:pStyle w:val="SourceNote"/>
      </w:pPr>
      <w:r>
        <w:rPr>
          <w:b/>
        </w:rPr>
        <w:t>Available abstract (not full text):</w:t>
      </w:r>
      <w:r>
        <w:t xml:space="preserve"> The transition toward climate neutrality requires the adoption of renewable energy carriers (RECs). Spatial disconnects between renewable energy production in resource-rich regions and its utilization in resource-deficit regions create the need for supply chains that enable long-distance transport of RECs. To ensure sustainable REC supply chains, we must prioritize affordability, low environmental impact, and supply security. We propose a multi-period, multi-objective, mixed-integer quadratic programming model to design supply chains for importing RECs, including strategic decisions on exporting regions, resource allocation, and infrastructure for production and transportation. We evaluate economic, environmental, and supply-security aspects by minimizing net present cost, greenhouse gas (GHG) emissions, and a supply-security risk approximation measured as a political-risk-weighted Herfindahl–Hirschman index. A European case study shows that, compared with a cost-optimal solution, a supply risk-optimal approach reduces the supply-security risk index by 90% but increases cost by 190%, while a GHG-optimal solution reduces emissions by 12% at an additional cost of 232%. Hence, balancing cost, emissions, and supply-security remains essential for REC import planning. Our findings inform Europe's future REC imports, supporting decision-makers in shaping robust REC partnerships and fa</w:t>
      </w:r>
    </w:p>
    <w:p>
      <w:pPr/>
      <w:r>
        <w:rPr>
          <w:b/>
        </w:rPr>
        <w:t>POSSIBLE 2026:</w:t>
      </w:r>
      <w:r>
        <w:t xml:space="preserve"> Readiness Supply Chains for Scaled Manufacturing of Hydrogen Electrolyzers in Europe for Hydrogen Mobility Applications — https://doi.org/10.7862/tiam.2026.2.6</w:t>
      </w:r>
    </w:p>
    <w:p>
      <w:pPr/>
      <w:r>
        <w:rPr>
          <w:b/>
        </w:rPr>
        <w:t>Shared claim-specific concepts:</w:t>
      </w:r>
      <w:r>
        <w:t xml:space="preserve"> increase, technologies, developed, renewable, union, based; EU scope visible. This is a provisional connection, not an outcome finding.</w:t>
      </w:r>
    </w:p>
    <w:p>
      <w:pPr>
        <w:pStyle w:val="SourceNote"/>
      </w:pPr>
      <w:r>
        <w:rPr>
          <w:b/>
        </w:rPr>
        <w:t>Available abstract (not full text):</w:t>
      </w:r>
      <w:r>
        <w:t xml:space="preserve"> Hydrogen is increasingly recognised as an important energy carrier supporting the decarbonisation of industry, transport and energy systems. The development of hydrogen mobility may significantly increase the demand for electrolysers capable of producing high-purity hydrogen at a competitive cost. However, the transition from pilot projects to industrial production requires not only technological development, but also the preparation of assembly processes and supply chains. The aim of this article is to assess the readiness of the European supply chain for scaled electrolyser production and the assembly of hydrogen production systems, with particular attention to the needs of the hydrogen mobility sector. The analysis covers four electrolyser technologies developed in Europe: AEL, PEM, AEM and SOEC. PEM technology was analysed in detail due to its ability to produce high-purity hydrogen and its suitability for integration with renewable energy sources. The study was based on desk research, including the analysis of industry reports, manufacturers’ information, scientific publications and European Union documents. The main assemblies, subassemblies and components of a PEM system were identified, and selected elements were assessed in terms of sourcing model, supplier concentration, import dependence and quality requirements. The results indicate that Europe has significant techn</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technologies, union;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r>
        <w:rPr>
          <w:b/>
        </w:rPr>
        <w:t>POSSIBLE 2026:</w:t>
      </w:r>
      <w:r>
        <w:t xml:space="preserve"> Biofuels, green finance, and economic expansion: empirical evidence from the European Union — https://doi.org/10.1186/s40854-025-00825-5</w:t>
      </w:r>
    </w:p>
    <w:p>
      <w:pPr/>
      <w:r>
        <w:rPr>
          <w:b/>
        </w:rPr>
        <w:t>Shared claim-specific concepts:</w:t>
      </w:r>
      <w:r>
        <w:t xml:space="preserve"> biofuel, abstract, union; EU scope visible. This is a provisional connection, not an outcome finding.</w:t>
      </w:r>
    </w:p>
    <w:p>
      <w:pPr>
        <w:pStyle w:val="SourceNote"/>
      </w:pPr>
      <w:r>
        <w:rPr>
          <w:b/>
        </w:rPr>
        <w:t>Available abstract (not full text):</w:t>
      </w:r>
      <w:r>
        <w:t xml:space="preserve"> Abstract This study examines the role of biofuel production and consumption, alongside green finance, in driving economic expansion within the European Union (EU). Employing panel data from EU countries spanning 2001–2022, the analysis follows a rigorous econometric approach. The econometric approach includes unit root tests (Im–Persaran–Shin and ADF), panel cointegration tests (Pedroni and Kao residual tests), cointegrating regressions (FMOLS and DOLS), and robustness tests (fixed effects, random effects, and systems GMM). The findings reveal that both biofuel production and consumption significantly contribute to the EU’s economic expansion, reinforcing the circular economy framework. In addition, green finance enhances biofuel consumption, further supporting economic growth. The findings also reveal that biofuel production and green finance have a more significant effect on smaller economies than on larger ones. These insights underscore the need for EU policymakers to prioritize cost-effective biofuel production and implement strategies that stimulate consumption, fostering long-term sustainable development.</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developed, present, presents;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2025:</w:t>
      </w:r>
      <w:r>
        <w:t xml:space="preserve"> Regional Representation in the European Parliament: Parliamentary Questions on Geographical Indications — https://doi.org/10.1111/ecpo.12337</w:t>
      </w:r>
    </w:p>
    <w:p>
      <w:pPr/>
      <w:r>
        <w:rPr>
          <w:b/>
        </w:rPr>
        <w:t>Shared claim-specific concepts:</w:t>
      </w:r>
      <w:r>
        <w:t xml:space="preserve"> incentives, abstract, union; EU scope visible. This is a provisional connection, not an outcome finding.</w:t>
      </w:r>
    </w:p>
    <w:p>
      <w:pPr>
        <w:pStyle w:val="SourceNote"/>
      </w:pPr>
      <w:r>
        <w:rPr>
          <w:b/>
        </w:rPr>
        <w:t>Available abstract (not full text):</w:t>
      </w:r>
      <w:r>
        <w:t xml:space="preserve"> ABSTRACT The European Parliament represents the citizens of the European Union. However, individual Members of the European Parliament (MEPs) also face incentives to represent more narrow regional economic interests. Geographical Indications (GIs) such as Asiago or Champagne are an ideal policy area to study regional representation. Their defined regions provide clear incentives and a reliable measurement of regional representation. This article codes and analyses the written questions on GIs posed by MEPs during the period 2009–2019. Descriptively, we find that MEPs often mention products from their region. We also find that MEPs focus their questions on contentious products and on politicized free trade agreements. Contributing to the debate on representation in the European Parliament, we find evidence for more regional representation by MEPs from countries with regional lists for EP elections. We conclude with the implications of our research for representation in the European Union and the idea of transnational lists.</w:t>
      </w:r>
    </w:p>
    <w:p>
      <w:pPr>
        <w:pStyle w:val="Heading2"/>
      </w:pPr>
      <w:r>
        <w:t>782.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2026:</w:t>
      </w:r>
      <w:r>
        <w:t xml:space="preserve"> Developing an expert-informed framework for flipped lesson design in physical education: a European Delphi study — https://doi.org/10.1057/s41599-026-09199-0</w:t>
      </w:r>
    </w:p>
    <w:p>
      <w:pPr/>
      <w:r>
        <w:rPr>
          <w:b/>
        </w:rPr>
        <w:t>Shared claim-specific concepts:</w:t>
      </w:r>
      <w:r>
        <w:t xml:space="preserve"> design, approach, delphi, experts, findings; EU scope visible. This is a provisional connection, not an outcome finding.</w:t>
      </w:r>
    </w:p>
    <w:p>
      <w:pPr>
        <w:pStyle w:val="SourceNote"/>
      </w:pPr>
      <w:r>
        <w:rPr>
          <w:b/>
        </w:rPr>
        <w:t>Available abstract (not full text):</w:t>
      </w:r>
      <w:r>
        <w:t xml:space="preserve"> Contemporary education has increasingly emphasised student-centred approaches that encourage active participation, collaboration, and greater learner responsibility. Within this broader pedagogical shift, flipped learning has emerged as an approach that relocates selected instructional content to the pre-class phase so that face-to-face time can be used more extensively for application, interaction, feedback, and active learning. In physical education, this structure may be particularly valuable because lesson time is strongly oriented towards movement, practice, and interpersonal engagement. This research paper aims to develop a consensus-informed framework for the design and implementation of flipped lessons in physical education across European contexts. This European Delphi Study utilises the classic three-round Delphi approach. Invitation letters were sent to 50 European experts. Of the 50 invited experts, 20 agreed to participate in the Delphi study, resulting in a response rate of 40%. The findings informed the development of an expert-informed framework for flipped lesson design in physical education. The three-round iterative process achieved strong, statistically significant concordance for Knowledge and Skills, while the Attitudes &amp; Values dimension demonstrated statistically significant but weak agreement. The resulting European Framework for Transformative Flipped </w:t>
      </w:r>
    </w:p>
    <w:p>
      <w:pPr/>
      <w:r>
        <w:rPr>
          <w:b/>
        </w:rPr>
        <w:t>POSSIBLE 2026:</w:t>
      </w:r>
      <w:r>
        <w:t xml:space="preserve"> Evolution and Implementation of the Delphi Method in Archival Theory and Practice — https://doi.org/10.33700/2670-4579.36.1.31-60(2026)</w:t>
      </w:r>
    </w:p>
    <w:p>
      <w:pPr/>
      <w:r>
        <w:rPr>
          <w:b/>
        </w:rPr>
        <w:t>Shared claim-specific concepts:</w:t>
      </w:r>
      <w:r>
        <w:t xml:space="preserve"> design, approach, delphi, method, findings; EU scope not established. This is a provisional connection, not an outcome finding.</w:t>
      </w:r>
    </w:p>
    <w:p>
      <w:pPr>
        <w:pStyle w:val="SourceNote"/>
      </w:pPr>
      <w:r>
        <w:rPr>
          <w:b/>
        </w:rPr>
        <w:t>Available abstract (not full text):</w:t>
      </w:r>
      <w:r>
        <w:t xml:space="preserve"> Purpose: The article examines whether, and in what ways, the Delphi method is methodologically appropriate for addressing contemporary challenges in archival theory and practice, particularly those arising from digital transformation, technological change, and the growing complexity of archival decision making. Method/Approach: The study adopts a qualitative, exploratory research design based on a systematic review and analytical synthesis of methodological and empirical literature. Sources were identified through the Scopus, Emerald Insight, and Springer Nature Link databases and complemented by foundational literature to capture the theoretical origins, development, and variants of the Delphi method. A comparative analysis of major Delphi variants (classical, modified, policy, decision, real-time, argument, and disaggregative) was conducted to assess their methodological characteristics and applicability to specific archival research domains. Results: The analysis demonstrates that the Delphi method is well suited to archival research problems characterized by uncertainty, limited empirical evidence, and normative judgment. Different Delphi variants address distinct research needs: classical and modified Delphi support consensus building, policy, and argument Delphi structure normative and legal debates, while real-time and disaggregative Delphi facilitate rapid iteration and</w:t>
      </w:r>
    </w:p>
    <w:p>
      <w:pPr/>
      <w:r>
        <w:rPr>
          <w:b/>
        </w:rPr>
        <w:t>POSSIBLE 2026:</w:t>
      </w:r>
      <w:r>
        <w:t xml:space="preserve"> Generalized Design Methodology for Dual-Arm Robotic Platforms: From Conceptualization to Experimental Validation Within the MANiBOT Framework — https://doi.org/10.3390/machines14010074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work proposes a general methodology for the design and experimental validation of dual-arm robotic platforms intended for intelligent manipulation tasks in real-world environments. The proposed framework formalizes the complete engineering process, from the definition of functional requirements to the structural validation of the final prototype, ensuring reproducibility and adaptability across different applications. The methodology is organized into five main stages: (i) requirement analysis and context characterization; (ii) conceptual architecture definition; (iii) detailed mechanical design and structural analysis; (iv) prototype construction and integration; and (v) experimental validation and iterative refinement. Each stage defines its expected deliverables, evaluation metrics, and decision criteria to support systematic design progression. The approach is demonstrated through its implementation within the European project MANiBOT, where the framework guided the development of a modular bimanual robotic platform capable of integrating collaborative manipulators and conveyor subsystems for dual-arm manipulation. Structural testing, deflection measurements, and stability analyses confirmed the robustness and safety of the resulting design. Beyond this specific case, the proposed methodology provides a replicable and extensible design reference for research and indust</w:t>
      </w:r>
    </w:p>
    <w:p>
      <w:pPr/>
      <w:r>
        <w:rPr>
          <w:b/>
        </w:rPr>
        <w:t>POSSIBLE 2026:</w:t>
      </w:r>
      <w:r>
        <w:t xml:space="preserve"> Use of New Approach Methodologies for the assessment of Endocrine Disruption within European union regulatory frameworks: Report from the 2024 European partnership for alternative approaches (EPAA) partners’ forum — https://doi.org/10.1016/j.namjnl.2026.100093</w:t>
      </w:r>
    </w:p>
    <w:p>
      <w:pPr/>
      <w:r>
        <w:rPr>
          <w:b/>
        </w:rPr>
        <w:t>Shared claim-specific concepts:</w:t>
      </w:r>
      <w:r>
        <w:t xml:space="preserve"> design, approach, relevant; EU scope visible. This is a provisional connection, not an outcome finding.</w:t>
      </w:r>
    </w:p>
    <w:p>
      <w:pPr>
        <w:pStyle w:val="SourceNote"/>
      </w:pPr>
      <w:r>
        <w:rPr>
          <w:b/>
        </w:rPr>
        <w:t>Available abstract (not full text):</w:t>
      </w:r>
      <w:r>
        <w:t xml:space="preserve"> New Approach Methodologies (NAMs) are increasingly used across industrial sectors to assess chemicals for endocrine activity and support endocrine disruption assessment. The European Partnership for Alternative Approaches to Animal Testing (EPAA) conducted a strategic, cross-sector review of NAM-based frameworks within the EU regulatory context to capture lessons learned, identify scientific gaps, and explore opportunities for collaboration. A key challenge is that most current in vitro NAMs cannot, by design, demonstrate endocrine-mediated adversity in an intact organism. Because evidence of adversity is required to define an endocrine disruptor, this limits the ability of NAMs to replace animal-based endocrine disruptor tests unless clear links between endocrine activity and adverse outcomes are established. Refocusing adverse outcome pathways (AOPs) on improving the predictive capacity of endocrine activity assays, rather than directly demonstrating adversity, could enhance NAM development and application. Additional gaps include limited information on internal exposure, the role of potency, and adequate coverage of sensitive life stages—an issue relevant to both NAMs and in vivo studies. Building regulatory trust in existing and emerging in vitro and in silico methods is essential and will require agreement on acceptable levels of uncertainty and confidence that NAM-based p</w:t>
      </w:r>
    </w:p>
    <w:p>
      <w:pPr/>
      <w:r>
        <w:rPr>
          <w:b/>
        </w:rPr>
        <w:t>POSSIBLE 2026:</w:t>
      </w:r>
      <w:r>
        <w:t xml:space="preserve"> Consensus research priorities for cancer nursing in Europe: A Delphi study — https://doi.org/10.1016/j.ejon.2026.103102</w:t>
      </w:r>
    </w:p>
    <w:p>
      <w:pPr/>
      <w:r>
        <w:rPr>
          <w:b/>
        </w:rPr>
        <w:t>Shared claim-specific concepts:</w:t>
      </w:r>
      <w:r>
        <w:t xml:space="preserve"> delphi, method, experts, relevant, findings; EU scope visible. This is a provisional connection, not an outcome finding.</w:t>
      </w:r>
    </w:p>
    <w:p>
      <w:pPr>
        <w:pStyle w:val="SourceNote"/>
      </w:pPr>
      <w:r>
        <w:rPr>
          <w:b/>
        </w:rPr>
        <w:t>Available abstract (not full text):</w:t>
      </w:r>
      <w:r>
        <w:t xml:space="preserve"> PURPOSE: Identifying priority areas for cancer nursing research is essential for aligning research efforts with regional needs and improving outcomes for people affected by cancer. This Delphi study aimed to develop a strategic agenda of cancer nursing research priorities relevant to the European context. METHOD: A panel of experts in cancer nursing practice, research, policy, and education participated in a three-round Delphi study. A total of 115 research topics across 11 thematic areas were pre-identified through a systematic review and consultation with cancer nurses. From September 2023 to March 2024, participants ranked the importance of each topic. Final prioritisation was based on weighted average rankings and an 80 % consensus threshold in round 3. RESULTS: Eighty-one cancer nursing experts participated in at least one round, with 57 completing all three rounds. In round 3, consensus was achieved for 73 of 123 items (59.3 %). The three highest-ranked thematic areas for future research were: 1) nurse-led care and models of cancer care, 2) unmet needs in cancer care, and 3) education, training, and professional development for nurses. The top three specific research priorities were: 1) understanding factors influencing recruitment, retention, and turnover within the European oncology nursing workforce, 2) evaluating the effectiveness of nurse-led interventions for people</w:t>
      </w:r>
    </w:p>
    <w:p>
      <w:pPr/>
      <w:r>
        <w:rPr>
          <w:b/>
        </w:rPr>
        <w:t>POSSIBLE 2026:</w:t>
      </w:r>
      <w:r>
        <w:t xml:space="preserve"> Which methodologies and methods should be used for psychosocial intervention research in dementia? Protocol for a stakeholder-driven, multi-method Delphi study — https://doi.org/10.1136/bmjopen-2026-122720</w:t>
      </w:r>
    </w:p>
    <w:p>
      <w:pPr/>
      <w:r>
        <w:rPr>
          <w:b/>
        </w:rPr>
        <w:t>Shared claim-specific concepts:</w:t>
      </w:r>
      <w:r>
        <w:t xml:space="preserve"> design, methodology, delphi, relevant; EU scope not established. This is a provisional connection, not an outcome finding.</w:t>
      </w:r>
    </w:p>
    <w:p>
      <w:pPr>
        <w:pStyle w:val="SourceNote"/>
      </w:pPr>
      <w:r>
        <w:rPr>
          <w:b/>
        </w:rPr>
        <w:t>Available abstract (not full text):</w:t>
      </w:r>
      <w:r>
        <w:t xml:space="preserve"> INTRODUCTION: Psychosocial interventions are essential to support people living with dementia and their carers. A consensus on what is most important for research on psychosocial intervention in dementia and how intervention studies should best be conducted is currently lacking. This protocol describes the research plan aimed at achieving consensus on (i) the relevance of core elements (CEs) for the development, feasibility testing/piloting, evaluation and/or implementation phases of psychosocial interventions in dementia and (ii) methodologies (eg, design) and methods most suitable to address CEs per phase. METHODS AND ANALYSIS: This study was co-designed with a multi-stakeholder advisory group and a multi-disciplinary INTERDEM (psychosocial INTERventions in DEMentia) Methodology Taskforce steering committee. It will involve a multi-phase modified Delphi design, including surveys and group discussions with stakeholders, namely people living with dementia, (informal/unpaid/family) carers, health and social care professionals, policy makers, representatives from insurance companies and psychosocial researchers. A series of iterative 'rounds' will be conducted. In round 1 (Phase 1: 'identification'), stakeholders will be asked to complete an online survey rating the importance of CEs from the UK Medical Research Council (MRC) Framework, namely (i) consider context; (ii) develop, </w:t>
      </w:r>
    </w:p>
    <w:p>
      <w:pPr>
        <w:pStyle w:val="Heading2"/>
      </w:pPr>
      <w:r>
        <w:t>783.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2026:</w:t>
      </w:r>
      <w:r>
        <w:t xml:space="preserve"> The Impact of Migration on Spaces: Religious Dynamics in Contemporary Europe — https://doi.org/10.14207/ejsd.2026.v15n4p535</w:t>
      </w:r>
    </w:p>
    <w:p>
      <w:pPr/>
      <w:r>
        <w:rPr>
          <w:b/>
        </w:rPr>
        <w:t>Shared claim-specific concepts:</w:t>
      </w:r>
      <w:r>
        <w:t xml:space="preserve"> explores, important, both; EU scope visible. This is a provisional connection, not an outcome finding.</w:t>
      </w:r>
    </w:p>
    <w:p>
      <w:pPr>
        <w:pStyle w:val="SourceNote"/>
      </w:pPr>
      <w:r>
        <w:rPr>
          <w:b/>
        </w:rPr>
        <w:t>Available abstract (not full text):</w:t>
      </w:r>
      <w:r>
        <w:t xml:space="preserve"> International migration has become a significant force in reshaping Europe’s social, cultural, and religious landscape. This research examines how migratory movements affect both urban and rural areas across the continent, with particular attention to demographic and cultural shifts within Muslim communities. Drawing on statistical evidence related to migration patterns, fertility rates, and religious practices, the study explores the growth of Muslim populations in specific regions and their impact on cultural environments, social infrastructure, and urban dynamics. Findings reveal an increasing religious diversity in European spaces, carrying important implications for integration strategies, social cohesion, and urban planning. The study enhances the understanding of the complex relationships between migration, religion, and spatial transformation, emphasizing the necessity of multidisciplinary perspectives when analyzing contemporary demographic changes. Keywords: migration, Europe, Islam, demography, spatial transformations, social integration.</w:t>
      </w:r>
    </w:p>
    <w:p>
      <w:pPr/>
      <w:r>
        <w:rPr>
          <w:b/>
        </w:rPr>
        <w:t>POSSIBLE 2026:</w:t>
      </w:r>
      <w:r>
        <w:t xml:space="preserve"> ClimRisk.eu: Regional climate projections for Europe — https://doi.org/10.5194/ems2026-518</w:t>
      </w:r>
    </w:p>
    <w:p>
      <w:pPr/>
      <w:r>
        <w:rPr>
          <w:b/>
        </w:rPr>
        <w:t>Shared claim-specific concepts:</w:t>
      </w:r>
      <w:r>
        <w:t xml:space="preserve"> also, wide, key, region;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also, important, impacts;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pStyle w:val="Heading2"/>
      </w:pPr>
      <w:r>
        <w:t>784.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2026:</w:t>
      </w:r>
      <w:r>
        <w:t xml:space="preserve"> A study on non-linear structure in AI service design methodology focus on design process changes — https://doi.org/10.67639/jdpbe.260015</w:t>
      </w:r>
    </w:p>
    <w:p>
      <w:pPr/>
      <w:r>
        <w:rPr>
          <w:b/>
        </w:rPr>
        <w:t>Shared claim-specific concepts:</w:t>
      </w:r>
      <w:r>
        <w:t xml:space="preserve"> design, methodology, methodologies; EU scope not established. This is a provisional connection, not an outcome finding.</w:t>
      </w:r>
    </w:p>
    <w:p>
      <w:pPr>
        <w:pStyle w:val="SourceNote"/>
      </w:pPr>
      <w:r>
        <w:rPr>
          <w:b/>
        </w:rPr>
        <w:t>Available abstract (not full text):</w:t>
      </w:r>
      <w:r>
        <w:t xml:space="preserve"> Service design is emerging as a key driver in transforming both the perception of design methodologies and the overall design process. Traditional design practices relied heavily on the designer's individual creativity, often overlooking user-centered problem-solving and empirical user experiences (UX); consequently, conventional design values are now facing a major paradigm shift. This study explores how designers can adapt to and navigate evolving design methodologies in the AI era, particularly amidst the shifting dynamics of AI-integrated design processes. This study aims to elucidate the virtuous cycle of design value in the AI era, focusing on the non-linear methodologies of service design necessitated by the evolving roles of designers. Design serves as an act of disseminating new values, where its ultimate goal is to address core design challenges by enhancing UX. By integration of creative problem-solving and rigorous service design research, this study elucidates the value and structural framework of non-linear design, thereby establishing a virtuous cycle for AI-driven design through an analysis of emerging service design methodologies.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2025:</w:t>
      </w:r>
      <w:r>
        <w:t xml:space="preserve"> The role of participatory design in traditional craftsmanship: Methodological approaches — https://doi.org/10.1080/14606925.2025.2573713</w:t>
      </w:r>
    </w:p>
    <w:p>
      <w:pPr/>
      <w:r>
        <w:rPr>
          <w:b/>
        </w:rPr>
        <w:t>Shared claim-specific concepts:</w:t>
      </w:r>
      <w:r>
        <w:t xml:space="preserve"> design, methodology, approach, but; EU scope not established. This is a provisional connection, not an outcome finding.</w:t>
      </w:r>
    </w:p>
    <w:p>
      <w:pPr>
        <w:pStyle w:val="SourceNote"/>
      </w:pPr>
      <w:r>
        <w:rPr>
          <w:b/>
        </w:rPr>
        <w:t>Available abstract (not full text):</w:t>
      </w:r>
      <w:r>
        <w:t xml:space="preserve"> Participatory Design (PD) is a methodology increasingly utilized in product design development, fostering collaboration among multi-disciplinary teams where participants engage actively in knowledge exchange. This paper presents a case study of a PD project conducted in the Poty Velho district of Brazil, focusing on the practical application of the methodology. The PD involved direct collaboration between six local ceramists and one designer. The process led to the creation of a permanent collection of ceramic products. The case study underscores the significance of close observation, deep immersion, and knowledge sharing among all stakeholders throughout the design process. To promote effective communication during the PD method and to empower the participating partners for future endeavours, each phase of the case study was meticulously planned and executed. This approach ensured that the outcomes were not only practical but also sustainable, fostering a sense of ownership among the community members.</w:t>
      </w:r>
    </w:p>
    <w:p>
      <w:pPr>
        <w:pStyle w:val="Heading2"/>
      </w:pPr>
      <w:r>
        <w:t>785.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786.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demographic, union, aging, trends, population, force;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demographic;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Radical- right populism, youth and demographic issues — https://doi.org/10.7765/9781526192257.00014</w:t>
      </w:r>
    </w:p>
    <w:p>
      <w:pPr/>
      <w:r>
        <w:rPr>
          <w:b/>
        </w:rPr>
        <w:t>Shared claim-specific concepts:</w:t>
      </w:r>
      <w:r>
        <w:t xml:space="preserve"> analyses, implications, demographic; EU scope visible. This is a provisional connection, not an outcome finding.</w:t>
      </w:r>
    </w:p>
    <w:p>
      <w:pPr>
        <w:pStyle w:val="SourceNote"/>
      </w:pPr>
      <w:r>
        <w:rPr>
          <w:b/>
        </w:rPr>
        <w:t>Available abstract (not full text):</w:t>
      </w:r>
      <w:r>
        <w:t xml:space="preserve"> This chapter investigates how youth branches affiliated with radical-right populist parties in Europe politicise demography-related topics, exploring the intersection of generational identity and party ideology. Focusing on the Austrian Freedom Party (FPÖ), the study analyses youth discourses around migration, gender, family, fertility and socioeconomic challenges, highlighting both convergence with the main party and generational distinctions. Findings reveal that youth branches emphasise the perceived disadvantage of native youth, the preservation of Austria’s demographic composition and the protection of traditional societal norms. While topics such as LGBTQ+ rights, religion and systemic gender inequalities are largely silenced, migration and family formation are central, sometimes framed within narratives invoking the ‘great replacement’ conspiracy theory. The chapter demonstrates how demography becomes both a context and a political tool, showing that radical-right demographic populism extends into youth politics and adapts to generational concerns. It concludes by discussing the implications for understanding youth political engagement, generational differences in populist attitudes, and avenues for future research on the intergenerational transmission of radical-right ideologies.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pStyle w:val="Heading2"/>
      </w:pPr>
      <w:r>
        <w:t>787.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2026:</w:t>
      </w:r>
      <w:r>
        <w:t xml:space="preserve"> Impact of climate change on agricultural systems: Shifting insect pest-natural enemy dynamics-A review — https://doi.org/10.22271/j.ento.2026.v14.i2a.9720</w:t>
      </w:r>
    </w:p>
    <w:p>
      <w:pPr/>
      <w:r>
        <w:rPr>
          <w:b/>
        </w:rPr>
        <w:t>Shared claim-specific concepts:</w:t>
      </w:r>
      <w:r>
        <w:t xml:space="preserve"> third, northwards, waves; EU scope visible. This is a provisional connection, not an outcome finding.</w:t>
      </w:r>
    </w:p>
    <w:p>
      <w:pPr>
        <w:pStyle w:val="SourceNote"/>
      </w:pPr>
      <w:r>
        <w:rPr>
          <w:b/>
        </w:rPr>
        <w:t>Available abstract (not full text):</w:t>
      </w:r>
      <w:r>
        <w:t xml:space="preserve"> Argo-ecosystems around the world are significantly being upset by anthropogenic emissions of greenhouse gases and meteorological variability. The rise of the temperatures beyond 1.47 °C above the pre-industrial levels, by 2025, will substantially change the biology, distribution and ecology of insect pests. The insects are poikilotherms and are therefore very sensitive to warming, and higher temperatures increase the speed of metabolism, reduce the generation times, and cause multi-trophic transitions in agricultural landscape. This review direct and indirect effects of climate change on pests and natural enemies’ dynamics as well as threats to food security across the world. High CO2 in the atmosphere reduces the nutritional value of host plants due to elevated levels of carbon in relation to nitrogen (C: N) that cause compensatory feeding in the herbivores and accelerate crop tissue damages. Changes in precipitation and ozone (O3) pollution interfere with chemical communication and phenological synchrony among pests, predators and pollinators-the basis of one third food production in the globe. This asynchrony increases the spread of plant pathogens by insects, as a result of which billions of dollars of economic losses are experienced every year. Geographically, the growing climate envelopes cause invasion by pests being directed northwards at rates of 68 km/decade, with new</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2025:</w:t>
      </w:r>
      <w:r>
        <w:t xml:space="preserve"> Citizen scientists mapping the United Kingdom's and Republic of Ireland's flat flies (louse flies) (Diptera: Hippoboscidae) reveal a vector's range shift — https://doi.org/10.1111/mve.12795</w:t>
      </w:r>
    </w:p>
    <w:p>
      <w:pPr/>
      <w:r>
        <w:rPr>
          <w:b/>
        </w:rPr>
        <w:t>Shared claim-specific concepts:</w:t>
      </w:r>
      <w:r>
        <w:t xml:space="preserve"> shifted, northwards, several, over; EU scope visible. This is a provisional connection, not an outcome finding.</w:t>
      </w:r>
    </w:p>
    <w:p>
      <w:pPr>
        <w:pStyle w:val="SourceNote"/>
      </w:pPr>
      <w:r>
        <w:rPr>
          <w:b/>
        </w:rPr>
        <w:t>Available abstract (not full text):</w:t>
      </w:r>
      <w:r>
        <w:t xml:space="preserve"> Changes in climate may cause changes in the ranges, phenology and interactions of insects with other species and lead parasites to switch host species. A study of louse (flat) flies in the United Kingdom, Republic of Ireland and Isle of Man, in which licensed bird ringers acting as citizen scientists collected ectoparasites that left birds during ringing, showed recent range shifts of several species. The Common or Bird Louse Fly Ornithomya avicularia (Linnaeus, 1758), a vector of Haemoproteus sp. and trypanosomes, has undergone a major northwards range expansion of over 300 km in the United Kingdom (UK) since the 1960s. The Finch Louse Fly Ornithomya fringillina (Curtis, 1836) has also expanded its range over 300 km northwards and 400 km westwards into the Island of Ireland, and the Swallow Louse Fly Ornithomya biloba (Dufour, 1827) is now established in Wales and Southern England. The Grouse Louse Fly Ornithomya chloropus (Bergroth, 1901) has undergone a range contraction at lower altitudes and on the southern edge of its range. Other species of louse fly were detected: Crataerina pallida (Latreille, 1812), Stenepteryx hirundinis (Linnaeus, 1758), Pseudolynchia garzettae (Rondani, 1879) and Icosta minor (Bigot, 1858). Some generalist species have shifted their phenology, whereas the more specialist nest parasites of migrant birds have not, as the arrival and breeding dates of</w:t>
      </w:r>
    </w:p>
    <w:p>
      <w:pPr/>
      <w:r>
        <w:rPr>
          <w:b/>
        </w:rPr>
        <w:t>POSSIBLE 2025:</w:t>
      </w:r>
      <w:r>
        <w:t xml:space="preserve"> Poleward Range Shifts of Breeding Birds in Wisconsin — https://doi.org/10.1002/ece3.71796</w:t>
      </w:r>
    </w:p>
    <w:p>
      <w:pPr/>
      <w:r>
        <w:rPr>
          <w:b/>
        </w:rPr>
        <w:t>Shared claim-specific concepts:</w:t>
      </w:r>
      <w:r>
        <w:t xml:space="preserve"> latitude, over, northern; EU scope not established. This is a provisional connection, not an outcome finding.</w:t>
      </w:r>
    </w:p>
    <w:p>
      <w:pPr>
        <w:pStyle w:val="SourceNote"/>
      </w:pPr>
      <w:r>
        <w:rPr>
          <w:b/>
        </w:rPr>
        <w:t>Available abstract (not full text):</w:t>
      </w:r>
      <w:r>
        <w:t xml:space="preserve"> Climate change is causing shifts in the geographic ranges of multiple species across the world. Birds are a critical taxon for observing range shifts because their high mobility allows them to track shifting climates over time and space. Breeding bird atlases are large-scale breeding bird surveys that are essential for tracking species' ranges in response to climate change. In this paper, our goal was to analyze Wisconsin's Breeding Bird Atlases (1995-2000 and 2015-2019) to document changes in range size, mean latitude, and range boundary shift of breeding birds. Concordant with our predictions, we found that many southerly bird species with northern range limits were both expanding in distribution and shifting their range boundaries poleward. Contrary to our predictions, northerly species with southern range limits in the state were not shifting their boundary poleward but demonstrated a northward movement in their mean latitudes. Despite the lack of range boundary shift for northerly species as a group, many boreal species demonstrated a shift northward in their overall distribution. The repeated signal of bird ranges moving poleward remains a coherent fingerprint of the impact of modern climate change on species and ecosystems.</w:t>
      </w:r>
    </w:p>
    <w:p>
      <w:pPr/>
      <w:r>
        <w:rPr>
          <w:b/>
        </w:rPr>
        <w:t>POSSIBLE 2025:</w:t>
      </w:r>
      <w:r>
        <w:t xml:space="preserve"> Incorporating Genetic Diversity to Optimize the Plant Conservation Network in the Third Pole — https://doi.org/10.1111/gcb.70122</w:t>
      </w:r>
    </w:p>
    <w:p>
      <w:pPr/>
      <w:r>
        <w:rPr>
          <w:b/>
        </w:rPr>
        <w:t>Shared claim-specific concepts:</w:t>
      </w:r>
      <w:r>
        <w:t xml:space="preserve"> third, several, latitude; EU scope not established. This is a provisional connection, not an outcome finding.</w:t>
      </w:r>
    </w:p>
    <w:p>
      <w:pPr>
        <w:pStyle w:val="SourceNote"/>
      </w:pPr>
      <w:r>
        <w:rPr>
          <w:b/>
        </w:rPr>
        <w:t>Available abstract (not full text):</w:t>
      </w:r>
      <w:r>
        <w:t xml:space="preserve"> ABSTRACT Climate change poses a significant threat to the survival of many species. Although protected areas can slow down biodiversity loss, they often lack systematic planning and do not integrate genetic diversity. Genetic diversity is a key prerequisite for species survival and the ability to tolerate new conditions. Using population genetic and distribution data from 96 plant species in the Third Pole (encompassing the Tibetan Plateau and adjacent mountains), we mapped patterns of genetic diversity, projected climate‐driven range dynamics and future genetic erosion, and designed an optimal conservation framework for the region. We identified several patches of high haplotype diversity ( H D ), with a relatively high number of haplotypes in southeastern Third Pole. Regression models revealed that climate and topography have interacted to shape patterns of genetic diversity, with latitude and precipitation being the best predictors for H D of cpDNA and nrDNA, respectively. Ecological niche modeling predicted an approximate 43 km northwestward and 86 m upward shift in suitable habitats under future climate scenarios, likely leading to a significant loss of up to 13.19% and 15.49% of cpDNA and nrDNA genetic diversity, respectively. Alarmingly, 71.20% of the newly identified conservation priority areas fall outside of the existing protected areas and planned National Park Clust</w:t>
      </w:r>
    </w:p>
    <w:p>
      <w:pPr/>
      <w:r>
        <w:rPr>
          <w:b/>
        </w:rPr>
        <w:t>POSSIBLE 2025:</w:t>
      </w:r>
      <w:r>
        <w:t xml:space="preserve"> Shifts in habitat suitability for harbour porpoises leads to reduced importance of marine protected areas — https://doi.org/10.1016/j.biocon.2025.111009</w:t>
      </w:r>
    </w:p>
    <w:p>
      <w:pPr/>
      <w:r>
        <w:rPr>
          <w:b/>
        </w:rPr>
        <w:t>Shared claim-specific concepts:</w:t>
      </w:r>
      <w:r>
        <w:t xml:space="preserve"> shifted, northwards, over; EU scope visible. This is a provisional connection, not an outcome finding.</w:t>
      </w:r>
    </w:p>
    <w:p>
      <w:pPr>
        <w:pStyle w:val="SourceNote"/>
      </w:pPr>
      <w:r>
        <w:rPr>
          <w:b/>
        </w:rPr>
        <w:t>Available abstract (not full text):</w:t>
      </w:r>
      <w:r>
        <w:t xml:space="preserve"> Marine ecosystems across the globe are under pressure requiring evaluations of whether marine protected areas (MPAs) remain effective in safeguarding marine life and critical habitats. Our objectives were to 1) estimate shifts in seasonal habitat suitability over a 25-year period (1997–2022) for the harbour porpoise ( Phocoena phocoena ) across the North Sea–Baltic Sea transition zone, and 2) quantify any spatiotemporal changes in the overlap between suitable habitats and an existing network of 62 MPAs (an area covering 16,404 km 2 ) dedicated to harbour porpoise protection. Habitat suitability was estimated using the maximum entropy (MaxEnt) algorithm, based on satellite tag data of 111 individuals and a range of dynamic and static environmental conditions as predictor variables. Model output revealed a northward shift of medium and high suitable habitats during winter (Nov–Apr) over the study period. Changes in habitat suitability during summer (May–Oct) were also evident though without clear directional shifts. A maximum of 14.5 % of the MPAs ( n = 9; area of 1096 km 2 ) were found to overlap with highly suitable habitat during the summers of 2005–2012, with a minimum of 6.4 % ( n = 4 MPAs; area of 194 km 2 ) during the winters of 2013–2022. These results clearly indicate a decline in the spatiotemporal overlap between habitat suitability during winter and the location of MP</w:t>
      </w:r>
    </w:p>
    <w:p>
      <w:pPr/>
      <w:r>
        <w:rPr>
          <w:b/>
        </w:rPr>
        <w:t>POSSIBLE 2025:</w:t>
      </w:r>
      <w:r>
        <w:t xml:space="preserve"> Postglacial history of a widespread forest fungus in Europe suggests migration out of multiple refugia followed by admixture — https://doi.org/10.22541/au.173768437.72531665/v1</w:t>
      </w:r>
    </w:p>
    <w:p>
      <w:pPr/>
      <w:r>
        <w:rPr>
          <w:b/>
        </w:rPr>
        <w:t>Shared claim-specific concepts:</w:t>
      </w:r>
      <w:r>
        <w:t xml:space="preserve"> third, northwards, several; EU scope visible. This is a provisional connection, not an outcome finding.</w:t>
      </w:r>
    </w:p>
    <w:p>
      <w:pPr>
        <w:pStyle w:val="SourceNote"/>
      </w:pPr>
      <w:r>
        <w:rPr>
          <w:b/>
        </w:rPr>
        <w:t>Available abstract (not full text):</w:t>
      </w:r>
      <w:r>
        <w:t xml:space="preserve"> While postglacial migration patterns have been well-studied in plants and animals in Europe, the same is not true for microorganisms such as fungi, and it remains unclear whether fungi have followed the same postglacial migration trajectories. In this study, we infer the postglacial history of the widespread wood-decay fungus Trichaptum abietinum in Europe. We investigate whether this fungus resided in multiple glacial refugia, as observed in many plants and animals, and how it migrated following the retreat of the ice. Population genomic analyses of T. abietinum suggest three glacial refugia in Europe: a western refugium, a southern refugium extending from Portugal to the Caucasus, and a third eastern refugium, resulting in what we call the Atlantic, Mediterranean, and Boreal groups, respectively. From the western and southern refugia, there have likely been northwards expansions, while the Boreal group probably expanded westwards from the eastern refugium. A contact zone is present in Central Europe, where the Mediterranean and Boreal groups are admixing. In admixed individuals here, the second half of their largest scaffold is entirely inherited from the Boreal group, indicating either strong selection or genomic incompatibilities. In Scandinavia, the Atlantic and Boreal groups are in close contact but with limited admixture. Demographic modelling and analyses of linkage dec</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pStyle w:val="Heading2"/>
      </w:pPr>
      <w:r>
        <w:t>788.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2025:</w:t>
      </w:r>
      <w:r>
        <w:t xml:space="preserve"> European rose chafer prevalence on cultivated highbush blueberries — https://doi.org/10.17221/28/2024-hortsci</w:t>
      </w:r>
    </w:p>
    <w:p>
      <w:pPr/>
      <w:r>
        <w:rPr>
          <w:b/>
        </w:rPr>
        <w:t>Shared claim-specific concepts:</w:t>
      </w:r>
      <w:r>
        <w:t xml:space="preserve"> prevalence, every, third; EU scope visible. This is a provisional connection, not an outcome finding.</w:t>
      </w:r>
    </w:p>
    <w:p>
      <w:pPr>
        <w:pStyle w:val="SourceNote"/>
      </w:pPr>
      <w:r>
        <w:rPr>
          <w:b/>
        </w:rPr>
        <w:t>Available abstract (not full text):</w:t>
      </w:r>
      <w:r>
        <w:t xml:space="preserve"> The purpose of this study was to detect the prevalence rate of European rose chafer (Cetonia aurata) on American highbush blueberries (Vaccinium corymbosum). The observation was made from the beginning of flowering to the end of harvest of the blueberry cultivars ‘Duke’, ‘Legacy’, and ‘Huron’. The incidence occurs during the first harvest of the ‘Duke’ cultivar. Three rows per cultivar, with 90 plants per row, were monitored during the research. Insects were collected on 15 infested plants per row, randomly selected, and counted. This procedure was repeated every second day, 3 times a day: in the morning, at noon, and in the afternoon. The highest presence of the insect was recorded at the full ripening phase of the ‘Duke’ cultivar, with 25.5% of bushes being infested and an average of 12.7 beetles per bush counted. The damage percentage varied over the harvesting periods: 29% of the fruits were damaged in the first harvest, 13% in the second harvest, and 8% during the third harvest. While ‘Legacy’ and ‘Huron’ stood out with 5.55% and 3.33% of infected bushes, respectively, and minor fruit damage. This research proves that the European rose chafer in the area of the experiment is a harmful pest of early cultivated blueberry cultivars.</w:t>
      </w:r>
    </w:p>
    <w:p>
      <w:pPr/>
      <w:r>
        <w:rPr>
          <w:b/>
        </w:rPr>
        <w:t>POSSIBLE 2025:</w:t>
      </w:r>
      <w:r>
        <w:t xml:space="preserve"> Disorders of the gut‐brain interaction among European people with obesity: Prevalence and burden of compatible symptoms — https://doi.org/10.1002/ueg2.12700</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Abstract Introduction The prevalence of disorders of the gut‐brain interaction (DGBI) among people with obesity in the general population is unknown. Our aim was to assess the prevalence of DGBI among obese subjects in the general population in comparison with normal or overweight subjects, as well as exploring factors associated with DGBI in obesity in Europe. Methods We included subjects who completed the internet‐based survey of the Rome Foundation Global Epidemiology study in 11 European countries. Obesity was defined as a BMI&gt;30 kg/m2 and participants were divided into three classes: 1: BMI 30 to &lt;35 kg/m2, 2: BMI 35 to &lt;40 kg/m2, and 3: BMI 40 kg/m2 or higher. The prevalence of symptoms compatible with DGBI was reported and compared between obese and normal or overweight (BMI between 18.5 and &lt;30 kg/m2) participants. Factors potentially associated with DGBI and obesity including demographics, psychological distress (PHQ‐4), non‐GI somatic symptoms (PHQ–12), quality of life (PROMIS‐10), healthcare access, medication and food consumption were assessed. Results We included 20,117 participants in our analysis. The prevalence of obesity was 17.8% (95% CI 17.3, 18.4), with 12.6%, 3.7% and 1.6% in obesity classes 1, 2 and 3, respectively. The prevalence of any DGBI was 44.2% in the obese group versus 39.6% in the normal or overweight group (OR = 1.20 (1.12, 1.30)), with all DGBI</w:t>
      </w:r>
    </w:p>
    <w:p>
      <w:pPr/>
      <w:r>
        <w:rPr>
          <w:b/>
        </w:rPr>
        <w:t>POSSIBLE 2025:</w:t>
      </w:r>
      <w:r>
        <w:t xml:space="preserve"> Trends in stroke prevalence caused by an elevated BMI in the European population — https://doi.org/10.5114/aoms/199362</w:t>
      </w:r>
    </w:p>
    <w:p>
      <w:pPr/>
      <w:r>
        <w:rPr>
          <w:b/>
        </w:rPr>
        <w:t>Shared claim-specific concepts:</w:t>
      </w:r>
      <w:r>
        <w:t xml:space="preserve"> increase, prevalence, obesity, continue, expected;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2024:</w:t>
      </w:r>
      <w:r>
        <w:t xml:space="preserve"> Tackling the Rising Tide: Understanding the Prevalence of Childhood Obesity in India — https://doi.org/10.4103/ijem.ijem_144_24</w:t>
      </w:r>
    </w:p>
    <w:p>
      <w:pPr/>
      <w:r>
        <w:rPr>
          <w:b/>
        </w:rPr>
        <w:t>Shared claim-specific concepts:</w:t>
      </w:r>
      <w:r>
        <w:t xml:space="preserve"> increase, prevalence, obesity, every, third, adult; EU scope visible. This is a provisional connection, not an outcome finding.</w:t>
      </w:r>
    </w:p>
    <w:p>
      <w:pPr>
        <w:pStyle w:val="SourceNote"/>
      </w:pPr>
      <w:r>
        <w:rPr>
          <w:b/>
        </w:rPr>
        <w:t>Available abstract (not full text):</w:t>
      </w:r>
      <w:r>
        <w:t xml:space="preserve"> Weight gain in individuals, leading to overweight, adiposity, and obesity, is one of the most important drivers behind the rapid increase in the prevalence of noncommunicable diseases (NCDs). Globally, health systems face the growing economic burden of screening and managing this epidemic of NCDs and related complications. Despite obesity being classified as a disease in the International Classification of Disease-6 in 1948, it is still labeled as a risk factor in most global health systems. The World Health Organization (WHO) recognized obesity as a disease in 1997. However, it was only as recently as 2023, the European Commission recognized obesity as a disease rather than a risk factor. In India, obesity is still not considered a disease. A recent advocacy paper written by Indian endocrinologists urged that obesity is considered a disease in India and that it needed our immediate attention with regard to screening, effective management, and measures related to sustaining weight loss.[1] Obesity among children is even more alarming because of three factors. First, NCDs are traditionally considered adult diseases but find higher prevalence among children driven by childhood obesity. Second, the age at which regular screening for NCD should be undertaken in a population progressively decreases because we are going to find them in younger children. Both these increase the econom</w:t>
      </w:r>
    </w:p>
    <w:p>
      <w:pPr/>
      <w:r>
        <w:rPr>
          <w:b/>
        </w:rPr>
        <w:t>POSSIBLE 2024:</w:t>
      </w:r>
      <w:r>
        <w:t xml:space="preserve"> The increasing prevalence of cancer in the elderly: An investigation of epidemiological trends — https://doi.org/10.1002/agm2.12347</w:t>
      </w:r>
    </w:p>
    <w:p>
      <w:pPr/>
      <w:r>
        <w:rPr>
          <w:b/>
        </w:rPr>
        <w:t>Shared claim-specific concepts:</w:t>
      </w:r>
      <w:r>
        <w:t xml:space="preserve"> increase, prevalence, expected; EU scope not established. This is a provisional connection, not an outcome finding.</w:t>
      </w:r>
    </w:p>
    <w:p>
      <w:pPr>
        <w:pStyle w:val="SourceNote"/>
      </w:pPr>
      <w:r>
        <w:rPr>
          <w:b/>
        </w:rPr>
        <w:t>Available abstract (not full text):</w:t>
      </w:r>
      <w:r>
        <w:t xml:space="preserve"> Cancer poses a significant health threat to the elderly, accounting for a substantial proportion of cancer patients aged 65 and above. As life expectancy continues to rise and the population ages, the incidence of cancer in the elderly is expected to increase further. Age is a major risk factor for the majority of common cancers, with the incidence and prevalence rising as individuals grow older. Factors such as chemoprevention and environmental carcinogen elimination may influence the process of carcinogenesis. Studies reveal that the incidence and mortality rates of various cancers in the elderly and extremely old individuals are on the rise worldwide, with most types peaking around the age of 75 to 90, followed by a sharp decline. Birth cohort and period effects also play a complex role in the connection between aging and cancer risk. Clinical trials often exclude older individuals, limiting our understanding of cancer treatments' effects on this particular age group. More research is needed to focus on the unique requirements of older adults with cancer.</w:t>
      </w:r>
    </w:p>
    <w:p>
      <w:pPr>
        <w:pStyle w:val="Heading2"/>
      </w:pPr>
      <w:r>
        <w:t>789.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2026:</w:t>
      </w:r>
      <w:r>
        <w:t xml:space="preserve"> Reviewing former critical analyses of subsidy policies in Europe — https://doi.org/10.14267/retp2026.02.06</w:t>
      </w:r>
    </w:p>
    <w:p>
      <w:pPr/>
      <w:r>
        <w:rPr>
          <w:b/>
        </w:rPr>
        <w:t>Shared claim-specific concepts:</w:t>
      </w:r>
      <w:r>
        <w:t xml:space="preserve"> mainstream, academic, debate, but; EU scope visible. This is a provisional connection, not an outcome finding.</w:t>
      </w:r>
    </w:p>
    <w:p>
      <w:pPr>
        <w:pStyle w:val="SourceNote"/>
      </w:pPr>
      <w:r>
        <w:rPr>
          <w:b/>
        </w:rPr>
        <w:t>Available abstract (not full text):</w:t>
      </w:r>
      <w:r>
        <w:t xml:space="preserve"> Academic research on subsidy policies has expanded considerably over the past five decades, yet the literature remains fragmented across regional development, industrial policy, innovation economics, and cohesion studies. This paper reviews the principal academic critiques and theoretical debates concerning subsidy-based development strategies in Europe, rather than addressing political controversies; the analysis focuses solely on the long-term economic and institutional implications identified in mainstream scholarship.The historical experiences of Greece, Spain and Portugal represent some of the most significant regional convergence projects in modern European history. These countries received substantial Structural and Cohesion Fund transfers intended to modernize infrastructure, improve competitiveness, and reduce territorial inequalities. The literature consistently demonstrates that infrastructure modernization did not automatically produce sustainable productive convergence, weak governance capacity, fragmented administration, and clientelist structures constrain the long-term effectiveness of transfers. Another central debate within the literature concerns the effectiveness of innovation and SME subsidies, derived primarily from market-failure arguments. The Mezzogiorno programs in Southern Italy improved infrastructure and industrial capacity but failed to generate se</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2025:</w:t>
      </w:r>
      <w:r>
        <w:t xml:space="preserve"> Academic mainstream, applied alternative? Arguing a case for ‘second chances’, real-world learning and rethinking assessment — https://doi.org/10.1080/13596748.2025.2469007</w:t>
      </w:r>
    </w:p>
    <w:p>
      <w:pPr/>
      <w:r>
        <w:rPr>
          <w:b/>
        </w:rPr>
        <w:t>Shared claim-specific concepts:</w:t>
      </w:r>
      <w:r>
        <w:t xml:space="preserve"> mainstream, academic, but, provides; EU scope not established. This is a provisional connection, not an outcome finding.</w:t>
      </w:r>
    </w:p>
    <w:p>
      <w:pPr>
        <w:pStyle w:val="SourceNote"/>
      </w:pPr>
      <w:r>
        <w:rPr>
          <w:b/>
        </w:rPr>
        <w:t>Available abstract (not full text):</w:t>
      </w:r>
      <w:r>
        <w:t xml:space="preserve"> England’s mainstream upper secondary curriculum is driven by academic, exam-based GCSEs and A levels, with applied learning qualifications an alternative for ‘less-academic’ 16–18-year-olds. This paper elides two studies of the impact of the BTEC National Diploma on employment and career trajectories, one from the perspective of 16–22-year-olds, another of mature adults. Study 1 explored medium-term impact as students progressed from school to university or work-based learning. Study 2 explored longer-term impact through a life history project spanning 1986–2022 across 10 different industries. Synthesis of the data identified three factors underpinning BTEC’s success: a genuine second chance; teaching and assessment that enabled understanding and promoted learning; strong education/employer links providing real-world experience. Bronfenbrenner’s Bioecological Model provides a theoretical lens, illustrating how knowledge, skills and competences develop best when the educational environment meets the needs of each learner: one-size-fits-all does not work. This paper concludes that all three factors should be mainstream, but significant challenges include our highly politicised policy environment, enduring belief that only exams offer rigorous assessment and lack of an employer engagement system that could support real-world learning. Extra-curricular activities and project qualif</w:t>
      </w:r>
    </w:p>
    <w:p>
      <w:pPr/>
      <w:r>
        <w:rPr>
          <w:b/>
        </w:rPr>
        <w:t>POSSIBLE 2025:</w:t>
      </w:r>
      <w:r>
        <w:t xml:space="preserve"> ‘Jazz populism’ in London and the counter-hegemonic mainstream — https://doi.org/10.1017/s0261143026101299</w:t>
      </w:r>
    </w:p>
    <w:p>
      <w:pPr/>
      <w:r>
        <w:rPr>
          <w:b/>
        </w:rPr>
        <w:t>Shared claim-specific concepts:</w:t>
      </w:r>
      <w:r>
        <w:t xml:space="preserve"> mainstream, recent, provides; EU scope visible. This is a provisional connection, not an outcome finding.</w:t>
      </w:r>
    </w:p>
    <w:p>
      <w:pPr>
        <w:pStyle w:val="SourceNote"/>
      </w:pPr>
      <w:r>
        <w:rPr>
          <w:b/>
        </w:rPr>
        <w:t>Available abstract (not full text):</w:t>
      </w:r>
      <w:r>
        <w:t xml:space="preserve"> Abstract This paper re-animates debates over the unsettled relationship between jazz and popular music through an exploration of the recent ‘London jazz explosion’. It explores the framing of London jazz’s mainstreaming as counter-hegemonic in press/promotional coverage, showing how the prominence of Black musicians and Black popular musics in ‘new London jazz’ is widely interpreted as a rejoinder to perceived elitism and institutional whiteness in British and European jazz ‘establishments’. It also examines interpretations of the scene’s relative commercial success as a meaningful reversal of jazz’s institutionalisation as art music since the 1980s. I define this discourse as ‘jazz populism’, through which the very fact of the scene’s mainstream appeal is used to promote London jazz as a musical – and cultural-political – ‘alternative’. The paper provides overdue analysis of a significant development in 2020s European popular music, and deepens our understanding of the complexities of contemporary musical mainstreams.</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2024:</w:t>
      </w:r>
      <w:r>
        <w:t xml:space="preserve"> Chapter 1 Against the Mainstream? — https://openalex.org/W7137538783</w:t>
      </w:r>
    </w:p>
    <w:p>
      <w:pPr/>
      <w:r>
        <w:rPr>
          <w:b/>
        </w:rPr>
        <w:t>Shared claim-specific concepts:</w:t>
      </w:r>
      <w:r>
        <w:t xml:space="preserve"> mainstream, union, provides; EU scope visible. This is a provisional connection, not an outcome finding.</w:t>
      </w:r>
    </w:p>
    <w:p>
      <w:pPr>
        <w:pStyle w:val="SourceNote"/>
      </w:pPr>
      <w:r>
        <w:rPr>
          <w:b/>
        </w:rPr>
        <w:t>Available abstract (not full text):</w:t>
      </w:r>
      <w:r>
        <w:t xml:space="preserve"> This book provides a comprehensive overview of the regulation of party finance in post-Soviet countries by leading academics and practitioners in the field. Through a series of cutting-edge chapters, using both original quantitative and qualitative data, it systematically sheds theoretical and empirical light on the way party funding regulation has evolved since the fall of the Soviet Union in 1991, as well as on the manner in which the legal regulation of party finances has had an impact (or not) on the evolution of party politics and democratic consolidation in the region. The book examines regulation in post-Soviet countries like Armenia, Georgia, Kazakhstan, Kyrgyzstan, Moldova, Mongolia, Russia and Ukraine. In analysing the various dimensions of party funding regulation and their impact on political parties, party systems and democracy, it looks at the past and future, and makes recommendations on how legislation could be improved in order to further party development, party system stabilisation and democratic consolidation for all the countries in the region. This book will be of key interest to scholars, students, practitioners and journalists interested in political party finance and anti-corruption, and more broadly to political parties, democracy and democratic governance, and post-Soviet/Russian and East European politics.</w:t>
      </w:r>
    </w:p>
    <w:p>
      <w:pPr/>
      <w:r>
        <w:rPr>
          <w:b/>
        </w:rPr>
        <w:t>POSSIBLE 2024:</w:t>
      </w:r>
      <w:r>
        <w:t xml:space="preserve"> The future of tourism: interview with Bernadett Papp on bringing equity into debates on tourism development and destination governance — https://doi.org/10.1108/jtf-09-2024-0212</w:t>
      </w:r>
    </w:p>
    <w:p>
      <w:pPr/>
      <w:r>
        <w:rPr>
          <w:b/>
        </w:rPr>
        <w:t>Shared claim-specific concepts:</w:t>
      </w:r>
      <w:r>
        <w:t xml:space="preserve"> mainstream, academic, recent, provides; EU scope visible. This is a provisional connection, not an outcome finding.</w:t>
      </w:r>
    </w:p>
    <w:p>
      <w:pPr>
        <w:pStyle w:val="SourceNote"/>
      </w:pPr>
      <w:r>
        <w:rPr>
          <w:b/>
        </w:rPr>
        <w:t>Available abstract (not full text):</w:t>
      </w:r>
      <w:r>
        <w:t xml:space="preserve"> Purpose As the Journal of Tourism Futures celebrates its 10th Anniversary, Dr Stefan Hartman (head of department at the European Tourism Futures Institute, NHL Stenden University of Applied Sciences) interviews Bernadett Papp (senior researcher at the European Tourism Futures Institute (ETFI) at NHL Stenden University of Applied Sciences) about her recent work in tourism practice and academic and future perspectives on topics relevant to the future of tourism. Design/methodology/approach A personal interview was held on September 16, 2024. Findings Bernadett Papp draws attention to the importance of bringing equity into debates on tourism development and destination governance. She sees a crucial role for governments, the redesign of institutional frameworks, monitoring and data collection and rethinking systems of governance. Originality/value The interview provides unique insights into the viewpoints of Papp, highlighting the importance of the still understudied topic of equitable tourism. A topic that still requires a lot of work before hitting mainstream approaches to destination development, even though it should have been on the policy agendas for many years already.</w:t>
      </w:r>
    </w:p>
    <w:p>
      <w:pPr/>
      <w:r>
        <w:rPr>
          <w:b/>
        </w:rPr>
        <w:t>POSSIBLE 2024:</w:t>
      </w:r>
      <w:r>
        <w:t xml:space="preserve"> Shifting Academic Paradigms in Response to Global Crises: Opportunities and Pitfalls — https://doi.org/10.1093/fmls/cqae039</w:t>
      </w:r>
    </w:p>
    <w:p>
      <w:pPr/>
      <w:r>
        <w:rPr>
          <w:b/>
        </w:rPr>
        <w:t>Shared claim-specific concepts:</w:t>
      </w:r>
      <w:r>
        <w:t xml:space="preserve"> academic, but, crisis, provides; EU scope visible. This is a provisional connection, not an outcome finding.</w:t>
      </w:r>
    </w:p>
    <w:p>
      <w:pPr>
        <w:pStyle w:val="SourceNote"/>
      </w:pPr>
      <w:r>
        <w:rPr>
          <w:b/>
        </w:rPr>
        <w:t>Available abstract (not full text):</w:t>
      </w:r>
      <w:r>
        <w:t xml:space="preserve"> Academic knowledge develops through paradigm shifts, which can be facilitated by world-changing events. I am writing this piece thinking about my own research on an earlier shift, spearheaded by scholars from Eastern and Central Europe a hundred years ago, when old certainties were productively questioned in a range of academic fields.1 Some epistemological issues that are raised today echo what was said in the early twentieth century, when Euro-/West-centric understandings of cultures began to be creatively critiqued.2 World War I facilitated imperial disintegrations and early Soviet actors used decolonization discourse to describe the demise of the tsarist empire.3 During the 1928–31 Soviet ‘cultural revolution’ decolonization discourse reached its peak, while also acquiring destructive forms under intense political pressure. Notably, it is not only under totalitarianism that ideologically charged campaigns can affect academic research. I remember how the heightened politicization of what used to be called Soviet Studies played out in Western academia in my lifetime. This contradictory history informs my response to the article by Byford, Doak and Hutchings in relation to the three main issues it raises: the relationship between political activism and academic research, what ‘Russian Studies’ is and the field’s relationship to the ‘decolonization agenda’, which is salient aga</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2023:</w:t>
      </w:r>
      <w:r>
        <w:t xml:space="preserve"> Playing the Mainstream Game. A Language-Game Analysis of “Mainstream” as a Possible Boundary Object in Journalism Studies — https://doi.org/10.1080/21670811.2023.2180406</w:t>
      </w:r>
    </w:p>
    <w:p>
      <w:pPr/>
      <w:r>
        <w:rPr>
          <w:b/>
        </w:rPr>
        <w:t>Shared claim-specific concepts:</w:t>
      </w:r>
      <w:r>
        <w:t xml:space="preserve"> mainstream, academic, but, recent, arguably, process; EU scope not established. This is a provisional connection, not an outcome finding.</w:t>
      </w:r>
    </w:p>
    <w:p>
      <w:pPr>
        <w:pStyle w:val="SourceNote"/>
      </w:pPr>
      <w:r>
        <w:rPr>
          <w:b/>
        </w:rPr>
        <w:t>Available abstract (not full text):</w:t>
      </w:r>
      <w:r>
        <w:t xml:space="preserve"> “Mainstream media” and “mainstream journalism” have become significant concepts in political, popular, and academic discourse in recent years. They are key in how media, communication, and journalism scholars have been, and continue to be, concerned with relational dimensions in their work. However, the meaning of the word “mainstream” is often taken for granted. How and by whom this concept is used among media, communication, and journalism scholars is therefore of great importance. This article analyses uses of “mainstream” in academic discourse to unpack the various meanings ascribed to it. Through computational Topic Modelling Analysis and qualitative context analysis we analyse the relations, positions, normative underpinnings, and appropriate uses of “mainstream” in 779 journal articles published between 2000 and 2022. The analysis is framed by Wittgenstein’s notion of “language-game” as a way of analysing the meaning-making process constituted by uses of “mainstream” in these articles. We argue that “mainstream” resembles a “boundary object” but conclude that the rules of the “mainstream language-game” are confusing and need revisions, and that the concept only functions as an illusory boundary object, which is arguably problematic.</w:t>
      </w:r>
    </w:p>
    <w:p>
      <w:pPr>
        <w:pStyle w:val="Heading2"/>
      </w:pPr>
      <w:r>
        <w:t>790.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Cellular Automata Simulation of Complex Systems Emergence — https://doi.org/10.5281/zenodo.22575417</w:t>
      </w:r>
    </w:p>
    <w:p>
      <w:pPr/>
      <w:r>
        <w:rPr>
          <w:b/>
        </w:rPr>
        <w:t>Shared claim-specific concepts:</w:t>
      </w:r>
      <w:r>
        <w:t xml:space="preserve"> emergence, urban, techniques, focuses, local; EU scope not established. This is a provisional connection, not an outcome finding.</w:t>
      </w:r>
    </w:p>
    <w:p>
      <w:pPr>
        <w:pStyle w:val="SourceNote"/>
      </w:pPr>
      <w:r>
        <w:rPr>
          <w:b/>
        </w:rPr>
        <w:t>Available abstract (not full text):</w:t>
      </w:r>
      <w:r>
        <w:t xml:space="preserve"> This paper investigates the application of cellular automata (CA) to simulate emergent phenomena within complex systems. Traditional approaches to modeling complex systems, such as system dynamics, often struggle to capture the dynamic and unpredictable nature of emergent behavior. Cellular automata provide a discrete, agent-based framework that allows for the explicit representation of interactions between individual components, facilitating the observation of system-level patterns and self-organization. This work focuses on demonstrating the efficacy of CA models in capturing emergent behavior across diverse domains, including urban development, social evolution, and ecological dynamics. The core methodology involves defining cell states, interaction rules, and neighborhood configurations, followed by the simulation of the system's evolution over time. The results highlight the potential of CA as a powerful tool for understanding and predicting emergent phenomena, offering a complementary approach to more established modeling techniques. Key concepts explored include local rules, spatial dynamics, and the emergence of global patterns. The paper provides a foundational understanding of CA simulation and its relevance to complex system research.</w:t>
      </w:r>
    </w:p>
    <w:p>
      <w:pPr>
        <w:pStyle w:val="Heading2"/>
      </w:pPr>
      <w:r>
        <w:t>791.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792.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2026:</w:t>
      </w:r>
      <w:r>
        <w:t xml:space="preserve"> Gateway to Research: Co-Creation of a Cross-Institutional Interdisciplinary Course Introducing Undergraduates to Scientific Research — https://doi.org/10.63504/jstem.v27i2.2753</w:t>
      </w:r>
    </w:p>
    <w:p>
      <w:pPr/>
      <w:r>
        <w:rPr>
          <w:b/>
        </w:rPr>
        <w:t>Shared claim-specific concepts:</w:t>
      </w:r>
      <w:r>
        <w:t xml:space="preserve"> interdisciplinary, creation, based; EU scope not established. This is a provisional connection, not an outcome finding.</w:t>
      </w:r>
    </w:p>
    <w:p>
      <w:pPr>
        <w:pStyle w:val="SourceNote"/>
      </w:pPr>
      <w:r>
        <w:rPr>
          <w:b/>
        </w:rPr>
        <w:t>Available abstract (not full text):</w:t>
      </w:r>
      <w:r>
        <w:t xml:space="preserve"> “Introduction to Research” (or “Gateway”) courses play a critical role in introducing undergraduates, especially those from historically underrepresented backgrounds, to scientific research norms and skills. This paper describes the co-creation of a model Gateway course by ten institutions located across [area]. Designed to be interdisciplinary, offered to lower division students, and adaptable for both two-year and four-year colleges, the course introduces basic research techniques alongside the customs of scientific research. Developed as part of an undergraduate research training program, the course was intended to prepare students for entering research placements. We report on the collaborative process of course creation, adaptation to individual institutions, and modification over time. Preliminary evaluations suggested positive outcomes for Gateway students. A program-wide evaluation (n = 55) indicated students on average “agreed” or “strongly agreed” they had met guidelines based on the course learning objectives. Pre/post assessments at a pilot site (n = 57) found that participants had significantly higher research knowledge and self-efficacy scores after taking the course. Qualitative student course feedback suggested that students valued the course for the research skills it gave them and thought the curriculum should be more widely available. Overall, this suggests t</w:t>
      </w:r>
    </w:p>
    <w:p>
      <w:pPr/>
      <w:r>
        <w:rPr>
          <w:b/>
        </w:rPr>
        <w:t>POSSIBLE 2026:</w:t>
      </w:r>
      <w:r>
        <w:t xml:space="preserve"> Between Creation and Destruction:A Philosophical and Interdisciplinary Inquiry into Human Attraction to Destruction, Discipline, and the Bhagavad Gita — https://doi.org/10.52416/ijrapp.2026.10102</w:t>
      </w:r>
    </w:p>
    <w:p>
      <w:pPr/>
      <w:r>
        <w:rPr>
          <w:b/>
        </w:rPr>
        <w:t>Shared claim-specific concepts:</w:t>
      </w:r>
      <w:r>
        <w:t xml:space="preserve"> interdisciplinary, creation, three; EU scope not established. This is a provisional connection, not an outcome finding.</w:t>
      </w:r>
    </w:p>
    <w:p>
      <w:pPr>
        <w:pStyle w:val="SourceNote"/>
      </w:pPr>
      <w:r>
        <w:rPr>
          <w:b/>
        </w:rPr>
        <w:t>Available abstract (not full text):</w:t>
      </w:r>
      <w:r>
        <w:t xml:space="preserve"> This paper examines a claim rooted in the Bhagavad Gita: that human beings carry a latent inclination toward destruction, and that disciplined living (nishkama karma, detached action) is the Gita's prescribed corrective. The Gita frames this through the doctrine of the three gunas -sattva, rajas, and tamas -where tamas (inertia, delusion) and unbridled rajas (craving) pull the undisciplined self toward ruin, illustrated through figures such as Ravana [1]. The paper situates that claim alongside two secularbodies of thought sometimes invoked in support of it: Freud's theory of the death drive (Thanatos), and the quantum-physics-and-Eastern-philosophy discourse popularised by Fritjof Capra. Using a qualitative, hermeneutic and comparative-thematic method, itreads the Gita's claims against Freud's clinical theory and quantum-mysticism literature, separating verified psychological theory from contested, largely metaphorical physics analogies. It argues the Gita's claim finds a genuine parallel in psychoanalytic theory, and only a loose, interpretive parallel in physics discourse -a distinction essential to intellectual honesty ,and concludes that the Gita's prescription of disciplined, non-attached action remains coherent and defensible, proposing directions for future interdisciplinary and empirical research.</w:t>
      </w:r>
    </w:p>
    <w:p>
      <w:pPr/>
      <w:r>
        <w:rPr>
          <w:b/>
        </w:rPr>
        <w:t>POSSIBLE 2026:</w:t>
      </w:r>
      <w:r>
        <w:t xml:space="preserve"> Reframing India's Development Path: Challenges, Transformation and a Road to a Developed Future — https://doi.org/10.5281/zenodo.18920235</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India has been getting huge success in its developmental trajectory. With rapid economic growth, population advantages, and technological progress, due to all this India holds significant promise for achieving developed-nation status. However, structural barriers, persistent inequalities, and global economic uncertainties pose enduring challenges. This research paper examines India’s current development model, analyses the key barriers to sustained and inclusive progress, and shows a comprehensive roadmap to accelerate transformation toward a developed future. This research paper highlights interdisciplinary insights from economics, governance, technology, and social policy, this research underscores the importance of reforms in education, infrastructure, climate resilience, and institutional governance. Ultimately, the paper argues that India’s transition to a high-income, equitable, and sustainable economy requires a reframing of traditional development paradigms anchored in innovation, human capital, and sustainability</w:t>
      </w:r>
    </w:p>
    <w:p>
      <w:pPr/>
      <w:r>
        <w:rPr>
          <w:b/>
        </w:rPr>
        <w:t>POSSIBLE 2026:</w:t>
      </w:r>
      <w:r>
        <w:t xml:space="preserve"> DEVELOPING AND IMPLEMENTING AN INTERDISCIPLINARY EDUCATION MODEL FOR ENGLISH MAJORS IN THE DIGITAL INTELLIGENCE ERA — https://doi.org/10.46827/ejes.v13i4.6624</w:t>
      </w:r>
    </w:p>
    <w:p>
      <w:pPr/>
      <w:r>
        <w:rPr>
          <w:b/>
        </w:rPr>
        <w:t>Shared claim-specific concepts:</w:t>
      </w:r>
      <w:r>
        <w:t xml:space="preserve"> interdisciplinary, case; EU scope not established. This is a provisional connection, not an outcome finding.</w:t>
      </w:r>
    </w:p>
    <w:p>
      <w:pPr>
        <w:pStyle w:val="SourceNote"/>
      </w:pPr>
      <w:r>
        <w:rPr>
          <w:b/>
        </w:rPr>
        <w:t>Available abstract (not full text):</w:t>
      </w:r>
      <w:r>
        <w:t xml:space="preserve"> This study aimed to design and implement a blended interdisciplinary learning program for senior English majors in China, which integrates artificial intelligence (AI) assistance. The program focused on relevant themed micro courses, supplemented by real-time guidance from intelligent tools, real-life case exercises, group collaborative discussions, and real-time online interactive support from mentor teams. A comparative teaching experiment was conducted on selected classes over two complete semesters. Students who participated in the experiment voluntarily registered for the series of courses online, while students in parallel classes who did not take the electives followed their regular curriculum. Through systematic collection and analysis of questionnaire feedback and in-depth interviews with students in the experimental group and corresponding employers, the results showed that the experimental group generally reported that this model significantly strengthened their competencies in the use of artificial intelligence tools, applied English skills, and problem-solving in multiple fields, effectively enhancing their workplace adaptability and employability. As a result, many students successfully secured positions that were highly matched with their majors and offered better salaries. In contrast, the experimental group was significantly better than the control group in ter</w:t>
      </w:r>
    </w:p>
    <w:p>
      <w:pPr/>
      <w:r>
        <w:rPr>
          <w:b/>
        </w:rPr>
        <w:t>POSSIBLE 2026:</w:t>
      </w:r>
      <w:r>
        <w:t xml:space="preserve"> Interdisciplinary OER Development: Virtual Microscope — https://doi.org/10.7275/x2wf-1386</w:t>
      </w:r>
    </w:p>
    <w:p>
      <w:pPr/>
      <w:r>
        <w:rPr>
          <w:b/>
        </w:rPr>
        <w:t>Shared claim-specific concepts:</w:t>
      </w:r>
      <w:r>
        <w:t xml:space="preserve"> interdisciplinary, road, best, obtained; EU scope not established. This is a provisional connection, not an outcome finding.</w:t>
      </w:r>
    </w:p>
    <w:p>
      <w:pPr>
        <w:pStyle w:val="SourceNote"/>
      </w:pPr>
      <w:r>
        <w:rPr>
          <w:b/>
        </w:rPr>
        <w:t>Available abstract (not full text):</w:t>
      </w:r>
      <w:r>
        <w:t xml:space="preserve"> How to work in an interdisciplinary manner to create an OER that uses computer programming to replicate common lab processes and procedures used in multiple biology lab classes. Learn best practices around working collaboratively across disciplines to program a complex tool for integration into an open source repository. Name: Dorothy Salinas Email: dsalinas@ccm.edu Phone: 973-328-5375 Dorothy Salinas is an Assistant Professor of Biology in the Biology and Chemistry Department at County College of Morris (CCM), Randolph, NJ. The primary courses she instructs are Concepts in Biology (BIO 132) and Biology of Environmental Concerns (BIO 127) and she serves as the co-advisor of the CCM Environmental Club. Salinas has obtained a B.S. in Biology from The College of New Jersey, M.S. in Biology from the University of Nebraska at Kearney and is currently enrolled in an Ed.D. in Educational Sustainability program at the University of Wisconsin at Stevens Point. In addition to the Open Educational Resource (OER) Virtual Microscope, Salinas has developed a low-cost, online option for non-major students to satisfy their 4-credit general education science requirement. Cost was limited by the implementation of an OER textbook and the elimination of a required laboratory kit. Students complete hands-on laboratories, at home, utilizing common household items. Presenter 2 Name: Caitlin Burns Ema</w:t>
      </w:r>
    </w:p>
    <w:p>
      <w:pPr>
        <w:pStyle w:val="Heading2"/>
      </w:pPr>
      <w:r>
        <w:t>793.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2026:</w:t>
      </w:r>
      <w:r>
        <w:t xml:space="preserve"> Entrepreneurship Development –A tool for employment creation — https://openalex.org/W7217960134</w:t>
      </w:r>
    </w:p>
    <w:p>
      <w:pPr/>
      <w:r>
        <w:rPr>
          <w:b/>
        </w:rPr>
        <w:t>Shared claim-specific concepts:</w:t>
      </w:r>
      <w:r>
        <w:t xml:space="preserve"> tool, creation; EU scope not established. This is a provisional connection, not an outcome finding.</w:t>
      </w:r>
    </w:p>
    <w:p>
      <w:pPr>
        <w:pStyle w:val="SourceNote"/>
      </w:pPr>
      <w:r>
        <w:rPr>
          <w:b/>
        </w:rPr>
        <w:t>Available abstract (not full text):</w:t>
      </w:r>
      <w:r>
        <w:t xml:space="preserve"> This paper is a thought paper and begins by giving a brief review of the developments achieved in the field of entrepreneurship development up to mid-80s. The two significant contributions of 60s were establishment of positive connection between entrepreneurship and economic prosperity and also surfacing of strong planned effort. Likewise types of EDP strategy and models were established and put to test in 70s. The past analysis allowed foreseeing the possible and issues that the development of entrepreneurship is most likely to encounter in the 2020s. The region was associated with fast vertical and horizontal expansion, increased institutionalization and entrepreneurisation of society. The change in approach to a generalist to extension specialist and the creation of more specific EDP strategies harmonizing high-tech and technology transfer are also among several others covered within the paper. The paper ends with the note of caution towards such tendencies that are only sure to water down the efforts of EDPs hence might end up losing credibility.</w:t>
      </w:r>
    </w:p>
    <w:p>
      <w:pPr/>
      <w:r>
        <w:rPr>
          <w:b/>
        </w:rPr>
        <w:t>POSSIBLE 2026:</w:t>
      </w:r>
      <w:r>
        <w:t xml:space="preserve"> Lifestyle medicine: A tool for health creation and equity — https://doi.org/10.66794/2bd5</w:t>
      </w:r>
    </w:p>
    <w:p>
      <w:pPr/>
      <w:r>
        <w:rPr>
          <w:b/>
        </w:rPr>
        <w:t>Shared claim-specific concepts:</w:t>
      </w:r>
      <w:r>
        <w:t xml:space="preserve"> use, effective, tool, creation; EU scope not established. This is a provisional connection, not an outcome finding.</w:t>
      </w:r>
    </w:p>
    <w:p>
      <w:pPr>
        <w:pStyle w:val="SourceNote"/>
      </w:pPr>
      <w:r>
        <w:rPr>
          <w:b/>
        </w:rPr>
        <w:t>Available abstract (not full text):</w:t>
      </w:r>
      <w:r>
        <w:t xml:space="preserve"> Motivational interviewing techniquesFacilitating behaviour change in the general practice setting BackgroundOne of the biggest challenges that primary care practitioners face is helping people change longstanding behaviours that pose significant health risks. ObjectiveTo explore current understanding regarding how and why people change, and the potential role of motivational interviewing in facilitating behaviour change in the general practice setting. DiscussionResearch into health related behaviour change highlights the importance of motivation, ambivalence and resistance.Motivational interviewing is a counselling method that involves enhancing a patient's motivation to change by means of four guiding principles, represented by the acronym RULE: Resist the righting reflex; Understand the patient's own motivations; Listen with empathy; and Empower the patient.Recent meta-analyses show that motivational interviewing is effective for decreasing alcohol and drug use in adults and adolescents and evidence is accumulating in others areas of health including smoking cessation, reducing sexual risk behaviours, improving adherence to treatment and medication and diabetes management.</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2025:</w:t>
      </w:r>
      <w:r>
        <w:t xml:space="preserve"> Co-design of technological tools and co-creation of intervention strategies to promote a healthy lifestyle: an Italian case study — https://doi.org/10.1108/jices-01-2025-0015</w:t>
      </w:r>
    </w:p>
    <w:p>
      <w:pPr/>
      <w:r>
        <w:rPr>
          <w:b/>
        </w:rPr>
        <w:t>Shared claim-specific concepts:</w:t>
      </w:r>
      <w:r>
        <w:t xml:space="preserve"> describe, planning, tool, creation; EU scope visible. This is a provisional connection, not an outcome finding.</w:t>
      </w:r>
    </w:p>
    <w:p>
      <w:pPr>
        <w:pStyle w:val="SourceNote"/>
      </w:pPr>
      <w:r>
        <w:rPr>
          <w:b/>
        </w:rPr>
        <w:t>Available abstract (not full text):</w:t>
      </w:r>
      <w:r>
        <w:t xml:space="preserve"> Purpose This paper aims to describe the case study carried out in Italy as part of the HealthyW8 project. In particular, it describes the methodology used in the participatory workshops held in Italy in 2023–2024 and the results obtained. Design/methodology/approach Using design thinking and user-centred design methodologies, the workshops aimed to develop intervention strategies and digital tool functionalities suitable for different user needs and local contexts. Findings Intervention strategies identified by the Italian stakeholders included the development of tools (e.g. corporate bonuses, reward schemes and applications) that encourage healthy living and physical activity and the creation of educational cartoons that address healthy lifestyles, diets and physical activity. The study underlined the importance of multi-level interventions combining education, public policy and user-centred technological innovations. Originality/value Stakeholders also suggested innovative digital tool functionalities such as the integration with existing shopping list apps to streamline healthy food planning and the connection to real-life community-building events to promote active participation.</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pStyle w:val="Heading2"/>
      </w:pPr>
      <w:r>
        <w:t>794.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2025:</w:t>
      </w:r>
      <w:r>
        <w:t xml:space="preserve"> The ecological forecast limit revisited: Potential, absolute and relative system predictability — https://doi.org/10.1111/2041-210x.70049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Ecological forecasts are model‐based statements about currently unknown ecosystem states in time or space. For a forecast to be useful to inform decision makers, model validation and verification determine adequacy.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limits, and show how a benchmark model can help determine its relative forecast limit. The approaches are demonstrated with three case studies from population, ecosystem and Earth system research. We found that forecast limits can be computed with three requirements: Verification data, a scoring function and a reference for predictive error tolerance. Within our framework, forecast limits are defined for practically any ecological forecast and support</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2024:</w:t>
      </w:r>
      <w:r>
        <w:t xml:space="preserve"> Assessing the Potential for Medium‐Range Ice Forecasts in the Laurentian Great Lakes — https://doi.org/10.1029/2024wr037507</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Real‐time forecasted ice information for large lakes, such as the Great Lakes, is critical for essential operations, such as ice breaking, commercial navigation, search and rescue, and oil spill response. Existing forecast products for large lake ice conditions are not available for medium‐range time horizons (5–16 days out), yet they could provide important information for decision making, particularly for ice breaking and spill responses. In addition, ice forecasts for Earth's largest lakes at these timescales could be important for Medium‐Range Weather (MRW) forecasting. However, the skill of existing operational products in predicting ice conditions at MRW timescales has not been studied. This work aims to determine how well ice forecasts from a coupled large lake hydrodynamic‐ice model perform for MRW forecast horizons. Simulations were carried out for the 2022 Great Lakes ice season, using 8 different 16‐day forecast periods. Forecast results were compared to observations of meteorology and ice conditions from the U.S. National Ice Center. Results show the MRW ice forecasts in the Great Lakes outperform persistence‐based forecasts. These findings could inform the development or extension of lake operational ice forecasting and the potential of coupling between atmospheric and large lake models at medium‐range forecast time scales.</w:t>
      </w:r>
    </w:p>
    <w:p>
      <w:pPr/>
      <w:r>
        <w:rPr>
          <w:b/>
        </w:rPr>
        <w:t>POSSIBLE 2024:</w:t>
      </w:r>
      <w:r>
        <w:t xml:space="preserve"> Forecasting potential output for Greece — https://doi.org/10.52903/econbull20246003</w:t>
      </w:r>
    </w:p>
    <w:p>
      <w:pPr/>
      <w:r>
        <w:rPr>
          <w:b/>
        </w:rPr>
        <w:t>Shared claim-specific concepts:</w:t>
      </w:r>
      <w:r>
        <w:t xml:space="preserve"> potential, output; EU scope visible. This is a provisional connection, not an outcome finding.</w:t>
      </w:r>
    </w:p>
    <w:p>
      <w:pPr>
        <w:pStyle w:val="SourceNote"/>
      </w:pPr>
      <w:r>
        <w:rPr>
          <w:b/>
        </w:rPr>
        <w:t>Available abstract (not full text):</w:t>
      </w:r>
      <w:r>
        <w:t xml:space="preserve"> This paper presents a description of the current version of the production function methodology used at the Bank of Greece for assessing and forecasting potential output and the output gap. Medium-term projections are also presented: potential output growth is expected to be 1.9%, supported by Total Factor Productivity (TFP) and capital, while the negative demographics are soon to weigh on the productive capacity of the economy. At the end of the projection horizon, most of the potential output growth accrues from TFP, suggesting the need to continue implementing structural reforms. The paper concludes with a brief discussion regarding the complexities of estimating TFP.</w:t>
      </w:r>
    </w:p>
    <w:p>
      <w:pPr/>
      <w:r>
        <w:rPr>
          <w:b/>
        </w:rPr>
        <w:t>POSSIBLE 2024:</w:t>
      </w:r>
      <w:r>
        <w:t xml:space="preserve"> Forecast of Wildfire Potential Across California USA Using a Transformer — https://doi.org/10.1109/bigdata62323.2024.10825778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Wildfires are a major issue facing the United States, a matter further exacerbated by an ever-changing climate. In California alone, wildfires are responsible for billions of dollars in damages and take lives each year. Accurately predicting fire danger conditions allows preparation awareness before wildfires start. Transformers are a class of deep learning models designed to identify patterns in sequential datasets. In recent years, transformers have gained popularity through their impressive performance in natural language processing and other applications of signal recognition. This analysis demonstrates the ability of a transformer with a residual connection to forecast fire danger potential over the state of California. Wildland fire potential index (WFPI) maps collected from the US Geological Survey database from January 1st 2020 to December 31st 2023 were used to tune, train and evaluate the transformer. Meteorological inputs (provided by Daymet daily weather and climatological summaries), the normalized difference vegetation index (NDVI) (calculated from the Moderate Resolution Imaging Spectroradiometer (MODIS)), and outputs from the Scott and Burgman fire behavior fuel models (to characterize maps of fuel types), were used as inputs. Our results show that a transformer can effectively emulate the US Forest Service modeled WFPI maps of California USA for four week long </w:t>
      </w:r>
    </w:p>
    <w:p>
      <w:pPr/>
      <w:r>
        <w:rPr>
          <w:b/>
        </w:rPr>
        <w:t>POSSIBLE 2024:</w:t>
      </w:r>
      <w:r>
        <w:t xml:space="preserve"> Analysis of the potential of CML data for nowcasting forecasts in Poland — https://doi.org/10.5194/ems2024-26</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The growing network of telecommunication stations and commercial microwave links (CMLs) in last years has opened a window into a new way of rainfall estimation. This is a relatively new approach in precipitation estimation field, and it gives reasonably good results, and so have become a valuable source of precipitation information which can successfully supplement other existing observations. The potential of CMLs lies in their high temporal resolution (reaching one minute) and high abundance, so they are increasingly used for short‐term forecasting (nowcasting). Like any type of data, data from commercial microwave links are subject to quality control to isolate non-functioning stations and those links that systematically give erroneous results. Such a pilot analysis and quality control was recently carried out on 66 CMLs from the Opole Voivodeship, Poland. It was analysed to what extent the precipitation derived from CML attenuation data is useful in estimation of the precipitation field with the high temporal and spatial resolution required in nowcasting models. Several methods were used to estimate precipitation field based on data from available links. The CML-based estimates were compared to point observations from manual rain gauges and multi-source precipitation fields using daily and half-hourly accumulations. The analyses conducted show that the CML-based precipitati</w:t>
      </w:r>
    </w:p>
    <w:p>
      <w:pPr/>
      <w:r>
        <w:rPr>
          <w:b/>
        </w:rPr>
        <w:t>POSSIBLE 2024:</w:t>
      </w:r>
      <w:r>
        <w:t xml:space="preserve"> The ecological forecast limit revisited: Potential, actual and relative system predictability — https://doi.org/10.48550/arxiv.2412.00753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Ecological forecasts are model-based statements about currently unknown ecosystem states in time or space. For a model forecast to be useful to inform decision makers, model validation and verification determine adequateness.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forecasting models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 and show how a benchmark model can help determine its relative forecast limit. The approaches are demonstrated with three case studies from population, ecosystem, and Earth system research. We found that forecast limits can be computed with three requirements: A verification reference, a scoring function, and a predictive error tolerance. Within our framework, forecast limits are defined for practically any ecological forecast and su</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2023:</w:t>
      </w:r>
      <w:r>
        <w:t xml:space="preserve"> A forecast on future raw material demand and recycling potential of lithium-ion batteries in electric vehicles — https://doi.org/10.1016/j.resconrec.2023.106920</w:t>
      </w:r>
    </w:p>
    <w:p>
      <w:pPr/>
      <w:r>
        <w:rPr>
          <w:b/>
        </w:rPr>
        <w:t>Shared claim-specific concepts:</w:t>
      </w:r>
      <w:r>
        <w:t xml:space="preserve"> show, potential; EU scope not established. This is a provisional connection, not an outcome finding.</w:t>
      </w:r>
    </w:p>
    <w:p>
      <w:pPr>
        <w:pStyle w:val="SourceNote"/>
      </w:pPr>
      <w:r>
        <w:rPr>
          <w:b/>
        </w:rPr>
        <w:t>Available abstract (not full text):</w:t>
      </w:r>
      <w:r>
        <w:t xml:space="preserve"> The market for electromobility has grown constantly in the last years. To ensure a future supply of raw materials for the production of new batteries for electric vehicles, it is essential to estimate the future demand for battery metals. This study focuses on the future demand for electric vehicle battery cathode raw materials lithium, cobalt, nickel, and manganese by considering different technology and growth scenarios. The results show that in 2040 the future material demand for lithium, cobalt, and nickel for Lithium-Ion Batteries in electric vehicles exceeds current raw material production. Depending on the growth and technology scenario, the future demand for lithium and cobalt exceeds today's production by up to 8 times in 2040. Nickel exceeds today's production in one scenario. For manganese, future demand in 2040 remains far below today's production. The recycling potential for lithium and nickel is more than half the raw material demand for Lithium-Ion Batteries in 2040. For cobalt, the recycling potential even exceeds the raw material demand in 2040. In conclusion, it remains a challenge for the industry to massively scale up resource production and focus on the recycling of battery metals in the future to meet the increasing consumption of electromobility.</w:t>
      </w:r>
    </w:p>
    <w:p>
      <w:pPr>
        <w:pStyle w:val="Heading2"/>
      </w:pPr>
      <w:r>
        <w:t>795.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2025:</w:t>
      </w:r>
      <w:r>
        <w:t xml:space="preserve"> Incentives for smoking cessation — https://doi.org/10.1002/14651858.cd004307.pub7</w:t>
      </w:r>
    </w:p>
    <w:p>
      <w:pPr/>
      <w:r>
        <w:rPr>
          <w:b/>
        </w:rPr>
        <w:t>Shared claim-specific concepts:</w:t>
      </w:r>
      <w:r>
        <w:t xml:space="preserve"> incentives, current, additional, published; EU scope not established. This is a provisional connection, not an outcome finding.</w:t>
      </w:r>
    </w:p>
    <w:p>
      <w:pPr>
        <w:pStyle w:val="SourceNote"/>
      </w:pPr>
      <w:r>
        <w:rPr>
          <w:b/>
        </w:rPr>
        <w:t>Available abstract (not full text):</w:t>
      </w:r>
      <w:r>
        <w:t xml:space="preserve"> BACKGROUND: Financial incentives (money, vouchers, or self-deposits) can be used to positively reinforce smoking cessation. They may be used as one-off rewards, or in various schedules to reward steps towards sustained smoking abstinence (known as contingency management). They have been used in workplaces, clinics, hospitals, and community settings, and to target particular populations. This is a review update. The previous version was published in 2019. OBJECTIVES: Primary To assess the long-term effects of incentives and contingency management programmes for smoking cessation in mixed and pregnant populations. Secondary To assess the long-term effects of incentives and contingency management programmes for smoking cessation in mixed populations, considering whether incentives were offered at the final follow-up point. To assess the difference in outcomes for pregnant populations, considering whether rewards were contingent on abstinence or guaranteed. SEARCH METHODS: For this update, we searched CENTRAL, MEDLINE, Embase, PsycINFO, and two trials registers on 2 November 2023, and the Cochrane Tobacco Addiction Group Specialised Register on March 2023, together with reference checking, citation searching, and contact with study authors to identify additional studies. SELECTION CRITERIA: We considered only randomised controlled trials (RCTs), allocating individuals, workplaces, </w:t>
      </w:r>
    </w:p>
    <w:p>
      <w:pPr/>
      <w:r>
        <w:rPr>
          <w:b/>
        </w:rPr>
        <w:t>POSSIBLE 2025:</w:t>
      </w:r>
      <w:r>
        <w:t xml:space="preserve"> Mechanisms for monitoring the implementation of the European Social Charter and their significance for the Member States — https://doi.org/10.63341/naia-herald/1.2025.60</w:t>
      </w:r>
    </w:p>
    <w:p>
      <w:pPr/>
      <w:r>
        <w:rPr>
          <w:b/>
        </w:rPr>
        <w:t>Shared claim-specific concepts:</w:t>
      </w:r>
      <w:r>
        <w:t xml:space="preserve"> set, member, states, additional; EU scope visible. This is a provisional connection, not an outcome finding.</w:t>
      </w:r>
    </w:p>
    <w:p>
      <w:pPr>
        <w:pStyle w:val="SourceNote"/>
      </w:pPr>
      <w:r>
        <w:rPr>
          <w:b/>
        </w:rPr>
        <w:t>Available abstract (not full text):</w:t>
      </w:r>
      <w:r>
        <w:t xml:space="preserve"> The foundation of the European system of ensuring social human rights is the European Social Charter, which is implemented under the auspices of the Council of Europe. However, formally, its provisions are not subject to strict implementation, which necessitates an increase in the effectiveness of the Charter’s implementation. The purpose of the present study was to investigate the shortcomings of the mechanisms for monitoring compliance with the European Social Charter, to assess their significance for the member states, and to develop recommendations for improving their effectiveness. The methodological framework of the study included a comprehensive analysis of the mechanisms for monitoring the implementation of the European Social Charter. The study analysed the decisions of the European Committee of Social Rights on violations of the European Social Charter by various states and their effects on the development of legislation and improvement of social policy in these countries. Attention was focused on the collective complaints mechanism set out in the Additional Protocol. The study found that expanding the influence of national NGOs and strengthening public control would substantially contribute to improving the implementation of the Charter. At the same time, the immediate publication of the Committee’s conclusions would positively influence the reputation component, as </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2024:</w:t>
      </w:r>
      <w:r>
        <w:t xml:space="preserve"> Waste management in Slovakia and Poland as European Union member states — https://doi.org/10.5937/sjm19-51705</w:t>
      </w:r>
    </w:p>
    <w:p>
      <w:pPr/>
      <w:r>
        <w:rPr>
          <w:b/>
        </w:rPr>
        <w:t>Shared claim-specific concepts:</w:t>
      </w:r>
      <w:r>
        <w:t xml:space="preserve"> set, member, states; EU scope visible. This is a provisional connection, not an outcome finding.</w:t>
      </w:r>
    </w:p>
    <w:p>
      <w:pPr>
        <w:pStyle w:val="SourceNote"/>
      </w:pPr>
      <w:r>
        <w:rPr>
          <w:b/>
        </w:rPr>
        <w:t>Available abstract (not full text):</w:t>
      </w:r>
      <w:r>
        <w:t xml:space="preserve"> The basic European Union (EU) waste legislation is regulated by European Waste Framework Directive (1975). Since then, this directive has been significantly revised and updated and all EU members are obliged to implement the EU waste legislation into their legislation. The article presents the most important issues related to waste management in Slovakia and Poland. The paper reviews national legislation along with EU legislation. The study includes relevant conclusions with a brief comparison of the analyses carried out. The obtained results shows that the main goal relating to municipal waste - significant deviation from waste landfilling, set in both states, was not achieved.</w:t>
      </w:r>
    </w:p>
    <w:p>
      <w:pPr/>
      <w:r>
        <w:rPr>
          <w:b/>
        </w:rPr>
        <w:t>POSSIBLE 2024:</w:t>
      </w:r>
      <w:r>
        <w:t xml:space="preserve"> The Impact of the Rule of Law on Energy Policy in European Union Member States — https://doi.org/10.3390/en17030739</w:t>
      </w:r>
    </w:p>
    <w:p>
      <w:pPr/>
      <w:r>
        <w:rPr>
          <w:b/>
        </w:rPr>
        <w:t>Shared claim-specific concepts:</w:t>
      </w:r>
      <w:r>
        <w:t xml:space="preserve"> member, states, literature; EU scope visible. This is a provisional connection, not an outcome finding.</w:t>
      </w:r>
    </w:p>
    <w:p>
      <w:pPr>
        <w:pStyle w:val="SourceNote"/>
      </w:pPr>
      <w:r>
        <w:rPr>
          <w:b/>
        </w:rPr>
        <w:t>Available abstract (not full text):</w:t>
      </w:r>
      <w:r>
        <w:t xml:space="preserve"> Research pertaining to the dual-tier political system within the European Union (EU), specifically concerning the genesis and execution of EU policies, has garnered substantial scholarly attention. These inquiries delve into multifaceted dimensions, encompassing institutional dynamics, procedural intricacies, questions of legitimacy, and intricate relational dynamics entailing international diplomacy with other actors within the realm of international law. Nonetheless, a particularly intriguing and underexplored facet remains: the influence of member states’ compliance with the rule of law on the implementation of EU policies, particularly within the realm of energy policy. This article aims to elucidate the nexus between the realization of energy policy objectives in EU member states and fidelity to the rule of law. The conundrum of establishing a correlation between the indicators of environmentally sustainable energy policy and commitment to upholding the rule of law remains uncharted territory within the existing body of literature. Our analysis centers on a dataset derived from publicly accessible sources, reflecting data from the year 2020.</w:t>
      </w:r>
    </w:p>
    <w:p>
      <w:pPr>
        <w:pStyle w:val="Heading2"/>
      </w:pPr>
      <w:r>
        <w:t>796.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2026:</w:t>
      </w:r>
      <w:r>
        <w:t xml:space="preserve"> Interpretive structural modeling of factors influencing transition and transformation project management framework — https://doi.org/10.1007/s43621-026-03632-9</w:t>
      </w:r>
    </w:p>
    <w:p>
      <w:pPr/>
      <w:r>
        <w:rPr>
          <w:b/>
        </w:rPr>
        <w:t>Shared claim-specific concepts:</w:t>
      </w:r>
      <w:r>
        <w:t xml:space="preserve"> four, project, work; EU scope not established. This is a provisional connection, not an outcome finding.</w:t>
      </w:r>
    </w:p>
    <w:p>
      <w:pPr>
        <w:pStyle w:val="SourceNote"/>
      </w:pPr>
      <w:r>
        <w:rPr>
          <w:b/>
        </w:rPr>
        <w:t>Available abstract (not full text):</w:t>
      </w:r>
      <w:r>
        <w:t xml:space="preserve"> This article examines the factors influencing the adoption of Transition and Transformation (T&amp;T) Project Management among IT Firms. The study address two critical gaps, firstly the sequencing gap in organisational change during Disruptive Technology adoption and secondly, the VUCA-to-action gap that leads the discussion of transitioning from environmental diagnosis to the organisational response. Eight enablers for T&amp;T project management adoption are identified from the extant literature and from data collected from 34 project managers or leaders. Detailed analysis of enablers helped develop the Interpretative Structural Modelling (ISM) framework and categorise those enablers using the “Matrice d’impacts Croises multiplication appliquee a un classment” (MICMAC) analysis. The study proposed the transformation-based framework for IT firms in developing economies. The research aligns SDG-8 refers to productivity and decent work, SDG-9 align strengthening innovation and infrastructure capabilities, and SDG 17 emphasized consistent collaboration and stakeholder coordination. The results of the study show that there are four different levels in the ISM model, where F1 (Project Success Factors) at the topmost level in the model signifies being highly dependent, while enablers Training &amp; Education (F3), Disruptive Technology (F7) and VUCA Environment (F8) at the bottom signifies the k</w:t>
      </w:r>
    </w:p>
    <w:p>
      <w:pPr/>
      <w:r>
        <w:rPr>
          <w:b/>
        </w:rPr>
        <w:t>POSSIBLE 2026:</w:t>
      </w:r>
      <w:r>
        <w:t xml:space="preserve"> Bridging change and project management by enhancing stakeholder engagement and adaptability in digital transformation — https://doi.org/10.1108/ijmpb-08-2025-0346</w:t>
      </w:r>
    </w:p>
    <w:p>
      <w:pPr/>
      <w:r>
        <w:rPr>
          <w:b/>
        </w:rPr>
        <w:t>Shared claim-specific concepts:</w:t>
      </w:r>
      <w:r>
        <w:t xml:space="preserve"> four, project, groups; EU scope not established. This is a provisional connection, not an outcome finding.</w:t>
      </w:r>
    </w:p>
    <w:p>
      <w:pPr>
        <w:pStyle w:val="SourceNote"/>
      </w:pPr>
      <w:r>
        <w:rPr>
          <w:b/>
        </w:rPr>
        <w:t>Available abstract (not full text):</w:t>
      </w:r>
      <w:r>
        <w:t xml:space="preserve"> Purpose This article explores how digital transformation is reshaping organizations by changing stakeholder roles, organizational structures and ways of working. While both project management and change management are recognized as crucial drivers of transformation, their integration remains insufficiently theorized and empirically examined. The purpose of this study is to investigate how aligning these two disciplines can strengthen stakeholder inclusion and organizational adaptability during digital transformation. By focusing on the cultural, organizational and role-based challenges created by new technologies, the article seeks to uncover the mechanisms through which project and change management are integrated and to identify practical strategies that help organizations successfully navigate and sustain transformation in dynamic, technology-driven environments. Design/methodology/approach A single case study was employed to explore the digital transformation of tramway operations through the introduction of automatic train operation. Data collection occurred in two rounds: 25 semi-structured interviews in February 2024 and 16 interviews in November 2024. Interviews were recorded, supported by field notes. Workshops with senior management were held to validate preliminary findings and generate further insights. Data was analyzed using NVivo software, combining deductive cod</w:t>
      </w:r>
    </w:p>
    <w:p>
      <w:pPr/>
      <w:r>
        <w:rPr>
          <w:b/>
        </w:rPr>
        <w:t>POSSIBLE 2026:</w:t>
      </w:r>
      <w:r>
        <w:t xml:space="preserve"> Digital Transformation of Project Management in a Large Energy Holding Company: An Organizational and Technological Model — https://doi.org/10.12737/3033-8166-2026-2-3-10</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The article proposes an organizational and technological model for improving project management in a large diversified energy holding company, aimed at enhancing the efficiency of the corporate project management system (CPMS) under conditions of accelerated digital transformation, software import substitution, and tightening requirements for critical information infrastructure (CII) facilities. Based on an analysis of IT project management approaches at four of Russia\'s largest energy companies (PJSC Rosseti, En+ Group, PJSC Gazprom, PJSC Inter RAO), systemic limitations of current practice are identified, and a three-level improvement model is substantiated: at the organizational level – the introduction of the Digital Asset Owner (VCA) role; at the technological level – a transition to a domestic PPM platform with dual-circuit integration of the production and financialeconomic circuits; at the financial level – bank monitoring of projects using the digital ruble and smart contracts. Individual components of the model have been piloted at PJSC Inter RAO taking into account industry-specific factors and regulatory requirements.</w:t>
      </w:r>
    </w:p>
    <w:p>
      <w:pPr/>
      <w:r>
        <w:rPr>
          <w:b/>
        </w:rPr>
        <w:t>POSSIBLE 2026:</w:t>
      </w:r>
      <w:r>
        <w:t xml:space="preserve"> Final report: Project 2.4.2 Accelerating Food Transformation — https://doi.org/10.5204/eprints.264226</w:t>
      </w:r>
    </w:p>
    <w:p>
      <w:pPr/>
      <w:r>
        <w:rPr>
          <w:b/>
        </w:rPr>
        <w:t>Shared claim-specific concepts:</w:t>
      </w:r>
      <w:r>
        <w:t xml:space="preserve"> four, project, used, groups; EU scope not established. This is a provisional connection, not an outcome finding.</w:t>
      </w:r>
    </w:p>
    <w:p>
      <w:pPr>
        <w:pStyle w:val="SourceNote"/>
      </w:pPr>
      <w:r>
        <w:rPr>
          <w:b/>
        </w:rPr>
        <w:t>Available abstract (not full text):</w:t>
      </w:r>
      <w:r>
        <w:t xml:space="preserve"> "Australia faces a significant challenge in managing food waste, with approximately 2.96 million tonnes of food wasted annually in primary production and manufacturing (FIAL, 2021). In response, the concept of upcycled food – transforming surplus or waste food into new, value-added products – has emerged as a promising solution. This final report synthesises findings from a multi-phase research project aimed at accelerating food transformation through upcycling, offering insights into the regulatory, socio-technical, and consumer landscapes that shape, or may shape, the sector. Overall, the project had three key aims: 1.Advance understanding of the regulatory and socio-technical environment for upcycled food in Queensland. 2.Develop regulatory and market pathways to facilitate the upcycled food sector. 3.Provide advice to industry and government on consumer perspectives and strategies to improve acceptance of upcycled food. To achieve these aims, the project was structured into four phases: Phase 1 - literature review and stakeholder interviews, Phase 2 - regulatory analysis, Phase 3 - case studies, and Phase 4 - consumer study. Each of these phases is briefly summarised below. Phase 1: Literature review and stakeholder interviews The literature review revealed that while technical research on upcycled food is growing, there is limited social science analysis, particularly in t</w:t>
      </w:r>
    </w:p>
    <w:p>
      <w:pPr/>
      <w:r>
        <w:rPr>
          <w:b/>
        </w:rPr>
        <w:t>POSSIBLE 2026:</w:t>
      </w:r>
      <w:r>
        <w:t xml:space="preserve"> The Path to Zero-Carbon: Analyzing How Green Finance and Financial Innovation Impact Environmental Performance: Analysis of Four Asian Developing Economies — https://doi.org/10.1177/10704965261447902</w:t>
      </w:r>
    </w:p>
    <w:p>
      <w:pPr/>
      <w:r>
        <w:rPr>
          <w:b/>
        </w:rPr>
        <w:t>Shared claim-specific concepts:</w:t>
      </w:r>
      <w:r>
        <w:t xml:space="preserve"> four, energy; EU scope not established. This is a provisional connection, not an outcome finding.</w:t>
      </w:r>
    </w:p>
    <w:p>
      <w:pPr>
        <w:pStyle w:val="SourceNote"/>
      </w:pPr>
      <w:r>
        <w:rPr>
          <w:b/>
        </w:rPr>
        <w:t>Available abstract (not full text):</w:t>
      </w:r>
      <w:r>
        <w:t xml:space="preserve"> Carbon neutrality is an international agenda that must be accomplished in the framework of the COP requirements. To go beyond the metrics of traditional investment orientation, this paper explores how the output of clean energy, sustainable finance, eco-regulations, and financial innovation affects the possibility of the four developing Asian economies becoming carbon-neutral between 2010 and 2021. The study confirms the Environmental Kuznets Curve (EKC) theory, through the prism of zero-carbon objectives, using panel unit root and validates mean group tests. Results indicate that the production of clean energy on a large scale can tremendously lower the rate of carbon emissions. Moreover, eco-regulations, green finance, and financial innovation also increase national abilities to achieve zero-carbon goals, reduce the risks in the sector, and create sustainable environments. This study offers practical recommendations and abstract implications to policymakers who switch to a carbon-neutral society by pointing out the transformation of energy inputs to quantifiable clean outputs.</w:t>
      </w:r>
    </w:p>
    <w:p>
      <w:pPr/>
      <w:r>
        <w:rPr>
          <w:b/>
        </w:rPr>
        <w:t>POSSIBLE 2025:</w:t>
      </w:r>
      <w:r>
        <w:t xml:space="preserve"> Research on Critical Path and Duration Optimization of Power Transmission and Transformation Project Based on WBS-IAHP — https://doi.org/10.1109/psgai68158.2025.11413362</w:t>
      </w:r>
    </w:p>
    <w:p>
      <w:pPr/>
      <w:r>
        <w:rPr>
          <w:b/>
        </w:rPr>
        <w:t>Shared claim-specific concepts:</w:t>
      </w:r>
      <w:r>
        <w:t xml:space="preserve"> four, project, used, work; EU scope not established. This is a provisional connection, not an outcome finding.</w:t>
      </w:r>
    </w:p>
    <w:p>
      <w:pPr>
        <w:pStyle w:val="SourceNote"/>
      </w:pPr>
      <w:r>
        <w:rPr>
          <w:b/>
        </w:rPr>
        <w:t>Available abstract (not full text):</w:t>
      </w:r>
      <w:r>
        <w:t xml:space="preserve"> The critical path and reference period of power transmission and transformation project are crucial to the timely delivery of the project, which is related to resource allocation and cost control. In this paper, the Work Breakdown Structure (WBS) model is used to divide the project into four stages: the early stage of the project, the design stage of the project, the construction of the project, and the final settlement of the project, which are further divided into small work packages. Then the Improved Analytic Hierarchy Process (IAHP) model is used to weight nodes and screen nodes with long reference duration. Finally, the Delphi method is used to collect expert opinions and give reference duration to key nodes. After calculations using the aforementioned model, the reference duration for indoor substation projects is determined to be within the range of [1630, 2040] days, and for outdoor substation projects, it is within the range of [1645, 2070] days. Comparison with historical data has confirmed that the results of this study's model are essentially consistent with reality, holding significant guidance value for future power transmission and transformation projects.</w:t>
      </w:r>
    </w:p>
    <w:p>
      <w:pPr/>
      <w:r>
        <w:rPr>
          <w:b/>
        </w:rPr>
        <w:t>POSSIBLE 2025:</w:t>
      </w:r>
      <w:r>
        <w:t xml:space="preserve"> Research on Carbon Emission Accounting of Power Transmission and Transformation Projects Based on Life Cycle Approach — https://doi.org/10.1109/iceeps66790.2025.11239571</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This paper systematically studies the carbon emission accounting of power transmission and transformation projects based on the life cycle theory. Through a literature review, it summarizes the latest achievements in the accounting methods of life cycle carbon emissions of substation buildings, key links and decarbonization strategies for carbon emissions in power transmission and transformation projects, and influencing factors and optimization design of carbon emissions. Taking a 220kV power transmission and transformation project in Anhui Province as a case study, it analyzes the carbon emission characteristics of the project in four stages: building materials production and transportation, construction, operation and maintenance, and demolition and recycling. It also uses a "bottom-up" model to account for the life cycle carbon emissions of the project. The study finds that the building materials production and transportation stage and the operation and maintenance stage are the key links of carbon emissions in the power transmission and transformation project, accounting for 34.7% and 64.1%, respectively. Based on this, the paper proposes decarbonization paths such as optimizing the selection of building materials, improving equipment energy efficiency and energy-saving transformation, establishing intelligent operation and maintenance systems, and using low-carbon demolit</w:t>
      </w:r>
    </w:p>
    <w:p>
      <w:pPr>
        <w:pStyle w:val="Heading2"/>
      </w:pPr>
      <w:r>
        <w:t>797.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2026:</w:t>
      </w:r>
      <w:r>
        <w:t xml:space="preserve"> Social Media Impact on Baguio Tourism: Arrivals and Perceptions Analyzed — https://doi.org/10.47760/cognizance.2026.v06i04.010</w:t>
      </w:r>
    </w:p>
    <w:p>
      <w:pPr/>
      <w:r>
        <w:rPr>
          <w:b/>
        </w:rPr>
        <w:t>Shared claim-specific concepts:</w:t>
      </w:r>
      <w:r>
        <w:t xml:space="preserve"> real, tourism, provided; EU scope not established. This is a provisional connection, not an outcome finding.</w:t>
      </w:r>
    </w:p>
    <w:p>
      <w:pPr>
        <w:pStyle w:val="SourceNote"/>
      </w:pPr>
      <w:r>
        <w:rPr>
          <w:b/>
        </w:rPr>
        <w:t>Available abstract (not full text):</w:t>
      </w:r>
      <w:r>
        <w:t xml:space="preserve"> Social media have become a powerful influence on how travelers make decisions, shape perceptions, and choose destinations in the Philippines, particularly Baguio City. This study examined how social media platforms affect tourism by exploring how online promotions influence expectations, trust, emotional connection, and travel intentions toward the city. Anchored on the Uses and Gratifications Theory, Theory of Planned Behavior, and Expectation Confirmation Theory, the research used a qualitative descriptive approach through semi-structured interviews and observation. Fifteen tourists (15) aged eighteen (18) and above who had visited Baguio City and actively used social media for travel information were purposively selected, with data gathered at Mines View Park, the Botanical Garden, and The Mansion. Interviews were recorded, transcribed verbatim, and analyzed thematically to identify common patterns in social media use and decision-making. Findings revealed that social media strongly shapes how Baguio City is marketed and perceived, with TikTok emerging as the most influential platform due to its short, authentic, and visually engaging travel content. Facebook served as a trusted information source by offering community feedback, reviews, and travel guidance, while Instagram mainly provided visual inspiration with less impact on final decisions. Tourists showed strong trust i</w:t>
      </w:r>
    </w:p>
    <w:p>
      <w:pPr/>
      <w:r>
        <w:rPr>
          <w:b/>
        </w:rPr>
        <w:t>POSSIBLE 2026:</w:t>
      </w:r>
      <w:r>
        <w:t xml:space="preserve"> Tourism dynamics in South-East Europe: Similarities and predictability — https://doi.org/10.5937/menhottur2600007a</w:t>
      </w:r>
    </w:p>
    <w:p>
      <w:pPr/>
      <w:r>
        <w:rPr>
          <w:b/>
        </w:rPr>
        <w:t>Shared claim-specific concepts:</w:t>
      </w:r>
      <w:r>
        <w:t xml:space="preserve"> purpose, tourism, forecasts; EU scope visible. This is a provisional connection, not an outcome finding.</w:t>
      </w:r>
    </w:p>
    <w:p>
      <w:pPr>
        <w:pStyle w:val="SourceNote"/>
      </w:pPr>
      <w:r>
        <w:rPr>
          <w:b/>
        </w:rPr>
        <w:t>Available abstract (not full text):</w:t>
      </w:r>
      <w:r>
        <w:t xml:space="preserve"> Purpose - This study investigates the dynamics and common tourism patterns of selected countries in South-East Europe in the post-COVID-19 period. The main goal is to classify the countries by inter-country similarities and differences in tourist flows while assessing predictability in tourism demand across the region. Methodology - The research analyzes monthly tourist arrivals for the period 2022-2025 in Albania, Bosnia and Herzegovina, Bulgaria, Croatia, Greece, Montenegro, North Macedonia, Serbia, and Slovenia. It employs K-means and Density-Based Spatial Clustering of Applications with Noise (DBSCAN) clustering to identify time series patterns, while a Seasonal AutoRegressive Integrated Moving Average (SARIMA) panel data model provides a one-year forecast to 2026. Findings - Results reveal three groups: Cluster 0 (Albania, Bulgaria, Croatia, North Macedonia, Slovenia) with similar patterns; Cluster 1 (Bosnia and Herzegovina, Greece, Montenegro); and Serbia as an outlier. Seasonality is lowest in Serbia and highest in Albania and Bulgaria. Forecasts predict the largest growth in Albania (21%), moderate gains in Bosnia and Herzegovina, Bulgaria and Montenegro (6-8%), modest increases in Serbia and Greece (2-3%), slow growth for Croatia (1%) and stagnation for North Macedonia. Implications - This research advances the literature on regional tourism forecasting and supports po</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2025:</w:t>
      </w:r>
      <w:r>
        <w:t xml:space="preserve"> The contribution of tourism on GDP growth and sustainable tourism development in Africa — https://doi.org/10.1186/s43093-025-00532-8</w:t>
      </w:r>
    </w:p>
    <w:p>
      <w:pPr/>
      <w:r>
        <w:rPr>
          <w:b/>
        </w:rPr>
        <w:t>Shared claim-specific concepts:</w:t>
      </w:r>
      <w:r>
        <w:t xml:space="preserve"> analyze, tourism; EU scope not established. This is a provisional connection, not an outcome finding.</w:t>
      </w:r>
    </w:p>
    <w:p>
      <w:pPr>
        <w:pStyle w:val="SourceNote"/>
      </w:pPr>
      <w:r>
        <w:rPr>
          <w:b/>
        </w:rPr>
        <w:t>Available abstract (not full text):</w:t>
      </w:r>
      <w:r>
        <w:t xml:space="preserve"> Abstract Several African nations actively pursue economic diversification and sustainable development by promoting tourism. Given this, the study aims to thoroughly analyze the contribution of tourism to the GDP growth of six African Nations, specifically Egypt, Kenya, Morocco, South Africa, Tunisia, and Uganda, utilizing data from the World Bank Development Indicator spanning from 1999 to 2020. The study employed the Method of Moment Quantile Regression (MMQR) for the analysis and found that despite the prevailing assumptions of the tourism-led hypothesis and the emerging literature emphasizing the potential influence of tourism on GDP growth. The empirical findings of Westerlund’s (OBES 69:709–748, 2007) cointegration test indicate a lack of a statistically significant long-term relationship between tourism and GDP growth at 1% and 5% significance levels. However, there is an indication of a potential relationship at the 10% significance level, contingent upon the implementation of appropriate policies by the countries. Notably, this underscores the importance of promoting policies that stimulate the Keynesian multiplier effect. Additionally, the MMQR output suggests that policymakers should prioritize policies aimed at increasing Foreign Direct Investment to support the identified tendencies. This academic analysis provides valuable insights into the intricate relationship b</w:t>
      </w:r>
    </w:p>
    <w:p>
      <w:pPr/>
      <w:r>
        <w:rPr>
          <w:b/>
        </w:rPr>
        <w:t>POSSIBLE 2025:</w:t>
      </w:r>
      <w:r>
        <w:t xml:space="preserve"> Key attributes of tourism sector entrepreneurs in Southeast Europe — https://doi.org/10.5937/menhottur2500014l</w:t>
      </w:r>
    </w:p>
    <w:p>
      <w:pPr/>
      <w:r>
        <w:rPr>
          <w:b/>
        </w:rPr>
        <w:t>Shared claim-specific concepts:</w:t>
      </w:r>
      <w:r>
        <w:t xml:space="preserve"> purpose, tourism, export; EU scope visible. This is a provisional connection, not an outcome finding.</w:t>
      </w:r>
    </w:p>
    <w:p>
      <w:pPr>
        <w:pStyle w:val="SourceNote"/>
      </w:pPr>
      <w:r>
        <w:rPr>
          <w:b/>
        </w:rPr>
        <w:t>Available abstract (not full text):</w:t>
      </w:r>
      <w:r>
        <w:t xml:space="preserve"> Purpose - This study examines attributes of tourism sector entrepreneurs, identifying characteristics of individuals belonging to this entrepreneurial group in Southeast Europe. Methodology - The research is based on the GEM database from 2020, which includes Croatia, Greece and Slovenia. Binary logistic regression was performed using the SPSS software package. Findings -The findings reveal that younger individuals and those with higher incomes are more likely to engage in entrepreneurial activity within the tourism sector. Opportunity perception and entrepreneurial proactivity have the same effect, whereas necessity-driven motives are negatively related to entrepreneurial activity in the tourism sector. Entrepreneurs with lower growth expectations or those oriented toward internationalization, particularly those with higher export income, are more likely to be involved in tourism. Conversely, the use of new technologies and innovative procedures is negatively associated with entrepreneurial activity in this sector. Implications - These findings have important implications for the creation of policies that can encourage the development of tourism as a strategic sector, including targeted training of entrepreneurs and support programs that would encourage investment and innovation in tourism.</w:t>
      </w:r>
    </w:p>
    <w:p>
      <w:pPr/>
      <w:r>
        <w:rPr>
          <w:b/>
        </w:rPr>
        <w:t>POSSIBLE 2024:</w:t>
      </w:r>
      <w:r>
        <w:t xml:space="preserve"> The real estate growth hypothesis in tourism destinations — https://doi.org/10.54055/ejtr.v37i.3236</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article proposes and theoretically develops the Real Estate Growth Hypothesis concept. It empirically investigates the connection between the expansion of tourism and the progress of real estate in Calp, an established tourist hotspot situated on the Mediterranean coast of Spain. Using annual data for the period 1967-2019 and a time series methodology that considers the possible nonlinearity of the relationship, the article draws conclusions from local and long-term perspectives. The results indicate that tourism causes real estate development, but only in the case of positive shocks. In view of this result, practical implications are outlined, and suggestions are made for managing tourist destinations.</w:t>
      </w:r>
    </w:p>
    <w:p>
      <w:pPr/>
      <w:r>
        <w:rPr>
          <w:b/>
        </w:rPr>
        <w:t>POSSIBLE 2024:</w:t>
      </w:r>
      <w:r>
        <w:t xml:space="preserve"> Sustainable Cultural Tourism: Proposal for a Comparative Indicator-Based Framework in European Destinations — https://doi.org/10.3390/su16052062</w:t>
      </w:r>
    </w:p>
    <w:p>
      <w:pPr/>
      <w:r>
        <w:rPr>
          <w:b/>
        </w:rPr>
        <w:t>Shared claim-specific concepts:</w:t>
      </w:r>
      <w:r>
        <w:t xml:space="preserve"> purpose, tourism; EU scope visible. This is a provisional connection, not an outcome finding.</w:t>
      </w:r>
    </w:p>
    <w:p>
      <w:pPr>
        <w:pStyle w:val="SourceNote"/>
      </w:pPr>
      <w:r>
        <w:rPr>
          <w:b/>
        </w:rPr>
        <w:t>Available abstract (not full text):</w:t>
      </w:r>
      <w:r>
        <w:t xml:space="preserve"> Effective decision-making in tourism destinations relies significantly on employing suitable indicators for policy design and impact evaluation. However, the adoption of sustainability-focused indicators remains constrained in the field of cultural tourism. The purpose of this research is to provide decision-makers with an extensive array of criteria and indicators, enabling informed decision-making, policy formulation, and impact assessment tailored to the distinctive attributes encountered in European destinations. Based on the synthesis of existing approaches, and in co-creation with 21 European tourism destinations, an indicator-based framework is proposed, structured around the environmental, economic, social, cultural, resilience, and characterization domains. The results are particularly novel in the resilience and cultural domains, related to the recovery from crisis impacts, but also to the enhancement of digital approaches, as well as the preservation and promotion of cultural heritage towards a more hospitable destination. Moreover, the involvement of stakeholders incorporating real-case scenarios allows this research to bridge the gap between theoretical constructs and practical application. The indicator-based framework resulting from this research will provide stakeholders with assistance in assessing and comparing the impacts of cultural tourism on their destinat</w:t>
      </w:r>
    </w:p>
    <w:p>
      <w:pPr/>
      <w:r>
        <w:rPr>
          <w:b/>
        </w:rPr>
        <w:t>POSSIBLE 2024:</w:t>
      </w:r>
      <w:r>
        <w:t xml:space="preserve"> Leveraging Local Value in a Post-Smart Tourism Village to Encourage Sustainable Tourism — https://doi.org/10.3390/su16020873</w:t>
      </w:r>
    </w:p>
    <w:p>
      <w:pPr/>
      <w:r>
        <w:rPr>
          <w:b/>
        </w:rPr>
        <w:t>Shared claim-specific concepts:</w:t>
      </w:r>
      <w:r>
        <w:t xml:space="preserve"> tourism, expert, economy; EU scope not established. This is a provisional connection, not an outcome finding.</w:t>
      </w:r>
    </w:p>
    <w:p>
      <w:pPr>
        <w:pStyle w:val="SourceNote"/>
      </w:pPr>
      <w:r>
        <w:rPr>
          <w:b/>
        </w:rPr>
        <w:t>Available abstract (not full text):</w:t>
      </w:r>
      <w:r>
        <w:t xml:space="preserve"> ICT and digital technology adoption, sustainable development, community empowerment and local wisdom and destinations uniqueness are keywords that will be further explored in the de-velopment of tourism villages in Kenderan as the most importance of tourism destinations de-velopment from the village level. Therefor this research is aimed at developing suitable model for post smart or wise tourism village through proposing Culture and Tradition Festival and the application of a circular economy. Circular economy development in tourism villages focuses on the application of sustainable production principles in the tourism value chain, namely in creating tourism experiences together with tourists (co-creation of experience) and integrated in a tourism system that supports environmental sustainability. This research is applied research conducted with a sequential mixed method research by conducting qualitative research through expert judgment and quantitative research by circulating questionnaire to tourists visiting Kenderan village, while the collected data is analyzed by Structural Equation Modelling to see the rela-tionship between variables. The results of this research show that creative event as the locality aspects of tourist village, digital competence, and sustainability practice are the building blocks of post smart tourism village, while digital competence and sustainab</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pStyle w:val="Heading2"/>
      </w:pPr>
      <w:r>
        <w:t>798.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2026:</w:t>
      </w:r>
      <w:r>
        <w:t xml:space="preserve"> Fossil-Fuels in a Decarbonized Country? Modeling the Drivers of Icelandic Oil Sales — https://openalex.org/W7164702191</w:t>
      </w:r>
    </w:p>
    <w:p>
      <w:pPr/>
      <w:r>
        <w:rPr>
          <w:b/>
        </w:rPr>
        <w:t>Shared claim-specific concepts:</w:t>
      </w:r>
      <w:r>
        <w:t xml:space="preserve"> decarbonizing, transportation, necessary, energy, two, one; EU scope not established. This is a provisional connection, not an outcome finding.</w:t>
      </w:r>
    </w:p>
    <w:p>
      <w:pPr>
        <w:pStyle w:val="SourceNote"/>
      </w:pPr>
      <w:r>
        <w:rPr>
          <w:b/>
        </w:rPr>
        <w:t>Available abstract (not full text):</w:t>
      </w:r>
      <w:r>
        <w:t xml:space="preserve"> Although 100% of Iceland’s electricity comes from renewable energy sources, it still relies on fossil fuels for land transportation, marine transportation, aviation, and some industry. Understanding geographic nuances in oil use is critical to achieving Iceland’s goals of carbon neutrality by 2040. As the island has one primary urban center with two thirds of the population, information is lacking about oil use in non-Capital areas and a gap between state and municipal climate plans. Using newly available data of oil sales at the municipality-level in a Small Area Estimation model, we analyze drivers of oil sales across Icelandic municipalities. We find municipal income and the use category of the oil sale to be significant predictors of high oil sales. High unstructured spatial variability in the model suggests that local climate action plans are necessary to address municipality-specific energy needs and transition barriers. As other countries focus their efforts on renewable electricity grids, Iceland presents useful lessons about persistent barriers to decarbonizing the land and marine transportation sectors.</w:t>
      </w:r>
    </w:p>
    <w:p>
      <w:pPr/>
      <w:r>
        <w:rPr>
          <w:b/>
        </w:rPr>
        <w:t>POSSIBLE 2026:</w:t>
      </w:r>
      <w:r>
        <w:t xml:space="preserve"> Decarbonizing forest machinery of wood harvesting in Finland — https://doi.org/10.14214/df.388</w:t>
      </w:r>
    </w:p>
    <w:p>
      <w:pPr/>
      <w:r>
        <w:rPr>
          <w:b/>
        </w:rPr>
        <w:t>Shared claim-specific concepts:</w:t>
      </w:r>
      <w:r>
        <w:t xml:space="preserve"> decarbonizing, greenhouse, gas, ghg, emissions, high; EU scope visible. This is a provisional connection, not an outcome finding.</w:t>
      </w:r>
    </w:p>
    <w:p>
      <w:pPr>
        <w:pStyle w:val="SourceNote"/>
      </w:pPr>
      <w:r>
        <w:rPr>
          <w:b/>
        </w:rPr>
        <w:t>Available abstract (not full text):</w:t>
      </w:r>
      <w:r>
        <w:t xml:space="preserve"> Reducing greenhouse gas (GHG) emissions from wood harvesting remains a significant chal-lenge. This dissertation evaluates the impact of alternative powertrains and idling times on reducing emissions and thus, decarbonization of the machinery of Finnish wood harvesting. The first study examined the potential of alternative powertrains in non-road mobile ma-chinery (NRMM). The results highlighted that hybrid and full-electric technologies have the greatest potential to replace conventional diesel engines in the future. The main challenges identified were battery reliability and high technology costs. Regarding biofuel, biogas, and hydrogen, the benefits were mainly lower emissions while the challenges were high costs and low production rates currently. The highest Technology Readiness Levels (TRLs) were iden-tified for hybrid and full-electric solutions. The TRL assessment for full-electric, biogas, and hydrogen solutions in forest machinery was precluded due to the absence of adequate re-search information. The second study used survey data to depict the visions of Finnish logging (Loggers) and timber-hauling (Timber-haulers) entrepreneurs regarding the idle times of their forest ma-chinery and timber trucks. The study revealed that only a quarter of the loggers and half of the timber-haulers were aware of the idle times of their fleets. The results also indicated that the entr</w:t>
      </w:r>
    </w:p>
    <w:p>
      <w:pPr/>
      <w:r>
        <w:rPr>
          <w:b/>
        </w:rPr>
        <w:t>POSSIBLE 2026:</w:t>
      </w:r>
      <w:r>
        <w:t xml:space="preserve"> Research on the applicability of alternative decarbonization methods for cruise ships — https://doi.org/10.63662/dissertations/petrova-2025</w:t>
      </w:r>
    </w:p>
    <w:p>
      <w:pPr/>
      <w:r>
        <w:rPr>
          <w:b/>
        </w:rPr>
        <w:t>Shared claim-specific concepts:</w:t>
      </w:r>
      <w:r>
        <w:t xml:space="preserve"> sector, gas, emissions, energy; EU scope visible. This is a provisional connection, not an outcome finding.</w:t>
      </w:r>
    </w:p>
    <w:p>
      <w:pPr>
        <w:pStyle w:val="SourceNote"/>
      </w:pPr>
      <w:r>
        <w:rPr>
          <w:b/>
        </w:rPr>
        <w:t>Available abstract (not full text):</w:t>
      </w:r>
      <w:r>
        <w:t xml:space="preserve"> The dissertation examines technologies and approaches for decarbonization in maritime transport, with a focus on cruise vessels. The aim is to assess the effectiveness of the solutions applied to reduce emissions and to propose guidelines for a sustainable energy transition in the sector. International and European regulations (IMO, Fit for 55) and key technologies such as fuel cells, carbon capture, air lubrication, shore power, and alternative fuels - hydrogen, ammonia, methanol, and biofuels - are analyzed. The experimental part uses data from the cruise ships Carnival Vista and AIDAprima. The results show that exhaust gas cleaning systems and additional energy-efficient solutions significantly reduce harmful emissions and help achieve the objectives of MARPOL Annex VI.</w:t>
      </w:r>
    </w:p>
    <w:p>
      <w:pPr/>
      <w:r>
        <w:rPr>
          <w:b/>
        </w:rPr>
        <w:t>POSSIBLE 2026:</w:t>
      </w:r>
      <w:r>
        <w:t xml:space="preserve"> Foundations of Maritime Decarbonization — https://doi.org/10.58830/ozgur.pub1212</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On track but too slow? The dynamics of EU decarbonization — https://doi.org/10.1016/j.jclepro.2026.149232</w:t>
      </w:r>
    </w:p>
    <w:p>
      <w:pPr/>
      <w:r>
        <w:rPr>
          <w:b/>
        </w:rPr>
        <w:t>Shared claim-specific concepts:</w:t>
      </w:r>
      <w:r>
        <w:t xml:space="preserve"> emissions, energy, system, within; EU scope visible. This is a provisional connection, not an outcome finding.</w:t>
      </w:r>
    </w:p>
    <w:p>
      <w:pPr>
        <w:pStyle w:val="SourceNote"/>
      </w:pPr>
      <w:r>
        <w:rPr>
          <w:b/>
        </w:rPr>
        <w:t>Available abstract (not full text):</w:t>
      </w:r>
      <w:r>
        <w:t xml:space="preserve"> Despite the strong commitment of European countries to achieve net-zero emissions by 2050, the extent to which key policies and drivers jointly shape emissions dynamics remains insufficiently investigated. The study suggests that the interaction among circular economy, energy transition, emissions trading systems, carbon tax, and digitalization policies creates structural constraints on CO 2 emissions in the European countries. Using annual data from 2000 to 2023, the analysis integrates exploratory causal discovery, time-varying dependence modeling, and machine learning methods to unravel system-level causal structure, dynamic connectedness, and future emission trajectories. The results indicate that resource productivity emerges as a central transmission channel within the system, linking upstream factors (material footprint) and digitalization to downstream emission outcomes. Lagged disequilibrium shocks propagate through resource use as a mediating channel. Time-varying copula models indicate significant heterogeneity and evolving dependence among key factors, highlighting the dynamic nature of policy and relationships over time. Forecasting results, based on a Support Vector Regression model under the European Union's 2030 climate policy framework, indicate a persistently declining emission trajectory, but at a pace insufficient to meet the EU's 2030 target. Sensitivity an</w:t>
      </w:r>
    </w:p>
    <w:p>
      <w:pPr>
        <w:pStyle w:val="Heading2"/>
      </w:pPr>
      <w:r>
        <w:t>799.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2026:</w:t>
      </w:r>
      <w:r>
        <w:t xml:space="preserve"> Research on the Impact of Artificial Intelligence Penetration Rate on the Innovation Performance of State-owned Enterprises — https://doi.org/10.2991/978-94-6239-774-3_20</w:t>
      </w:r>
    </w:p>
    <w:p>
      <w:pPr/>
      <w:r>
        <w:rPr>
          <w:b/>
        </w:rPr>
        <w:t>Shared claim-specific concepts:</w:t>
      </w:r>
      <w:r>
        <w:t xml:space="preserve"> penetration, between; EU scope not established. This is a provisional connection, not an outcome finding.</w:t>
      </w:r>
    </w:p>
    <w:p>
      <w:pPr>
        <w:pStyle w:val="SourceNote"/>
      </w:pPr>
      <w:r>
        <w:rPr>
          <w:b/>
        </w:rPr>
        <w:t>Available abstract (not full text):</w:t>
      </w:r>
      <w:r>
        <w:t xml:space="preserve"> Using data on China's state-owned A-share listed firms from 2013 to 2023, this study examines how AI penetration affects innovation performance.A two-way fixed-effects model is employed, with invention patent applications as the dependent variable and AI word frequency (via Python text recognition) as the core independent variable, alongside controls such as asset size and leverage.Results show that AI penetration in SOEs has risen steadily, with notable industry-level performance.Correlation and regression analyses reveal a significant positive relationship between AI adoption and technological innovation, which remains robust after controlling for other factors.These findings enrich innovation theory and offer practical guidance for SOEs in formulating AI strategies and for policymakers promoting high-quality economic development.</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penetration, expected, vary, between;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2025:</w:t>
      </w:r>
      <w:r>
        <w:t xml:space="preserve"> Influence of Different Protocols on In‐Office Bleaching: Whiteness Difference and Hydrogen Peroxide Penetration — https://doi.org/10.1111/jerd.13501</w:t>
      </w:r>
    </w:p>
    <w:p>
      <w:pPr/>
      <w:r>
        <w:rPr>
          <w:b/>
        </w:rPr>
        <w:t>Shared claim-specific concepts:</w:t>
      </w:r>
      <w:r>
        <w:t xml:space="preserve"> penetration, among, different, between; EU scope not established. This is a provisional connection, not an outcome finding.</w:t>
      </w:r>
    </w:p>
    <w:p>
      <w:pPr>
        <w:pStyle w:val="SourceNote"/>
      </w:pPr>
      <w:r>
        <w:rPr>
          <w:b/>
        </w:rPr>
        <w:t>Available abstract (not full text):</w:t>
      </w:r>
      <w:r>
        <w:t xml:space="preserve"> ABSTRACT Objectives To evaluate whiteness difference (WID) and hydrogen peroxide (HP) penetration into the pulp chamber in extracted teeth subjected to various in‐office application protocols. Materials and Methods A total of 154 human premolars were randomly assigned to 11 groups (n = 14). The groups were divided into: Pola Office+ and Pola Rapid (SDI), and the following protocols: three applications of 8 min (3 × 8), two applications of 8 min (2 × 8), one application of 8 min (1 × 8), one application of 16 min (1 × 16), and one application of 24 min (1 × 24). These protocols were selected based on manufacturer recommendations and the aim of exploring simplified and alternative approaches applicable to clinical practice. One group served as a negative control. WID was assessed using a digital spectrophotometer before and after two sessions. HP concentration in the pulp chamber was measured using UV–Vis spectrophotometry. ANOVA two‐way and Tukey's and Dunnett's tests were used for data analysis. Results Significant WID were observed after two sessions, with greater changes in the 2 × 8, 3 × 8, and 1 × 24 protocols (p &lt; 0.001). Lower levels of peroxide penetration were found with shorter application, such as the 1 × 8 protocol, while higher levels were detected in the 3 × 8 protocol (p &lt; 0.0001). Conclusion Among the evaluated protocols, the 2 × 8‐min and 1 × 24‐min applications</w:t>
      </w:r>
    </w:p>
    <w:p>
      <w:pPr/>
      <w:r>
        <w:rPr>
          <w:b/>
        </w:rPr>
        <w:t>POSSIBLE 2025:</w:t>
      </w:r>
      <w:r>
        <w:t xml:space="preserve"> Data-driven prediction of rate of penetration (ROP) in drilling operations using advanced machine learning models — https://doi.org/10.1007/s13202-025-02018-3</w:t>
      </w:r>
    </w:p>
    <w:p>
      <w:pPr/>
      <w:r>
        <w:rPr>
          <w:b/>
        </w:rPr>
        <w:t>Shared claim-specific concepts:</w:t>
      </w:r>
      <w:r>
        <w:t xml:space="preserve"> penetration, among, potential, implications; EU scope not established. This is a provisional connection, not an outcome finding.</w:t>
      </w:r>
    </w:p>
    <w:p>
      <w:pPr>
        <w:pStyle w:val="SourceNote"/>
      </w:pPr>
      <w:r>
        <w:rPr>
          <w:b/>
        </w:rPr>
        <w:t>Available abstract (not full text):</w:t>
      </w:r>
      <w:r>
        <w:t xml:space="preserve"> Predicting the rate of penetration (ROP) is critical for optimizing drilling performance, yet it remains a complex task due to the interplay of multiple geological and operational parameters. This study comprehensively evaluates machine learning models, utilizing a real-time, high-resolution dataset from drilling operations in southeast Iraq. Among the models tested, the Random Forest algorithm demonstrated outstanding performance, achieving an R 2 of 0.955, a Mean Squared Error (MSE) of 0.119, and an Average Absolute Relative Error (AARE%) of 7.683, highlighting its reliability and robustness in predicting ROP. Sensitivity analysis and SHAP (Shapley Additive Explanations) also identified fracture pressure, kinematic viscosity, and rotary speed (RPM) as the most influential parameters affecting ROP. While alternative methods like Decision Tree and AdaBoost showed signs of overfitting, the results emphasize the Random Forest model’s superiority in balancing accuracy and generalizability. This research underscores the potential of advanced machine learning techniques in enhancing drilling performance, offering significant implications for real-world applications.</w:t>
      </w:r>
    </w:p>
    <w:p>
      <w:pPr>
        <w:pStyle w:val="Heading2"/>
      </w:pPr>
      <w:r>
        <w:t>800.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2026:</w:t>
      </w:r>
      <w:r>
        <w:t xml:space="preserve"> Increasing land take in Europe’s land-water interface — https://doi.org/10.32942/x2j946</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Ecosystems at the interface between terrestrial and aquatic areas are of outstanding ecological and socio-economic importance, yet are under intense pressure due to the concentration of human settlement and agriculture. Despite this, the broader geography of the land-water interface and how it is changing remains poorly understood. Here, we develop an operationalizable definition of the land-water interface and use a fuzzy logic geospatial model to map the land-water interface at high resolution across the European continent. Our results show that the land-water interface covers ~0.87 million km² (~8% of Europe) but is strongly affected by human use: in 2020, about 15% of all built-up areas and more than 8% of all croplands lay within the land-water interface. Analyzing land-cover trends inside the land-water interface since 1992 showed increasing land take: built-up area more than doubled (from 13,752 km² to 29,302 km²), driven primarily by cropland-to-urban conversion. The expansion and densification of built-up areas occurred particularly in lowland river corridors, deltas, and coastal plains. Cropland decline was particularly widespread across Central and Eastern Europe, while cropland expansion occurred in land-water interface regions in northern Europe. Across interface types, the lake land-water interface exhibited the strongest relative increase in built-up areas (&gt;150%</w:t>
      </w:r>
    </w:p>
    <w:p>
      <w:pPr/>
      <w:r>
        <w:rPr>
          <w:b/>
        </w:rPr>
        <w:t>POSSIBLE 2026:</w:t>
      </w:r>
      <w:r>
        <w:t xml:space="preserve"> Wine Competitiveness as a Main Permanent Land Use Production: A Comparison Between Countries of the Southern EU Region — https://doi.org/10.3390/agriculture16121317</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Viticulture and wine production uses approximately 30% of the land occupied with permanent crops in the EU. In countries in the southern part of the EU, this share is even higher, reaching up to about 80% in France and 55% in Romania. In recent years, the development of grape and wine production has been under pressure from climate and market changes. Competitiveness and value creation capacity are among the key factors in the sustainability of national production and the viability of wine regions. This study examines wine production competitiveness in the countries of the southern EU region within the European Single Market, comparing Bulgaria with leading producers—France, Italy, and Spain—and neighboring Romania. A set of production and trade indicators was applied, and the overall assessment was derived through a composite competitiveness index that simultaneously captures market performance and value creation potential. The results indicate a high level of competitiveness in the three leading European wine-producing countries, albeit with differences in the realization of their value creation potential. Bulgaria and Romania exhibit relatively low levels of competitive positioning, which could be improved through investments in technology and innovation, the implementation of collective marketing strategies, and the development of a national sectoral brand.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Urban Development and Land Use/Land Cover Changes in the European Borderlands of Nice and Monaco — https://doi.org/10.20900/jsr20250053</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Urban development in European cross-border regions significantly influences LULC changes, affecting environmental sustainability and regional planning. This study focuses on the France–Monaco borderlands, including the cities of Nice and Monaco, to analyze these dynamics between 2000 and 2018. Using the CLC dataset and GIS tools, we conducted a spatiotemporal analysis of LULC changes. Post-classification change detection and the AUEII were applied to quantify urban expansion and land conversion patterns. The built-up area in the study region expanded by approximately 28 km² over 18 years, with an average annual increase of more than 1.5 km². At the same time, natural and semi-natural areas, including forests and agricultural land, declined by approximately 11 km², reflecting a significant transformation of the landscape. Urban expansion accelerated notably after 2012, especially along major transportation corridors and coastal zones. Wetlands and water bodies remained relatively stable during this period. Rapid urbanization in the Nice–Monaco cross-border territory has led to substantial LULC changes, with implications for environmental sustainability and regional development. These findings underscore the need for integrated land management strategies that balance urban growth with conservation efforts, particularly in ecologically sensitive areas that span multiple borders. C</w:t>
      </w:r>
    </w:p>
    <w:p>
      <w:pPr/>
      <w:r>
        <w:rPr>
          <w:b/>
        </w:rPr>
        <w:t>POSSIBLE 2025:</w:t>
      </w:r>
      <w:r>
        <w:t xml:space="preserve"> Territories of commons: a review of common land organizations and institutions in the European Alps — https://doi.org/10.1088/1748-9326/add1f4</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Common land organizations and institutions (hereinafter: CLOIs) have been extensively studied worldwide. However, the extent of the European ones is relatively unknown, despite studies and evidence of their long existence. This is the first comparative study on the CLOIs at a European regional scale. This study focuses on the Alps as defined by the Alpine Convention, and presents the first comprehensive review of data, and status of CLOIs across and within 6 alpine countries: Austria, France, Germany, Italy, Slovenia, and Switzerland. The aim is to assess (i) their historical evolution, (ii) their institutional arrangements and governance characteristics, and (iii) their numbers, surface, and land uses. To carry out this analysis, we used secondary data from official statistics, surveys, scientific and grey literature, legislation, and bylaws for each country and each region. The results show that CLOIs emerged in the Middle Ages and went through key changes in the 19th century, primarily due to Napoleon’s influence in reorganising public administration structures, and post-World War II centralization processes, especially in eastern European countries. In total, we accounted for between 5785 and 11 063 CLOIs, distributed across 32 types in the 6 countries; among which, CLOIs with full property rights and membership based on farmstead ownership are the most frequent. T</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2024:</w:t>
      </w:r>
      <w:r>
        <w:t xml:space="preserve"> Accuracy Assessment and Comparison of National, European and Global Land Use Land Cover Maps at the National Scale—Case Study: Portugal — https://doi.org/10.3390/rs16091504</w:t>
      </w:r>
    </w:p>
    <w:p>
      <w:pPr/>
      <w:r>
        <w:rPr>
          <w:b/>
        </w:rPr>
        <w:t>Shared claim-specific concepts:</w:t>
      </w:r>
      <w:r>
        <w:t xml:space="preserve"> range, land, use; EU scope visible. This is a provisional connection, not an outcome finding.</w:t>
      </w:r>
    </w:p>
    <w:p>
      <w:pPr>
        <w:pStyle w:val="SourceNote"/>
      </w:pPr>
      <w:r>
        <w:rPr>
          <w:b/>
        </w:rPr>
        <w:t>Available abstract (not full text):</w:t>
      </w:r>
      <w:r>
        <w:t xml:space="preserve"> The free availability of Sentinel-1 and 2 imageries enables the production of high resolution (10 m) global Land Use Land Cover (LULC) maps by a wide range of institutions, which often make them publicly available. This raises several issues: Which map should be used for each type of application? How accurate are these maps? What is the level of agreement between them? This motivated us to assess the thematic accuracy of six LULC maps for continental Portugal with 10 m spatial resolution with reference dates between 2017 and 2020, using the same method and the same reference database, in a bid to make the results comparable. The overall accuracy and the per class user’s and producer’s accuracy are compared with the ones reported by the map producers, at the national, European, or global level, according to their availability. The nomenclatures of the several maps were then analyzed and compared to generate a harmonized nomenclature to which all maps were converted into. The harmonized products were compared directly with a visual analysis and the proportion of regions equally classified was computed, as well as the area assigned per product to each class. The accuracy of these harmonized maps was also assessed considering the previously used reference database. The results show that there are significant differences in the overall accuracy of the original products, varying betw</w:t>
      </w:r>
    </w:p>
    <w:p>
      <w:pPr>
        <w:pStyle w:val="Heading2"/>
      </w:pPr>
      <w:r>
        <w:t>801.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2025:</w:t>
      </w:r>
      <w:r>
        <w:t xml:space="preserve"> Evaluating Energy Transition Winners and Losers: Are Algae Biofuels Desirable, Feasible, and Viable? — https://doi.org/10.26076/1de1-5a58</w:t>
      </w:r>
    </w:p>
    <w:p>
      <w:pPr/>
      <w:r>
        <w:rPr>
          <w:b/>
        </w:rPr>
        <w:t>Shared claim-specific concepts:</w:t>
      </w:r>
      <w:r>
        <w:t xml:space="preserve"> strengths, develops, desirable; EU scope not established. This is a provisional connection, not an outcome finding.</w:t>
      </w:r>
    </w:p>
    <w:p>
      <w:pPr>
        <w:pStyle w:val="SourceNote"/>
      </w:pPr>
      <w:r>
        <w:rPr>
          <w:b/>
        </w:rPr>
        <w:t>Available abstract (not full text):</w:t>
      </w:r>
      <w:r>
        <w:t xml:space="preserve"> Climate change, environmental degradation, finite resources, and the uneven distribution of energy access all points to an urgent need for a global energy transition. But making that transition responsibly requires more than enthusiasm for “green” solutions—it demands careful evaluation of which energy sources are truly worth investing in. This dissertation develops a practical decision-making framework to help policymakers, scientists, and the public answer three foundational questions about any new energy technology: Is it desirable? Is it feasible? Is it viable? By systematically weighing public narratives, biophysical constraints, and patterns of innovation, the framework aims to prevent wasted time, funding, and political will on options that cannot ultimately deliver. To demonstrate how the framework works in practice, this study applies it to a real-world example: algal biofuels. Once promoted as a revolutionary clean energy solution, algae promised the ability to grow fuel on non-arable land using wastewater, with rapid reproduction and high yields. However, despite more than 50 years of research, algae biofuels have struggled to prove themselves in energy returns, cost efficiency, and scalable production. This project combines media discourse analysis, energy return on investment (EROEI) data, and patent analysis to evaluate algal biofuels through the lens of desirabil</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802.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2026:</w:t>
      </w:r>
      <w:r>
        <w:t xml:space="preserve"> Cognitively healthy life expectancy of older women and men in India — https://doi.org/10.1016/j.ssmph.2026.101981</w:t>
      </w:r>
    </w:p>
    <w:p>
      <w:pPr/>
      <w:r>
        <w:rPr>
          <w:b/>
        </w:rPr>
        <w:t>Shared claim-specific concepts:</w:t>
      </w:r>
      <w:r>
        <w:t xml:space="preserve"> life, expectancy, men, country; EU scope not established. This is a provisional connection, not an outcome finding.</w:t>
      </w:r>
    </w:p>
    <w:p>
      <w:pPr>
        <w:pStyle w:val="SourceNote"/>
      </w:pPr>
      <w:r>
        <w:rPr>
          <w:b/>
        </w:rPr>
        <w:t>Available abstract (not full text):</w:t>
      </w:r>
      <w:r>
        <w:t xml:space="preserve"> Rapid population aging and increasing life expectancy in India, the most populous country in the world, raise questions about the quality of these added years for older adults. Cognitive impairment, in particular, is a growing public health concern in India. We estimated cognitively healthy life expectancy (CHLE) and life expectancy with mild cognitive impairment and dementia at age 60 and 70 years using life tables from the Sample Registration System and Demographic and Health Surveys, linked with cognitive health data from the Longitudinal Aging Study in India - Diagnostic Assessment of Dementia (LASI-DAD; 2017-2019). Analyses were stratified by gender, rural-urban residence, and social group (Scheduled Caste or Scheduled Tribe [SC/ST], Other Backward Classes, and high caste). Conditional on surviving to age 60, CHLE for women was only 0.86 years higher than for men. Larger differences in CHLE between groups emerge when examined by place of residence and social group. Compared to their urban counterparts, rural women and men had 2.2 and 3.1 fewer years of CHLE, respectively. In relative terms, rural women spent 4 percentage points less of their remaining life cognitively healthy, while rural men spent 8 percentage points less. By social group, SC/ST women and men lived 3.7 and 5.3 fewer cognitively healthy years than high-caste women and men, respectively, or 5 and 12 percent</w:t>
      </w:r>
    </w:p>
    <w:p>
      <w:pPr/>
      <w:r>
        <w:rPr>
          <w:b/>
        </w:rPr>
        <w:t>POSSIBLE 2026:</w:t>
      </w:r>
      <w:r>
        <w:t xml:space="preserve"> Centering working-class women’s knowledge: a feminist geography of lone-motherhood over life-course in Scotland’s urban peripheries — https://doi.org/10.1080/0966369x.2026.2695995</w:t>
      </w:r>
    </w:p>
    <w:p>
      <w:pPr/>
      <w:r>
        <w:rPr>
          <w:b/>
        </w:rPr>
        <w:t>Shared claim-specific concepts:</w:t>
      </w:r>
      <w:r>
        <w:t xml:space="preserve"> female, life, over, men, increase; EU scope visible. This is a provisional connection, not an outcome finding.</w:t>
      </w:r>
    </w:p>
    <w:p>
      <w:pPr>
        <w:pStyle w:val="SourceNote"/>
      </w:pPr>
      <w:r>
        <w:rPr>
          <w:b/>
        </w:rPr>
        <w:t>Available abstract (not full text):</w:t>
      </w:r>
      <w:r>
        <w:t xml:space="preserve"> Easterhouse in Glasgow is amongst the most persistently deprived housing-estates in Europe. During the 1980s it saw a threefold increase in lone-mother households. This dissertation explores lone-mothers’ experiences of poverty in Easterhouse between 1980 and 2021, investigating their use of female social networks to ‘get by’ and ‘get on’ through the challenges associated with gender, place, poverty, and lone-motherhood. The research comprised thirty semi-structured repeat interviews, assisted by photo-elicitation, capturing the adult life-course experiences of ten lone-mothers in Easterhouse since the 1980s. Interview transcripts were analysed in NVivo using thematic-methods to connect women’s accounts with key themes of social and economic change over time. The research found unexpectedly that all participants had entered lone-motherhood as a result of abuse by men. Localised female social networks provided important instrumental, emotional, and financial support during the transition to lone-motherhood and into mid-life-course, which allowed lone-mothers to ‘get by’. Yet female networks could often hinder women’s efforts to ‘get on’. In later life, participants remained almost solely reliant on female networks, which took on a new cathartic role in helping women navigate the emotional damage of lives characterised by persistent trauma. The study illuminates hidden histories </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2025:</w:t>
      </w:r>
      <w:r>
        <w:t xml:space="preserve"> European female captives in Algiers, 1700-1809 — https://openalex.org/W7214837963</w:t>
      </w:r>
    </w:p>
    <w:p>
      <w:pPr/>
      <w:r>
        <w:rPr>
          <w:b/>
        </w:rPr>
        <w:t>Shared claim-specific concepts:</w:t>
      </w:r>
      <w:r>
        <w:t xml:space="preserve"> female, men, male; EU scope visible. This is a provisional connection, not an outcome finding.</w:t>
      </w:r>
    </w:p>
    <w:p>
      <w:pPr>
        <w:pStyle w:val="SourceNote"/>
      </w:pPr>
      <w:r>
        <w:rPr>
          <w:b/>
        </w:rPr>
        <w:t>Available abstract (not full text):</w:t>
      </w:r>
      <w:r>
        <w:t xml:space="preserve"> This study aims to shed light on a topic that few studies have addressed in Algeria, particularly since most studies have addressed the issue of captives in a general manner. Many focused on male captives due to material availability on the subject. The personal memoirs of male captives were sufficient to cover the topic, unlike those of female captives, which were very few compared to those left by men. "between 1577 and 1704, historians counted 23 English captives who wrote about their captivity in North Africa," while only eight memoirs of female captives in North Africa were written in English during the Ottoman era, some of which were translated from other European languages. We believe that the topic of female captives has not received sufficient attention in Arab university curricula. Even studies in foreign languages have yet to significantly focus on the situation of Christian female captives in North Africa. Exceptions include a study by a Tunisian researcher published in French on "the condition of European female captives in Tunisia at the End of the 18th Century" and a study by Moroccan researcher Khalid El-Bekkoui titled "Female captives in North Africa..." in English. Research in this field still needs to be explored and requires further exploration</w:t>
      </w:r>
    </w:p>
    <w:p>
      <w:pPr/>
      <w:r>
        <w:rPr>
          <w:b/>
        </w:rPr>
        <w:t>POSSIBLE 2025:</w:t>
      </w:r>
      <w:r>
        <w:t xml:space="preserve"> Gender and Internal Geographical Mobility in Europe: A Comparative Analysis of Family and Employment Over the Life Course — https://doi.org/10.1007/s10680-025-09763-5</w:t>
      </w:r>
    </w:p>
    <w:p>
      <w:pPr/>
      <w:r>
        <w:rPr>
          <w:b/>
        </w:rPr>
        <w:t>Shared claim-specific concepts:</w:t>
      </w:r>
      <w:r>
        <w:t xml:space="preserve"> life, over, men, increase, france; EU scope visible. This is a provisional connection, not an outcome finding.</w:t>
      </w:r>
    </w:p>
    <w:p>
      <w:pPr>
        <w:pStyle w:val="SourceNote"/>
      </w:pPr>
      <w:r>
        <w:rPr>
          <w:b/>
        </w:rPr>
        <w:t>Available abstract (not full text):</w:t>
      </w:r>
      <w:r>
        <w:t xml:space="preserve"> This article presents an investigation into the gendered outcomes of inter-regional moves in six European countries, adopting a life-course perspective. Analyses are based on retrospective data from SHARELIFE for birth cohorts from the 1930s to 1960s in France, Germany, Italy, Poland, Spain, and Sweden. Linear probability panel models with fixed effects are used to examine the association between inter-regional migration and employment status over time, while assessing whether it differs by gender and family status. Results show that men experience improved employment probabilities following migration, regardless of their family status, and that these outcomes are consistent across countries. Moreover, the likelihood of employment for men continues to gradually increase several years after the move. In contrast, inter-regional mobility favours single women more than partnered women, especially mothers. Results, however, do not confirm a pattern of continued disadvantages, as mobility does not further reduce the employment prospects of mothers over time. The largest differences in the association between geographical mobility and employment between single women and mothers are observed in Mediterranean countries, while in more egalitarian countries like Sweden these differences are comparatively small.</w:t>
      </w:r>
    </w:p>
    <w:p>
      <w:pPr/>
      <w:r>
        <w:rPr>
          <w:b/>
        </w:rPr>
        <w:t>POSSIBLE 2025:</w:t>
      </w:r>
      <w:r>
        <w:t xml:space="preserve"> Alcohol and life expectancy — https://doi.org/10.1265/ehpm.25-00101</w:t>
      </w:r>
    </w:p>
    <w:p>
      <w:pPr/>
      <w:r>
        <w:rPr>
          <w:b/>
        </w:rPr>
        <w:t>Shared claim-specific concepts:</w:t>
      </w:r>
      <w:r>
        <w:t xml:space="preserve"> life, expectancy, over, men, likely; EU scope not established. This is a provisional connection, not an outcome finding.</w:t>
      </w:r>
    </w:p>
    <w:p>
      <w:pPr>
        <w:pStyle w:val="SourceNote"/>
      </w:pPr>
      <w:r>
        <w:rPr>
          <w:b/>
        </w:rPr>
        <w:t>Available abstract (not full text):</w:t>
      </w:r>
      <w:r>
        <w:t xml:space="preserve"> The recent three leading risk factors for global disease burden in the world are, in descending order, high blood pressure, tobacco smoking including second-hand smoke, and alcohol use. Alcohol use increases the risk for many acute and chronic health consequences including cancer, road injury and suicide as well as alcohol use disorder. It is known that there is a U- or J-shaped relationship between alcohol consumption and all-cause mortality. The descending leg of the curve showing this relationship is best explained by a decrease in the risk of cardiovascular disease, especially ischemic heart disease, among light-to-moderate alcohol drinkers. However, this relationship carries risks of confounding and selection bias, including the so-called healthy drinker bias. Furthermore, biogenic compounds other than ethanol present in wine may be partially responsible for the beneficial effect, although this also includes several confounding factors such as the drinking patterns associated with wine preference. While some studies suggest that light-to-moderate alcohol consumption may offer cardiovascular benefits, these findings are likely influenced by confounding factors and do not negate the substantial public health burden associated with alcohol use. In fact, from a population health perspective, reducing harmful alcohol consumption remains a critical priority. Social policies aime</w:t>
      </w:r>
    </w:p>
    <w:p>
      <w:pPr/>
      <w:r>
        <w:rPr>
          <w:b/>
        </w:rPr>
        <w:t>POSSIBLE 2025:</w:t>
      </w:r>
      <w:r>
        <w:t xml:space="preserve"> Life Expectancy Loss and Recovery by Age and Sex Following Catastrophic Events in Europe during the 19th and 20th Centuries — https://doi.org/10.1007/s42650-025-00094-8</w:t>
      </w:r>
    </w:p>
    <w:p>
      <w:pPr/>
      <w:r>
        <w:rPr>
          <w:b/>
        </w:rPr>
        <w:t>Shared claim-specific concepts:</w:t>
      </w:r>
      <w:r>
        <w:t xml:space="preserve"> life, expectancy, two; EU scope visible. This is a provisional connection, not an outcome finding.</w:t>
      </w:r>
    </w:p>
    <w:p>
      <w:pPr>
        <w:pStyle w:val="SourceNote"/>
      </w:pPr>
      <w:r>
        <w:rPr>
          <w:b/>
        </w:rPr>
        <w:t>Available abstract (not full text):</w:t>
      </w:r>
      <w:r>
        <w:t xml:space="preserve"> Abstract Following catastrophic events, such as pandemics or wars, a systematic loss in life expectancy at birth (\(\:{e}_{0}\)) can be observed. We aimed to estimate the time required for \(\:{e}_{0}\) to recover after mortality crises and identify which age groups either contribute to the decline or assist in restoring pre-crisis levels. We focused exclusively on analyzing the largest European pandemics and wars of the 19th and 20th centuries, using data from the Human Mortality Database (HMD). To achieve this, we employed Arriaga's decomposition to examine two specific \(\:{e}_{0}{\prime\:}\)s: one just before the most substantial decline during the mortality crisis, marking the deepest drop, and another at the point where recovery is observed. The events were categorized into pandemics and non-pandemics and further stratified by sex. Various statistical tests were conducted to enable valid comparisons. Our findings reveal that World Wars caused the most significant declines in \(\:{e}_{0}\). Statistical analyses indicate no significant disparities based on the type of event or sex. Notably, youth and children emerge as the primary age group contributing to the decline and recovery of \(\:{e}_{0}\) following both catastrophic events. However, not all of them fully recover to the mortality levels observed before the crisis.</w:t>
      </w:r>
    </w:p>
    <w:p>
      <w:pPr/>
      <w:r>
        <w:rPr>
          <w:b/>
        </w:rPr>
        <w:t>POSSIBLE 2025:</w:t>
      </w:r>
      <w:r>
        <w:t xml:space="preserve"> From sex differences to sex inequalities in life expectancy: A cross-country observational benchmarking analysis — https://doi.org/10.1371/journal.pmed.1004828</w:t>
      </w:r>
    </w:p>
    <w:p>
      <w:pPr/>
      <w:r>
        <w:rPr>
          <w:b/>
        </w:rPr>
        <w:t>Shared claim-specific concepts:</w:t>
      </w:r>
      <w:r>
        <w:t xml:space="preserve"> female, life, expectancy, over, country, except; EU scope visible. This is a provisional connection, not an outcome finding.</w:t>
      </w:r>
    </w:p>
    <w:p>
      <w:pPr>
        <w:pStyle w:val="SourceNote"/>
      </w:pPr>
      <w:r>
        <w:rPr>
          <w:b/>
        </w:rPr>
        <w:t>Available abstract (not full text):</w:t>
      </w:r>
      <w:r>
        <w:t xml:space="preserve"> BACKGROUND: The answer to whether females or males have better health, and which sex is the more disadvantaged, has depended in part on the metric and how the inequality is measured. This study introduces a new method for analyzing and interpreting sex inequalities in health outcomes-defined as the avoidable sex differences in health outcomes-that is systematic and potentially more objective. For this paper, we focus on life expectancy at different ages. METHODS AND FINDINGS: We introduce the adjusted sex ratio as a measure of sex inequalities and determining sex disadvantage. First, we calculated the sex ratio of life expectancy at ages 0, 5, 15, 35, 50, and 70. To understand what is achievable under favorable conditions, we identified countries in the 5th percentile of the highest life expectancy for each sex and used these values as benchmarks, and calculated the sex ratio of these best-performing countries ("frontier"). We calculated the country- and age-specific adjusted sex ratio by dividing country sex ratios by frontier sex ratios. This assumes that theoretically, under the current risk and healthcare environments, females all over the world have the potential to live up to the life expectancy of the females in the frontier countries, and separately, all males to their male-specific frontier. An adjusted ratio of greater than one indicates male disadvantage, while below</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pStyle w:val="Heading2"/>
      </w:pPr>
      <w:r>
        <w:t>803.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2026:</w:t>
      </w:r>
      <w:r>
        <w:t xml:space="preserve"> Global research on AI-empowering academic evaluation: advances, trends, and prospects — https://doi.org/10.1108/el-01-2026-0028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Purpose This paper aims to systematically review the current research on artificial intelligence (AI)-empowering academic evaluation, and subsequently construct a theoretical framework that aligns with the era of digital intelligence so as to enrich intelligent academic evaluation theory and promote its practical exploration, thereby providing a reference for future studies in the field of AI-empowering academic evaluation. Design/methodology/approach This paper uses bibliometric and content analysis methods. Using the SSCI database within the Web of Science Core Collection as the data source, 587 valid bibliographic records of journal articles in the field of AI-empowering academic evaluation are retrieved and screened. CiteSpace software is used to create keyword clustering knowledge mapping and time period knowledge mapping for research topics from 2015 to 2025. Through these visualizations, the current research landscape and development trends in this field are analyzed in depth. A theoretical framework for enhancing AI-empowering academic evaluation is constructed, and future research prospects are proposed. Findings This paper elaborates on the research progress in the field of internationally AI-empowering academic evaluation across six clustered themes: AI and academic evaluation theories and methods, AI and academic evaluation objects, AI and academic evaluation indica</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pStyle w:val="Heading2"/>
      </w:pPr>
      <w:r>
        <w:t>804.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2026:</w:t>
      </w:r>
      <w:r>
        <w:t xml:space="preserve"> Global research on AI-empowering academic evaluation: advances, trends, and prospects — https://doi.org/10.1108/el-01-2026-0028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Purpose This paper aims to systematically review the current research on artificial intelligence (AI)-empowering academic evaluation, and subsequently construct a theoretical framework that aligns with the era of digital intelligence so as to enrich intelligent academic evaluation theory and promote its practical exploration, thereby providing a reference for future studies in the field of AI-empowering academic evaluation. Design/methodology/approach This paper uses bibliometric and content analysis methods. Using the SSCI database within the Web of Science Core Collection as the data source, 587 valid bibliographic records of journal articles in the field of AI-empowering academic evaluation are retrieved and screened. CiteSpace software is used to create keyword clustering knowledge mapping and time period knowledge mapping for research topics from 2015 to 2025. Through these visualizations, the current research landscape and development trends in this field are analyzed in depth. A theoretical framework for enhancing AI-empowering academic evaluation is constructed, and future research prospects are proposed. Findings This paper elaborates on the research progress in the field of internationally AI-empowering academic evaluation across six clustered themes: AI and academic evaluation theories and methods, AI and academic evaluation objects, AI and academic evaluation indica</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pStyle w:val="Heading2"/>
      </w:pPr>
      <w:r>
        <w:t>805.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2026:</w:t>
      </w:r>
      <w:r>
        <w:t xml:space="preserve"> Board Involvement in Information Security Governance: Roles and Perceptions — https://doi.org/10.71583/20261001sn</w:t>
      </w:r>
    </w:p>
    <w:p>
      <w:pPr/>
      <w:r>
        <w:rPr>
          <w:b/>
        </w:rPr>
        <w:t>Shared claim-specific concepts:</w:t>
      </w:r>
      <w:r>
        <w:t xml:space="preserve"> governance, engagement, result; EU scope not established. This is a provisional connection, not an outcome finding.</w:t>
      </w:r>
    </w:p>
    <w:p>
      <w:pPr>
        <w:pStyle w:val="SourceNote"/>
      </w:pPr>
      <w:r>
        <w:rPr>
          <w:b/>
        </w:rPr>
        <w:t>Available abstract (not full text):</w:t>
      </w:r>
      <w:r>
        <w:t xml:space="preserve"> Information Security Governance (ISG) has emerged as a central challenge for boards of directors in an era of digital transformation.As organizations become increasingly dependent on digital infrastructures and data-driven operations, information security risks have evolved from technical concerns into strategic governance issues that affect organizational continuity, value creation, and societal trust.Despite growing regulatory and practical expectations for board involvement in information security, academic understanding of how boards conceptualize, interpret, and enact this responsibility remains fragmented and underdeveloped.This dissertation addresses this gap by examining how boards of directors engage with ISG and how board-level governance of information security is conceptualized and enacted in practice across multiple governance dimensions.The findings show that effective board-level ISG cannot be understood solely in terms of formal structures or compliance requirements.Instead, governance effectiveness depends on the alignment of clearly defined roles with boards' interpretive capacity, the quality of board-CISO relationships, contextual supports, and the way governance routines are enacted in everyday practice.The dissertation makes several contributions to ISG and governance scholarship.It develops a theoretically grounded model of board roles in ISG, extends int</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governance, often, conflict;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Governing through inscription: eDNA biodiversity monitoring in North Sea offshore wind energy parks — https://doi.org/10.1016/j.envsci.2026.104335</w:t>
      </w:r>
    </w:p>
    <w:p>
      <w:pPr/>
      <w:r>
        <w:rPr>
          <w:b/>
        </w:rPr>
        <w:t>Shared claim-specific concepts:</w:t>
      </w:r>
      <w:r>
        <w:t xml:space="preserve"> observe, governance, offshore; EU scope not established. This is a provisional connection, not an outcome finding.</w:t>
      </w:r>
    </w:p>
    <w:p>
      <w:pPr>
        <w:pStyle w:val="SourceNote"/>
      </w:pPr>
      <w:r>
        <w:rPr>
          <w:b/>
        </w:rPr>
        <w:t>Available abstract (not full text):</w:t>
      </w:r>
      <w:r>
        <w:t xml:space="preserve"> The planned expansion of wind energy in the North Sea holds significant implications for marine biodiversity. Wind energy infrastructure can enhance biodiversity by providing hard substrates and reef-like habitats or degrade it by disturbing existing benthic habitat. However, it remains unclear what kinds of biodiversity will in practice be enhanced, in whose interest and for what purpose. To assess the effects of offshore wind energy parks on biodiversity, a range of new monitoring technologies are being developed, including monitoring technologies that incorporate environmental DNA (eDNA). However, which biodiversities eDNA sampling strategies can observe starts with their design; with different assumptions, priorities, material affordances, and ways of knowing biodiversity inscribed into material sampling technologies and their deployment. Using a framework to examine processes of inscription, this paper explores how assumptions and priorities, conditioned by the material affordances of eDNA, affect the design of a monitoring strategy assessing biodiversity enhancement. We show that the process of inscription constitutes a form of de facto governance, whereby the design of an eDNA monitoring strategy in the present shapes how biodiversity is governed in the future. We conclude that inscription is an open-ended process that allows for reflexivity on the socio-material dimensi</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pStyle w:val="Heading2"/>
      </w:pPr>
      <w:r>
        <w:t>806.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2026:</w:t>
      </w:r>
      <w:r>
        <w:t xml:space="preserve"> An Integrated Assessment of European Soil Health and Restoration Potential — https://doi.org/10.1002/sae2.70163</w:t>
      </w:r>
    </w:p>
    <w:p>
      <w:pPr/>
      <w:r>
        <w:rPr>
          <w:b/>
        </w:rPr>
        <w:t>Shared claim-specific concepts:</w:t>
      </w:r>
      <w:r>
        <w:t xml:space="preserve"> aimed, moderate; EU scope visible. This is a provisional connection, not an outcome finding.</w:t>
      </w:r>
    </w:p>
    <w:p>
      <w:pPr>
        <w:pStyle w:val="SourceNote"/>
      </w:pPr>
      <w:r>
        <w:rPr>
          <w:b/>
        </w:rPr>
        <w:t>Available abstract (not full text):</w:t>
      </w:r>
      <w:r>
        <w:t xml:space="preserve"> ABSTRACT Soils host a significant proportion of biodiversity on Earth providing ecosystem functions vital to human well‐being, making it imperative to include them and their ecological features when addressing sustainability goals. We performed a comprehensive assessment of soil health across Europe by explicitly integrating biotic and abiotic indicators alongside soil degradation processes. We further identified areas with high restoration potential, quantifying the potential positive changes achievable when mitigating degradation processes. Our results show that 93% of soils in Europe are either degraded (62%) or in a moderate state (31%), with only 7% having a good (6.5%) or high (0.5%) health status. We found Southeast Europe to have the highest restoration potential, particularly for forests and annual crops. By providing spatially explicit indicators of soil health and restoration potential, our approach offers valuable guidance to support sustainable soil management and inform policies aimed at enhancing soil health across Europe.</w:t>
      </w:r>
    </w:p>
    <w:p>
      <w:pPr/>
      <w:r>
        <w:rPr>
          <w:b/>
        </w:rPr>
        <w:t>POSSIBLE 2026:</w:t>
      </w:r>
      <w:r>
        <w:t xml:space="preserve"> Quantifying Land-Surface Effects on Cloud Occurrence Using Neural Networks — https://doi.org/10.5194/egusphere-egu26-17132</w:t>
      </w:r>
    </w:p>
    <w:p>
      <w:pPr/>
      <w:r>
        <w:rPr>
          <w:b/>
        </w:rPr>
        <w:t>Shared claim-specific concepts:</w:t>
      </w:r>
      <w:r>
        <w:t xml:space="preserve"> quantify, period; EU scope visible. This is a provisional connection, not an outcome finding.</w:t>
      </w:r>
    </w:p>
    <w:p>
      <w:pPr>
        <w:pStyle w:val="SourceNote"/>
      </w:pPr>
      <w:r>
        <w:rPr>
          <w:b/>
        </w:rPr>
        <w:t>Available abstract (not full text):</w:t>
      </w:r>
      <w:r>
        <w:t xml:space="preserve"> The aim of this study is to investigate the effect of land surface conditions on cloud occurrence by quantifying how they modulate the influence of large-scale meteorological conditions.The land surface can modulate clouds through its influence on surface heat fluxes, local moisture availability, and surface roughness. However, quantifying these effects from observations remains challenging, as the temporal and spatial variability of cloud occurrence is large and influencing factors covary.Here, we employ a convolutional neural network (CNN) to predict satellite-observed cloud fraction over Europe for the period 1983–2020. Cloud fraction is taken from the CM SAF Cloud Fractional Cover dataset based on Meteosat First and Second Generation observations (COMET). Predictors are derived from the ERA5 reanalysis, including ERA5-Land as well as ERA5 fields on single and pressure levels. To delineate the land surface impact on cloud occurrence predictability, we develop two model configurations: one driven solely by large-scale meteorological conditions, and a second one that additionally incorporates land surface variables. Both models achieve high predictive skill (R² &gt; 0.8), with a slight increase in performance when land surface conditions are included. Sensitivity analyses using permutation feature importance and partial dependency indicates that cloud occurrence is primarily cont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Assessing extreme sea level rise impacts on coastal agriculture in Europe and North Africa — https://doi.org/10.1038/s41598-025-31630-w</w:t>
      </w:r>
    </w:p>
    <w:p>
      <w:pPr/>
      <w:r>
        <w:rPr>
          <w:b/>
        </w:rPr>
        <w:t>Shared claim-specific concepts:</w:t>
      </w:r>
      <w:r>
        <w:t xml:space="preserve"> level, climate; EU scope visible. This is a provisional connection, not an outcome finding.</w:t>
      </w:r>
    </w:p>
    <w:p>
      <w:pPr>
        <w:pStyle w:val="SourceNote"/>
      </w:pPr>
      <w:r>
        <w:rPr>
          <w:b/>
        </w:rPr>
        <w:t>Available abstract (not full text):</w:t>
      </w:r>
      <w:r>
        <w:t xml:space="preserve"> Sea Level Rise refers to the long-term increase of sea level. This phenomenon is primarily driven by the melting of ice caps and the thermal expansion of the oceans. Extreme Sea Level Rise (ESLR) events occur when SLR combines with temporary phenomena such as storm surges, tides, and waves, creating potentially damaging coastal flooding. The accelerating impact of climate change has raised the attention on ESLR and its effects on coastal regions. This study focuses on ESLR and its potential impacts on Europe and North Africa up to 2100, with particular attention to agriculture. Utilising Joint Research Centre (JRC) Global Extreme Sea Level projections and fine-scale DTM, we mapped areas vulnerable to ESLR under Representative Concentration Pathway (RCP) scenarios 4.5 and 8.5. Through a topological approach, we generated spatially explicit maps of at-risk regions. Then, the magnitude of ESLR's impact on local agricultural systems was estimated by overlaying crop production data from FAO (GAEZ 2015+) with different flood scenarios. Findings reveal that ESLR can severely affect coastal agriculture, suggesting significant potential agricultural losses (from $800 million up to $1.5 billion per year in the next 100 years), impacting food security and economic stability. This research underscores the urgent need for adaptive strategies, including the construction of dykes and sea barr</w:t>
      </w:r>
    </w:p>
    <w:p>
      <w:pPr/>
      <w:r>
        <w:rPr>
          <w:b/>
        </w:rPr>
        <w:t>POSSIBLE 2025:</w:t>
      </w:r>
      <w:r>
        <w:t xml:space="preserve"> Honey bee food resources under threat from climate change — https://doi.org/10.1038/s41467-025-68085-6</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Plant-pollinator interactions are essential for plant productivity but face growing threats from climate change, including vegetation loss and mismatches in flowering. Yet, the consequences for bee food resources remain poorly understood at continental scales. Here, we analyse 2 500 samples collected by honey bees (Apis mellifera) between May and August 2023 from 310 locations across Europe using ITS2 metabarcoding. We derive climatic response curves of floral resources and assess exceedance risks of interaction loss under projected climate scenarios. Our findings reveal that rising temperatures and reduced precipitation decrease the diversity of foraging resources across Europe, pushing many plants beyond critical limits. When both warming and drying coincide, the potential for resilience through temporal or spatial buffering is strongly constrained. These declines pose serious risks to bee nutrition, ecosystem functioning, and food security. Our study underscores the urgency of mitigating climate change to preserve vital plant-pollinator systems and the services they sustain.</w:t>
      </w:r>
    </w:p>
    <w:p>
      <w:pPr/>
      <w:r>
        <w:rPr>
          <w:b/>
        </w:rPr>
        <w:t>POSSIBLE 2025:</w:t>
      </w:r>
      <w:r>
        <w:t xml:space="preserve"> Antimicrobial Resistance in European Companion Animals Practice: A One Health Approach — https://doi.org/10.3390/ani15121708</w:t>
      </w:r>
    </w:p>
    <w:p>
      <w:pPr/>
      <w:r>
        <w:rPr>
          <w:b/>
        </w:rPr>
        <w:t>Shared claim-specific concepts:</w:t>
      </w:r>
      <w:r>
        <w:t xml:space="preserve"> threat, level, species; EU scope visible. This is a provisional connection, not an outcome finding.</w:t>
      </w:r>
    </w:p>
    <w:p>
      <w:pPr>
        <w:pStyle w:val="SourceNote"/>
      </w:pPr>
      <w:r>
        <w:rPr>
          <w:b/>
        </w:rPr>
        <w:t>Available abstract (not full text):</w:t>
      </w:r>
      <w:r>
        <w:t xml:space="preserve"> Antimicrobial resistance (AMR) is a global health emergency. The growing levels of multidrug-resistant bacteria in companion animals represent a critical but under-recognized threat, as pets can act as reservoirs and vectors of resistant pathogens, and bacteria can spread between species. Despite living in close proximity to humans and sharing many of the same antibiotic classes, companion animals remain largely overlooked in the AMR control strategies. A major obstacle to combating AMR in Europe is the absence of a mandatory and uniform surveillance system. Without a standardized approach, data collection remains inconsistent, leading to knowledge gaps and hindering effective investigation and policymaking. Surveillance failures prevent a comprehensive understanding of resistance patterns, making it difficult to implement timely and evidence-based measures. Existing laws and regulations are insufficient to contain the growing threat of AMR. Current policies fail to enforce strict antimicrobial stewardship across all European countries and lack the necessary scope to address resistance effectively. Urgent action is required-Europe must implement stronger, harmonized surveillance systems, enforce stricter veterinary antimicrobial regulations, and develop more active and binding programs to curb resistance before it reaches an uncontrollable level. A One Health approach, recogniz</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807.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2026:</w:t>
      </w:r>
      <w:r>
        <w:t xml:space="preserve"> Influence of atmospheric circulation on temperature extremes in mountainous regions of Central Europe during 1961–2025 — https://doi.org/10.1007/s00704-026-06605-0</w:t>
      </w:r>
    </w:p>
    <w:p>
      <w:pPr/>
      <w:r>
        <w:rPr>
          <w:b/>
        </w:rPr>
        <w:t>Shared claim-specific concepts:</w:t>
      </w:r>
      <w:r>
        <w:t xml:space="preserve"> atmospheric, circulation, statistically, significant, level; EU scope visible. This is a provisional connection, not an outcome finding.</w:t>
      </w:r>
    </w:p>
    <w:p>
      <w:pPr>
        <w:pStyle w:val="SourceNote"/>
      </w:pPr>
      <w:r>
        <w:rPr>
          <w:b/>
        </w:rPr>
        <w:t>Available abstract (not full text):</w:t>
      </w:r>
      <w:r>
        <w:t xml:space="preserve"> Abstract Recent climate change is most clearly manifested in rising global temperatures, with regionally amplified warming observed in Central Europe, including its mountainous areas. This study analyses trends in mean annual and seasonal air temperatures and evaluates the influence of atmospheric circulation on temperature extremes in Central European mountains during 1961–2025, comparing the periods 1961–1990 and 1991–2025. Homogenised station-based temperature data from the Czech and Slovak Hydrometeorological Institutes were combined with ERA5 geopotential height fields at the 850 hPa level to characterise atmospheric circulation. The results show a statistically significant increase in mean annual temperatures across all mountain ranges, ranging from 0.28 °C/10 years in the Bohemian Forest to 0.44 °/10 years in the East Slovak Mountains, with a pronounced west–east gradient in warming intensity. Changes in atmospheric circulation are characterised by an increasing frequency of anticyclonic types and a decrease in cyclonic circulation, particularly during spring and summer. Extremely warm days became more frequent, while extremely cold days generally declined. A decomposition analysis revealed that these changes were driven primarily by changes in the thermal characteristics of individual circulation types rather than by changes in circulation-type frequency. Changes in cir</w:t>
      </w:r>
    </w:p>
    <w:p>
      <w:pPr/>
      <w:r>
        <w:rPr>
          <w:b/>
        </w:rPr>
        <w:t>POSSIBLE 2026:</w:t>
      </w:r>
      <w:r>
        <w:t xml:space="preserve"> European summer drying largely driven by atmospheric circulation changes since the 1980s — https://doi.org/10.1038/s41561-026-02050-w</w:t>
      </w:r>
    </w:p>
    <w:p>
      <w:pPr/>
      <w:r>
        <w:rPr>
          <w:b/>
        </w:rPr>
        <w:t>Shared claim-specific concepts:</w:t>
      </w:r>
      <w:r>
        <w:t xml:space="preserve"> atmospheric, circulation, historical, pressure; EU scope visible. This is a provisional connection, not an outcome finding.</w:t>
      </w:r>
    </w:p>
    <w:p>
      <w:pPr>
        <w:pStyle w:val="SourceNote"/>
      </w:pPr>
      <w:r>
        <w:rPr>
          <w:b/>
        </w:rPr>
        <w:t>Available abstract (not full text):</w:t>
      </w:r>
      <w:r>
        <w:t xml:space="preserve"> Abstract In recent decades, Europe has experienced more frequent and severe droughts driven by two mechanisms: shifts in large-scale atmospheric circulation, altering the frequency and position of pressure systems, and thermodynamic changes, which cause background warming, raise evaporative demand and affect precipitation. However, the relative roles of these drivers in observed drought trends remain uncertain. Here we disentangle their contributions using nudged atmospheric circulation model simulations, which isolate the circulation-induced component of European hydroclimatic variability and trends. We show that circulation-induced effects play a substantial role in long-term summer drying. These changes account for about 55% of the observed summer soil moisture decline in mid-latitude Europe since 1980 and about 42% of increased atmospheric vapour pressure deficit. Further, we demonstrate that more frequent anticyclonic, warm and dry weather conditions linked to these circulation changes amplify the thermodynamic component of drying. Whereas our study improves our understanding of the mechanisms behind European hydroclimatic trends, these findings also highlight the high uncertainty for European hydroclimate projections because future circulation changes remain poorly constrained. If historical circulation trends were partly externally forced, circulation-driven drying may c</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pStyle w:val="Heading2"/>
      </w:pPr>
      <w:r>
        <w:t>808.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2026:</w:t>
      </w:r>
      <w:r>
        <w:t xml:space="preserve"> Climate Change and Indian Crop Yields: Impacts and Projections — https://doi.org/10.1177/00252921261438943</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Climate change constitutes a significant threat to agricultural productivity, particularly in India, where nearly half of the population relies on agriculture for their livelihoods. The sector is increasingly exposed to rising temperatures, irregular precipitation patterns and the intensification of extreme climatic events. While previous studies have identified climate-induced yield reductions in staple crops, much of the existing evidence is based on short-term analyses and lacks a comprehensive evaluation across diverse crop groups. This study addresses this limitation by employing a panel dataset covering 20 crops across 20 Indian states from 1966 to 2016 to assess both historical impacts and projected outcomes under shared Socioeconomic Pathways (SSP) climate scenarios. The analysis employs crop-specific, non-linear panel regression models that incorporate key climatic variables, including temperature, precipitation, wind speed and evapotranspiration, alongside critical non-climatic factors such as mechanisation, irrigation and fertiliser application. The findings indicate that crops like rice and wheat are most adversely affected by rising temperature, whereas crops like pearl millet and cotton exhibit greater resilience, though cotton remains highly sensitive to precipitation variability. Pigeon pea and sesamum benefit from increased evapotranspiration up to a threshold,</w:t>
      </w:r>
    </w:p>
    <w:p>
      <w:pPr/>
      <w:r>
        <w:rPr>
          <w:b/>
        </w:rPr>
        <w:t>POSSIBLE 2026:</w:t>
      </w:r>
      <w:r>
        <w:t xml:space="preserve"> More Frequent Extreme Floods Revealed by Observation-Constrained Projections — https://doi.org/10.5194/egusphere-egu26-6594</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Current cascade-type models are the dominant approach for projecting future extreme floods, but they suffer from major limitations, including substantial bias, large uncertainty and coarse spatial resolution. To address these issues, we developed an observation-constrained framework that integrates flood estimates, based on historical data and regional flood frequency analysis, with changes in design floods from cascade-type model projections, enabling 1-km resolution projections across 28.2 million river pixels worldwide. Our analysis reveals that cascade-type models overestimate the historical 100-year flood by about 160% globally, while forcing-based corrections still exhibit considerable bias. Further, our observation-constrained approach reduces multi-model uncertainty by a median of 22.8% globally compared to cascade-type modeling. Under a high-emissions scenario, 83% of the global land mass shows increasing flood frequency. Globally, the historical 100-year flood is projected to have a median return period of about 36 years – more frequent than suggested by cascade-type model projections. Our results highlight the acceleration of flood risks, which may leave communities unprepared for intensifying climate impacts.</w:t>
      </w:r>
    </w:p>
    <w:p>
      <w:pPr/>
      <w:r>
        <w:rPr>
          <w:b/>
        </w:rPr>
        <w:t>POSSIBLE 2026:</w:t>
      </w:r>
      <w:r>
        <w:t xml:space="preserve"> Reliability Assessment and Statistical Calibration of SAI Ensemble Projections in Southeast Asia — https://doi.org/10.5194/egusphere-egu26-8408</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Stratospheric Aerosol Injection (SAI) has been widely investigated as a potential Solar Radiation Management (SRM) strategy to offset global warming, with ensemble-based Earth System Model simulations such as the Geoengineering Large Ensemble Simulation (GLENS) providing key evidence for its climatic impacts. However, the reliability of these ensemble projections, particularly at regional scales, remains insufficiently assessed. This study presents a joint evaluation of the projection skill and statistical calibration of GLENS ensemble outputs over Southeast Asia, focusing on precipitation and near-surface temperature variables. First, ensemble skill is assessed against ERA5 reanalysis using rank histograms, confidence interval coverage, Continuous Ranked Probability Score (CRPS), and Brier Score. Results show that raw GLENS projections are systematically underdispersive and biased, with overly narrow uncertainty ranges that frequently fail to capture observations. Projection skill exhibits strong regional contrasts, with poorer precipitation performance over the Maritime Continent and weaker temperature skill over mainland Southeast Asia. These deficiencies indicate overconfident ensemble behavior and limit the direct usability of raw GLENS outputs for impact assessment and decision support. To address these limitations, Bayesian Model Averaging (BMA) is applied as a probabili</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2025:</w:t>
      </w:r>
      <w:r>
        <w:t xml:space="preserve"> Variable vertical land motion and its impacts on sea level rise projections — https://doi.org/10.1126/sciadv.ads8163</w:t>
      </w:r>
    </w:p>
    <w:p>
      <w:pPr/>
      <w:r>
        <w:rPr>
          <w:b/>
        </w:rPr>
        <w:t>Shared claim-specific concepts:</w:t>
      </w:r>
      <w:r>
        <w:t xml:space="preserve"> highlights, projections, impacts, adaptation; EU scope not established. This is a provisional connection, not an outcome finding.</w:t>
      </w:r>
    </w:p>
    <w:p>
      <w:pPr>
        <w:pStyle w:val="SourceNote"/>
      </w:pPr>
      <w:r>
        <w:rPr>
          <w:b/>
        </w:rPr>
        <w:t>Available abstract (not full text):</w:t>
      </w:r>
      <w:r>
        <w:t xml:space="preserve"> Coastal vertical land motion (VLM), including uplift and subsidence, can greatly alter relative sea level projections and flood mitigations plans. Yet, current projection frameworks, such as the IPCC Sixth Assessment Report, often underestimate VLM by relying on regional linear estimates. Using high-resolution (90-meter) satellite data from 2015 to 2023, we provide local VLM estimates for California and assess their contribution to sea level rise both now and in future. Our findings reveal that regional estimates substantially understate sea level rise in parts of San Francisco and Los Angeles, projecting more than double the expected rise by 2050. Additionally, temporally variable (nonlinear) VLM, driven by factors such as hydrocarbon and groundwater extraction, can increase uncertainties in 2050 projections by up to 0.4 meters in certain areas of Los Angeles and San Diego. This study highlights the critical need to include local VLM and its uncertainties in sea level rise assessments to improve coastal management and ensure effective adaptation efforts.</w:t>
      </w:r>
    </w:p>
    <w:p>
      <w:pPr/>
      <w:r>
        <w:rPr>
          <w:b/>
        </w:rPr>
        <w:t>POSSIBLE 2025:</w:t>
      </w:r>
      <w:r>
        <w:t xml:space="preserve"> Impacts of climate change on the global spread and habitat suitability of Coxiella burnetii: Future projections and public health implications — https://doi.org/10.1016/j.joclim.2025.100442</w:t>
      </w:r>
    </w:p>
    <w:p>
      <w:pPr/>
      <w:r>
        <w:rPr>
          <w:b/>
        </w:rPr>
        <w:t>Shared claim-specific concepts:</w:t>
      </w:r>
      <w:r>
        <w:t xml:space="preserve"> highlights, limitations, projections, impacts, time; EU scope visible. This is a provisional connection, not an outcome finding.</w:t>
      </w:r>
    </w:p>
    <w:p>
      <w:pPr>
        <w:pStyle w:val="SourceNote"/>
      </w:pPr>
      <w:r>
        <w:rPr>
          <w:b/>
        </w:rPr>
        <w:t>Available abstract (not full text):</w:t>
      </w:r>
      <w:r>
        <w:t xml:space="preserve"> Introduction Coxiella burnetii , an intracellular zoonotic bacterium, affectsing various livestock and wildlife species and poses significant risks to human health. This study aims to assess how climate change could impact the global distribution and habitat suitability of Coxiella burnetii , the pathogen responsible for Q fever . Materials and methods An ensemble species distribution modelling approach, integrating regression-based and machine-learning algorithms (GLM, GBM, RF, MaxEnt), was used to project habitat suitability (Current time and by 2050, 2070, and 2090). Climate variables were obtained from five global circulation models (GCMs) under two climate change scenarios (SSP2-4.5 and SSP5-8.5). The study evaluated the models’ performance using the area under the curve (AUC) and true skill statistics (TSS). Results Results show that under current climate conditions, C. burnetii is widespread across regions like North and South America, Europe, and parts of Africa, Asia , and Australia. Future projections indicate a northward shift in habitat suitability, especially under the severe SSP5-8.5 scenario, with significant expansions into Russia, northern Europe, and Canada. Conversely, regions in South America, Africa, and Australia may see declines in suitable habitats. By 2090, a 44.56 % (range: 33–57.9 %) across the models, increase in suitable habitat is predicted, accomp</w:t>
      </w:r>
    </w:p>
    <w:p>
      <w:pPr/>
      <w:r>
        <w:rPr>
          <w:b/>
        </w:rPr>
        <w:t>POSSIBLE 2025:</w:t>
      </w:r>
      <w:r>
        <w:t xml:space="preserve"> Overcoming Cost, Time, and Engagement Barriers through Projection Mapping: A Study of Egyptian Independent Theatre — https://doi.org/10.57239/pjlss-2025-23.2.00229</w:t>
      </w:r>
    </w:p>
    <w:p>
      <w:pPr/>
      <w:r>
        <w:rPr>
          <w:b/>
        </w:rPr>
        <w:t>Shared claim-specific concepts:</w:t>
      </w:r>
      <w:r>
        <w:t xml:space="preserve"> limitations, only, time; EU scope not established. This is a provisional connection, not an outcome finding.</w:t>
      </w:r>
    </w:p>
    <w:p>
      <w:pPr>
        <w:pStyle w:val="SourceNote"/>
      </w:pPr>
      <w:r>
        <w:rPr>
          <w:b/>
        </w:rPr>
        <w:t>Available abstract (not full text):</w:t>
      </w:r>
      <w:r>
        <w:t xml:space="preserve"> Independent theatre in Egypt faces challenges of high costs, limited space, and outdated scenic methods.Traditional set construction requires extensive labor and materials, restricting creativity and delaying scene changes.This study explores projection mapping as a digital scenography alternative that addresses these limitations while enhancing visual storytelling.Guided by Gillette's Scenic Design Theory, a mixed-methods approach was applied: surveys with 600 stakeholders and interviews with theatre professionals.Statistical analysis confirmed reliable responses (Cronbach's Alpha &gt; 0.76), and thematic coding highlighted benefits such as cost reduction, rapid transitions, and improved audience engagement.Results demonstrate that projection mapping offers not only a practical substitute for traditional scenography but also a transformative medium, supporting immersive environments and aesthetic cohesion.Audiences valued the enhanced visual impact, while practitioners emphasized flexibility and efficiency.The study advances digital scenography scholarship and proposes projection mapping as a sustainable innovation for resourceconstrained theatre contexts in Egypt.</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2024:</w:t>
      </w:r>
      <w:r>
        <w:t xml:space="preserve"> Local Projections — https://doi.org/10.24148/wp2024-24</w:t>
      </w:r>
    </w:p>
    <w:p>
      <w:pPr/>
      <w:r>
        <w:rPr>
          <w:b/>
        </w:rPr>
        <w:t>Shared claim-specific concepts:</w:t>
      </w:r>
      <w:r>
        <w:t xml:space="preserve"> limitations, projections, time; EU scope not established. This is a provisional connection, not an outcome finding.</w:t>
      </w:r>
    </w:p>
    <w:p>
      <w:pPr>
        <w:pStyle w:val="SourceNote"/>
      </w:pPr>
      <w:r>
        <w:rPr>
          <w:b/>
        </w:rPr>
        <w:t>Available abstract (not full text):</w:t>
      </w:r>
      <w:r>
        <w:t xml:space="preserve"> A central question in applied research is to estimate the effect of an exogenous intervention or shock on an outcome. The intervention can affect the outcome and controls on impact and over time. Moreover, there can be subsequent feedback between outcomes, controls and the intervention. Many of these interactions can be untangled using local projections. This method’s simplicity makes it a convenient and versatile tool in the empiricist’s kit, one that is generalizable to complex settings. This article reviews the state-of-the art for the practitioner, discusses best practices and possible extensions of local projections methods, along with their limitations.</w:t>
      </w:r>
    </w:p>
    <w:p>
      <w:pPr/>
      <w:r>
        <w:rPr>
          <w:b/>
        </w:rPr>
        <w:t>POSSIBLE 2024:</w:t>
      </w:r>
      <w:r>
        <w:t xml:space="preserve"> Projections of climate change impacts on ecosystem services and the role of land use adaptation in France — https://doi.org/10.1016/j.indic.2024.100369</w:t>
      </w:r>
    </w:p>
    <w:p>
      <w:pPr/>
      <w:r>
        <w:rPr>
          <w:b/>
        </w:rPr>
        <w:t>Shared claim-specific concepts:</w:t>
      </w:r>
      <w:r>
        <w:t xml:space="preserve"> highlights, projections, impacts, adaptation; EU scope visible. This is a provisional connection, not an outcome finding.</w:t>
      </w:r>
    </w:p>
    <w:p>
      <w:pPr>
        <w:pStyle w:val="SourceNote"/>
      </w:pPr>
      <w:r>
        <w:rPr>
          <w:b/>
        </w:rPr>
        <w:t>Available abstract (not full text):</w:t>
      </w:r>
      <w:r>
        <w:t xml:space="preserve"> This study examines the complex relationship between climate change and ecosys-tem services (ESs) in France. We explore both the direct effects of climate change and the indirect effects of land-use change on six regulating ESs (e.g., habitat quality, water retention) and two provisioning ESs (e.g., crop production, livestock produc-tion). Results indicate that while climate change may initially have positive impacts on ESs, the induced negative impacts of land-use adaptation often overshadow these benefits. We show the effectiveness of a greenhouse gas (GHG) tax of 200e/tCO2eq on agriculture in offsetting the negative effects of land-use adaptation to climate change on ESs. This highlights the importance of integrating economic instru-ments, such as carbon pricing mechanisms, to promote the sustainable management of ESs in the context of climate change.</w:t>
      </w:r>
    </w:p>
    <w:p>
      <w:pPr>
        <w:pStyle w:val="Heading2"/>
      </w:pPr>
      <w:r>
        <w:t>809.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2026:</w:t>
      </w:r>
      <w:r>
        <w:t xml:space="preserve"> When mobility becomes a compromise: intersectional social identities in mobility in Boston and Austin — https://doi.org/10.1016/j.trip.2026.102259</w:t>
      </w:r>
    </w:p>
    <w:p>
      <w:pPr/>
      <w:r>
        <w:rPr>
          <w:b/>
        </w:rPr>
        <w:t>Shared claim-specific concepts:</w:t>
      </w:r>
      <w:r>
        <w:t xml:space="preserve"> mobility, like, travel, planning; EU scope not established. This is a provisional connection, not an outcome finding.</w:t>
      </w:r>
    </w:p>
    <w:p>
      <w:pPr>
        <w:pStyle w:val="SourceNote"/>
      </w:pPr>
      <w:r>
        <w:rPr>
          <w:b/>
        </w:rPr>
        <w:t>Available abstract (not full text):</w:t>
      </w:r>
      <w:r>
        <w:t xml:space="preserve"> Conventional planning centers on the needs of able-bodied, white, middle-class men, overlooking the experiences of those with other social identities. This study applies a lens of intersecting social identities to examine how race, gender, disability, and early-life environment shape college students’ daily mobility in two contrasting U.S. cities: Austin and Boston. Drawing on 28 in-depth interviews (16 in Austin, 12 in Boston), the study reveals how different manifestations of mobility disadvantages are shaped through the intersection of multiple social identities. Although Austin and Boston differ in transit coverage and urban form, both exhibit structural inequities that operate through different mechanisms across the empirical cases. Racialized and gendered vulnerabilities, for example, amplify exposure to harassment, surveillance, and discrimination in public transit, while car-related privilege can be constrained by driving anxiety, disability, or financial limitations. Transgender women in car-limited households face additional constraints due to gendered labor hierarchies within household roles; when combined with disability, these factors can reduce travel radius and heighten dependence on others. Accordingly, conventional methods of identifying travel-disadvantaged populations, such as relying on a single travel indicator like car ownership or transit use, or focusing</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2025:</w:t>
      </w:r>
      <w:r>
        <w:t xml:space="preserve"> Climate Change, Human Rights, and Adaptive Mobility — https://openalex.org/W7167440205</w:t>
      </w:r>
    </w:p>
    <w:p>
      <w:pPr/>
      <w:r>
        <w:rPr>
          <w:b/>
        </w:rPr>
        <w:t>Shared claim-specific concepts:</w:t>
      </w:r>
      <w:r>
        <w:t xml:space="preserve"> contrast, mobility, approaches; EU scope not established. This is a provisional connection, not an outcome finding.</w:t>
      </w:r>
    </w:p>
    <w:p>
      <w:pPr>
        <w:pStyle w:val="SourceNote"/>
      </w:pPr>
      <w:r>
        <w:rPr>
          <w:b/>
        </w:rPr>
        <w:t>Available abstract (not full text):</w:t>
      </w:r>
      <w:r>
        <w:t xml:space="preserve"> The potential for climate change to cause vast human movement is a major global issue. Dominant approaches to climate-related migration take mobility as the starting point, exploring legal frameworks that tend to provide protection for migrants only after they move and overlooking measures that could help avoid forced movement in the first place. In contrast, Climate Change, Human Rights, and Adaptive Mobility provides a new conceptual and legal approach to human mobility in the context of climate change, one that seeks to compel and shape more proactive, anticipatory action. The book anchors its arguments in the international climate change regime, turning to obligations on adaptation found in the United Nations Framework Convention on Climate Change and the Paris Agreement. These obligations, though understudied and underutilized, have the potential to be a powerful legal tool. The book therefore seeks to lend them concrete legal meaning. It draws on international climate change and human rights law to weave together doctrinal analysis that considers treaty interpretation, regime interaction, and principles of environmental law with case studies in Bangladesh, the Pacific Islands, and the Sahel. At its core, the book argues that adaptation obligations require states to take measures to address foreseeable risks and ensure human rights. It further argues that developed countri</w:t>
      </w:r>
    </w:p>
    <w:p>
      <w:pPr/>
      <w:r>
        <w:rPr>
          <w:b/>
        </w:rPr>
        <w:t>POSSIBLE 2025:</w:t>
      </w:r>
      <w:r>
        <w:t xml:space="preserve"> The mobility of the nobility. An introduction — https://doi.org/10.21827/virtus.32.58-70</w:t>
      </w:r>
    </w:p>
    <w:p>
      <w:pPr/>
      <w:r>
        <w:rPr>
          <w:b/>
        </w:rPr>
        <w:t>Shared claim-specific concepts:</w:t>
      </w:r>
      <w:r>
        <w:t xml:space="preserve"> around, mobility, look, travel, alternative, about; EU scope not established. This is a provisional connection, not an outcome finding.</w:t>
      </w:r>
    </w:p>
    <w:p>
      <w:pPr>
        <w:pStyle w:val="SourceNote"/>
      </w:pPr>
      <w:r>
        <w:rPr>
          <w:b/>
        </w:rPr>
        <w:t>Available abstract (not full text):</w:t>
      </w:r>
      <w:r>
        <w:t xml:space="preserve"> The mobility of the nobility An introductionElizabeth's impatience increased; and her thoughts were soon busy in considering the means of visiting Jane, and determining to go to her, though the carriage was not to be had; and as she was no horsewoman, walking was her only alternative.She declared her resolution […] The distance is nothing, when one has a motive; only three miles.I shall be back by dinner. 1 Jane Austen's novel Pride &amp; Prejudice, first published in 1813, perfectly illustrates the mobility of the upper-class elites in late eighteenth-century England.To be sure, the book is first and foremost about social mobility.Elizabeth (or 'Lizzie') Bennet and her sisters are not noble in a strict sense but rather lower-class gentry, and the main thrust of the novel is about the paths they seek to maintain and expand their family's social position within the stratified British elite.Taking a closer look at what that entails, however, exposes just how much social mobility revolved around mobility proper in their day and age.Lizzie has plenty of cause, and lots of opportunities to travel to and fro: from the frequent trips from Longbourn to the plush Netherfield Estate (rented out to the rich Mr. Bingley, her eldest sister's admirer), to the more daring excursion to the Peak District, where she also visits the Pemberley estate belonging to the affluent gentleman -and Lizzie's l</w:t>
      </w:r>
    </w:p>
    <w:p>
      <w:pPr/>
      <w:r>
        <w:rPr>
          <w:b/>
        </w:rPr>
        <w:t>POSSIBLE 2025:</w:t>
      </w:r>
      <w:r>
        <w:t xml:space="preserve"> When mobility matters: a look at earnings dynamics across Italian generations — https://doi.org/10.1111/ecca.70000</w:t>
      </w:r>
    </w:p>
    <w:p>
      <w:pPr/>
      <w:r>
        <w:rPr>
          <w:b/>
        </w:rPr>
        <w:t>Shared claim-specific concepts:</w:t>
      </w:r>
      <w:r>
        <w:t xml:space="preserve"> mobility, look, largely; EU scope visible. This is a provisional connection, not an outcome finding.</w:t>
      </w:r>
    </w:p>
    <w:p>
      <w:pPr>
        <w:pStyle w:val="SourceNote"/>
      </w:pPr>
      <w:r>
        <w:rPr>
          <w:b/>
        </w:rPr>
        <w:t>Available abstract (not full text):</w:t>
      </w:r>
      <w:r>
        <w:t xml:space="preserve"> Abstract Drawing on a matched survey–administrative dataset tracking careers from 1975 to 2018, we examine the trends in intragenerational earnings mobility in Italy over the past 40 years. We compare earnings trajectories from age 35 to age 45 via a refined version of the ‘income risk decomposition’ proposed by Austin Nichols in 2008, distinguishing between ‘good’ and ‘bad’ earnings mobility from an individual welfare perspective. Our findings reveal that the long‐run trend of increasing cross‐sectional earnings inequality in Italy has been accompanied by widening persistent disparities within the same generation. For all cohorts of workers, at least 80% of inequality is permanent, reaching nearly 90% for the most recent cohort. We also uncover that a substantial share of individuals—between 25% and 39%—do not benefit from stable upward income mobility during a crucial career phase. This issue has worsened over time, with the last ten cohorts experiencing higher income instability (%) and declining upward mobility (%), largely explained by the growing prevalence of atypical employment arrangements. Furthermore, using intragenerational Great Gatsby curves, we show that cohorts exposed to greater earnings inequality also face more persistent differences and reduced earnings growth, especially in the aftermath of the Great Recession.</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2024:</w:t>
      </w:r>
      <w:r>
        <w:t xml:space="preserve"> Entangled Future Im/mobilities — https://doi.org/10.14361/9783839473801</w:t>
      </w:r>
    </w:p>
    <w:p>
      <w:pPr/>
      <w:r>
        <w:rPr>
          <w:b/>
        </w:rPr>
        <w:t>Shared claim-specific concepts:</w:t>
      </w:r>
      <w:r>
        <w:t xml:space="preserve"> around, mobility, look, approaches; EU scope not established. This is a provisional connection, not an outcome finding.</w:t>
      </w:r>
    </w:p>
    <w:p>
      <w:pPr>
        <w:pStyle w:val="SourceNote"/>
      </w:pPr>
      <w:r>
        <w:rPr>
          <w:b/>
        </w:rPr>
        <w:t>Available abstract (not full text):</w:t>
      </w:r>
      <w:r>
        <w:t xml:space="preserve"> How are im/mobilities articulated, imagined and practiced in relation to multiple futures? A critical examination of im/mobilities raises questions as to how power relations and crisis-driven futures enable, inhibit or prevent mobility, what meanings are culturally constructed around im/mobilities and how they are experienced. The contributors to this volume look at entangled future mobilities and immobilities using humanities and social science approaches in diverse examples: Afrofuturist poetry, de-extinction projects, dystopian novels, a Uruguayan planned relocation program, lives of rural Zambian women, climate adaptation in Morocco and Austrian financial literacy policy.</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2023:</w:t>
      </w:r>
      <w:r>
        <w:t xml:space="preserve"> Improving Mobility in Marginalised Communities — https://doi.org/10.3390/futuretransp3040074</w:t>
      </w:r>
    </w:p>
    <w:p>
      <w:pPr/>
      <w:r>
        <w:rPr>
          <w:b/>
        </w:rPr>
        <w:t>Shared claim-specific concepts:</w:t>
      </w:r>
      <w:r>
        <w:t xml:space="preserve"> mobility, need, travel; EU scope not established. This is a provisional connection, not an outcome finding.</w:t>
      </w:r>
    </w:p>
    <w:p>
      <w:pPr>
        <w:pStyle w:val="SourceNote"/>
      </w:pPr>
      <w:r>
        <w:rPr>
          <w:b/>
        </w:rPr>
        <w:t>Available abstract (not full text):</w:t>
      </w:r>
      <w:r>
        <w:t xml:space="preserve"> This paper examines how mobility can be re-examined within four communities that face substantial transport barriers. Four case study communities facing mobility exclusion were investigated: (i) an ageing community in South Wales; (ii) a community of people with learning difficulties from across Wales; (iii) female university students in Pakistan; (iv) a deprived neighbourhood in mid-Wales. Using an illuminative evaluation, collating a variety of information from documents associated with the communities, it was identified that transport creates freedom, independence, and contributes to sense of purpose, worth, and can help create community. Barriers to public transport include inaccessibility of the first/last mile, services not running at required times, being delayed, and cancelled. Barriers to active travel include poor infrastructure. Not being able to be mobile affects health, not just with a lack of active travel but also missed health appointments and a lack of access to healthy foods. Already marginalised communities are further disadvantaged by the barriers reducing access to jobs, education, services, shops, and leisure. Communities want support to develop their knowledge into a package that actors can use to develop a solution, often citing the need for quantitative skills, however, other ways of utilising experiential knowledge might be more appropriate.</w:t>
      </w:r>
    </w:p>
    <w:p>
      <w:pPr>
        <w:pStyle w:val="Heading2"/>
      </w:pPr>
      <w:r>
        <w:t>810.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2026:</w:t>
      </w:r>
      <w:r>
        <w:t xml:space="preserve"> Estimating the Cost of Capital of a Listed Indian Tyre Manufacturer — https://doi.org/10.55041/ijsrem67975</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This paper estimates and interprets the cost of capital of GDS Limited for the last Five financial years (FY2020-21 to FY2024-25) and compares the estimated cost of capital with that of its two direct competitors in the Indian tyre industry viz. CRUISE Tyres Limited and VESP Limited. The cost of equity is calculated applying the Capital Asset Pricing Model with bottom-up beta relevered through the Hamada relationship based on each company's capital structure, as reported in consolidated balance sheets (book value) with a cross-check in the market value in the terminal year; the cost of debt is calculated through reports of finance costs and average interest-bearing borrowings and adjusted for effective tax rate; the cost of equity and cost of debt are combined in a weighted average cost of capital using book-value weights, reported in the consolidated balance sheets, with a cross-check in the market value in the terminal year. Over the five years, GDS's WACC is determined to range between 11.78 per cent to 12.44 per cent with a period average of 12.07 per cent. Two opposing factors contribute to CRUISE’s stability. First, the risk-free rate has fallen and risen during the study period. Second, the capital structure has limited debt to a maximum of 19% of total capital. CRUISE’s peer group reveals that a 40% reduction in debt over a four-year period by CRUISE reduced its WACC to</w:t>
      </w:r>
    </w:p>
    <w:p>
      <w:pPr/>
      <w:r>
        <w:rPr>
          <w:b/>
        </w:rPr>
        <w:t>POSSIBLE 2026:</w:t>
      </w:r>
      <w:r>
        <w:t xml:space="preserve"> Integrating ESG into Capital Budgeting : Development of a Sustainability Capital Budgeting Index — https://openalex.org/W7162715662</w:t>
      </w:r>
    </w:p>
    <w:p>
      <w:pPr/>
      <w:r>
        <w:rPr>
          <w:b/>
        </w:rPr>
        <w:t>Shared claim-specific concepts:</w:t>
      </w:r>
      <w:r>
        <w:t xml:space="preserve"> show, weighted, average, capital, wacc, synthetic; EU scope not established. This is a provisional connection, not an outcome finding.</w:t>
      </w:r>
    </w:p>
    <w:p>
      <w:pPr>
        <w:pStyle w:val="SourceNote"/>
      </w:pPr>
      <w:r>
        <w:rPr>
          <w:b/>
        </w:rPr>
        <w:t>Available abstract (not full text):</w:t>
      </w:r>
      <w:r>
        <w:t xml:space="preserve"> Environmental, social and governance (ESG) performance has become increasingly material to corporate finance, yet its integration into project-level investment appraisal remains limited in practice. Traditional capital budgeting techniques are structurally incapable of capturing non-financial dimensions of value, applying uniform discount rates regardless of sustainability risk, and excluding long-horizon ESG- related liabilities by design. Grounded in agency theory, stakeholder theory, legitimacy theory and the resource-based view, the study is guided by four research questions: what limitations do traditional capital budgeting techniques present; which ESG dimensions are financially material; how can financial and sustainability considerations be integrated into a Sustainability Capital Budgeting Index (SCBI); and whether decisions derived from the SCBI differ materially from conventional NPV. The SCBI embeds ESG pillar coefficients and an environmental intensity penalty into a sustainability-adjusted weighted average cost of capital (WACC). A fixed-effects panel regression is estimated on a synthetic dataset of 1,000 firms across nine industries over ten years, with lagged ESG variables to address reverse causality. Environmental and Governance performance show statistically significant positive associations with financial score. Social performance and Environmental Intensit</w:t>
      </w:r>
    </w:p>
    <w:p>
      <w:pPr/>
      <w:r>
        <w:rPr>
          <w:b/>
        </w:rPr>
        <w:t>POSSIBLE 2026:</w:t>
      </w:r>
      <w:r>
        <w:t xml:space="preserve"> Role of Cost Efficiency, Capital Leverage, and Cost of Capital in Determining Shareholders' Value — https://doi.org/10.28991/esj-2026-010-01-027</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The objective of this research is to explore the impact of cost efficiency, capital leverage, and cost of capital on shareholder value regarding the GCC, a dynamic and inventive economy. Data from 41 banks that were listed on the stock exchange from 2015 to 2023 were collected. The Refinitiv Eikon interface provided bank-level data to achieve the aim of this study. GLS with cross-sectional weight as a panel econometric method was applied. The findings display that cost efficiency has a significant impact on shareholder value in the GCC banking sector. Reduced operational expenses, increased asset utilization, and effective tax planning have a positive effect on shareholders' return. Although financing with debt has a minimal effect on GCC banks' productivity, it is nevertheless important for evaluating the market performance, with DMC possessing a negative effect and DTA holding a positive influence. Moreover, revenue generation and the value of shareholders are all continuously improved by an optimum cost of capital (WACC). The outcomes of this study enrich the current literature by proposing a combined framework for assessing cost efficiency, capital leverage, and cost of capital. It also fills the gap in earlier regional research by providing new perspectives for creating shareholder value in the GCC banking industry.</w:t>
      </w:r>
    </w:p>
    <w:p>
      <w:pPr/>
      <w:r>
        <w:rPr>
          <w:b/>
        </w:rPr>
        <w:t>POSSIBLE 2026:</w:t>
      </w:r>
      <w:r>
        <w:t xml:space="preserve"> Analyst Forecasts and the Cost of Capital: Evidence from Indonesian State-Owned Enterprises — https://doi.org/10.59001/pjeb.v5i1.582</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study investigates the determinants of the Weighted Average Cost of Capital (WACC) for Indonesian State-Owned Enterprises (SOEs) under the Indonesia Investment Authority (BP Danantara), focusing on the interplay between capital market analyst forecasts and macroeconomic factors. Utilizing a quantitative explanatory design, the research employs logistic regression on a pooled dataset of financial and non-financial SOEs. The findings reveal distinct sectoral variations in WACC drivers. For non-financial SOEs, inflation is the sole significant factor, exerting a negative effect. Conversely, for financial SOEs, the debt-to-assets (DTA) ratio, firm size, and interest rates significantly and negatively influence WACC within a robust model. Notably, analyst forecasts do not yield a direct significant effect for either sector. The study concludes that WACC determinants are fundamentally sector-specific: financial SOEs are more sensitive to monetary policy and capital structure, whereas non-financial SOEs are primarily influenced by real economic conditions. These results suggest that financial SOE managers should prioritize capital structure optimization and interest rate responsiveness, while non-financial SOEs must focus on operational efficiency. Academically, this research affirms that fundamental factors, rather than short-term analyst sentiment, remain the primary drivers of</w:t>
      </w:r>
    </w:p>
    <w:p>
      <w:pPr/>
      <w:r>
        <w:rPr>
          <w:b/>
        </w:rPr>
        <w:t>POSSIBLE 2026:</w:t>
      </w:r>
      <w:r>
        <w:t xml:space="preserve"> Relationships between airport centrality and delays in the European air network — https://doi.org/10.3926/jairm.509</w:t>
      </w:r>
    </w:p>
    <w:p>
      <w:pPr/>
      <w:r>
        <w:rPr>
          <w:b/>
        </w:rPr>
        <w:t>Shared claim-specific concepts:</w:t>
      </w:r>
      <w:r>
        <w:t xml:space="preserve"> show, weighted, average, based; EU scope visible. This is a provisional connection, not an outcome finding.</w:t>
      </w:r>
    </w:p>
    <w:p>
      <w:pPr>
        <w:pStyle w:val="SourceNote"/>
      </w:pPr>
      <w:r>
        <w:rPr>
          <w:b/>
        </w:rPr>
        <w:t>Available abstract (not full text):</w:t>
      </w:r>
      <w:r>
        <w:t xml:space="preserve"> Purpose: This study investigates the relationship between the centrality of airports in the European air network and the levels of recorded delays.Design/methodology/approach: This investigation employs a case study of the European air transport network, selecting eight European airports, over the period between 2022 and 2024. Based on official traffic and delay data, adjacency matrices and lists are constructed, and macros are developed to automate data extraction and organization. A new Weighted Betweenness Centrality formula is proposed, specifically adapted to the characteristics of air networks, and punctuality data is aggregated into monthly indicators of average delay and standard deviation for each airport.Findings: The results show that large hubs maintain high Weighted Betweenness Centrality values over time, in line with their structural role in the network. Periods with high delays and peaks of variability are revealed, with frequent parallel evolution between average delay and standard deviation. It is suggested that increased centrality, as a rule, does not necessarily imply a proportional increase in delays, although in airports such as Barcelona (BCN) and Rome (FCO) a clearer trend of increasing average delay and standard deviation with centrality is observed.Research limitations/implications: The time frame, 2022-2024, was defined based on available data, coinc</w:t>
      </w:r>
    </w:p>
    <w:p>
      <w:pPr/>
      <w:r>
        <w:rPr>
          <w:b/>
        </w:rPr>
        <w:t>POSSIBLE 2026:</w:t>
      </w:r>
      <w:r>
        <w:t xml:space="preserve"> Platformed partner markets: online dating and gendered assortative mating in Europe — https://doi.org/10.1080/1369118x.2026.2729550</w:t>
      </w:r>
    </w:p>
    <w:p>
      <w:pPr/>
      <w:r>
        <w:rPr>
          <w:b/>
        </w:rPr>
        <w:t>Shared claim-specific concepts:</w:t>
      </w:r>
      <w:r>
        <w:t xml:space="preserve"> show, weighted, average; EU scope visible. This is a provisional connection, not an outcome finding.</w:t>
      </w:r>
    </w:p>
    <w:p>
      <w:pPr>
        <w:pStyle w:val="SourceNote"/>
      </w:pPr>
      <w:r>
        <w:rPr>
          <w:b/>
        </w:rPr>
        <w:t>Available abstract (not full text):</w:t>
      </w:r>
      <w:r>
        <w:t xml:space="preserve"> Online dating has become a routine infrastructure of intimate life, yet its implications for social sorting remain contested. This study examines whether online dating is associated with gendered assortative mating in Europe. Using harmonised Generations and Gender Survey II data from nine countries, the analysis compares different-sex current unions formed through online dating with unions formed through other meeting modes. Country-specific weighted multinomial logit models estimate average marginal effects for four dimensions of partner sorting: education, age, nativity, and prior parenthood. The results show no uniform pattern of social mixing or homogamy reinforcement. Online dating is associated with lower educational homogamy in Germany, Estonia, the Netherlands, and the UK, but the direction of heterogamy varies, with male-advantaged educational pairing more evident in Austria and the Netherlands and female-advantaged pairing more evident in Denmark and Estonia. Age pairing shows a more consistent pattern: online dating is associated with lower probabilities of female-older unions in several countries, suggesting conventional gendered age-pairing patterns. Nativity provides the clearest evidence of boundary crossing, with online dating linked to lower nativity homogamy in six countries, although this pattern weakens when online dating is compared only with other online </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pStyle w:val="Heading2"/>
      </w:pPr>
      <w:r>
        <w:t>811.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2026:</w:t>
      </w:r>
      <w:r>
        <w:t xml:space="preserve"> Rising dust pollution across Europe in a changing climate [Dataset] — https://doi.org/10.20350/digitalcsic/29045</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distribution, many, higher;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pStyle w:val="Heading2"/>
      </w:pPr>
      <w:r>
        <w:t>812.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2026:</w:t>
      </w:r>
      <w:r>
        <w:t xml:space="preserve"> THE EFFECTS OF DISCOVERY LEARNING AND SELF-REGULATED LEARNING ON INNOVATIVE FUSION CUISINE SKILLS IN CULINARY ARTS EDUCATION — https://doi.org/10.18623/rvd.v23.n4.4504</w:t>
      </w:r>
    </w:p>
    <w:p>
      <w:pPr/>
      <w:r>
        <w:rPr>
          <w:b/>
        </w:rPr>
        <w:t>Shared claim-specific concepts:</w:t>
      </w:r>
      <w:r>
        <w:t xml:space="preserve"> scores, fusion, used; EU scope not established. This is a provisional connection, not an outcome finding.</w:t>
      </w:r>
    </w:p>
    <w:p>
      <w:pPr>
        <w:pStyle w:val="SourceNote"/>
      </w:pPr>
      <w:r>
        <w:rPr>
          <w:b/>
        </w:rPr>
        <w:t>Available abstract (not full text):</w:t>
      </w:r>
      <w:r>
        <w:t xml:space="preserve"> Advancements in culinary arts education emphasize active pedagogical strategies to foster innovative fusion cuisine skills, addressing the global gastronomy sector's demand for cultural amalgamation and technological integration. This study investigates the effects of discovery learning augmented by self-regulated learning (SRL) on students' creative competencies, focusing on digital incorporation in developing regions, to bridge gaps in traditional rote-based programs. A mixed-methods explanatory sequential design was employed with 135 fifth-semester culinary arts students at Universitas Negeri Medan. The quantitative phase used a quasi-experimental setup with block randomization into experimental (discovery learning, n=69) and control (traditional instruction, n=66) groups, assessing SRL via adapted MSLQ surveys and innovative skills through portfolio rubrics. The qualitative phase involved semi-structured interviews with 10 students and 5 instructors, analyzed thematically using NVivo. Discovery learning significantly enhanced SRL indicators and innovative fusion skills (mean scores: 87,5 vs. 74,6 for high SRL), with a notable interaction effect (F(2,129)=4,35, p=0,015, partial η²=0,068). Qualitative themes highlighted increased engagement, creativity (e.g., "Rendang Sushi"), SRL practices, and challenges like resource limitations and digital equity issues. Discovery learnin</w:t>
      </w:r>
    </w:p>
    <w:p>
      <w:pPr/>
      <w:r>
        <w:rPr>
          <w:b/>
        </w:rPr>
        <w:t>POSSIBLE 2026:</w:t>
      </w:r>
      <w:r>
        <w:t xml:space="preserve"> Fusion of Orbital and Surface Data for Air Temperature Estimation in Belém Using Machine Learning — https://doi.org/10.5753/wcama.2026.21200</w:t>
      </w:r>
    </w:p>
    <w:p>
      <w:pPr/>
      <w:r>
        <w:rPr>
          <w:b/>
        </w:rPr>
        <w:t>Shared claim-specific concepts:</w:t>
      </w:r>
      <w:r>
        <w:t xml:space="preserve"> best, skill, data, fusion, observations; EU scope not established. This is a provisional connection, not an outcome finding.</w:t>
      </w:r>
    </w:p>
    <w:p>
      <w:pPr>
        <w:pStyle w:val="SourceNote"/>
      </w:pPr>
      <w:r>
        <w:rPr>
          <w:b/>
        </w:rPr>
        <w:t>Available abstract (not full text):</w:t>
      </w:r>
      <w:r>
        <w:t xml:space="preserve"> This study evaluates fusion strategies between ERA5-Land orbital data and INMET surface observations to estimate daily air temperature in Belém, using data from 1994 to 2024. Different Random Forest models were compared, along with SARIMAX, LSTM, and stacking (SARIMAX and RF). The RF model with multivariate fusion achieved the best performance (RMSE = 0.5157 °C; R2 = 0.708; Skill = 6.19%), reducing bias relative to the orbital baseline, while chronological validation confirmed the temporal stability of RF-based models. The results indicate that, under low equatorial thermal variability, tree-based models are the most robust for satellite–surface fusion and thermal downscaling.</w:t>
      </w:r>
    </w:p>
    <w:p>
      <w:pPr/>
      <w:r>
        <w:rPr>
          <w:b/>
        </w:rPr>
        <w:t>POSSIBLE 2026:</w:t>
      </w:r>
      <w:r>
        <w:t xml:space="preserve"> APPLICATION OF DATA MINING BASED ON IMAGE FEATURE FUSION MODEL IN TEACHING EVALUATION — https://doi.org/10.29121/shodhkosh.v7.i4s.2026.7066</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Nowadays, the modernization of education information is also an inevitable development path, and education management information systems have been widely used. The TQ and comprehensive evaluation of education and classrooms from the perspective of students and teachers. However, the traditional teaching assessment system has imperfect aspects. For example, the content of teaching assessment is too broad and the students' evaluation attitude is not objective, etc., which may cause the teaching assessment to lose its meaning. Using the methods of literature, mathematical statistics and questionnaire, this paper deeply studies the application of data mining theory and Image Feature Fusion technology. An application experiment of data mining based on Image Feature Fusion technology in teaching assessment is designed, established a decision table of key factors affecting teaching assessment, through the data preprocessing process and attribute reduction teaching method, the important factors affecting teaching evaluation are analyzed, preparation before class, etc. Finally, through the analysis of these factors, it is learned that students’ dissatisfaction with the current teaching assessment system accounts for 47.87%, and the dissatisfaction of teachers accounts for 31.28%. Therefore, teachers also should strive to improve their professional skills and teaching quality.</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pStyle w:val="Heading2"/>
      </w:pPr>
      <w:r>
        <w:t>813.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2026:</w:t>
      </w:r>
      <w:r>
        <w:t xml:space="preserve"> Participatory temporal urbanism: Reimagining participatory design, place evolution, and sustainable cities — https://doi.org/10.36922/dp026270030</w:t>
      </w:r>
    </w:p>
    <w:p>
      <w:pPr/>
      <w:r>
        <w:rPr>
          <w:b/>
        </w:rPr>
        <w:t>Shared claim-specific concepts:</w:t>
      </w:r>
      <w:r>
        <w:t xml:space="preserve"> participatory, involving, users, understanding; EU scope not established. This is a provisional connection, not an outcome finding.</w:t>
      </w:r>
    </w:p>
    <w:p>
      <w:pPr>
        <w:pStyle w:val="SourceNote"/>
      </w:pPr>
      <w:r>
        <w:rPr>
          <w:b/>
        </w:rPr>
        <w:t>Available abstract (not full text):</w:t>
      </w:r>
      <w:r>
        <w:t xml:space="preserve"> Public participation has long occupied a central position within planning and design theory. From Arnstein’s seminal work on citizen participation to collaborative planning, co-production, and contemporary participatory design approaches, scholars and practitioners have increasingly recognized the importance of involving citizens and users in shaping urban environments. Despite these advances, participation continues to be understood predominantly as an episodic and project-based activity associated with specific interventions, workshops, or consultation processes. Relatively limited attention has been devoted to the temporal dimensions of participation and to how users, places, meanings, and needs evolve over time. This study argues that time remains one of the least-explored dimensions of participatory planning and design. Building on literature from planning theory, participatory design, commons scholarship, care studies, and emerging work on temporality, the study proposes participatory temporal urbanism as a conceptual framework for understanding participation as an ongoing and evolving relationship rather than as a discrete event. The framework introduces five interrelated dimensions: co-creation, deliberation, co-management, co-adaptation, and co-memory. Drawing on concepts such as stewardship, commoning, maintenance, and care, the study further argues that sustainable u</w:t>
      </w:r>
    </w:p>
    <w:p>
      <w:pPr/>
      <w:r>
        <w:rPr>
          <w:b/>
        </w:rPr>
        <w:t>POSSIBLE 2026:</w:t>
      </w:r>
      <w:r>
        <w:t xml:space="preserve"> Blending a Participatory Approach Into Qualitative Research: Principles and Implementation Steps — https://doi.org/10.35844/001c.167252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Since the 1990s, the authors have been guided in their rigorous qualitative research by a central ethical question: to what extent is it justifiable to collect data solely for academic purposes without contributing to the well-being of the population being studied, particularly vulnerable groups? Based on earlier (participatory) qualitative research publications, the authors describe the blending of a participatory approach into qualitative research. The paper is based on the authors’ earlier and recent additional participatory project experiences, on secondary literature, and on interviews conducted especially for this paper with fellow participatory researchers. All these -global- experiences are included and presented as case studies. The authors elaborate on characteristics and principles of their participatory approach to qualitative research and then distinguish a Participatory Qualitative Research Cycle (ParQRC). This cycle consists of a Participatory Design Cycle, a Qualitative Data Collection and Analysis Cycle, and a Participatory Action Cycle. The different constituting steps, to be taken not in a linear but iterative way, aim at guiding students and researchers and professionals in Participatory Qualitative Research.</w:t>
      </w:r>
    </w:p>
    <w:p>
      <w:pPr>
        <w:pStyle w:val="Heading2"/>
      </w:pPr>
      <w:r>
        <w:t>814.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2026:</w:t>
      </w:r>
      <w:r>
        <w:t xml:space="preserve"> Gender inequalities in high psychological distress vary across European regions and occupational subgroups — https://doi.org/10.1038/s41598-026-54327-0</w:t>
      </w:r>
    </w:p>
    <w:p>
      <w:pPr/>
      <w:r>
        <w:rPr>
          <w:b/>
        </w:rPr>
        <w:t>Shared claim-specific concepts:</w:t>
      </w:r>
      <w:r>
        <w:t xml:space="preserve"> demonstrates, occupational, importance, health, occupations, significant; EU scope visible. This is a provisional connection, not an outcome finding.</w:t>
      </w:r>
    </w:p>
    <w:p>
      <w:pPr>
        <w:pStyle w:val="SourceNote"/>
      </w:pPr>
      <w:r>
        <w:rPr>
          <w:b/>
        </w:rPr>
        <w:t>Available abstract (not full text):</w:t>
      </w:r>
      <w:r>
        <w:t xml:space="preserve"> Gender inequalities in psychological distress have been found in various populations, including occupational groups and countries. There is a lack of studies that compare regions in a uniform operationalisation of distress and integrate occupational groups. 67,641 participants from 36 countries of the European Working Conditions Survey 2021 were analysed. High psychological distress was operationalized using the WHO-5 Well-Being Index. Using predicted probabilities and multilevel regression analysis, gender inequalities between countries, regions and occupational subgroups were calculated. Across most countries, women reported higher psychological distress. The magnitude of gender differences varied between countries, regions and occupations. However, overlapping confidence intervals limit the conclusiveness of the results. When stratifying for both region and occupation type, in the Southern European region and in blue-collar low-skilled occupations gender inequalities were highest. In the significant interaction model, white-collar occupations in Western Europe and blue-collar low-skilled occupations in Southern Europe had the highest gender inequalities. This study demonstrates heterogeneity in the magnitude of gender differences in high psychological distress across Europe and occupational groups. White-collar high-skilled occupations in Western Europe and blue-collar low-s</w:t>
      </w:r>
    </w:p>
    <w:p>
      <w:pPr/>
      <w:r>
        <w:rPr>
          <w:b/>
        </w:rPr>
        <w:t>POSSIBLE 2026:</w:t>
      </w:r>
      <w:r>
        <w:t xml:space="preserve"> Implementing cancer prevention in occupational healthcare: initial insights from occupational healthcare staff in Central and Southern Europe – findings from the CPW project — https://doi.org/10.1186/s12885-026-15607-0</w:t>
      </w:r>
    </w:p>
    <w:p>
      <w:pPr/>
      <w:r>
        <w:rPr>
          <w:b/>
        </w:rPr>
        <w:t>Shared claim-specific concepts:</w:t>
      </w:r>
      <w:r>
        <w:t xml:space="preserve"> occupational, professionals, health; EU scope visible. This is a provisional connection, not an outcome finding.</w:t>
      </w:r>
    </w:p>
    <w:p>
      <w:pPr>
        <w:pStyle w:val="SourceNote"/>
      </w:pPr>
      <w:r>
        <w:rPr>
          <w:b/>
        </w:rPr>
        <w:t>Available abstract (not full text):</w:t>
      </w:r>
      <w:r>
        <w:t xml:space="preserve"> BACKGROUND: Effective primary cancer prevention in occupational health care settings requires strategies tailored to workforce needs and individual risk profiles. Cultural, perceptual, and behavioural factors influence implementation success. Occupational healthcare professionals (OHCPs), with their expertise and regulatory responsibilities, are critical for advancing workplace cancer prevention. This study evaluates the feasibility of primary cancer prevention programs within the Cancer Prevention at Work (CPW) project across Europe from OHCP perspective. METHODS: CPW is a Horizon Europe funded cross-sectional pilot study (2023–2026) conducted in Italy, Romania, Slovakia, and Spain. It focuses on HCV (Hepatitis C Virus) and Hp (Helicobacter pylori) screening and HPV (Human Papillomavirus) counselling among workers. OHCPs involved in program implementation completed a survey assessing their perceptions of the programs, contextual factors, and their professional role in delivery. Responses were recorded on a 5-point Likert scale (1 = strongly disagree, 5 = strongly agree), with higher scores indicating more positive assessments, supportive contexts, and greater OHCP engagement. Data were analysed using descriptive statistics and exploratory analyses. RESULTS: Fifty-five OHCPs completed the survey. Findings suggest that integrating primary cancer prevention into occupational heal</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pStyle w:val="Heading2"/>
      </w:pPr>
      <w:r>
        <w:t>815.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2026:</w:t>
      </w:r>
      <w:r>
        <w:t xml:space="preserve"> SUSTAINABLE BIOFUELS FOR THE DECARBONISATION OF THE TRANSPORT SECTOR IN CITIES — https://doi.org/10.24874/cmvm2026.055</w:t>
      </w:r>
    </w:p>
    <w:p>
      <w:pPr/>
      <w:r>
        <w:rPr>
          <w:b/>
        </w:rPr>
        <w:t>Shared claim-specific concepts:</w:t>
      </w:r>
      <w:r>
        <w:t xml:space="preserve"> decarbonisation, fleet, mobility, vehicles, greenhouse; EU scope not established. This is a provisional connection, not an outcome finding.</w:t>
      </w:r>
    </w:p>
    <w:p>
      <w:pPr>
        <w:pStyle w:val="SourceNote"/>
      </w:pPr>
      <w:r>
        <w:rPr>
          <w:b/>
        </w:rPr>
        <w:t>Available abstract (not full text):</w:t>
      </w:r>
      <w:r>
        <w:t xml:space="preserve"> Decarbonising the transport sector is one of the major challenges in achieving climate neutrality in cities.In addition to high greenhouse gas emissions, this sector has a direct impact on the deterioration of air quality in urban areas.Integrating sustainable biofuels (biodiesel, biomethane, bioethanol, and renewable diesel) is one of the key ways to reduce pollution and achieve carbon neutrality.Modern technologies enable these biofuels to be produced from locally available feedstocks, such as used cooking oil and fats, the organic fraction of municipal waste, sewage sludge, etc.According to 2024 data, a total of 73,016 motor vehicles are registered in Kragujevac, accounting for approximately 30% of the city's final energy consumption.To evaluate the effects of substituting fossil fuels with locally produced alternatives, an analysis was conducted across three key mobility segments: the public transit system, the municipal vehicle fleet, and privately owned vehicles.The research results indicate that the use of sustainable biofuels in suitable blends can significantly reduce CO2 emissions, as well as harmful pollutants.The use of sustainable biofuels represents an important and significant step in the energy transition, contributing to long-term improvements in air quality.</w:t>
      </w:r>
    </w:p>
    <w:p>
      <w:pPr/>
      <w:r>
        <w:rPr>
          <w:b/>
        </w:rPr>
        <w:t>POSSIBLE 2026:</w:t>
      </w:r>
      <w:r>
        <w:t xml:space="preserve"> The Role and Significance of Rail Transport in the Decarbonisation of the EU Transport Sector — https://doi.org/10.3390/smartcities9040064</w:t>
      </w:r>
    </w:p>
    <w:p>
      <w:pPr/>
      <w:r>
        <w:rPr>
          <w:b/>
        </w:rPr>
        <w:t>Shared claim-specific concepts:</w:t>
      </w:r>
      <w:r>
        <w:t xml:space="preserve"> decarbonisation, passenger, expected, share, battery, electric; EU scope visible. This is a provisional connection, not an outcome finding.</w:t>
      </w:r>
    </w:p>
    <w:p>
      <w:pPr>
        <w:pStyle w:val="SourceNote"/>
      </w:pPr>
      <w:r>
        <w:rPr>
          <w:b/>
        </w:rPr>
        <w:t>Available abstract (not full text):</w:t>
      </w:r>
      <w:r>
        <w:t xml:space="preserve"> Globally, the transport sector accounts for almost a quarter of CO2 emissions from fuel combustion and generates large amounts of pollutants, placing significant pressure on the environment and human health. By 2050, the European Green Deal requires a 90% reduction in transport-related emissions, making sustainability necessary across all modes of transport. Based on the relevant literature, this study examines the role and potential of railways in decarbonising the EU transport sector. Railway is highly efficient, consuming just 1.9% of transport sector energy while handling 16.9% of freight and 5.1% of passenger transport in the EU, yet is responsible for only 0.4% of total emissions. According to studies, greenhouse gas emissions can be reduced by improving energy efficiency, using low-carbon or renewable energy, and expanding train electrification. The greatest potential for decarbonisation lies in a modal shift to rail. However, this requires significant infrastructure investment: raising line speeds to at least 160 km/h, expanding networks, building terminals, digitalisation, and alignment with TEN-T standards. Although the EU supports the modal shift with funding programmes, the transition is not progressing as expected—the share of road freight transport increased from 74% in 2013 to 78% in 2023. Stronger investment is needed in Member States’ national policies for the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decarbonisation, electric, together;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pStyle w:val="Heading2"/>
      </w:pPr>
      <w:r>
        <w:t>816.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other, member, states, policies;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Technology transfers within the European defence industry : a transferring firm’s perspective — https://openalex.org/W7132235623</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Defence expenditures and defence equipment procurement have increased within the EU after the Russian attack on Ukraine in 2022. The European Union has launched many initiatives to support collaboration between member states and to increase joint defence equipment acquisitions. Defence equipment procurements have some special features that make it distinctive from other industries. The customer is a government and that government requests, based on security of supply, that the seller of the defence equipment does cooperation with local firms, including technology transfers to local partners. The customer requests that they have the capability to produce, maintain and operate the acquired defence equipment in all conditions, also during the time of crisis. This thesis examines technology transfers within the European defence industry from a transferring firm’s perspective. The main research question of this thesis is: What is the role of technology transfers to a European defence industry firm? That question is answered by examining why European defence industry firms engage in technology transfers and how does the technology transfer process take place. First, a literature review on technology transfer was conducted during which four technology transfer dimensions were identified: 1) the transfer object, 2) the transfer actors, 3) the transfer mechanisms, and 4) the transfer co</w:t>
      </w:r>
    </w:p>
    <w:p>
      <w:pPr/>
      <w:r>
        <w:rPr>
          <w:b/>
        </w:rPr>
        <w:t>POSSIBLE 2026:</w:t>
      </w:r>
      <w:r>
        <w:t xml:space="preserve"> Financial, innovation and fiscal drivers of ecological efficiency across Western and Eastern European Union member states — https://doi.org/10.1007/s44274-026-01111-6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Abstract This study quantifies how green finance, financial development, green technology innovation efficiency and environmental taxes shape ecological efficiency in the European Union, and tests whether these effects differ between Western and Eastern member states. The sample covers all 27 member states over 2000–2023, giving 648 country-year observations. Ecological efficiency is measured by a dynamic slack-based measure model that treats reused water and waste incinerated for energy recovery as carry-overs, and green technology innovation efficiency by a slack-based measure model. The second-stage model regresses the logarithm of ecological efficiency on the logarithms of the four drivers, controlling for trade openness, industrial structure, human development and urbanization, and is estimated by feasible generalized least squares; robustness is assessed by system generalized method of moments, censored and bootstrapped truncated regressions, estimators robust to cross-sectional dependence, and specifications without controls. Mean ecological efficiency is 0.790, with Luxembourg, Germany and Italy highest and Bulgaria, Slovakia and Hungary lowest, and Eastern scores remain persistently below Western scores. Green finance, financial development and environmental taxes raise ecological efficiency in the full sample and in the West, whereas in the East these effects are stat</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pStyle w:val="Heading2"/>
      </w:pPr>
      <w:r>
        <w:t>817.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2026:</w:t>
      </w:r>
      <w:r>
        <w:t xml:space="preserve"> Sustainable Infrastructure Investment: Financial Drivers, Policy Dynamics and Socio-Economic Challenges — https://doi.org/10.61093/sec.10(1).27-41.2026</w:t>
      </w:r>
    </w:p>
    <w:p>
      <w:pPr/>
      <w:r>
        <w:rPr>
          <w:b/>
        </w:rPr>
        <w:t>Shared claim-specific concepts:</w:t>
      </w:r>
      <w:r>
        <w:t xml:space="preserve"> socio-economic, technological, drivers, identified, less, sustainable; EU scope not established. This is a provisional connection, not an outcome finding.</w:t>
      </w:r>
    </w:p>
    <w:p>
      <w:pPr>
        <w:pStyle w:val="SourceNote"/>
      </w:pPr>
      <w:r>
        <w:rPr>
          <w:b/>
        </w:rPr>
        <w:t>Available abstract (not full text):</w:t>
      </w:r>
      <w:r>
        <w:t xml:space="preserve"> Green finance is an important tool that would help in reducing environmental degradation and promoting sustainable development as a means of reducing the burning socio-economic challenges inherent in rapidly urbanizing nations where infrastructure development must align with net zero emissions targets by 2070 to ensure long term ecological balance and economic resilience. Although many advances have been made in regulations and production of renewable energy in India, environmentally friendly financing in the infrastructure sector is not thoroughly studied regarding socio-economic challenges and the specific interaction of financial drivers within this developing economic context leaving a critical research gap for policymakers. This paper determines key determinants that can affect the uptake of green finance by Indian infrastructure companies using primary empirical data to come up with context-dependent information for stakeholders interested in aligning operations with sustainability goals and national developmental priorities. Primary data was gathered in 2025 in India using a structured questionnaire from 54 valid responses obtained from loan disbursement professionals in the banking sector including credit analysts and senior decision-makers across public and private institutions following rigorous data screening procedures and validation. Data analysis was done using SP</w:t>
      </w:r>
    </w:p>
    <w:p>
      <w:pPr/>
      <w:r>
        <w:rPr>
          <w:b/>
        </w:rPr>
        <w:t>POSSIBLE 2026:</w:t>
      </w:r>
      <w:r>
        <w:t xml:space="preserve"> Socio-Economic Drivers of Herpetofauna Resource Utilization Around Hadejia Wetlands National Park, Jigawa State Nigeria — https://doi.org/10.70882/josrar.2026.v3i4.276</w:t>
      </w:r>
    </w:p>
    <w:p>
      <w:pPr/>
      <w:r>
        <w:rPr>
          <w:b/>
        </w:rPr>
        <w:t>Shared claim-specific concepts:</w:t>
      </w:r>
      <w:r>
        <w:t xml:space="preserve"> socio-economic, drivers, management, factors, positive, sustainable; EU scope not established. This is a provisional connection, not an outcome finding.</w:t>
      </w:r>
    </w:p>
    <w:p>
      <w:pPr>
        <w:pStyle w:val="SourceNote"/>
      </w:pPr>
      <w:r>
        <w:rPr>
          <w:b/>
        </w:rPr>
        <w:t>Available abstract (not full text):</w:t>
      </w:r>
      <w:r>
        <w:t xml:space="preserve"> Herpetofauna are among the most endangered vertebrate taxa globally, however ethnobiological data and the socioeconomic drivers influencing its utilization around sub-Saharan regions remain undocumented especially Hadejia Wetlands National Park. This study explored the socio economic inducing factors towards the traditional usage of the Herpetofauna in the study area. Cross sectional survey method was employed for the information was through the aid of structured questionnaires and key-informant interviews in communities neighboring to the park, three hundred (300) copies of questionnaires were administered across the seven (7) sampled communities and the effects of socioeconomic variables on herpetofauna utilization were evaluated using Nominal, and binary logistics regressiona. Ethnozoological findings demonstrated that herpetofauna are extensively utilized for medicinal, nutritional, cultural, and spiritual purposes. The nominal regression results indicated that farmland size was the only variable that significantly influenced herpetofauna utilization at the 5% level of significance (p &lt; 0.05). Specifically, farmland size recorded a positive regression coefficient (B = 0.299) with a statistically significant Wald value (Wald = 9.596, p = 0.002). Utilization patterns were significantly associated with respondents’ education level, occupation, age, and cultural beliefs. The re</w:t>
      </w:r>
    </w:p>
    <w:p>
      <w:pPr/>
      <w:r>
        <w:rPr>
          <w:b/>
        </w:rPr>
        <w:t>POSSIBLE 2026:</w:t>
      </w:r>
      <w:r>
        <w:t xml:space="preserve"> Preserving agrobiodiversity: socio-cultural and economic drivers of landrace conservation in Odisha, India — https://doi.org/10.3389/fsufs.2026.1769950</w:t>
      </w:r>
    </w:p>
    <w:p>
      <w:pPr/>
      <w:r>
        <w:rPr>
          <w:b/>
        </w:rPr>
        <w:t>Shared claim-specific concepts:</w:t>
      </w:r>
      <w:r>
        <w:t xml:space="preserve"> socio-economic, drivers, two, quantitative; EU scope not established. This is a provisional connection, not an outcome finding.</w:t>
      </w:r>
    </w:p>
    <w:p>
      <w:pPr>
        <w:pStyle w:val="SourceNote"/>
      </w:pPr>
      <w:r>
        <w:rPr>
          <w:b/>
        </w:rPr>
        <w:t>Available abstract (not full text):</w:t>
      </w:r>
      <w:r>
        <w:t xml:space="preserve"> Introduction Paddy landraces play a vital role in sustaining agrobiodiversity, climate resilience, and the socio-cultural heritage of farming communities. Odisha is recognized as one of India’s richest regions for traditional rice diversity, with the highest registration of landraces and farmer varieties. Understanding their conservation status and socio-economic importance is essential for designing strategies that strengthen both livelihoods and biodiversity conservation. Methods The study was conducted in Odisha state of India. Odisha ranks first in maximum registration of landraces and farmer varieties. Two regions, western and eastern, were selected, with five villages randomly chosen from each region. For focus group discussions and four-square analysis, 15 custodian farmers were selected from each village, totalling 150 in Odisha. The study evaluates the conservation status and socio-economic significance of paddy landraces across Western and Eastern Odisha using a multi-criteria sampling approach. Four-Square Analysis, Focus Group Discussions, and a Value-Added Quantitative Score (AddValQS) were employed to assess biodiversity patterns and economic significance. Results The research identifies distinct regional biodiversity patterns: Western Odisha maintains a diverse array of specialized varieties (e.g., Kalabati, Kusumkali) valued for medicinal and physiological trait</w:t>
      </w:r>
    </w:p>
    <w:p>
      <w:pPr/>
      <w:r>
        <w:rPr>
          <w:b/>
        </w:rPr>
        <w:t>POSSIBLE 2026:</w:t>
      </w:r>
      <w:r>
        <w:t xml:space="preserve"> Empirical Examination of Socio-Economic Drivers of Migration in Nigeria: The Case of Jigawa State — https://doi.org/10.70861/ujed20260301017</w:t>
      </w:r>
    </w:p>
    <w:p>
      <w:pPr/>
      <w:r>
        <w:rPr>
          <w:b/>
        </w:rPr>
        <w:t>Shared claim-specific concepts:</w:t>
      </w:r>
      <w:r>
        <w:t xml:space="preserve"> socio-economic, drivers, sustainable; EU scope not established. This is a provisional connection, not an outcome finding.</w:t>
      </w:r>
    </w:p>
    <w:p>
      <w:pPr>
        <w:pStyle w:val="SourceNote"/>
      </w:pPr>
      <w:r>
        <w:rPr>
          <w:b/>
        </w:rPr>
        <w:t>Available abstract (not full text):</w:t>
      </w:r>
      <w:r>
        <w:t xml:space="preserve"> Rural-urban migration remains a significant development challenge in many developing countries, including Nigeria. This study examines the socio-economic determinants of rural-urban migration and their implications for rural development in Jigawa South-west, Jigawa State, focusing on the Dutse, Kiyawa, and Miga Local Government Areas. Primary data were collected through structured questionnaires administered to selected respondents. Descriptive statistics and multiple regression analysis were used to analyse the data. The findings show that age, educational attainment, employment opportunities, and marital status significantly influence migration decisions. The study further reveals that migration produces mixed outcomes for rural communities, including labour shortages in agriculture and changes in household income patterns. The paper concludes that improving rural infrastructure, expanding employment opportunities, and strengthening local economic activities can help reduce excessive migration and support sustainable rural development</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pStyle w:val="Heading2"/>
      </w:pPr>
      <w:r>
        <w:t>818.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precipitation, regional,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r>
        <w:rPr>
          <w:b/>
        </w:rPr>
        <w:t>POSSIBLE 2026:</w:t>
      </w:r>
      <w:r>
        <w:t xml:space="preserve"> Revisiting Extreme Precipitation of European Summer 2012: The Role of Atlantic Tropical Storm Debby — https://doi.org/10.3390/meteorology5040035</w:t>
      </w:r>
    </w:p>
    <w:p>
      <w:pPr/>
      <w:r>
        <w:rPr>
          <w:b/>
        </w:rPr>
        <w:t>Shared claim-specific concepts:</w:t>
      </w:r>
      <w:r>
        <w:t xml:space="preserve"> projections, precipitation, over, continent, climate; EU scope visible. This is a provisional connection, not an outcome finding.</w:t>
      </w:r>
    </w:p>
    <w:p>
      <w:pPr>
        <w:pStyle w:val="SourceNote"/>
      </w:pPr>
      <w:r>
        <w:rPr>
          <w:b/>
        </w:rPr>
        <w:t>Available abstract (not full text):</w:t>
      </w:r>
      <w:r>
        <w:t xml:space="preserve"> The summer of 2012 in Europe was characterized by sharp contrasts in precipitation. The United Kingdom recorded its wettest summer season (June–August) since 1912. Spain faced drought and wildfires, as summer precipitation levels there were the second lowest in the last 60 years. These anomalies demonstrate an unexpectedly rapid northward shift of the precipitation zone across Europe. The shift contradicted, however, prevailing climate change projections, according to which severe summer drying across the continent and a slower trend toward increased wetting of northern Europe have been expected. The physical mechanisms responsible for the extreme trend remain not clear. It is worth noting that a significant part of 2012 summer precipitation occurred from mid-June to mid-July. Hurricane Chris and Tropical Storm Debby also formed in the North Atlantic in June of that year. This paper presents evidence that the extreme climate behavior of the summer of 2012 and the anomalous summer precipitation distribution in Europe could have been largely determined by the intense transport of moist air from the tropical Atlantic associated with the formation of Tropical Storm Debby, which should be considered among the main drivers of intense flooding events over northwestern and southeastern Europe during the 2012 summer season.</w:t>
      </w:r>
    </w:p>
    <w:p>
      <w:pPr/>
      <w:r>
        <w:rPr>
          <w:b/>
        </w:rPr>
        <w:t>POSSIBLE 2026:</w:t>
      </w:r>
      <w:r>
        <w:t xml:space="preserve"> ClimRisk.eu: Regional climate projections for Europe — https://doi.org/10.5194/ems2026-518</w:t>
      </w:r>
    </w:p>
    <w:p>
      <w:pPr/>
      <w:r>
        <w:rPr>
          <w:b/>
        </w:rPr>
        <w:t>Shared claim-specific concepts:</w:t>
      </w:r>
      <w:r>
        <w:t xml:space="preserve"> projections, precipitation, ensemble, resolution, regional, climate;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Ensemble boosting of extreme precipitation in the Alps — https://doi.org/10.5194/egusphere-egu26-10755</w:t>
      </w:r>
    </w:p>
    <w:p>
      <w:pPr/>
      <w:r>
        <w:rPr>
          <w:b/>
        </w:rPr>
        <w:t>Shared claim-specific concepts:</w:t>
      </w:r>
      <w:r>
        <w:t xml:space="preserve"> projections, precipitation, extremes, ensemble, resolution, climate; EU scope visible. This is a provisional connection, not an outcome finding.</w:t>
      </w:r>
    </w:p>
    <w:p>
      <w:pPr>
        <w:pStyle w:val="SourceNote"/>
      </w:pPr>
      <w:r>
        <w:rPr>
          <w:b/>
        </w:rPr>
        <w:t>Available abstract (not full text):</w:t>
      </w:r>
      <w:r>
        <w:t xml:space="preserve"> The Alps, with their complex topography, important geographic location and varying climatic influences have become a highly vulnerable region. Especially extreme precipitation and its associated impacts - from floods to landslides - are directly amplified by this distinct local environment.Because observational timeseries are rather short and sample only limited locations, the impact-producing extreme tail of the precipitation distribution remains largely unexplored. In addition, the non-stationarity of the climate system makes data from a past climate less useful for gaining insights into current and future conditions. Coarse resolution global climate models can be used to produce long simulations including rare extreme events, but important processes such as topographic forcing and deep convection are poorly resolved, which limits physical interpretability. A different approach is needed to produce robust and actionable climate information on the local scales required for stress testing, early warning, adaptation and risk mitigation.We suggest expanding the method of Ensemble Boosting into the realm of high-resolution modeling. We employ a global ICON setup with 10-20 km grid spacing with a two-way nested kilometer-scale European domain. Our initial goal is to simulate the 2013 Northern Alps flooding using ERA5 initial conditions. We asses lead time sensitivities for reinitia</w:t>
      </w:r>
    </w:p>
    <w:p>
      <w:pPr/>
      <w:r>
        <w:rPr>
          <w:b/>
        </w:rPr>
        <w:t>POSSIBLE 2026:</w:t>
      </w:r>
      <w:r>
        <w:t xml:space="preserve"> Future Changes in Severe Frontal Precipitation Events over Europe and Their Drivers — https://doi.org/10.5194/egusphere-2026-1712</w:t>
      </w:r>
    </w:p>
    <w:p>
      <w:pPr/>
      <w:r>
        <w:rPr>
          <w:b/>
        </w:rPr>
        <w:t>Shared claim-specific concepts:</w:t>
      </w:r>
      <w:r>
        <w:t xml:space="preserve"> projections, precipitation, extremes, over, regional, climate; EU scope visible. This is a provisional connection, not an outcome finding.</w:t>
      </w:r>
    </w:p>
    <w:p>
      <w:pPr>
        <w:pStyle w:val="SourceNote"/>
      </w:pPr>
      <w:r>
        <w:rPr>
          <w:b/>
        </w:rPr>
        <w:t>Available abstract (not full text):</w:t>
      </w:r>
      <w:r>
        <w:t xml:space="preserve"> Abstract. Atmospheric fronts are closely linked to extreme precipitation across the mid-latitudes, which is projected to intensify in many regions under global warming. Understanding the physical drivers of these changes is essential to improve confidence in climate projections. Here, we analyze projected changes in seasonal heavy and extreme frontal precipitation events over Europe using the CMIP6 and EURO-CORDEX ensembles, combining event frequency analysis with frontal composite cross-sections to assess the changes of the underlying thermodynamic and dynamic processes. We find that the number of heavy frontal precipitation events increases by up to 50 % per degree of global warming, while extreme events are projected to more than double per degree. Large-scale circulation changes account for most regional reductions in frontal extremes, but contribute only weakly to the widespread increases. Thermodynamic changes, however, dominate the intensification of extremes. Increases in specific humidity are the primary driver of more intense events, while changes in the frontal circulation are minimal, likely because a more stable atmosphere counteracts potential strengthening from enhanced latent heat release.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pStyle w:val="Heading2"/>
      </w:pPr>
      <w:r>
        <w:t>819.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2026:</w:t>
      </w:r>
      <w:r>
        <w:t xml:space="preserve"> United Kingdom — https://doi.org/10.1007/978-3-032-12610-8_7</w:t>
      </w:r>
    </w:p>
    <w:p>
      <w:pPr/>
      <w:r>
        <w:rPr>
          <w:b/>
        </w:rPr>
        <w:t>Shared claim-specific concepts:</w:t>
      </w:r>
      <w:r>
        <w:t xml:space="preserve"> united, kingdom, emissions, within, framework; EU scope visible. This is a provisional connection, not an outcome finding.</w:t>
      </w:r>
    </w:p>
    <w:p>
      <w:pPr>
        <w:pStyle w:val="SourceNote"/>
      </w:pPr>
      <w:r>
        <w:rPr>
          <w:b/>
        </w:rPr>
        <w:t>Available abstract (not full text):</w:t>
      </w:r>
      <w:r>
        <w:t xml:space="preserve"> This chapter examines climate policy efforts across four UK jurisdictions that joined the Under2 Coalition at different timepoints: founding member Wales, early joiner Scotland, and later joiners Northern Ireland and Isle of Man. Operating within the UK’s constitutionally asymmetric devolution framework, these subnational entities demonstrate varied climate leadership trajectories shaped by differential legislative powers, political contexts, and institutional capacities. Wales exhibits normative and cognitive leadership through pioneering an innovative intergenerational approach to climate action despite constitutional entanglement with English law limiting implementation capacity. Scotland, though only an early Under2 Coalition joiner, demonstrates the strongest climate ambition of all nations, driven by independence aspirations and serving as European Under2 Coalition co-chair, though recent difficulties in meeting the GHG emissions reduction target prompted the adoption of carbon budgets. Northern Ireland’s delayed policy-based climate action reflects post-conflict recovery priorities and repeated Assembly suspensions, while Isle of Man exemplifies followership through policy emulation and reliance on external expertise. The findings reveal mixed support for our two propositions regarding founding member advantages, highlighting how constitutional autonomy and political sta</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pStyle w:val="Heading2"/>
      </w:pPr>
      <w:r>
        <w:t>820.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training, two, account;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2026:</w:t>
      </w:r>
      <w:r>
        <w:t xml:space="preserve"> Training Practices and Organisational Citizenship Behaviour in The Informal Sector in Nigeria — https://doi.org/10.64388/irev9i11-1717234</w:t>
      </w:r>
    </w:p>
    <w:p>
      <w:pPr/>
      <w:r>
        <w:rPr>
          <w:b/>
        </w:rPr>
        <w:t>Shared claim-specific concepts:</w:t>
      </w:r>
      <w:r>
        <w:t xml:space="preserve"> four, regarding, training, developed, design, driving; EU scope not established. This is a provisional connection, not an outcome finding.</w:t>
      </w:r>
    </w:p>
    <w:p>
      <w:pPr>
        <w:pStyle w:val="SourceNote"/>
      </w:pPr>
      <w:r>
        <w:rPr>
          <w:b/>
        </w:rPr>
        <w:t>Available abstract (not full text):</w:t>
      </w:r>
      <w:r>
        <w:t xml:space="preserve"> The informal sector serves as a structural cornerstone of both developed and emerging labour markets, functioning as a primary engine for global employment generation, socioeconomic survival, and macroeconomic expansion. However, despite the systemic importance of informal work, scholarly inquiry remains disproportionately focused on formal institutions. There exists a significant empirical gap regarding how human capital development influences employee attitudinal and behavioral outcomes within the informal economy-specifically in Nigeria, a context defined by a vast and heterogeneous informal workforce. To address this gap, the present study investigates the effect of training practices on Organizational Citizenship Behavior (OCB) in selected bread production business in Akungba-Akoko, Ondo State. Adopting a cross-sectional survey design and a census sampling approach, the study gathered data from 30 respondents, comprising managers and employees across four selected bread-making enterprises. The data were subjected to rigorous descriptive and inferential statistical analysis to determine the predictive power of training practices. The findings reveal that, in aggregate, training practices constitute a significant predictor of helping behavior among employees (R2 = 0.249 (F-val. = 8.048, p &lt; 0.005). However, a more granular examination of specific modalities suggests that the</w:t>
      </w:r>
    </w:p>
    <w:p>
      <w:pPr/>
      <w:r>
        <w:rPr>
          <w:b/>
        </w:rPr>
        <w:t>POSSIBLE 2026:</w:t>
      </w:r>
      <w:r>
        <w:t xml:space="preserve"> Placebo and nocebo in clinical practice: An online cross-sectional survey of healthcare professionals from European countries on views, practices and training needs — https://doi.org/10.1371/journal.pone.0338905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BACKGROUND: Placebo and nocebo effects significantly influence health outcomes, yet healthcare professionals receive limited training and guidance on their mechanisms and clinical application, creating a gap in education and practical understanding. Conducted within the European PANACEA Consortium, this study evaluated healthcare professionals' knowledge, attitudes, and practices regarding placebo and nocebo effects, and assessed their needs in further education. METHODS: An online cross-sectional survey among a European multi-country convenience sample of healthcare professionals collected data assessing participants' knowledge, perceptions, and experiences regarding placebo and nocebo effects; their application and ethical considerations in clinical practice; and investigated educational needs and interest in further training. Quantitative data were analyzed using descriptive statistics, and thematic analysis was applied to the free-text responses. RESULTS: Amongst 807 participants, 71.7% reported taking advantage of placebo effects in their practice, and over half of participants (55.8%) observing nocebo effects. Participants reported feeling somewhat confident (53.3%) in harnessing placebo effects with 47.5% feeling confident in preventing nocebo effects. The majority of respondents had not received formal training on placebo and nocebo effects, with most expressing an inte</w:t>
      </w:r>
    </w:p>
    <w:p>
      <w:pPr/>
      <w:r>
        <w:rPr>
          <w:b/>
        </w:rPr>
        <w:t>POSSIBLE 2026:</w:t>
      </w:r>
      <w:r>
        <w:t xml:space="preserve"> Attitudes and practices of veterinarians regarding feline pain management in Western vs Eastern Europe — https://doi.org/10.1177/1098612x261484766</w:t>
      </w:r>
    </w:p>
    <w:p>
      <w:pPr/>
      <w:r>
        <w:rPr>
          <w:b/>
        </w:rPr>
        <w:t>Shared claim-specific concepts:</w:t>
      </w:r>
      <w:r>
        <w:t xml:space="preserve"> regarding, practice, developed; EU scope visible. This is a provisional connection, not an outcome finding.</w:t>
      </w:r>
    </w:p>
    <w:p>
      <w:pPr>
        <w:pStyle w:val="SourceNote"/>
      </w:pPr>
      <w:r>
        <w:rPr>
          <w:b/>
        </w:rPr>
        <w:t>Available abstract (not full text):</w:t>
      </w:r>
      <w:r>
        <w:t xml:space="preserve"> OBJECTIVES: This study aimed to report and compare attitudes and practices of veterinarians regarding feline pain management in Eastern and Western Europe. METHODS: A questionnaire was developed and divided into demographic data, drug availability/administration, and pain management practices. The questionnaire went through content and face validity and was translated into several languages. An internet-based survey was created, and responses were collected using a convenience sampling method. Data were analyzed using multiple correspondence analysis. RESULTS: In total, 833 participants from Europe were included. Most respondents indicated good knowledge of acute pain assessment and recognition (n = 478, 57.4%). The Feline Grimace Scale was the most commonly used instrument to assess acute pain (n = 346, 41.5%). Chronic pain scoring instruments were not used by 48.5% (n = 404) of participants. Meloxicam and robenacoxib were the most used non-steroidal anti-inflammatory drugs (NSAIDs) for chronic pain management. Limited knowledge of pain assessment, non-use of NSAIDs in cats undergoing surgery, and postoperative use of opioids were more closely associated with Eastern than Western Europe. Reported good knowledge of pain management, pre- and intraoperative use of NSAIDs, use of pain scales and preoperative opioids, having a specialty diploma, and working in a cat-friendly practi</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2025:</w:t>
      </w:r>
      <w:r>
        <w:t xml:space="preserve"> Operational Practices and Related Issues Regarding Intellectual Property Education and Training at Selected Universities in Zimbabwe — https://doi.org/10.6017/ijahe.v12i1.20767</w:t>
      </w:r>
    </w:p>
    <w:p>
      <w:pPr/>
      <w:r>
        <w:rPr>
          <w:b/>
        </w:rPr>
        <w:t>Shared claim-specific concepts:</w:t>
      </w:r>
      <w:r>
        <w:t xml:space="preserve"> four, regarding, training; EU scope not established. This is a provisional connection, not an outcome finding.</w:t>
      </w:r>
    </w:p>
    <w:p>
      <w:pPr>
        <w:pStyle w:val="SourceNote"/>
      </w:pPr>
      <w:r>
        <w:rPr>
          <w:b/>
        </w:rPr>
        <w:t>Available abstract (not full text):</w:t>
      </w:r>
      <w:r>
        <w:t xml:space="preserve"> The quality of an Intellectual Property (IP) educational programme largely depends on the level of experience and interest of the IP educator. However, in most universities in Zimbabwe there seems to be operational glitches since IP education and training is conducted in diﬀerent disciplines and mostly by staﬀ without practical skills nor prior technical background in IP. The study sought to investigate the operational practices in relation to IP education and training within the universities. A survey of four universities was carried out with a sample of lecturers (692), research ofcers (4), IP ofcer (1), and faculty librarians (4). Questionnaires were administered to the lecturers while interviews were administered to the IP ofcer, research ofcers and faculty librarians. The questionnaire response rate was 52.9% (366 lecturers) while all the nine selected participants were interviewed. The results indicated that 147 (40%) lecturers were unaware of departments responsible for IP education and training within their universities. The interview results suggested that the IP ofce, the library, the research ofce and teaching departments were responsible for IP education and training in the universities.</w:t>
      </w:r>
    </w:p>
    <w:p>
      <w:pPr/>
      <w:r>
        <w:rPr>
          <w:b/>
        </w:rPr>
        <w:t>POSSIBLE 2025:</w:t>
      </w:r>
      <w:r>
        <w:t xml:space="preserve"> Problem-Based Learning in the Disciplines of Applied Genetics, General Chemistry and Inorganic Chemistry — https://doi.org/10.56147/jbhs.2.4.60</w:t>
      </w:r>
    </w:p>
    <w:p>
      <w:pPr/>
      <w:r>
        <w:rPr>
          <w:b/>
        </w:rPr>
        <w:t>Shared claim-specific concepts:</w:t>
      </w:r>
      <w:r>
        <w:t xml:space="preserve"> four, regarding, chemistry, training, developed, two; EU scope not established. This is a provisional connection, not an outcome finding.</w:t>
      </w:r>
    </w:p>
    <w:p>
      <w:pPr>
        <w:pStyle w:val="SourceNote"/>
      </w:pPr>
      <w:r>
        <w:rPr>
          <w:b/>
        </w:rPr>
        <w:t>Available abstract (not full text):</w:t>
      </w:r>
      <w:r>
        <w:t xml:space="preserve"> The research analyzed the application of the problem-based learning method in the disciplines of Applied genetics, general chemistry and inorganic chemistryat two higher education institutions in Benguela, Angola, over four consecutive academic years, highlighting how this methodology can contribute to improving learning and developing integrative skills. The study followed a mixed methods research format and used document analysis, participant observationanda questionnaire. The results revealed that the problem-based learning method contributes to developing students’ ability to analyzeand interpret concrete situations, encourages teamwork, integrates theory, research, practiceandreal-world aspects and requires the mobilization of diverse basic knowledge and skills and the integration of competencies. The results also demonstrated that this methodology effectively contributes to the training profile defined for the courses studied. This study is part of a program that has been developed within the scope of the challenges facing higher education in Angola, regarding the current perspectives of science teaching that prioritize problem-based learning with a view to building knowledge and developing integrative skills.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pStyle w:val="Heading2"/>
      </w:pPr>
      <w:r>
        <w:t>821.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2025:</w:t>
      </w:r>
      <w:r>
        <w:t xml:space="preserve"> OPPORTUNITIES OF TRANSBOUNDARY ENVIRONMENTAL COOPERATION IN THE CONTEXT OF THE EUROPEAN INTEGRATION AND POST-WAR GREEN RECOVERY OF UKRAINE — https://doi.org/10.17721/1728-2721.2025.92-93.5</w:t>
      </w:r>
    </w:p>
    <w:p>
      <w:pPr/>
      <w:r>
        <w:rPr>
          <w:b/>
        </w:rPr>
        <w:t>Shared claim-specific concepts:</w:t>
      </w:r>
      <w:r>
        <w:t xml:space="preserve"> cooperation, countries, help; EU scope visible. This is a provisional connection, not an outcome finding.</w:t>
      </w:r>
    </w:p>
    <w:p>
      <w:pPr>
        <w:pStyle w:val="SourceNote"/>
      </w:pPr>
      <w:r>
        <w:rPr>
          <w:b/>
        </w:rPr>
        <w:t>Available abstract (not full text):</w:t>
      </w:r>
      <w:r>
        <w:t xml:space="preserve"> Background. The article emphasizes the relevance of transboundary environmental cooperation for Ukraine in the context of new reality caused by Russian aggression: accelerated integration into the European Union (EU) against the backdrop of recovery process. Given Ukraine's geopolitical location and shared borders with 4 EU countries (Poland, Slovakia, Hungary and Romania) and 1 EU candidate (Moldova), transboundary cooperation presents significant opportunities. Methods. The following methods were employed in this study: analysis, synthesis, observation, and comparison to identify current trends and model prospects of environmental transboundary cooperation. Results. It was analyzed the state of Ukraine's transboundary environmental cooperation before the war. The role of Euroregions established with 4 EU neighboring countries and Moldova ("Carpathians," "Bug," "Upper Prut," and "Dniester") and the European Grouping of Territorial Cooperation (EGTC) with Hungary ("Tisza") as organizational forms of cooperation for implementing joint ecological initiatives is highlighted. The study examines the impact of Russia’s full-scale invasion on transboundary environmental collaboration, including shifts in priorities, emerging challenges, and, at the same time, new opportunities for cross-border environmental partnerships. The new opportunities are considered in the context of recovery </w:t>
      </w:r>
    </w:p>
    <w:p>
      <w:pPr/>
      <w:r>
        <w:rPr>
          <w:b/>
        </w:rPr>
        <w:t>POSSIBLE 2025:</w:t>
      </w:r>
      <w:r>
        <w:t xml:space="preserve"> Knowledge and entrepreneurship propensity in Central European countries: An analysis in universities — https://doi.org/10.1016/j.jik.2025.100758</w:t>
      </w:r>
    </w:p>
    <w:p>
      <w:pPr/>
      <w:r>
        <w:rPr>
          <w:b/>
        </w:rPr>
        <w:t>Shared claim-specific concepts:</w:t>
      </w:r>
      <w:r>
        <w:t xml:space="preserve"> support, countries; EU scope visible. This is a provisional connection, not an outcome finding.</w:t>
      </w:r>
    </w:p>
    <w:p>
      <w:pPr>
        <w:pStyle w:val="SourceNote"/>
      </w:pPr>
      <w:r>
        <w:rPr>
          <w:b/>
        </w:rPr>
        <w:t>Available abstract (not full text):</w:t>
      </w:r>
      <w:r>
        <w:t xml:space="preserve"> The motives for starting a business among university students represent a current and important topic of scientific research. A key scientific premise of this approach is that significant research has demonstrated the importance of entrepreneurial activities by university-educated entrepreneurs in contributing to economic and social development worldwide. This study aims to identify the key factors that determine the propensity of university students to engage in entrepreneurship in selected Central European countries and to present a comprehensive model. The empirical research, focused on investigating university students’ attitudes towards entrepreneurial opportunities, was conducted in the V4 countries (Slovakia, Hungary, Poland, and the Czech Republic) between March and June 2024. The research included 2310 respondents, defined as students currently studying at higher education institutions providing economic-social, university, or college education. Data collection was conducted using Google Forms. Structural equation modelling (SEM) was used to evaluate the statistical hypotheses. The strongest influence on university students’ propensity to engage in entrepreneurship was demonstrated by government support for entrepreneurship. The second most significant factor was the quality of the macroeconomic environment, followed by access to external financing. The final statistic</w:t>
      </w:r>
    </w:p>
    <w:p>
      <w:pPr/>
      <w:r>
        <w:rPr>
          <w:b/>
        </w:rPr>
        <w:t>POSSIBLE 2025:</w:t>
      </w:r>
      <w:r>
        <w:t xml:space="preserve"> Medical ‘othering’: qualitative evidence synthesis of health services experiences among women affected by female genital mutilation/cutting in Europe — https://doi.org/10.1101/2025.08.13.25333558</w:t>
      </w:r>
    </w:p>
    <w:p>
      <w:pPr/>
      <w:r>
        <w:rPr>
          <w:b/>
        </w:rPr>
        <w:t>Shared claim-specific concepts:</w:t>
      </w:r>
      <w:r>
        <w:t xml:space="preserve"> support, countries, affected; EU scope visible. This is a provisional connection, not an outcome finding.</w:t>
      </w:r>
    </w:p>
    <w:p>
      <w:pPr>
        <w:pStyle w:val="SourceNote"/>
      </w:pPr>
      <w:r>
        <w:rPr>
          <w:b/>
        </w:rPr>
        <w:t>Available abstract (not full text):</w:t>
      </w:r>
      <w:r>
        <w:t xml:space="preserve"> ABSTRACT Migration from countries with high female genital mutilation/cutting (FGM/C) prevalence to Europe has increased attention to health services needs and support for affected women. We explored literature on this foregrounding affected women’s voices, including 37 sources of 11,662 identified. Our findings are synthesised in three themes: medical ‘othering,’ challenged communication, and migration implications. Migrant women affected by FGM/C often struggled navigating health systems that were inflexible to their needs, with health providers often highlighting cultural differences instead of focusing on their health needs in potentially traumatic ways. Women also described feeling torn between conflicting FGM/C cultural norms, their health, and care practices in Europe.</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2024:</w:t>
      </w:r>
      <w:r>
        <w:t xml:space="preserve"> On International Cooperation — https://doi.org/10.3386/w33161</w:t>
      </w:r>
    </w:p>
    <w:p>
      <w:pPr/>
      <w:r>
        <w:rPr>
          <w:b/>
        </w:rPr>
        <w:t>Shared claim-specific concepts:</w:t>
      </w:r>
      <w:r>
        <w:t xml:space="preserve"> cooperation, countries, over; EU scope not established. This is a provisional connection, not an outcome finding.</w:t>
      </w:r>
    </w:p>
    <w:p>
      <w:pPr>
        <w:pStyle w:val="SourceNote"/>
      </w:pPr>
      <w:r>
        <w:rPr>
          <w:b/>
        </w:rPr>
        <w:t>Available abstract (not full text):</w:t>
      </w:r>
      <w:r>
        <w:t xml:space="preserve"> A simple dynamic game is used for analyzing international environmental problems and climate agreements.Different countries are, over time, emitting as well as investing in green technology.In this framework, we can analyze the business-as-usual outcome, short vs. long term agreements, self-enforcing agreements, participation, compliance, alternative designs, and the development from the Kyoto Protocol to the Paris Agreement.The text should be accessible to students at any level.</w:t>
      </w:r>
    </w:p>
    <w:p>
      <w:pPr>
        <w:pStyle w:val="Heading2"/>
      </w:pPr>
      <w:r>
        <w:t>822.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2026:</w:t>
      </w:r>
      <w:r>
        <w:t xml:space="preserve"> Does policy matter : A study on the Swedish energy policy with a focus on nuclear power — https://openalex.org/W7134996966</w:t>
      </w:r>
    </w:p>
    <w:p>
      <w:pPr/>
      <w:r>
        <w:rPr>
          <w:b/>
        </w:rPr>
        <w:t>Shared claim-specific concepts:</w:t>
      </w:r>
      <w:r>
        <w:t xml:space="preserve"> nuclear, power, reactors, within, events, question; EU scope visible. This is a provisional connection, not an outcome finding.</w:t>
      </w:r>
    </w:p>
    <w:p>
      <w:pPr>
        <w:pStyle w:val="SourceNote"/>
      </w:pPr>
      <w:r>
        <w:rPr>
          <w:b/>
        </w:rPr>
        <w:t>Available abstract (not full text):</w:t>
      </w:r>
      <w:r>
        <w:t xml:space="preserve"> This master’s thesis examines the relationship between Swedish energy policy and its impact on the energy market, with a particular focus on the nuclear power sector. The central research question addressed is: "To what extent do political decisions influence the energy sector?" Through an in-depth analysis of historical data, policy frameworks, and market dynamics, the study investigates how political decisions shape the operational outcomes, (e.g. Real-life decision, running operations and investments) particularly concerning nuclear power in Sweden. The research is framed by a statement made by Sweden’s former Minister for Climate and Environment in 2022, which claimed that the decision to close reactors at the Ringhals nuclear power plant was driven solely by market forces rather than governmental policy changes. This assertion serves as a focal point for exploring the interplay between political decisions and market mechanisms (e.g. How the market behaves upon political decisions) in shaping energy outcomes. The thesis also delves into historical events related to nuclear power on a global scale and their influence on global public opinion and safety considerations within the nuclear industry and in particular how these opinions have been considered from a Swedish perspective. A comparative analysis with France is undertaken, as both Sweden and France embarked on ambitious</w:t>
      </w:r>
    </w:p>
    <w:p>
      <w:pPr/>
      <w:r>
        <w:rPr>
          <w:b/>
        </w:rPr>
        <w:t>POSSIBLE 2026:</w:t>
      </w:r>
      <w:r>
        <w:t xml:space="preserve"> India’s Nuclear Status: Policy, Power and Projection in 1974 — https://openalex.org/W7218061616</w:t>
      </w:r>
    </w:p>
    <w:p>
      <w:pPr/>
      <w:r>
        <w:rPr>
          <w:b/>
        </w:rPr>
        <w:t>Shared claim-specific concepts:</w:t>
      </w:r>
      <w:r>
        <w:t xml:space="preserve"> nuclear, power, drivers, conditions; EU scope not established. This is a provisional connection, not an outcome finding.</w:t>
      </w:r>
    </w:p>
    <w:p>
      <w:pPr>
        <w:pStyle w:val="SourceNote"/>
      </w:pPr>
      <w:r>
        <w:rPr>
          <w:b/>
        </w:rPr>
        <w:t>Available abstract (not full text):</w:t>
      </w:r>
      <w:r>
        <w:t xml:space="preserve"> India’s nuclear programme can trace its origin to March 1944 and its three-stage efforts in technology were established by Homi Jehangir Bhabha when he founded the nuclear research centre, the Tata Institute of Fundamental Research. After independence, the most distinguished feature of Indian nuclear policy has been determination to be selfreliant and retain a wide measure of autonomy in nuclear matters and the main drivers of India’s nuclear posture are its geopolitical competition with China, and its simmering rivalry with Pakistan which has influenced India’s international security conditions and gradually encouraged the development of nuclear programme. India’s nuclear weapons are deeply rooted in the 1962 humiliation, which was followed two years later by its first nuclear test in 1964. It necessitated the development of India’s nuclear programme to deter another attack by China and finally the former began a designed work in 1965 which culminated in publicly demonstrating India’s nuclear capability through the peaceful nuclear explosion of 1974. The paper analyses systematically the development of India’s nuclear policy, power and expression in its nuclear test.</w:t>
      </w:r>
    </w:p>
    <w:p>
      <w:pPr/>
      <w:r>
        <w:rPr>
          <w:b/>
        </w:rPr>
        <w:t>POSSIBLE 2026:</w:t>
      </w:r>
      <w:r>
        <w:t xml:space="preserve"> Structural Dependence and Attitudinal Divergence: A Comparative Analysis of Nuclear Power Acceptance between Highly- and Lowly-Nuclear-Power-Dependent Countries in Europe — https://doi.org/10.31637/epsir-2026-2972</w:t>
      </w:r>
    </w:p>
    <w:p>
      <w:pPr/>
      <w:r>
        <w:rPr>
          <w:b/>
        </w:rPr>
        <w:t>Shared claim-specific concepts:</w:t>
      </w:r>
      <w:r>
        <w:t xml:space="preserve"> nuclear, power, electricity; EU scope visible. This is a provisional connection, not an outcome finding.</w:t>
      </w:r>
    </w:p>
    <w:p>
      <w:pPr>
        <w:pStyle w:val="SourceNote"/>
      </w:pPr>
      <w:r>
        <w:rPr>
          <w:b/>
        </w:rPr>
        <w:t>Available abstract (not full text):</w:t>
      </w:r>
      <w:r>
        <w:t xml:space="preserve"> Introduction: Nuclear energy remains one of the most contested energy sources globally, and public acceptance is critical for energy policymakers. This study addresses a gap in the literature by comparing public acceptance between Highly-Nuclear-Power-Dependent Countries (HNPDCs) and Lowly-Nuclear-Power-Dependent Countries (LNPDCs) in Europe. Methodology: Using Eurobarometer 72.2 data (2009, N = 26,663; 27 EU member states), we conducted OLS regression analyses for each group, supplemented by country-level macro-indicator comparisons. HNPDCs are defined as countries where nuclear power exceeds 30% of total electricity production. Results: Perceived benefit and trust are the strongest positive predictors of nuclear acceptance; perceived risk exerts the strongest negative effect in both groups. In HNPDCs, proximity to a nuclear facility and self-assessed information level significantly predict acceptance; in LNPDCs, educational attainment plays a more prominent role. Discussion: Nuclear dependency shapes distinct cognitive pathways for attitude formation. HNPDCs exhibit higher acceptance, higher perceived risk and benefit, and stronger trust, yet also greater organized environmental opposition. Conclusions: Nuclear dependency shapes both the level and determinant structure of public attitudes, with important implications for context-sensitive energy communication strategies.</w:t>
      </w:r>
    </w:p>
    <w:p>
      <w:pPr/>
      <w:r>
        <w:rPr>
          <w:b/>
        </w:rPr>
        <w:t>POSSIBLE 2026:</w:t>
      </w:r>
      <w:r>
        <w:t xml:space="preserve"> Power Trip: The Big Tech Push for Nuclear-Powered Data Centers — https://doi.org/10.5325/jinfopoli.16.2026.0012</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Abstract In the 2020s, the big tech industry requires skyrocketing amounts of electricity to fuel data centers that support power-hungry new technologies like artificial intelligence (AI) and cryptocurrency. The American power grid is unlikely to fulfill near-future big tech energy demands, so industry has turned to lobbying efforts to boost nuclear energy and expedite the associated regulatory and permitting processes. This article argues that a rapid revival and expansion of nuclear power is unlikely in the near future for political, economic, and structural reasons.</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power, reactors, within;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pStyle w:val="Heading2"/>
      </w:pPr>
      <w:r>
        <w:t>823.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2026:</w:t>
      </w:r>
      <w:r>
        <w:t xml:space="preserve"> Green hydrogen pathways for a net-zero future: technologies, circular economy integration, life-cycle performance and safety dimensions — https://doi.org/10.1039/d5ra09599a</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This review critically evaluates the technological, environmental, and policy dimensions of green hydrogen using an integrated framework grounded in green chemistry, the circular economy, and the sustainable development goals. Rather than treating green hydrogen as a universal energy solution, the review synthesises advances in production, storage, transport, safety, and policy instruments to assess where and under what conditions hydrogen deployment is sustainable. Conventional, biological, electrolytic, photocatalytic, and waste-derived pathways are compared in terms of efficiency, lifecycle emissions, resource intensity, material criticality, and toxicity. Storage and distribution options including compressed and liquefied hydrogen, chemical carriers, and porous materials are assessed for energy density, safety, recyclability, and infrastructure readiness. Life-cycle assessment data are integrated to identify key hotspots in global warming potential, water use, cumulative energy demand, and human toxicity. Policy frameworks, including India's National Green Hydrogen Mission, are examined with emphasis on implementation mechanisms, certification, and industrial integration. The analysis demonstrates that no single pathway satisfies all sustainability criteria, highlighting the need for targeted deployment, system integration, and regional optimisation. Embedding green chemist</w:t>
      </w:r>
    </w:p>
    <w:p>
      <w:pPr/>
      <w:r>
        <w:rPr>
          <w:b/>
        </w:rPr>
        <w:t>POSSIBLE 2026:</w:t>
      </w:r>
      <w:r>
        <w:t xml:space="preserve"> The interaction of public-private partnerships (PPP) and SDG 17 (Partnership for the Goals) in achieving sustainable development — https://doi.org/10.1007/s43545-026-01525-2</w:t>
      </w:r>
    </w:p>
    <w:p>
      <w:pPr/>
      <w:r>
        <w:rPr>
          <w:b/>
        </w:rPr>
        <w:t>Shared claim-specific concepts:</w:t>
      </w:r>
      <w:r>
        <w:t xml:space="preserve"> legal, framework, sustainable, line; EU scope not established. This is a provisional connection, not an outcome finding.</w:t>
      </w:r>
    </w:p>
    <w:p>
      <w:pPr>
        <w:pStyle w:val="SourceNote"/>
      </w:pPr>
      <w:r>
        <w:rPr>
          <w:b/>
        </w:rPr>
        <w:t>Available abstract (not full text):</w:t>
      </w:r>
      <w:r>
        <w:t xml:space="preserve"> Abstract While the United Nations has identified partnerships as key means to achieve the Sustainable Development Goals (SDGs), as illustrated in SDG 17, the contemporary academic discourse on partnerships in line with public-private partnerships (PPPs) indicates that legal, regulatory, and contractual problems threaten the efficacy of PPPs as a tool for achieving sustainable development, yet underexplored. In this regard, we offer a model for mitigating partnership issues to improve their efficacy in achieving the UN SDGs. To achieve this, we draw on our subject matter expertise and contemporary academic discourse on the topic to conceptually illustrate our understanding of current PPP governance issues and potential solutions, thereby better positioning them to meet the UN SDGs. This article is therefore positioned as a conceptual paper informed by an illustrative synthesis of PPP, SDG, governance, legal, regulatory, and contractual scholarship. The contribution is not to provide an exhaustive evidence map of the literature, but to develop the PPP Governance Triad (PGT) as an organising framework for linking contractual design, applicable law, regulatory oversight, and power relations to SDG-aligned partnership outcomes. We set a research agenda on the governance of PPPs to encourage research on SDG 17 in accounting, governance and management journals, where there has been a </w:t>
      </w:r>
    </w:p>
    <w:p>
      <w:pPr/>
      <w:r>
        <w:rPr>
          <w:b/>
        </w:rPr>
        <w:t>POSSIBLE 2026:</w:t>
      </w:r>
      <w:r>
        <w:t xml:space="preserve"> Emerging Technologies and International Law: DAO and AI Research in the Context of Globalisation — https://doi.org/10.60923/issn.2724-6299/24290</w:t>
      </w:r>
    </w:p>
    <w:p>
      <w:pPr/>
      <w:r>
        <w:rPr>
          <w:b/>
        </w:rPr>
        <w:t>Shared claim-specific concepts:</w:t>
      </w:r>
      <w:r>
        <w:t xml:space="preserve"> legal, among, sustainable; EU scope not established. This is a provisional connection, not an outcome finding.</w:t>
      </w:r>
    </w:p>
    <w:p>
      <w:pPr>
        <w:pStyle w:val="SourceNote"/>
      </w:pPr>
      <w:r>
        <w:rPr>
          <w:b/>
        </w:rPr>
        <w:t>Available abstract (not full text):</w:t>
      </w:r>
      <w:r>
        <w:t xml:space="preserve"> The global political economy shaped by globalization is an environment that entails both potentials and limitations for research approaches. Important themes range from sustainable development goals, green transition, social justice disparities, technological issues to conflicts and complex emergencies. International law researchers deal with all these issues. International law and legal sciences as part of social sciences progress in a polysemic interplay with global trends. Research shapes values, beliefs and norms, and vice versa. To allow for the interplay in the creation of meaning by research activity on the one hand and cultural consciousnesses on the other, this paper discusses inter-disciplinarity – broadly understood – in research approaches using international legal research and emerging technologies, in particular artificial intelligence (AI) and decentralised autonomous organisations based on blockchain technology, as examplary fields and themes. Since all sciences are part of cultural life of societies, they are mutually embedded in and dynamically connected to other societal forces. Globalization is a transnational social force that comes about in a complex orchestration among other forces, institutions and phenomena whether legal, cultural, political, economic, social or all. To isolate it or its effects on a research theme would be extremely difficult if not ou</w:t>
      </w:r>
    </w:p>
    <w:p>
      <w:pPr/>
      <w:r>
        <w:rPr>
          <w:b/>
        </w:rPr>
        <w:t>POSSIBLE 2026:</w:t>
      </w:r>
      <w:r>
        <w:t xml:space="preserve"> Evaluating the efficiency of countries in achieving the Sustainable Development Goals using data envelopment analysis — https://doi.org/10.1057/s41599-026-08395-2</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All UN member states are committed to achieving the 17 Sustainable Development Goals (SDGs) under the 2030 Agenda for Sustainable Development, but global progress has fallen seriously behind schedule. This article proposes a multi-indicator framework to evaluate national SDG performance by integrating outcome-based indicators (i.e., SDG scores), trend-based indicators (i.e., estimated years), and efficiency-oriented indicators (i.e., static and dynamic efficiency) that account for heterogeneous realistic constraints. Methodologically, SDG scores are calculated based on the SDG Index, estimated years are derived by linear least squares fitting, static efficiency is measured via DEA-CCR and DEA-BCC models, and dynamic efficiency is assessed through the global DEA-Malmquist model. Applying this framework to 132 countries from 2011 to 2023 reveals significant heterogeneity in SDG performance across countries, which is further reflected in differences by development level, geographic region, and participation in international organizations. The results indicate a significant gap between current trajectories and the 2030 SDG targets, a gap that is particularly pronounced in the developing countries. Developed countries maintain higher baseline performances but show signs of decelerating improvement. Developing countries, meanwhile, are characterized by faster efficiency gains, yet th</w:t>
      </w:r>
    </w:p>
    <w:p>
      <w:pPr/>
      <w:r>
        <w:rPr>
          <w:b/>
        </w:rPr>
        <w:t>POSSIBLE 2026:</w:t>
      </w:r>
      <w:r>
        <w:t xml:space="preserve"> The Global Sport and Sustainable Development Goals Baseline and Initial Impact Report — https://doi.org/10.14217/tlke7905</w:t>
      </w:r>
    </w:p>
    <w:p>
      <w:pPr/>
      <w:r>
        <w:rPr>
          <w:b/>
        </w:rPr>
        <w:t>Shared claim-specific concepts:</w:t>
      </w:r>
      <w:r>
        <w:t xml:space="preserve"> framework, contribute, sustainable; EU scope not established. This is a provisional connection, not an outcome finding.</w:t>
      </w:r>
    </w:p>
    <w:p>
      <w:pPr>
        <w:pStyle w:val="SourceNote"/>
      </w:pPr>
      <w:r>
        <w:rPr>
          <w:b/>
        </w:rPr>
        <w:t>Available abstract (not full text):</w:t>
      </w:r>
      <w:r>
        <w:t xml:space="preserve"> This report evaluates how physical education, physical activity and sport-related policies might contribute to the Sustainable Development Goals (SDGs), providing a baseline for measurement. It represents the first attempt to develop a sport and SDG measurement tool, offering an innovative framework for assessing the impact of sports on sustainable development.</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pStyle w:val="Heading2"/>
      </w:pPr>
      <w:r>
        <w:t>824.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2026:</w:t>
      </w:r>
      <w:r>
        <w:t xml:space="preserve"> New Zeolitic Imidazolate Framework‐Derived N‐Doped Carbon LiCl Composites for Sorption Thermal Batteries Utilizing Solar Energy — https://doi.org/10.1002/cey2.70256</w:t>
      </w:r>
    </w:p>
    <w:p>
      <w:pPr/>
      <w:r>
        <w:rPr>
          <w:b/>
        </w:rPr>
        <w:t>Shared claim-specific concepts:</w:t>
      </w:r>
      <w:r>
        <w:t xml:space="preserve"> show, incipient, decrease; EU scope not established. This is a provisional connection, not an outcome finding.</w:t>
      </w:r>
    </w:p>
    <w:p>
      <w:pPr>
        <w:pStyle w:val="SourceNote"/>
      </w:pPr>
      <w:r>
        <w:rPr>
          <w:b/>
        </w:rPr>
        <w:t>Available abstract (not full text):</w:t>
      </w:r>
      <w:r>
        <w:t xml:space="preserve"> ABSTRACT The potential of sorption thermal batteries utilizing solar energy is increasingly recognized, but developing cost‐effective, stable, and high‐performance storage materials remains a major challenge. Here, we demonstrate for the first time the use of zeolitic imidazolate framework (ZIF)‐derived nitrogen‐doped carbons (ZDCs) as hosts for LiCl‐embedded water sorbent composites. ZIF‐90 and ZIF‐94 were synthesized in acetone–water solvent mixtures and subsequently pyrolyzed at 950°C in argon to obtain N‐doped disordered carbons with specific surface areas up to 842 m 2 g −1 , hierarchical porosity, and maximal water adsorption capacity of up to 0.69 g g −1 . The structural features of the carbons were elucidated by transmission electron microscopy, X‐ray photoelectron spectroscopy, Raman, and solid‐state nuclear magnetic resonance spectroscopy. The composites with LiCl, prepared via incipient wetness impregnation, exhibited excellent cycling stability and showed no deliquescence or decrease in water uptake over 50 cycles under adsorption at 30°C, desorption at 120°C, and condensation/evaporation at 10°C. Remarkably, under these conditions, an energy storage density of 966.9 kWh m −3 can be achieved. These results show that ZDC‐LiCl composites represent a promising class of stable, high‐performance materials for efficient sorption thermal batteries.</w:t>
      </w:r>
    </w:p>
    <w:p>
      <w:pPr/>
      <w:r>
        <w:rPr>
          <w:b/>
        </w:rPr>
        <w:t>POSSIBLE 2026:</w:t>
      </w:r>
      <w:r>
        <w:t xml:space="preserve"> Optimum seeding rate for biomass sorghum in response to harvesting and planting dates in the Mid-Atlantic Regions — https://doi.org/10.1038/s41598-026-41418-1</w:t>
      </w:r>
    </w:p>
    <w:p>
      <w:pPr/>
      <w:r>
        <w:rPr>
          <w:b/>
        </w:rPr>
        <w:t>Shared claim-specific concepts:</w:t>
      </w:r>
      <w:r>
        <w:t xml:space="preserve"> harvest, rate, greater, compared; EU scope not established. This is a provisional connection, not an outcome finding.</w:t>
      </w:r>
    </w:p>
    <w:p>
      <w:pPr>
        <w:pStyle w:val="SourceNote"/>
      </w:pPr>
      <w:r>
        <w:rPr>
          <w:b/>
        </w:rPr>
        <w:t>Available abstract (not full text):</w:t>
      </w:r>
      <w:r>
        <w:t xml:space="preserve"> Seeding rate is an important factor in optimizing dry matter yield of biomass sorghum [ Sorghum bicolor (L.) Moench]. It is vital to understand how seeding rate (S rate) varies across environments, planting dates, and whether optimum S rate changes by date of harvest in the Mid-Atlantic region. From 2017 to 2019, a study was conducted at Virginia Tech’s Tidewater Agricultural Research &amp; Extension Center in Suffolk, VA, across two locations (Holland and Hare) with six seeding rates (120, 160, 200, 240, 260, and 310 thousand seeds ha − 1 ), two planting dates [early planting (EP) date as in a full season cropping system versus late planting (LP) mimicking a double-crop system] and three harvesting dates (August – October) to determine the economic optimum seeding rate of biomass sorghum. Dry matter yield, plant height, stem diameter, disease, and lodging severity were evaluated. Results showed that compared to LP, EP increased dry matter yield by 69%, plant height by 21%, and stem diameter by 15%. Dry matter yield decreased with higher S rates under EP, whereas under LP, higher S rates increased yield in 3 of the 6 environments. In contrast, plant height and stem diameter consistently decreased with increase in S rate. In general, a S rate of 120,000 ha − 1 was optimum under EP, and 310,000 ha − 1 under LP, when considering the disease and lodging resistance as well as economics.</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2025:</w:t>
      </w:r>
      <w:r>
        <w:t xml:space="preserve"> DESIGN AND EXPERIMENTAL OPTIMIZATION OF A CONTINUOUS VIBRATION-BASED LYCIUM BARBARUM L. HARVESTING DEVICE — https://doi.org/10.35633/inmateh-77-56</w:t>
      </w:r>
    </w:p>
    <w:p>
      <w:pPr/>
      <w:r>
        <w:rPr>
          <w:b/>
        </w:rPr>
        <w:t>Shared claim-specific concepts:</w:t>
      </w:r>
      <w:r>
        <w:t xml:space="preserve"> rate, findings, existing, compared; EU scope not established. This is a provisional connection, not an outcome finding.</w:t>
      </w:r>
    </w:p>
    <w:p>
      <w:pPr>
        <w:pStyle w:val="SourceNote"/>
      </w:pPr>
      <w:r>
        <w:rPr>
          <w:b/>
        </w:rPr>
        <w:t>Available abstract (not full text):</w:t>
      </w:r>
      <w:r>
        <w:t xml:space="preserve"> Compared with manual harvesting of Lycium barbarum, existing large-scale harvesters have achieved a certain degree of efficiency improvement. Nevertheless, their intermittent operation mode remains a bottleneck restricting overall harvesting performance. To address this issue, a continuous vibration-based L. barbarum harvesting device was developed in this study. Plackett–Burman experiments indicated that vibration angle, vibration frequency, and the spacing between the upper and lower vibrating rods were the primary factors affecting the harvesting performance. Further parameter optimization experiments were carried out by considering the harvesting rate of ripe fruits, the mis-harvesting rate of unripe fruits, and the damage rate of ripe fruits. The optimal parameter combination was determined as a vibration angle of 46°, a vibration frequency of 9 Hz, and a spacing of 62 mm between the upper and lower vibrating rods. Based on these parameters, performance verification tests were conducted. The results showed that the harvesting rate of ripe fruits reached 85.40%, the mis-harvesting rate of unripe fruits was 4.61%, and the damage rate of ripe fruits was 3.19%. These findings provide technical and equipment support for the development of continuous mechanized harvesting of L. barbarum.</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2024:</w:t>
      </w:r>
      <w:r>
        <w:t xml:space="preserve"> Improving the productivity and competitiveness of banana plantations through efficient irrigation systems — https://doi.org/10.24294/jipd.v8i11.8228</w:t>
      </w:r>
    </w:p>
    <w:p>
      <w:pPr/>
      <w:r>
        <w:rPr>
          <w:b/>
        </w:rPr>
        <w:t>Shared claim-specific concepts:</w:t>
      </w:r>
      <w:r>
        <w:t xml:space="preserve"> rate, incipient, increases; EU scope not established. This is a provisional connection, not an outcome finding.</w:t>
      </w:r>
    </w:p>
    <w:p>
      <w:pPr>
        <w:pStyle w:val="SourceNote"/>
      </w:pPr>
      <w:r>
        <w:rPr>
          <w:b/>
        </w:rPr>
        <w:t>Available abstract (not full text):</w:t>
      </w:r>
      <w:r>
        <w:t xml:space="preserve"> The Urabá region, known for its banana production, faces significant challenges due to seasonal droughts that affect crop productivity. The implementation of innovative technologies, such as efficient irrigation systems, is presented as a potential solution to improve the sustainability and profitability of plantations. This study validates the implementation of an irrigation system in a banana (Musa spp.) plantation located in the region of Urabá, in order to meet the water needs of the crop during periods of drought. A case study was carried out in a banana plantation in the region of Urabá, considering the maximum and minimum monthly losses due to drought, and a random sample was used to measure the weight before and after the implementation of the irrigation system, in order to carry out an economic analysis. The study shows that the implementation of a sprinkler irrigation system increases the average weight of the harvested bunches by 20%, which is reflected in an annual increase of 30.3% of exported boxes, obtaining satisfactory results in terms of internal rate of return, cost-benefit ratio and return on investment. The implementation of irrigation systems makes it possible to increase competitiveness in international markets, especially in regions such as Urabá, where the use of these technologies is still incipient.</w:t>
      </w:r>
    </w:p>
    <w:p>
      <w:pPr/>
      <w:r>
        <w:rPr>
          <w:b/>
        </w:rPr>
        <w:t>POSSIBLE 2024:</w:t>
      </w:r>
      <w:r>
        <w:t xml:space="preserve"> Relationship of Rate of Dry Matter Remobilization on Harvest Index and Yield of Medium Aged Rice Varieties — https://doi.org/10.4038/sljfa.v10i1-2.112</w:t>
      </w:r>
    </w:p>
    <w:p>
      <w:pPr/>
      <w:r>
        <w:rPr>
          <w:b/>
        </w:rPr>
        <w:t>Shared claim-specific concepts:</w:t>
      </w:r>
      <w:r>
        <w:t xml:space="preserve"> harvest, rate, greater, sink; EU scope not established. This is a provisional connection, not an outcome finding.</w:t>
      </w:r>
    </w:p>
    <w:p>
      <w:pPr>
        <w:pStyle w:val="SourceNote"/>
      </w:pPr>
      <w:r>
        <w:rPr>
          <w:b/>
        </w:rPr>
        <w:t>Available abstract (not full text):</w:t>
      </w:r>
      <w:r>
        <w:t xml:space="preserve"> Rapid human population growth required more rice in future. Thus, it is important to increase yield potential of future rice varieties. As a physiological approach increasing rate of remobilization of assimilate as non-structural carbon to panicle, varietal variation of assimilate partitioning, quantify subsequent remobilization from leaf, sheath and stem to panicle, impact on partitioned dry matter on yield and harvest index are important to study. The field experiment was conducted in 3 consecutive seasons from 2020/21 Maha to 2021 Yala seasons in Rice Research and Development Institute (RRDI), Batalagoda. Fifteen rice varieties were screened under irrigated condition. All cultural practices were done according to Department of Agriculture recommendations. Rate of Remobilization of Dry Matter (RRDM) of leaf, sheath and stem were calculated from flowering to maturity. All agronomic data were analyzed using STAR computer package (Statistical Tool for Agricultural Research, 2014) of IRRI, Philippines for general linear model, Duncan mean separation, Principal Component Analysis. Important yield related parameters clearly separated by stepwise regression analysis by model with strong R2, grain yield explained RRDM leaf and stem, total soluble solid in stem (brix value). Bw 367 and Bg 370 have most efficient translocation system among the tested varieties. Total soluble solid cont</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pStyle w:val="Heading2"/>
      </w:pPr>
      <w:r>
        <w:t>825.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2026:</w:t>
      </w:r>
      <w:r>
        <w:t xml:space="preserve"> European Integration of Ukraine: Testing Liberal Intergovernmentalism Approach [before doctoral defense] — https://openalex.org/W7213843321</w:t>
      </w:r>
    </w:p>
    <w:p>
      <w:pPr/>
      <w:r>
        <w:rPr>
          <w:b/>
        </w:rPr>
        <w:t>Shared claim-specific concepts:</w:t>
      </w:r>
      <w:r>
        <w:t xml:space="preserve"> approach, key, question; EU scope visible. This is a provisional connection, not an outcome finding.</w:t>
      </w:r>
    </w:p>
    <w:p>
      <w:pPr>
        <w:pStyle w:val="SourceNote"/>
      </w:pPr>
      <w:r>
        <w:rPr>
          <w:b/>
        </w:rPr>
        <w:t>Available abstract (not full text):</w:t>
      </w:r>
      <w:r>
        <w:t xml:space="preserve"> Ukraine's relations with the European Union represent a unique case for European integration studies, especially in light of its recent application for EU membership. Despite serious challenges such as the war with Russia, political instability and economic difficulties, Ukraine's integration with the EU continues to strengthen. This dissertation aims to identify the key motivations driving Ukraine's integration with the EU at both the governmental and societal levels. The choice of Ukraine as a case study in this research, which focuses on its path to integration into the European Union through the prism of a Liberal intergovernmental mechanism, is relevant for several reasons. First, Ukraine's geographic location between Russia and the European Union makes its European integration process a unique and important example for understanding the broader dynamics of EU enlargement. Since 2004, Ukraine has pursued integration with the European Union. At the same time, Ukraine's aspirations to join European institutions have become a key challenge to Russian influence in the region, providing a rich context for studying the interplay between the formation of Ukrainian national preferences, international negotiations with Russia and the EU, and institutional arrangements with them. Second, the Ukrainian case is also historically significant because Ukraine's European integration has b</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2024:</w:t>
      </w:r>
      <w:r>
        <w:t xml:space="preserve"> Are European Elections Still Second-Order? A Study of Spain and Portugal — https://doi.org/10.52224/21845263/rev42a2</w:t>
      </w:r>
    </w:p>
    <w:p>
      <w:pPr/>
      <w:r>
        <w:rPr>
          <w:b/>
        </w:rPr>
        <w:t>Shared claim-specific concepts:</w:t>
      </w:r>
      <w:r>
        <w:t xml:space="preserve"> order, question; EU scope visible. This is a provisional connection, not an outcome finding.</w:t>
      </w:r>
    </w:p>
    <w:p>
      <w:pPr>
        <w:pStyle w:val="SourceNote"/>
      </w:pPr>
      <w:r>
        <w:rPr>
          <w:b/>
        </w:rPr>
        <w:t>Available abstract (not full text):</w:t>
      </w:r>
      <w:r>
        <w:t xml:space="preserve"> This paper addresses the issue of ‘second order’ elections as applied to the electoral results of the 2019 and 2024 European Parliament elections in the Iberian states. Specifically, it aims to analyse whether these elections can be classified within this category. To achieve this objective and answer the research question, we have analysed through descriptive statistics the information related to three study variables extracted from the conceptual model adopted: level of electoral participation; strategic or affective orientation and motivation of the vote; level of support for the ruling party. The results show contrasting trends in relation to the expected values. In conclusion, we must point out the impossibility of effectively framing the elections analysed in the second-order category. We can affirm that the analytical model traditionally used presents important limitations in contexts of change and recomposition in party systems.</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2023:</w:t>
      </w:r>
      <w:r>
        <w:t xml:space="preserve"> Out-of-round railway wheels and polygonisation — https://doi.org/10.1080/00423114.2023.2194544</w:t>
      </w:r>
    </w:p>
    <w:p>
      <w:pPr/>
      <w:r>
        <w:rPr>
          <w:b/>
        </w:rPr>
        <w:t>Shared claim-specific concepts:</w:t>
      </w:r>
      <w:r>
        <w:t xml:space="preserve"> potential, main, material; EU scope not established. This is a provisional connection, not an outcome finding.</w:t>
      </w:r>
    </w:p>
    <w:p>
      <w:pPr>
        <w:pStyle w:val="SourceNote"/>
      </w:pPr>
      <w:r>
        <w:rPr>
          <w:b/>
        </w:rPr>
        <w:t>Available abstract (not full text):</w:t>
      </w:r>
      <w:r>
        <w:t xml:space="preserve"> Out-of-roundness in railway wheels, in particular polygonal wear resulting in regular, multi-lobed, out-of-round wheels, has become a significant problem in recent years.It is of concern to railway operators due to the increased noise and vibration it can cause.This polygonisation is caused by cyclic wear but the exact mechanism leading to this type of wear is not fully understood.It appears to be the result of dynamic linking between a resonance or other periodic excitation in the coupled vehicle-track system and the existing wear at the wheel.This paper reviews the developing body of research being carried out in many countries by research groups, manufacturers and operators.Some examples of polygonisation on different types of railway vehicles are reported including feight trains, urban transit trains and high-speed trains.The main theories for the formation mechanisms are presented and the current measurement methods, computer simulation techniques and the effects and potential mitigation methods are reviewed.In parallel, the mechanisms and consequences of discrete wheel tread irregularities, such as wheel flats and material fall-out due to rolling contact fatigue cracking, are addressed.</w:t>
      </w:r>
    </w:p>
    <w:p>
      <w:pPr/>
      <w:r>
        <w:rPr>
          <w:b/>
        </w:rPr>
        <w:t>POSSIBLE 2023:</w:t>
      </w:r>
      <w:r>
        <w:t xml:space="preserve"> Round Robin based Arbitration Mechanism for Signaling Approach based Router Architecture — https://doi.org/10.17762/ijritcc.v11i10.8666</w:t>
      </w:r>
    </w:p>
    <w:p>
      <w:pPr/>
      <w:r>
        <w:rPr>
          <w:b/>
        </w:rPr>
        <w:t>Shared claim-specific concepts:</w:t>
      </w:r>
      <w:r>
        <w:t xml:space="preserve"> approach, explore, value; EU scope not established. This is a provisional connection, not an outcome finding.</w:t>
      </w:r>
    </w:p>
    <w:p>
      <w:pPr>
        <w:pStyle w:val="SourceNote"/>
      </w:pPr>
      <w:r>
        <w:rPr>
          <w:b/>
        </w:rPr>
        <w:t>Available abstract (not full text):</w:t>
      </w:r>
      <w:r>
        <w:t xml:space="preserve"> In Network-on-Chip the effectiveness of the network resource allocation is demonstrated by the flow control mechanism. There are two types of flow control mechanisms: buffered and bufferless. Compared to buffered flow control methods, buffer less flow control mechanisms are easier to use, need less power, and take up less space. When there are congestion and resource conflicts, it experiences higher packet loss and packet misrouting inside the network. A good buffered control mechanism useful as it overcomes the limitations of buffer less mechanism. There are numerous buffered and bufferless flow control methods available. In this paper, signaling-based Virtual Output Queue Router Arbiter Mechanism is used to explore credit-based flow control. This mechanism worked on new concept that is “stress value”. This information is generated in the form of credit whenever any input buffer has free space. Then, using this credit data, the node's stress value is determined. Free buffer space takes precedence over stress value if it is bigger. The stress value will increase if there is less available buffer space. To handle the congestion problem, the signaling block then sends this stress value to a neighboring router. To help the arbitrator make a more accurate decision, the crediting system constantly operates in tandem with arbitration.</w:t>
      </w:r>
    </w:p>
    <w:p>
      <w:pPr/>
      <w:r>
        <w:rPr>
          <w:b/>
        </w:rPr>
        <w:t>POSSIBLE 2023:</w:t>
      </w:r>
      <w:r>
        <w:t xml:space="preserve"> Disrupting European politics? Rhetorical analysis of MEP Manon Aubry’s politicising strategies in Twitter — https://doi.org/10.1080/14782804.2023.2177836</w:t>
      </w:r>
    </w:p>
    <w:p>
      <w:pPr/>
      <w:r>
        <w:rPr>
          <w:b/>
        </w:rPr>
        <w:t>Shared claim-specific concepts:</w:t>
      </w:r>
      <w:r>
        <w:t xml:space="preserve"> approach, question, potential, material; EU scope visible. This is a provisional connection, not an outcome finding.</w:t>
      </w:r>
    </w:p>
    <w:p>
      <w:pPr>
        <w:pStyle w:val="SourceNote"/>
      </w:pPr>
      <w:r>
        <w:rPr>
          <w:b/>
        </w:rPr>
        <w:t>Available abstract (not full text):</w:t>
      </w:r>
      <w:r>
        <w:t xml:space="preserve"> This article takes a conceptual approach to EU politicisation and analyses the empirical case study of MEP Manon Aubry’s use of Twitter as political activity from a rhetorical perspective. A self-proclaimed ‘activist deputy’ representing La France Insoumise is illustrated of using politicising strategies in Twitter after the European elections in 2019 to assume the representative role of a ‘disruptive outsider’. Here rhetorical analysis is used to answer the question: to what extent Aubry’s use of Twitter was a case of disruption, and whether or not it contributes to EU politicisation? Aubry, who was threatened of a sanction by the President of the European Parliament for inciting the occupation of the plenary by Extinction Rebellion, argued that her political freedom and free speech were under threat. Although the analysis is limited to only one MEP, examining the case study is an effort into conceptualising and advancing future research on disruption in European politics with a contribution in the EU politicisation literature. The aim here is not to provide evidence of how widespread this kind of politicisation is, but it offers material for further research on political careers in the EP aiming at understanding the role of newcomers as potential ‘disruptive outsiders’.</w:t>
      </w:r>
    </w:p>
    <w:p>
      <w:pPr/>
      <w:r>
        <w:rPr>
          <w:b/>
        </w:rPr>
        <w:t>POSSIBLE 2023:</w:t>
      </w:r>
      <w:r>
        <w:t xml:space="preserve"> Why we need a gradient approach to word order — https://doi.org/10.1515/ling-2021-0098</w:t>
      </w:r>
    </w:p>
    <w:p>
      <w:pPr/>
      <w:r>
        <w:rPr>
          <w:b/>
        </w:rPr>
        <w:t>Shared claim-specific concepts:</w:t>
      </w:r>
      <w:r>
        <w:t xml:space="preserve"> approach, order, potential; EU scope not established. This is a provisional connection, not an outcome finding.</w:t>
      </w:r>
    </w:p>
    <w:p>
      <w:pPr>
        <w:pStyle w:val="SourceNote"/>
      </w:pPr>
      <w:r>
        <w:rPr>
          <w:b/>
        </w:rPr>
        <w:t>Available abstract (not full text):</w:t>
      </w:r>
      <w:r>
        <w:t xml:space="preserve"> Abstract This article argues for a gradient approach to word order, which treats word order preferences, both within and across languages, as a continuous variable. Word order variability should be regarded as a basic assumption, rather than as something exceptional. Although this approach follows naturally from the emergentist usage-based view of language, we argue that it can be beneficial for all frameworks and linguistic domains, including language acquisition, processing, typology, language contact, language evolution and change, and formal approaches. Gradient approaches have been very fruitful in some domains, such as language processing, but their potential is not fully realized yet. This may be due to practical reasons. We discuss the most pressing methodological challenges in corpus-based and experimental research of word order and propose some practical solutions.</w:t>
      </w:r>
    </w:p>
    <w:p>
      <w:pPr>
        <w:pStyle w:val="Heading2"/>
      </w:pPr>
      <w:r>
        <w:t>826.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significant, shape, not, shifts;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2026:</w:t>
      </w:r>
      <w:r>
        <w:t xml:space="preserve"> Preschool Inclusion: Factors Shaping Teachers’ Attitudes — https://doi.org/10.15507/1991-9468.26303.593-610</w:t>
      </w:r>
    </w:p>
    <w:p>
      <w:pPr/>
      <w:r>
        <w:rPr>
          <w:b/>
        </w:rPr>
        <w:t>Shared claim-specific concepts:</w:t>
      </w:r>
      <w:r>
        <w:t xml:space="preserve"> objective, significant, factors; EU scope not established. This is a provisional connection, not an outcome finding.</w:t>
      </w:r>
    </w:p>
    <w:p>
      <w:pPr>
        <w:pStyle w:val="SourceNote"/>
      </w:pPr>
      <w:r>
        <w:rPr>
          <w:b/>
        </w:rPr>
        <w:t>Available abstract (not full text):</w:t>
      </w:r>
      <w:r>
        <w:t xml:space="preserve"> Introduction. The importance of developing an inclusive educational environment focused on ensuring equal development opportunities for all children determines the relevance of this study. The research problem is the lack of information on the conditions under which teachers’ attitudes toward inclusion in preschool education are shaped. The objective is to analyze the factors mediating preschool teachers’ attitudes toward the inclusion of children with special educational needs.Materials and Methods. The study was conducted in the spring and summer of 2024 using an online survey of 2,595 preschool teachers from seven federal districts. The relationship between the respondents’ socio-demographic characteristics and integrated indicators of attitudes toward inclusion was examined using linear regression analysis. Respondents’ perceptions of the organizational environment were examined using principal component analysis. The Teacher Attitudes to Inclusion scale was used, along with an adapted 11-item questionnaire assessing teachers’ attitudes toward inclusion across three original subscales (MBI, QES, CAT).Results. Respondents’ attitudes toward preschool inclusion were associated with their age, experience working with children under six, and education level. A regression model revealed a point effect of experience. Respondents in older age groups and with secondary vocational an</w:t>
      </w:r>
    </w:p>
    <w:p>
      <w:pPr/>
      <w:r>
        <w:rPr>
          <w:b/>
        </w:rPr>
        <w:t>POSSIBLE 2026:</w:t>
      </w:r>
      <w:r>
        <w:t xml:space="preserve"> On national and civilizational identification: polemical notes on R. Brubaker’s concept, drawing on the ideas of L.M. Drobizheva — https://doi.org/10.22378/he.2026-11-1.101-115</w:t>
      </w:r>
    </w:p>
    <w:p>
      <w:pPr/>
      <w:r>
        <w:rPr>
          <w:b/>
        </w:rPr>
        <w:t>Shared claim-specific concepts:</w:t>
      </w:r>
      <w:r>
        <w:t xml:space="preserve"> identification, outline, areas; EU scope visible. This is a provisional connection, not an outcome finding.</w:t>
      </w:r>
    </w:p>
    <w:p>
      <w:pPr>
        <w:pStyle w:val="SourceNote"/>
      </w:pPr>
      <w:r>
        <w:rPr>
          <w:b/>
        </w:rPr>
        <w:t>Available abstract (not full text):</w:t>
      </w:r>
      <w:r>
        <w:t xml:space="preserve"> This article is intended as a polemical essay. The presented points have two main objectives. The first one is to outline the areas of agreement and scholarly disagreement between the author and the ideas of renowned ethnosociologist Rogers Brubaker, expressed in his 2017 article on two types of political identity (nationalist and civilizational). The paper argues with the American sociologist that civilizationalism is supposedly displacing nationalism in the political strategy of right-wing populists in Europe. The author is even more dubious about attempts to equate the civilizational ideology of European right-wing populists with the civilizational ideas of Russian right-wing forces. From the author’s point of view, such an equation is inconsistent with reality and fails to take into account Russia’s historical and cultural characteristics. Secondly, the article is motivated by the author’s desire to remind the ethnosociological community of a number of important theoretical and methodological propositions by L.M. Drobizheva regarding the particular aspects of civic and state identification in Russia and the differences between Russian principles of such identification and those that developed within Western political culture. The distinguished Russian sociologist and ethnologist’s ideas are extremely relevant in the context of contemporary discussions about the specifics of</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2025:</w:t>
      </w:r>
      <w:r>
        <w:t xml:space="preserve"> Personality and the Use of Artificial Intelligence as Factors Shaping Decision-Making — https://doi.org/10.35808/ersj/4292</w:t>
      </w:r>
    </w:p>
    <w:p>
      <w:pPr/>
      <w:r>
        <w:rPr>
          <w:b/>
        </w:rPr>
        <w:t>Shared claim-specific concepts:</w:t>
      </w:r>
      <w:r>
        <w:t xml:space="preserve"> objective, attempt, factors, shape, polish; EU scope not established. This is a provisional connection, not an outcome finding.</w:t>
      </w:r>
    </w:p>
    <w:p>
      <w:pPr>
        <w:pStyle w:val="SourceNote"/>
      </w:pPr>
      <w:r>
        <w:rPr>
          <w:b/>
        </w:rPr>
        <w:t>Available abstract (not full text):</w:t>
      </w:r>
      <w:r>
        <w:t xml:space="preserve"> Purpose: The main objective of the article, identified with the research problem, was to identify the relationships between personality and decision-making.An attempt was also made to determine, in the light of the literature on the subject, whether personality and the use of artificial intelligence shape decision-making.Design/Methodology/Approach: In order to solve the research problem and verify the hypothesis that personality and the use of artificial intelligence shape decision-making, the methods of analysis and criticism of literature, diagnostic survey and statistical methods were used.Empirical, quantitative and qualitative research was conducted using a survey on a sample of 4,217 people from Generations X, Y and Z.The Polish adaptation of the Ten Item Personality Inventory (TIPI) -TIPI-PL was used for personality assessment.Decision-making ability, like other competency variables, was measured on the basis of self-assessment on a seven-point Likert scale.The relationships between variables were examined using Pearson's linear correlation coefficient.Findings: It was found that people who rate their decision-making abilities higher also rate their willingness to run their own business, their ability to work/run a business in Economy 4.0, their commitment to their work and employer higher, but also feel more "overwhelmed" by technological progress.It turned out that th</w:t>
      </w:r>
    </w:p>
    <w:p>
      <w:pPr/>
      <w:r>
        <w:rPr>
          <w:b/>
        </w:rPr>
        <w:t>POSSIBLE 2025:</w:t>
      </w:r>
      <w:r>
        <w:t xml:space="preserve"> Orientalist Translation of the Holy Qur‘an: Between Objective Cognitive Neutrality and Ideological Employment — https://doi.org/10.56334/sei/8.5.02</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This article aims to uncover the underlying motivations behind the interest of Orientalists in translating the Quran.It distinguishes between the cognitive, cultural, and religious aspects of these translations and the potential ideological and colonial backgrounds they may carry.In this context, the research addresses several points that enable a better understanding of the nature and goals of these translations, including an analysis of the general features distinguishing Orientalist translations of the Quran, and the identification of the methodologies used in their production-whether they adhere to scientific accuracy and objectivity, or lean toward bias and subjective viewpoints.The article also discusses the major consequences of transferring the Quranic text into European languages, attempting to determine whether these translations aim to interpret the Quran as a religious reference, or if they seek to shape and frame the consciousness of Muslim populations in ways that serve projects of dominance and control.</w:t>
      </w:r>
    </w:p>
    <w:p>
      <w:pPr>
        <w:pStyle w:val="Heading2"/>
      </w:pPr>
      <w:r>
        <w:t>827.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2026:</w:t>
      </w:r>
      <w:r>
        <w:t xml:space="preserve"> Predicting Tesla’s stock based on machine learning — https://doi.org/10.54097/v4g7nt55</w:t>
      </w:r>
    </w:p>
    <w:p>
      <w:pPr/>
      <w:r>
        <w:rPr>
          <w:b/>
        </w:rPr>
        <w:t>Shared claim-specific concepts:</w:t>
      </w:r>
      <w:r>
        <w:t xml:space="preserve"> based, current, takes, stock; EU scope not established. This is a provisional connection, not an outcome finding.</w:t>
      </w:r>
    </w:p>
    <w:p>
      <w:pPr>
        <w:pStyle w:val="SourceNote"/>
      </w:pPr>
      <w:r>
        <w:rPr>
          <w:b/>
        </w:rPr>
        <w:t>Available abstract (not full text):</w:t>
      </w:r>
      <w:r>
        <w:t xml:space="preserve"> This article emphasizes that when using economic theories to predict stocks, a certain logical sequence needs to be followed. Among the many well-known stocks, Tesla's stock is highly volatile. If the stock prediction can be relatively accurate, it will better demonstrate the feasibility of using machine learning to predict stocks. Therefore, the paper takes the prediction of Tesla's stock using machine learning as an example. First, machine learning was used to analyze the data distribution, and then it was used to analyze the data relationships. Based on the results of the first two steps, the model needed for prediction was derived, and then the prediction model (LSTM) was used to accurately predict the stock price fluctuations of Tesla over the past five years. The experimental results indicate that the model has good predictive performance. Finally, it points out the current shortcomings of using machine learning to predict stocks and the future directions for improvement.</w:t>
      </w:r>
    </w:p>
    <w:p>
      <w:pPr/>
      <w:r>
        <w:rPr>
          <w:b/>
        </w:rPr>
        <w:t>POSSIBLE 2026:</w:t>
      </w:r>
      <w:r>
        <w:t xml:space="preserve"> Historical background and current state of air transport in the organization of tourist travel in europe and the world — https://doi.org/10.32589/2412-9321.32.2026.363217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The purpose of the article is to study the historical preconditions for the development of airline transport in the field of tourist travel and to analyse its current state in Europe and the world in the context of post-COVID recovery, as well as to identify new market needs that arise for passengers when travelling by air. The research methodology is based on a combination of general scientific and special methods of cognition. In the course of the work, the historical-logical method, a systematic approach, methods of analysis and generalisation, comparative analysis, statistical and logical methods were used.The scientific novelty of the study lies in a comprehensive study of the current stage of development of air transport through the prism of post-pandemic recovery of the tourism industry. It is substantiated that the pandemic has become not only a factor of decline, but also a point of change that has affected the process of serving tourists in air transport in terms of sanitary and safety requirements, digitalisation of service, and reorientation of tourist flows. Research results. The article examines the state of air transport in the first months of the pandemic and the post-pandemic period of industry recovery; it examines the dynamics of global passenger traffic with forecasts until 2030; examines the share of passenger air travel by region of the world (Asia-Pacific</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current, state, outcomes,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2024:</w:t>
      </w:r>
      <w:r>
        <w:t xml:space="preserve"> Current State of Education for Sustainable Development — https://doi.org/10.4324/9781003492597-3</w:t>
      </w:r>
    </w:p>
    <w:p>
      <w:pPr/>
      <w:r>
        <w:rPr>
          <w:b/>
        </w:rPr>
        <w:t>Shared claim-specific concepts:</w:t>
      </w:r>
      <w:r>
        <w:t xml:space="preserve"> based, current, state, outcomes, project; EU scope visible. This is a provisional connection, not an outcome finding.</w:t>
      </w:r>
    </w:p>
    <w:p>
      <w:pPr>
        <w:pStyle w:val="SourceNote"/>
      </w:pPr>
      <w:r>
        <w:rPr>
          <w:b/>
        </w:rPr>
        <w:t>Available abstract (not full text):</w:t>
      </w:r>
      <w:r>
        <w:t xml:space="preserve"> This chapter draws insights on Education for Sustainable Development (ESD) with a focus on the current state of sustainability education in Europe. It provides a comprehensive overview of the landscape of numerous practices, addressing key challenges and opportunities. The chapter delves into different initiatives, policies, and institutional strategies that shape the ESD landscape across European countries. A central feature of this discussion is the placement of the GreenSCENT project within this spectrum. To this end, the chapter analyses the GreenSCENT approach, exploring its objectives, methodologies, and outcomes. It highlights the project’s innovative approaches to embedding sustainability principles in education, in the light of competency development (GreenSCENT Competence Framework). Thus, through competence-based curricula, new transformative educational pathways were delineated with the use of accessible digital and hands-on demonstrators (GreenSCENT Toolbox), providing at the same time, a robust European Qualifications Framework (EQF) for sustainability competences based on the key pillars of the European Green Deal.</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pStyle w:val="Heading2"/>
      </w:pPr>
      <w:r>
        <w:t>828.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2026:</w:t>
      </w:r>
      <w:r>
        <w:t xml:space="preserve"> Virtual reality to aid recovery from critical illness: a feasibility trial of a rehabilitation intervention co-developed with key stakeholders — https://doi.org/10.1136/bmjopen-2026-119613</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Improved survival from critical illness has led to an increase in patients with long-term physical and psychological morbidity. Postintensive care rehabilitation services are variable and it is recognised that there is a need for inclusive and accessible interventions to support recovery after critical illness. We engaged with people with lived experience of critical care admission to co-produce a virtual reality mediated intervention (ViRtual REality to AiD recoverY post intensive care unit (ICU) (VR READY). OBJECTIVES: included assessment of the feasibility and acceptability of selected outcome measures for use in future efficacy and cost-effectiveness studies for ICU recovery. DESIGN: The co-developed intervention (VR READY) was evaluated in a single arm, non-randomised feasibility trial with embedded process evaluation in patients leaving critical care. SETTING: District General Hospital in Wales. PARTICIPANTS: Adults who had been admitted to an ICU requiring organ support for more than 48 hours during their current hospital admission. Patients were approached at the point of stepping down from the ICU to a general ward (±48 hours). 87 patients were screened for eligibility, 37 were approached and 22 participants were recruited. INTERVENTION: Participants were asked to use VR READY for at least 5 min per day for 14 days. PRIMARY AND SECONDARY OUTCOME MEASURES: T</w:t>
      </w:r>
    </w:p>
    <w:p>
      <w:pPr/>
      <w:r>
        <w:rPr>
          <w:b/>
        </w:rPr>
        <w:t>POSSIBLE 2026:</w:t>
      </w:r>
      <w:r>
        <w:t xml:space="preserve"> Feasibility and Acceptability of Link Worker–Led Social Prescribing for Urban Older Adults at Risk of Social Isolation: A Feasibility Study in Japan — https://doi.org/10.1155/hsc/1973687</w:t>
      </w:r>
    </w:p>
    <w:p>
      <w:pPr/>
      <w:r>
        <w:rPr>
          <w:b/>
        </w:rPr>
        <w:t>Shared claim-specific concepts:</w:t>
      </w:r>
      <w:r>
        <w:t xml:space="preserve"> feasibility, acceptability; EU scope not established. This is a provisional connection, not an outcome finding.</w:t>
      </w:r>
    </w:p>
    <w:p>
      <w:pPr>
        <w:pStyle w:val="SourceNote"/>
      </w:pPr>
      <w:r>
        <w:rPr>
          <w:b/>
        </w:rPr>
        <w:t>Available abstract (not full text):</w:t>
      </w:r>
      <w:r>
        <w:t xml:space="preserve"> Background Social prescribing connects patients to nonmedical support services to improve their social and emotional well‐being. However, this approach has yet to be systematically implemented and evaluated in Japan. This study evaluated the acceptability and feasibility of a pilot social prescribing programme for urban older adults at high risk of social isolation in Japan. Methods This single‐arm study involved individuals in Suginami Ward of Tokyo aged ≥ 65 years with chronic diseases who were at high risk of social isolation. Participants received social prescribing, comprising referrals to social resources by link workers, utilisation of public baths and monthly group walking activities. Link workers, community navigators providing preventive and continuity‐based support between healthcare and community settings (distinct from social workers who specialise in high‐risk cases and statutory or institutional interventions), connected participants to local social resources. Acceptability indicators were participation, eligibility and completion rates, while exploratory outcome measures included a binary social isolation criterion (face‐to‐face or non–face‐to‐face contact less than once per week), the Japanese version of the Subjective Happiness Scale and the Eleven‐Check Questionnaire for frailty. Results Of the 24 potential candidates, 22 participated in the initial assessmen</w:t>
      </w:r>
    </w:p>
    <w:p>
      <w:pPr/>
      <w:r>
        <w:rPr>
          <w:b/>
        </w:rPr>
        <w:t>POSSIBLE 2026:</w:t>
      </w:r>
      <w:r>
        <w:t xml:space="preserve"> From Colonial Support to Strategic Replacement: U.S. Foreign Aid and The Transformation of American Policy in Vietnam, 1949–1955 — https://doi.org/10.5281/zenodo.21835769</w:t>
      </w:r>
    </w:p>
    <w:p>
      <w:pPr/>
      <w:r>
        <w:rPr>
          <w:b/>
        </w:rPr>
        <w:t>Shared claim-specific concepts:</w:t>
      </w:r>
      <w:r>
        <w:t xml:space="preserve"> aid, informed, united; EU scope not established. This is a provisional connection, not an outcome finding.</w:t>
      </w:r>
    </w:p>
    <w:p>
      <w:pPr>
        <w:pStyle w:val="SourceNote"/>
      </w:pPr>
      <w:r>
        <w:rPr>
          <w:b/>
        </w:rPr>
        <w:t>Available abstract (not full text):</w:t>
      </w:r>
      <w:r>
        <w:t xml:space="preserve"> This article examines the transformation of U.S. foreign aid to Vietnam between 1949 and 1955, arguing that American assistance evolved beyond military and economic support into a mechanism of strategic replacement through which the United States gradually supplanted French influence. Existing scholarship has largely interpreted U.S. aid during the First Indochina War either as an extension of Cold War containment or as financial support for French military operations, paying comparatively little attention to the institutional processes through which aid reshaped political authority and administrative governance. Drawing upon archival materials from Vietnam and the United States, official government publications, diplomatic records, and statistical evidence, the study adopts a qualitative historical approach informed by historical institutionalism. The findings demonstrate that organizations such as the Military Assistance Advisory Group (MAAG), the Mutual Security Agency (MSA), the United States Operations Mission (USOM), and the Counterpart Fund created an integrated institutional framework through which Washington expanded its influence over military assistance, financial governance, and state administration. Although U.S. aid failed to secure French victory in the First Indochina War, it established the institutional foundations that enabled the United States to emerge as t</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2025:</w:t>
      </w:r>
      <w:r>
        <w:t xml:space="preserve"> Alpha-Stim AID Cranial Electrotherapy Stimulation (CES) for Anxiety in Chronic Breathlessness: A Qualitative Exploration of Feasibility, Usability, and Acceptability — https://doi.org/10.4236/psych.2025.1611075</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Anxiety is common in people living with chronic breathlessness. Cranial Electrotherapy Stimulation (CES) with the Alpha-Stim Anxiety, Insomnia, Depression (AID) has evidence of effectiveness in the treatment of anxiety disorders, but little is known about its feasibility, usability, and acceptability for people living with anxiety associated with chronic breathlessness. Aim: To explore individuals’ experiences of using Alpha-Stim AID to manage their anxiety associated with their breathlessness. Methods: Participants were recruited from two hospices, with advanced chronic respiratory disease and breathlessness and anxiety, and followed either a Set Dose Regime (SDR) or a Personalised Dose Regime (PDR). Semi-structured interview with 15 participants who had used Alpha-Stim AID (SDR and/or PDR) daily for eight weeks were analysed thematically using the predefined domains of feasibility, usability, and acceptability. Results: Feasibility: the Alpha-Stim AID was readily integrated into daily routines, providing a valued hour of calmness and fostering adherence to Alpha-Stim AID use. Usability: most participants reported benefits including reduced anxiety, improved mood, better sleep, and subtle mindset shifts such as cognitive reframing, although a minority reported limited impact. Acceptability: The device was perceived as simple to use and intuitive and associated with</w:t>
      </w:r>
    </w:p>
    <w:p>
      <w:pPr/>
      <w:r>
        <w:rPr>
          <w:b/>
        </w:rPr>
        <w:t>POSSIBLE 2025:</w:t>
      </w:r>
      <w:r>
        <w:t xml:space="preserve"> A decision aid is not the quick fix for improving shared decision-making in advanced Parkinson’s disease: results of a mixed methods feasibility study — https://doi.org/10.1007/s00415-025-12972-x</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Choosing a device-assisted treatment for persons with Parkinson's disease (PwPD) is a complex decision. We developed a shared decision-making (SDM) intervention to facilitate this decision. In this study, we evaluate the feasibility of this intervention from the patients' perspective. METHODS: We performed a multi-center, mixed-methods feasibility study with an uncontrolled pre-post-intervention design. Five neurologists and seven Parkinson nurse specialists from five Dutch hospitals participated. We aimed to enroll 20 PwPD in the usual-care group receiving decision support as usual, and 20 PwPD receiving the SDM intervention. The intervention consisted of a patient decision aid and a training for professionals. We evaluated feasibility by measuring acceptability, level of implementation, efficacy and the study procedures. For data collection, we used questionnaires, interviews, cognitive testing, consultation recordings, fieldnotes, and usage of the patient decision aid. RESULTS: We included 19 PwPD in the usual-care group and 13 in the intervention group. Acceptability was good and implementation levels at the patient level were adequate: 92% of the participants used the patient decision aid, of which 77% the website and 69% the value clarification tool. The intervention improved PwPD's knowledge on treatment options, however, it did not improve SDM. The SDM inter</w:t>
      </w:r>
    </w:p>
    <w:p>
      <w:pPr>
        <w:pStyle w:val="Heading2"/>
      </w:pPr>
      <w:r>
        <w:t>829.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2026:</w:t>
      </w:r>
      <w:r>
        <w:t xml:space="preserve"> ENSURING CYBER RESILIENCE OF CRITICAL INFRASTRUCTURE FACILITIES IN THE EUROPEAN UNION: REGULATORY AND LEGAL ASPECT — https://doi.org/10.5281/zenodo.19383483</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Security is the basis for the European way of life. While the challenges of achieving and maintaining security have always been present, in recent years the security situation in the EU has become increasingly complex. The use of and dependence on information and communication technologies have become fundamental aspects in all sectors of economic activity and society in light of the ever increasing interconnectedness and interdependence of Member State public administrations, businesses and citizens across sectors and borders, simultaneously introducing possible vulnerabilities. The magnitude, frequency and impact of cybersecurity incidents, including supply chain attacks for the purposes of cyberespionage, ransomware or disruption, are increasing at Union and global level. They represent a major threat to the functioning of network and information systems. In view of the fast-evolving threat landscape, the threat of possible large-scale cybersecurity incidents causing significant disruption or damage to critical infrastructure demands a heightened preparedness of the Union’s cybersecurity framework. That threat goes beyond Russia’s war of aggression against Ukraine, and is likely to persist given the multiplicity of actors involved in current geopolitical tensions. Such incidents can impede the provision of public services as cyberattacks are frequently targeted at local, reg</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Transport Infrastructure and Policy Evaluation — https://doi.org/10.3386/w34096</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How beneficial are transport infrastructure investments and other transport policies?This chapter develops a framework whose goal is to survey and synthesize the answers that regional and urban economists have given to this question.Emphasis is placed on theoretical results about sufficient statistics that capture approximate impacts in both distorted and undistorted economies, as well as how new advances in data collection and causal inference are poised to leverage these theoretical results and thereby modernize and extend standard templates for infrastructure and policy evaluation.The chapter concludes with discussions of optimal policy, political economy, and practical matters of infrastructure provision.</w:t>
      </w:r>
    </w:p>
    <w:p>
      <w:pPr/>
      <w:r>
        <w:rPr>
          <w:b/>
        </w:rPr>
        <w:t>POSSIBLE 2025:</w:t>
      </w:r>
      <w:r>
        <w:t xml:space="preserve"> Reduction of Cloud infrastructure power consumption through dynamic resource provisioning — https://doi.org/10.70675/4d7ce7e9z1009z4296z8dd8z301febed8677</w:t>
      </w:r>
    </w:p>
    <w:p>
      <w:pPr/>
      <w:r>
        <w:rPr>
          <w:b/>
        </w:rPr>
        <w:t>Shared claim-specific concepts:</w:t>
      </w:r>
      <w:r>
        <w:t xml:space="preserve"> infrastructure, improving, other, around; EU scope not established. This is a provisional connection, not an outcome finding.</w:t>
      </w:r>
    </w:p>
    <w:p>
      <w:pPr>
        <w:pStyle w:val="SourceNote"/>
      </w:pPr>
      <w:r>
        <w:rPr>
          <w:b/>
        </w:rPr>
        <w:t>Available abstract (not full text):</w:t>
      </w:r>
      <w:r>
        <w:t xml:space="preserve"> The Information and Communication Technologies (ICT) sector contributes significantly to climate change. In 2020, this sector was responsible for between 2.1% and 3.9% of greenhouse gas (GHG) emissions. More than its current contribution, this sector is growing rapidly economically, and the GHG emissions and other environmental impacts it produces are also increasing. Datacenters are responsible for a non-negligible portion of the ICT sector's impact: estimated global emissions in 2020 vary between 18% and 45% depending on the study, part of which is linked to their electricity consumption. In 2024, the International Energy Agency (IEA) estimates the total electricity consumption of datacenters at 416TWh, or around 1.4% of global electricity consumption.In order to limit the growth in data centers power consumption, a number of energy efficiency methods have been introduced. These energy efficiency levers concern both IT equipment and technical infrastructures such as cooling systems. Nevertheless, today's datacenters are integrating increasing computing and storage power to meet growing user demand. Quite often, these infrastructures are sized by datacenter operators to meet the theoretical maximum demand in order to respect quality of service. This leads to an overall oversizing of cloud infrastructures, and consequently a waste of resources and electricity.Virtual Machine (V</w:t>
      </w:r>
    </w:p>
    <w:p>
      <w:pPr/>
      <w:r>
        <w:rPr>
          <w:b/>
        </w:rPr>
        <w:t>POSSIBLE 2025:</w:t>
      </w:r>
      <w:r>
        <w:t xml:space="preserve"> International standards for the provision of social services — https://doi.org/10.24144/2788-6018.2025.05.1.69</w:t>
      </w:r>
    </w:p>
    <w:p>
      <w:pPr/>
      <w:r>
        <w:rPr>
          <w:b/>
        </w:rPr>
        <w:t>Shared claim-specific concepts:</w:t>
      </w:r>
      <w:r>
        <w:t xml:space="preserve"> infrastructure, provision, important, improving; EU scope visible. This is a provisional connection, not an outcome finding.</w:t>
      </w:r>
    </w:p>
    <w:p>
      <w:pPr>
        <w:pStyle w:val="SourceNote"/>
      </w:pPr>
      <w:r>
        <w:rPr>
          <w:b/>
        </w:rPr>
        <w:t>Available abstract (not full text):</w:t>
      </w:r>
      <w:r>
        <w:t xml:space="preserve"> The article provides a description of international standards for social services as a component of individuals’ social protection. It was concluded that the formation of a system of social service standards as objects of legal definition within the framework of international/European acts is an important prerequisite for the development of effective legal mechanisms for the implementation of the rights of recipients of such services. It was noted that harmonization of national legislation with international and European standards contributes to Ukraine’s integration into the relevant legal space. It was emphasized that providing individuals/families with social services is an integral part of ensuring their decent standard of living. It was stressed that social standards relate to active policies concerning individuals (promoting employment, independence, self-reliance, etc.), as well as the development of a social services system (institutional capacity, involvement of various sectors, interaction between the state and civil society). It was emphasized that the use of best international practices and international social standards will contribute to improving social guarantees for vulnerable groups. It was noted that international acts define a broad framework of obligations standardized by the global community regarding the provision of social services in such a way that eac</w:t>
      </w:r>
    </w:p>
    <w:p>
      <w:pPr/>
      <w:r>
        <w:rPr>
          <w:b/>
        </w:rPr>
        <w:t>POSSIBLE 2025:</w:t>
      </w:r>
      <w:r>
        <w:t xml:space="preserve"> Decarbonising the Inland Waterways: A Review of Fuel-Agnostic Energy Provision and the Infrastructure Challenges — https://doi.org/10.3390/en18195146</w:t>
      </w:r>
    </w:p>
    <w:p>
      <w:pPr/>
      <w:r>
        <w:rPr>
          <w:b/>
        </w:rPr>
        <w:t>Shared claim-specific concepts:</w:t>
      </w:r>
      <w:r>
        <w:t xml:space="preserve"> infrastructure, provision, but, over; EU scope not established. This is a provisional connection, not an outcome finding.</w:t>
      </w:r>
    </w:p>
    <w:p>
      <w:pPr>
        <w:pStyle w:val="SourceNote"/>
      </w:pPr>
      <w:r>
        <w:rPr>
          <w:b/>
        </w:rPr>
        <w:t>Available abstract (not full text):</w:t>
      </w:r>
      <w:r>
        <w:t xml:space="preserve"> Inland Waterway Transport (IWT) is widely recognised as an energy-efficient freight mode, yet its decarbonisation is increasingly constrained not by propulsion technology, but by the absence of infrastructure capable of delivering clean energy where and when it is needed. This paper presents a structured review of over a decade of academic, policy and technical literature, identifying systemic gaps in current decarbonisation strategies. The analysis shows that most pilot projects are vessel-specific, and poorly scalable, with infrastructure planning rarely based on vessel-level energy demand data, leaving energy provision as an afterthought. Current approaches overemphasise technology readiness while neglecting the complexity of aligning supply chains, operational diversity, and infrastructure deployment. This review reframes IWT decarbonisation as a problem of provision, not propulsion. It calls for demand-led, demand driven, fuel agnostic infrastructure models and proposes a roadmap that integrates technical, operational, and policy considerations. Without rethinking energy access as a core design challenge—on par with vessel systems and regulatory standards—the sector risks investing in stranded assets and missing climate and modal shift targets. Aligning vessel operations with dynamic, scalable energy delivery systems is essential to achieve a commercially viable, fully dec</w:t>
      </w:r>
    </w:p>
    <w:p>
      <w:pPr>
        <w:pStyle w:val="Heading2"/>
      </w:pPr>
      <w:r>
        <w:t>830.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2026:</w:t>
      </w:r>
      <w:r>
        <w:t xml:space="preserve"> Exploring huntington's disease from a neurodevelopmental perspective — https://doi.org/10.7150/ijbs.124552</w:t>
      </w:r>
    </w:p>
    <w:p>
      <w:pPr/>
      <w:r>
        <w:rPr>
          <w:b/>
        </w:rPr>
        <w:t>Shared claim-specific concepts:</w:t>
      </w:r>
      <w:r>
        <w:t xml:space="preserve"> therefore, explore, different; EU scope not established. This is a provisional connection, not an outcome finding.</w:t>
      </w:r>
    </w:p>
    <w:p>
      <w:pPr>
        <w:pStyle w:val="SourceNote"/>
      </w:pPr>
      <w:r>
        <w:rPr>
          <w:b/>
        </w:rPr>
        <w:t>Available abstract (not full text):</w:t>
      </w:r>
      <w:r>
        <w:t xml:space="preserve"> gene. The classic concept is that HD is a degenerative disease that primarily affects the striatum, caused by a gain-of-function mutant mHTT that kills neurons. However, increasing evidence suggests that the effects of mHTT on development may be an alternative view of HD. Therefore, we describe the importance of HTT for neurodevelopment and then summarize the effects of mHTT on neurodevelopment that have been revealed so far in different models. Importantly, we provide new insights into the use of different models to study HD development, and propose new therapeutic strategies for intervening in HD early in development to improve disease progression. Furthermore, we explore potential connections between neurodevelopmental abnormalities and neurodegenerative processes in HD. This review provides a systematic synthesis of current knowledge regarding HD development and pathogenesis.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2025:</w:t>
      </w:r>
      <w:r>
        <w:t xml:space="preserve"> Exploring Environmental Unwellbeing - Wellbeing in Landscapes — https://openalex.org/W7204500890</w:t>
      </w:r>
    </w:p>
    <w:p>
      <w:pPr/>
      <w:r>
        <w:rPr>
          <w:b/>
        </w:rPr>
        <w:t>Shared claim-specific concepts:</w:t>
      </w:r>
      <w:r>
        <w:t xml:space="preserve"> therefore, important, explore, different, affect; EU scope visible. This is a provisional connection, not an outcome finding.</w:t>
      </w:r>
    </w:p>
    <w:p>
      <w:pPr>
        <w:pStyle w:val="SourceNote"/>
      </w:pPr>
      <w:r>
        <w:rPr>
          <w:b/>
        </w:rPr>
        <w:t>Available abstract (not full text):</w:t>
      </w:r>
      <w:r>
        <w:t xml:space="preserve"> Wellbeing is part of the WHO definition of health since 1948. Enhancing it ought therefore to be an important goal for individuals, groups, and societies. Measures of it inform our knowledge, and it is therefore essential to also include “unwellbeing” in assessments. Such knowledge is fundamental to understanding its status, counteracting negative conditions, and surveying how it may interact with a range of human facets, including the prevention and development of diseases. Appraisals of environmental unwellbeing–wellbeing can also be of great value in education, aiming to explore different types of landscapes, raise awareness, and foster reflections on how different spatial units and environmental conditions affect us and what this may be due to. For that purpose, a novel scale is described and used in two sets of ratings in a peri-urban green landscape in Greater Stockholm, Sweden. The results show that core areas in two historic parks (Haga and Ulriksdal) provided environmental wellbeing, whereas in a third area (Annelund), half of the appraisals indicated environmental unwellbeing. Further experience in monitoring this variable with scales across a range of environmental settings suggests a clear value in its use in education, research, and societal evaluations.</w:t>
      </w:r>
    </w:p>
    <w:p>
      <w:pPr/>
      <w:r>
        <w:rPr>
          <w:b/>
        </w:rPr>
        <w:t>POSSIBLE 2025:</w:t>
      </w:r>
      <w:r>
        <w:t xml:space="preserve"> Renewable Energy for Climate Policy? The Impact of Low- Carbon Industries on National Climate Politics — https://openalex.org/W4412209511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rise of low-carbon industries promises to transform the political economy of climate politics and provide renewed political energy for climate action. The core idea is that the expansion of domestic low-carbon industries will generate powerful coalitions of firms and citizens that benefit economically from this ‘green growth’ and support a rapid phaseout of fossil fuels. Through green industrial policy, more and more governments seek to leverage this dynamic and overcome the obstacles to stringent climate regulation indirectly by subsidising these industries. Nevertheless, these propositions remain largely untested. This dissertation asks how the rise of domestic low-carbon industries affects national climate politics and provides the most comprehensive answer to date. It proposes that structural, institutional, and informational barriers may undercut these expected effects, and it substantiates this through four empirical studies from which three central findings emerge. First, there is no evidence that the economic importance of domestic renewable energy industries is systematically associated with countries’ enactment of more stringent climate policies. Second, low-carbon business interests prioritise lobbying on narrow green industrial policies and are vastly outnumbered by high-carbon interests when they lobby on broader climate policies. Third, citizens who experience</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pStyle w:val="Heading2"/>
      </w:pPr>
      <w:r>
        <w:t>831.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2026:</w:t>
      </w:r>
      <w:r>
        <w:t xml:space="preserve"> Fit‐for‐purpose risk assessment for low‐concern active substances and uses — https://doi.org/10.2903/sp.efsa.2026.en-9791</w:t>
      </w:r>
    </w:p>
    <w:p>
      <w:pPr/>
      <w:r>
        <w:rPr>
          <w:b/>
        </w:rPr>
        <w:t>Shared claim-specific concepts:</w:t>
      </w:r>
      <w:r>
        <w:t xml:space="preserve"> purpose, assessment, structured; EU scope not established. This is a provisional connection, not an outcome finding.</w:t>
      </w:r>
    </w:p>
    <w:p>
      <w:pPr>
        <w:pStyle w:val="SourceNote"/>
      </w:pPr>
      <w:r>
        <w:rPr>
          <w:b/>
        </w:rPr>
        <w:t>Available abstract (not full text):</w:t>
      </w:r>
      <w:r>
        <w:t xml:space="preserve"> Abstract This report describes a harmonised, stepwise methodology for the fit‐for‐purpose risk assessment of low‐concern active substances (LCASs), developed in response to EFSA's call GP/EFSA/PLANTS/2023/04. LCASs include substances such as semiochemicals, botanicals, inorganics, peptides, and double‐stranded RNA (dsRNA), which generally have lower risk profiles than conventional active substances. However, the current risk assessment framework – primarily designed for conventional substances – often lacks the flexibility required to appropriately address LCASs. The approach described here is based on problem formulation using generic pathways to harm. It offers a structured methodology aimed at harmonising case‐by‐case assessments based on the specific properties of individual LCASs. This approach supports both qualitative and quantitative assessments and covers hazards other than conventional toxicity, such as suffocation, desiccation and RNA interference. To apply this approach in practice, a problem formulation toolbox is provided, comprising three main elements: 1. Generic pathways to harm 2. Generic analysis plans, including the Analysis plan tool 3. Guidance on likelihood assessment</w:t>
      </w:r>
    </w:p>
    <w:p>
      <w:pPr/>
      <w:r>
        <w:rPr>
          <w:b/>
        </w:rPr>
        <w:t>POSSIBLE 2024:</w:t>
      </w:r>
      <w:r>
        <w:t xml:space="preserve"> Reviewing assessment strategies in European dental schools — https://doi.org/10.1016/j.jdent.2024.105091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OBJECTIVES: Effectively assessing dental students' knowledge and skills is an important part of their education. Assessment techniques available to teachers, have become more diverse as new technologies are introduced. This study aimed to investigate what dental educators thought about current and future assessment techniques. METHODS: This was a mixed method study; quantitative data being collected at an annual dental educators' conference, via on-screen questions requesting: i) demographic information; ii) type of student assessment currently used; iii) impact of Covid-19 on student assessment, and iv) future perceptions of assessment. Questions were posed in real time using the 'Vevox' platform. Descriptive statistical analysis was employed. Qualitative data were collected on 'post-its' and analysed thematically. RESULTS: 101 participants attended the study. 59.1% (n = 60) had &gt;11 years' experience. 64% (n = 55) considered their summative and formative assessments were effective in developing student learning. Few participants reported students' involvement in creating their own assessments (n = 8; 9.75%). 41.68% (n = 36) participants agreed it was a good idea for students to be involved in developing assessments, but only 9.75% (n = 8) reported it was already happening. Qualitative data indicated a reluctance to wholeheartedly embrace technology (including AI) when planning</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2021:</w:t>
      </w:r>
      <w:r>
        <w:t xml:space="preserve"> Exposure Assessment of Climate Extremes over the Europe–Mediterranean Region — https://doi.org/10.3390/atmos12050633</w:t>
      </w:r>
    </w:p>
    <w:p>
      <w:pPr/>
      <w:r>
        <w:rPr>
          <w:b/>
        </w:rPr>
        <w:t>Shared claim-specific concepts:</w:t>
      </w:r>
      <w:r>
        <w:t xml:space="preserve"> purpose, assessment, about; EU scope visible. This is a provisional connection, not an outcome finding.</w:t>
      </w:r>
    </w:p>
    <w:p>
      <w:pPr>
        <w:pStyle w:val="SourceNote"/>
      </w:pPr>
      <w:r>
        <w:rPr>
          <w:b/>
        </w:rPr>
        <w:t>Available abstract (not full text):</w:t>
      </w:r>
      <w:r>
        <w:t xml:space="preserve"> The use of a compact set of climate change indexes enhances our understanding of the combined impacts of extreme climatic conditions. In this study, we developed the modified Climate Extremes Index (mCEI) to obtain unified information about different types of extremes. For this purpose, we calculated 10 different climate change indexes considering the temperature extremes, extreme precipitation, and moisture surplus and drought over the Europe–Mediterranean (EURO–MED) region for the 1979–2016 period. As a holistic approach, mCEI provides spatiotemporal information, and the high-resolution grid-based data allow us to accomplish detailed country-based and city-based analyses. The analyses indicate that warm temperature extremes rise significantly over the EURO–MED region at a rate of 1.9% decade−1, whereas the cold temperature extremes decrease. Extreme drought has a significant increasing trend of 3.8% decade−1. Although there are regional differences, extreme precipitation indexes have a significant increasing tendency. According to the mCEI, the major hotspots for the combined extremes are the Mediterranean coasts, the Balkan countries, Eastern Europe, Iceland, western Russia, western Turkey, and western Iraq. The decadal changes of mCEI for these regions are in the range of 3–5% decade−1. The city-scale analysis based on urbanized locations reveals that Fes (Morocco), Izmir (</w:t>
      </w:r>
    </w:p>
    <w:p>
      <w:pPr/>
      <w:r>
        <w:rPr>
          <w:b/>
        </w:rPr>
        <w:t>POSSIBLE 2021:</w:t>
      </w:r>
      <w:r>
        <w:t xml:space="preserve"> The UK Integrated Assessment Model for source apportionment and air pollution policy applications to PM2.5 — https://doi.org/10.1016/j.envint.2021.106515</w:t>
      </w:r>
    </w:p>
    <w:p>
      <w:pPr/>
      <w:r>
        <w:rPr>
          <w:b/>
        </w:rPr>
        <w:t>Shared claim-specific concepts:</w:t>
      </w:r>
      <w:r>
        <w:t xml:space="preserve"> purpose, illustrate, assessment, used; EU scope visible. This is a provisional connection, not an outcome finding.</w:t>
      </w:r>
    </w:p>
    <w:p>
      <w:pPr>
        <w:pStyle w:val="SourceNote"/>
      </w:pPr>
      <w:r>
        <w:rPr>
          <w:b/>
        </w:rPr>
        <w:t>Available abstract (not full text):</w:t>
      </w:r>
      <w:r>
        <w:t xml:space="preserve"> Source apportionment and the effect of reducing individual sources is important input for the development of strategies to address air pollution. The UK Integrated Assessment Model, UKIAM, has been developed for this purpose as a flexible framework, combining information from different atmospheric dispersion models to cover different pollutant contributions, and span the range from European to local scale. In this paper we describe the UKIAM as developed for SO2, NOx, NH3, PM2.5 and VOCs. We illustrate its versatility and application with assessment of current PM2.5 concentrations and exposure of the UK population, as a case-study that has been used as the starting point to investigate potential improvement towards attainment of the WHO guideline of 10 µg/m3.</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832.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2025:</w:t>
      </w:r>
      <w:r>
        <w:t xml:space="preserve"> Spatial distribution and drivers of renewable energies in European regions — https://doi.org/10.1016/j.eneco.2025.108340</w:t>
      </w:r>
    </w:p>
    <w:p>
      <w:pPr/>
      <w:r>
        <w:rPr>
          <w:b/>
        </w:rPr>
        <w:t>Shared claim-specific concepts:</w:t>
      </w:r>
      <w:r>
        <w:t xml:space="preserve"> renewable, resource; EU scope visible. This is a provisional connection, not an outcome finding.</w:t>
      </w:r>
    </w:p>
    <w:p>
      <w:pPr>
        <w:pStyle w:val="SourceNote"/>
      </w:pPr>
      <w:r>
        <w:rPr>
          <w:b/>
        </w:rPr>
        <w:t>Available abstract (not full text):</w:t>
      </w:r>
      <w:r>
        <w:t xml:space="preserve"> The energy transition is a complex process that varies significantly among European regions. This research uses spatial econometric panel models to investigate the evolution of wind and photovoltaic (PV) energy in Europe throughout the 21st century by identifying the main drivers (socioeconomic, institutional, geographic and demographic factors) of renewable energy capacity in European regions. The study reveals high heterogeneity in the development of these renewable energy sources . GDP per capita shows a positive relationship with both technologies, while the opposite is found for population density. While natural resource factors considered here do not seem to considerable impact the location of wind and PV farms, the pattern of territorial technology diffusion through spatial spillovers stand out as a determining factor in the wind and photovoltaic energy place-based evolutionary processes.</w:t>
      </w:r>
    </w:p>
    <w:p>
      <w:pPr/>
      <w:r>
        <w:rPr>
          <w:b/>
        </w:rPr>
        <w:t>POSSIBLE 2025:</w:t>
      </w:r>
      <w:r>
        <w:t xml:space="preserve"> Resource regimes and the success of local renewable energy projects — https://doi.org/10.1016/j.ecolecon.2025.108843</w:t>
      </w:r>
    </w:p>
    <w:p>
      <w:pPr/>
      <w:r>
        <w:rPr>
          <w:b/>
        </w:rPr>
        <w:t>Shared claim-specific concepts:</w:t>
      </w:r>
      <w:r>
        <w:t xml:space="preserve"> biomass, renewable, resource; EU scope not established. This is a provisional connection, not an outcome finding.</w:t>
      </w:r>
    </w:p>
    <w:p>
      <w:pPr>
        <w:pStyle w:val="SourceNote"/>
      </w:pPr>
      <w:r>
        <w:rPr>
          <w:b/>
        </w:rPr>
        <w:t>Available abstract (not full text):</w:t>
      </w:r>
      <w:r>
        <w:t xml:space="preserve"> While national governments and parliaments adopt policies to speed up the development of renewable energies, the local implementation of renewable energy projects often faces economic, ecological, and social challenges. The existing literature primarily focuses on conditions which foster local acceptance and policy integration to explain the (non-)realization of renewable energy projects. In contrast, property rights have not yet been explicitly considered as conditions. This study applies the institutional resource regime approach to investigate the joint impact of property rights and public policies on the local implementation of renewable energy projects. Drawing on a comparison of twelve cases which encompass solar, wind, biomass, and geothermal energy projects in three countries, the results show the importance of property rights within the project area, and the insufficiency of public policies alone to facilitate successful renewable energy projects. More specifically, public landownership and revenue sharing increase the chances of project success, as this entails the involvement of local democratic institutions and supports the resilience of project promotors against political contestation.</w:t>
      </w:r>
    </w:p>
    <w:p>
      <w:pPr/>
      <w:r>
        <w:rPr>
          <w:b/>
        </w:rPr>
        <w:t>POSSIBLE 2025:</w:t>
      </w:r>
      <w:r>
        <w:t xml:space="preserve"> Keep All the Flawed Options on the Table: Europe’s Nuclear Future — https://doi.org/10.1515/sirius-2025-2008</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Abstract U.S. extended nuclear deterrence has long underpinned European security, but renewed doubts under President Donald Trump’s leadership have shaken European confidence. In response, Europeans are debating alternatives, such as a “Eurodeterrent”, and in Poland’s case, even hinting at nuclear ambitions. However, these options all face major strategic, political, and technical challenges. This article argues that Europe’s best course is a hedging strategy–maintaining the U.S. umbrella while strengthening European deterrence, including through greater British-French nuclear cooperation, a conventional buildup, and even nuclear latency in select states. Though imperfect, hedging offers a pragmatic path amid growing uncertainty.</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Taxi Regulation and Its Impact on User Experience in European Countries — https://doi.org/10.58956/liikenne.144792</w:t>
      </w:r>
    </w:p>
    <w:p>
      <w:pPr/>
      <w:r>
        <w:rPr>
          <w:b/>
        </w:rPr>
        <w:t>Shared claim-specific concepts:</w:t>
      </w:r>
      <w:r>
        <w:t xml:space="preserve"> however, even, though, potential; EU scope visible. This is a provisional connection, not an outcome finding.</w:t>
      </w:r>
    </w:p>
    <w:p>
      <w:pPr>
        <w:pStyle w:val="SourceNote"/>
      </w:pPr>
      <w:r>
        <w:rPr>
          <w:b/>
        </w:rPr>
        <w:t>Available abstract (not full text):</w:t>
      </w:r>
      <w:r>
        <w:t xml:space="preserve"> The taxi industry is one of the few industries where quantities and maximum fare prices are still strictly controlled. However, even though large-scale shifts in regulatory structures are happening across the world, the impacts of these changes are still largely unknown. The aim of this article was to get a narrow picture of the potential effects of deregulation of the taxi industry in a European context by investigating and comparing the observed effects in two European capitals. When talking about the taxi industry, we refer to the “traditional” European taxis, meaning that digital taxi services such as Uber, Bolt etc. are excluded. The article provides an overview of the background to the regulation of the taxi industry and the most common justifications of regulation. According to the findings, deregulations of the taxi markets can have varied results even in cities with very similar regulatory structures and no specific framework for effects caused by deregulation could be made. However, the contention of whether taxi regulations are beneficial mainly focuses around quantitative and economic regulations.</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pStyle w:val="Heading2"/>
      </w:pPr>
      <w:r>
        <w:t>833.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2026:</w:t>
      </w:r>
      <w:r>
        <w:t xml:space="preserve"> How Police-Led Recorded Investigative Interviews are Analysed: A Systematic Mapping Review — https://doi.org/10.17605/osf.io/skuvb</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The objective of this systematic mapping review is to examine how police-led recorded investigative interviews have been empirically studied across disciplinary traditions. The review focuses specifically on recorded interviews conducted by sworn police officers or by police trainees acting in the interviewer role within institutional policing or formal police training contexts. Both real-world interviews and police-training mock interviews are included, provided they are police-led and institutionally situated. The review maps the types of recorded data analysed (e.g., real-world versus police-training mock interviews; suspect, witness, or victim interviews; audio versus video recordings; transcript derivation practices), the analytic approaches applied to those data, and recurring combinations of data type, analytic framework, and study design. No meta-analysis or outcome synthesis is planned. Findings will be presented as a structured descriptive mapping of methodological patterns across the literature.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2025:</w:t>
      </w:r>
      <w:r>
        <w:t xml:space="preserve"> Team transcribing: an approach to analysing and interpreting online acquaintance interviews as collaborative achievements — https://doi.org/10.1016/j.rmal.2025.100250</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Despite applied linguists’ understanding of interview data as collaboratively co-constructed, less attention has focused on how the interviewer’s involvement in the communicative event of an interview might go on to shape the ways in which the data is transcribed, analysed and interpreted, with implications for the generation of new knowledge. This article puts forward a team transcribing approach which addresses potential biases and partialities, and highlights how new knowledge is collaboratively achieved through recognising and valuing the diversity of voices within a team. The approach is illustrated through discussion of a research project, Mobile Conversations in Context (MoCo), which combined online video-recorded acquaintance interviews with analysis of diary and mobile messaging data. The interview data was collaboratively transcribed and analysed by two researchers on the team who brought different perspectives to the data: R1 who conducted the interviews and produced initial transcripts; and R2 who multimodally annotated and analysed the transcripts. Our collaboration stretched from initial conversations to the process of writing this paper and revealed the different ways in which interviewees resisted being positioned by the interviewer as mobile messaging users and informants, which in turn highlighted assumptions and attitudes which shaped their mobile messaging p</w:t>
      </w:r>
    </w:p>
    <w:p>
      <w:pPr>
        <w:pStyle w:val="Heading2"/>
      </w:pPr>
      <w:r>
        <w:t>834.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2026:</w:t>
      </w:r>
      <w:r>
        <w:t xml:space="preserve"> European Energy Transition – Germany in the Heart of Europe — https://doi.org/10.34657/40040</w:t>
      </w:r>
    </w:p>
    <w:p>
      <w:pPr/>
      <w:r>
        <w:rPr>
          <w:b/>
        </w:rPr>
        <w:t>Shared claim-specific concepts:</w:t>
      </w:r>
      <w:r>
        <w:t xml:space="preserve"> thus, here, applies, climate, framework;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2025:</w:t>
      </w:r>
      <w:r>
        <w:t xml:space="preserve"> Cluster Analysis of the Transition to Climate Neutrality in the European Union — https://doi.org/10.1002/sd.70064</w:t>
      </w:r>
    </w:p>
    <w:p>
      <w:pPr/>
      <w:r>
        <w:rPr>
          <w:b/>
        </w:rPr>
        <w:t>Shared claim-specific concepts:</w:t>
      </w:r>
      <w:r>
        <w:t xml:space="preserve"> approach, climate;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20th Century Atmospheric River Archive for Western North America and Europe — https://doi.org/10.5281/zenodo.8010793</w:t>
      </w:r>
    </w:p>
    <w:p>
      <w:pPr/>
      <w:r>
        <w:rPr>
          <w:b/>
        </w:rPr>
        <w:t>Shared claim-specific concepts:</w:t>
      </w:r>
      <w:r>
        <w:t xml:space="preserve"> thus, here, climate, framework, general; EU scope visible. This is a provisional connection, not an outcome finding.</w:t>
      </w:r>
    </w:p>
    <w:p>
      <w:pPr>
        <w:pStyle w:val="SourceNote"/>
      </w:pPr>
      <w:r>
        <w:rPr>
          <w:b/>
        </w:rPr>
        <w:t>Available abstract (not full text):</w:t>
      </w:r>
      <w:r>
        <w:t xml:space="preserve"> General Description This datasets provides 6-hourly instantaneous atmospheric river absence-presence time series for 13 sub-regions along the coastlines of Western North America and Europe, as well the corresponding Integrated Water Vapor (IVT) values and exceeded climatological quantiles. These data were retrieved from 3 distinct reanalyses: 1. ERA-20C, 1900-2010, 1.125 degrees resolution, here termed "era20c" 2. NOAA-CIRES 20th Century Reanalysis version 2, 1900-2012, 2 degrees resolution, here termed "c20", ARs were retrieved from instantaneous ensemble-mean data. 3. ECMWF ERA-Interim, 1979-2014, 0.75 degrees resolution, here termed "interim" The file structure is as in this example: ar_Brands_v0_interim_scalifornia_JFMAOND_1979_2014.nc translates to: ar_ _ _ _ _ _ _ .nc The 13 study regions are indicated in attached below and described in Brands et al. (2017). The lat-lon coordinates of each region are provided in the netCDF files. For western North America and Europe the October-through-April and October-through-March season is covered, respectively. The compressed netCDF4 files offered here come with detailed metadata information. For generating the present dataset, the initial version of the AR detection and tracking algorithm developed in my PhD thesis was used (here referred to as version 0, see Brands et al. 2017 for a full description). Although newer algorithm versi</w:t>
      </w:r>
    </w:p>
    <w:p>
      <w:pPr>
        <w:pStyle w:val="Heading2"/>
      </w:pPr>
      <w:r>
        <w:t>835.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2024:</w:t>
      </w:r>
      <w:r>
        <w:t xml:space="preserve"> European viper bites: clinical management from pre-hospitalisation to follow-up a narrative review — https://doi.org/10.21037/jeccm-24-81</w:t>
      </w:r>
    </w:p>
    <w:p>
      <w:pPr/>
      <w:r>
        <w:rPr>
          <w:b/>
        </w:rPr>
        <w:t>Shared claim-specific concepts:</w:t>
      </w:r>
      <w:r>
        <w:t xml:space="preserve"> key, conclusions, use; EU scope visible. This is a provisional connection, not an outcome finding.</w:t>
      </w:r>
    </w:p>
    <w:p>
      <w:pPr>
        <w:pStyle w:val="SourceNote"/>
      </w:pPr>
      <w:r>
        <w:rPr>
          <w:b/>
        </w:rPr>
        <w:t>Available abstract (not full text):</w:t>
      </w:r>
      <w:r>
        <w:t xml:space="preserve"> Background and Objective: Venomous snakebites in Europe are mainly due to Viperidae species of the genus Vipera. They represent a medical emergency that needs to be treated in both out-of-hospital and emergency rooms. The immediate and long-term clinical sequelae can be dramatic. This represents a neglected public health risk with poorly defined incidence, morbidity, and mortality. For these reasons, the prehospital and hospital clinical approach is important. This paper aims to provide the clinician with essential information, updated according to the latest literature, on the management of these patients. Methods: The data for this narrative review are derived from a careful search of the following scientific databases such as PubMed, MedlinePlus, Cochrane Library. Key Content and Findings: We read 484 titles of scientific articles using the keywords: Viper bites: symptoms and treatment. Duplicate articles were excluded and the most relevant articles for our work were selected. Conclusions: In conclusion, it is important that the patient is brought to the emergency room and that prehospitalization maneuvers are correct. The use of snake antivenom should not be practiced in all patients but only in severity classes 2 and 3. In addition, hospitalization and eventual snake antivenom administration should be followed up over time.</w:t>
      </w:r>
    </w:p>
    <w:p>
      <w:pPr>
        <w:pStyle w:val="Heading2"/>
      </w:pPr>
      <w:r>
        <w:t>836.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RESEARCH ON FACTORS INFLUENCING THE STATE BUDGET AND ECONOMIC GROWTH IN THE EUROPEAN UNION — https://doi.org/10.65631/jes.1.2026.9</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2026:</w:t>
      </w:r>
      <w:r>
        <w:t xml:space="preserve"> RESEARCH ON FACTORS INFLUENCING THE STATE BUDGET AND ECONOMIC GROWTH IN THE EUROPEAN UNION — https://doi.org/10.65631/jes.2.2026.6</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factors, presents, significant, part, due;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STUDY OF ONLINE GROCERY SHOPPING IN THE EUROPEAN UNION: INFLUENCE OF SOCIO-ECONOMIC FACTORS — https://doi.org/10.37075/iscwe.2024.08</w:t>
      </w:r>
    </w:p>
    <w:p>
      <w:pPr/>
      <w:r>
        <w:rPr>
          <w:b/>
        </w:rPr>
        <w:t>Shared claim-specific concepts:</w:t>
      </w:r>
      <w:r>
        <w:t xml:space="preserve"> factors, influence, between, due, union; EU scope visible. This is a provisional connection, not an outcome finding.</w:t>
      </w:r>
    </w:p>
    <w:p>
      <w:pPr>
        <w:pStyle w:val="SourceNote"/>
      </w:pPr>
      <w:r>
        <w:rPr>
          <w:b/>
        </w:rPr>
        <w:t>Available abstract (not full text):</w:t>
      </w:r>
      <w:r>
        <w:t xml:space="preserve"> In the digital economy, online grocery shopping is growing in the countries of the European Union. The main objective of the present work is to investigate the dynamics of the relationship between the online grocery shopping by individuals and the size of the Gross Domestic Product per capita of the 27-member states of the European Union, and on this basis draw corresponding conclusions and summaries. The geographical focus of the study is on the online shopping of European consumers. The measurement of the investigated dependencies is carried out using the statistical software for computer processing – IBM SPSS Statistics and the Excel program. Analyzes were based on the method of linear regression and correlation. The time span of the study is 2013-2023. The results of the study interpret the variation of online grocery shopping due to a socio-economic factor such as Gross Domestic Product per capita. The generalizations and conclusions drawn are useful for characterizing the determinants of the changing behavior of European consumers.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pStyle w:val="Heading2"/>
      </w:pPr>
      <w:r>
        <w:t>837.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2026:</w:t>
      </w:r>
      <w:r>
        <w:t xml:space="preserve"> GHG emissions of all world countries — https://doi.org/10.2760/7717504</w:t>
      </w:r>
    </w:p>
    <w:p>
      <w:pPr/>
      <w:r>
        <w:rPr>
          <w:b/>
        </w:rPr>
        <w:t>Shared claim-specific concepts:</w:t>
      </w:r>
      <w:r>
        <w:t xml:space="preserve"> ghg, lulucf, removals;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Comparative analysis of GHG calculation methodologies in aviation — https://doi.org/10.1016/j.clpl.2026.100155</w:t>
      </w:r>
    </w:p>
    <w:p>
      <w:pPr/>
      <w:r>
        <w:rPr>
          <w:b/>
        </w:rPr>
        <w:t>Shared claim-specific concepts:</w:t>
      </w:r>
      <w:r>
        <w:t xml:space="preserve"> ghg, emission, only; EU scope visible. This is a provisional connection, not an outcome finding.</w:t>
      </w:r>
    </w:p>
    <w:p>
      <w:pPr>
        <w:pStyle w:val="SourceNote"/>
      </w:pPr>
      <w:r>
        <w:rPr>
          <w:b/>
        </w:rPr>
        <w:t>Available abstract (not full text):</w:t>
      </w:r>
      <w:r>
        <w:t xml:space="preserve"> Aviation accounts for roughly two to three percent of global carbon dioxide emissions, and its full climate impact—including high-altitude effects such as contrail-induced cirrus and nitrogen oxide chemistry—may be substantially larger. As mandatory sustainability disclosure expands across major economies—through European Union reporting requirements, the International Sustainability Standards Board (ISSB) climate baseline, the GHG Protocol, and international aviation schemes such as CORSIA—organisations face a practical problem: the proliferation of calculation methodologies produces materially different emissions estimates for the same flight, undermining comparability and auditability. This study asks which aviation greenhouse gas methodologies best support transparent, assurance-oriented corporate disclosure, and what drives the divergence in reported results. We assess ten widely used or policy-relevant methodologies through a three-part design: a structured documentation review with explicit version locking; controlled computations over standardised short-, medium-, and long-haul flight profiles under each method’s native assumptions for the eight methodologies with publicly reproducible factors; and a documentation-based multi-criteria analysis scoring transparency, boundary clarity, non-carbon-dioxide treatment, data granularity, and auditability on a four-point ordinal</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2025:</w:t>
      </w:r>
      <w:r>
        <w:t xml:space="preserve"> Evaluating the Effectiveness of the European Union’s 2040 Climate Target: Policy Ambitions versus Implementation Challenges — https://doi.org/10.71145/rjsp.v3i3.348</w:t>
      </w:r>
    </w:p>
    <w:p>
      <w:pPr/>
      <w:r>
        <w:rPr>
          <w:b/>
        </w:rPr>
        <w:t>Shared claim-specific concepts:</w:t>
      </w:r>
      <w:r>
        <w:t xml:space="preserve"> ghg, reduction, target, only, energy, however; EU scope visible. This is a provisional connection, not an outcome finding.</w:t>
      </w:r>
    </w:p>
    <w:p>
      <w:pPr>
        <w:pStyle w:val="SourceNote"/>
      </w:pPr>
      <w:r>
        <w:rPr>
          <w:b/>
        </w:rPr>
        <w:t>Available abstract (not full text):</w:t>
      </w:r>
      <w:r>
        <w:t xml:space="preserve"> As the level of ambition was increased, in July 2025, the European Commission set out a new binding greenhouse gas (GHG) reduction objective of - 90% by 2040 with respect to 1990, and it became an intermediate step on the road to climate neutrality by 2050 (European Commission, 2025). The paper is a critical evaluation of the effectiveness of this target and involves the engagement of the architecture of EU climate governance, the European Climate Law, the Fit for 55 package, the ETS, CBAM, the RE-Power-EU, and the Clean Industrial Deal and the implementation barriers: (1) economic competitiveness, (2) a political positioning difference among the member states, and (3) the pressure on simplification of regulations. The study provides qualitative research design influenced by the Comparative Public Policy Theory and Governance Theory to examine policy documents, reports of the interested stakeholders, literature reviews, and case-related information. Findings reveal the imbalance between aspiration and achievement like the poor enforcement mechanisms, lack of equality in compliance with the absence of sufficient incentives to go out of the ETS to reduce emissions. It is advisable that the enforcement be tightened, the burden sharing systems are strengthened as well as expanding the just transition plans. The paper adds new literature to the EU climate management by providing a s</w:t>
      </w:r>
    </w:p>
    <w:p>
      <w:pPr/>
      <w:r>
        <w:rPr>
          <w:b/>
        </w:rPr>
        <w:t>POSSIBLE 2025:</w:t>
      </w:r>
      <w:r>
        <w:t xml:space="preserve"> Development of green port index : a tool for assessing ports based on implementation of GHG emission reduction measures — https://openalex.org/W7133590153</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As the global attention shift towards climate change due its devastating impact on our environment, all sectors including ports should implement mitigation and adaptation strategies to combat it. This is why green port development and operation has become increasingly important to reduce the environmental impact of port operations. Despite the growing number of research in green ports, quantitative assessment of ports based on implementation of measures to mitigate their environmental impacts is rarely addressed. Therefore, this study seeks to develop a green port index (GPI) which is a comprehensive mechanism for evaluating ports based on implementation of key measures to reduce GHG emissions. This assessment tool produces a 0 – 100% composite score taking into account 12 key performance indicators (KPIs) identified through literature review. These KPIs include energy efficiency, electrification, green fuel utilization, port greenery, renewable energy usage, smart/microgrid coverage, onshore power supply (OPS) usage, just in time arrival, alternative fuel bunkering, green hinterland transportation of cargo, employee commuting and truck congestion reduction. The KPIs are classified based on the greenhouse gas (GHG) emission scope impacted. Additionally, this research proposes a methodology to quantify each of the 12 KPIs. Fuzzy Analytical Hierarchy Process (FAHP) and Adaptive N</w:t>
      </w:r>
    </w:p>
    <w:p>
      <w:pPr/>
      <w:r>
        <w:rPr>
          <w:b/>
        </w:rPr>
        <w:t>POSSIBLE 2025:</w:t>
      </w:r>
      <w:r>
        <w:t xml:space="preserve"> A framework for 1.5°C-aligned GHG budgets in architecture — https://doi.org/10.5334/bc.664</w:t>
      </w:r>
    </w:p>
    <w:p>
      <w:pPr/>
      <w:r>
        <w:rPr>
          <w:b/>
        </w:rPr>
        <w:t>Shared claim-specific concepts:</w:t>
      </w:r>
      <w:r>
        <w:t xml:space="preserve"> ghg, target, only;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r>
        <w:rPr>
          <w:b/>
        </w:rPr>
        <w:t>POSSIBLE 2025:</w:t>
      </w:r>
      <w:r>
        <w:t xml:space="preserve"> BRIDGING THE GAP: HOW GHG ACCOUNTING TOOLS CAN SUPPORT BEER COMPANIES IN THE IMPLEMENTATION OF CIRCULAR ECONOMY STRATEGIES — https://doi.org/10.31025/2611-4135/2025.19539</w:t>
      </w:r>
    </w:p>
    <w:p>
      <w:pPr/>
      <w:r>
        <w:rPr>
          <w:b/>
        </w:rPr>
        <w:t>Shared claim-specific concepts:</w:t>
      </w:r>
      <w:r>
        <w:t xml:space="preserve"> ghg, emission, energy; EU scope not established. This is a provisional connection, not an outcome finding.</w:t>
      </w:r>
    </w:p>
    <w:p>
      <w:pPr>
        <w:pStyle w:val="SourceNote"/>
      </w:pPr>
      <w:r>
        <w:rPr>
          <w:b/>
        </w:rPr>
        <w:t>Available abstract (not full text):</w:t>
      </w:r>
      <w:r>
        <w:t xml:space="preserve"> This study presents a greenhouse gases (GHG) accounting tool developed for Italian breweries aimed at the quantification of the carbon footprint (CF) of the organizations, thus enabling a self-assessment of their contribution to climate change. The tool builds on a Microsoft Excel interface that allows breweries to input site-specific data related to materials, energy, emissions, and waste across their life cycle in accordance with both the GHG Protocol and the ISO 14064-1 standard. A methodological framework is developed based on 7 steps, which include : i) organizational and operative boundaries definition, iii) identification of the databases for the calculations of emission sources and emission factors iv) calculation of CF which allows v) to perform a screening study and the hotspot identification, followed by vi) a check with literature in order to vii) perform a CE strategies assessment. This procedure made possible to build a valuable and reliable tool, in line with international standard and easy to replicate in other contests. The tool indeed enables companies to identify environmental relevant processes (hotspot analysis) and to implement relevant circular ecosystem innovation. This is possible thanks to its ability to create collaboration within ecosystem actors and allowing a trial-and-error process.</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pStyle w:val="Heading2"/>
      </w:pPr>
      <w:r>
        <w:t>838.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2025:</w:t>
      </w:r>
      <w:r>
        <w:t xml:space="preserve"> Methods to assess on-farm biosecurity in Europe and beyond — https://doi.org/10.1016/j.prevetmed.2025.106486</w:t>
      </w:r>
    </w:p>
    <w:p>
      <w:pPr/>
      <w:r>
        <w:rPr>
          <w:b/>
        </w:rPr>
        <w:t>Shared claim-specific concepts:</w:t>
      </w:r>
      <w:r>
        <w:t xml:space="preserve"> also, assess, different, between;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Cost–Benefit Analysis of Distributed Energy Systems Considering the Monetization of Indirect Benefits — https://doi.org/10.3390/su16020820</w:t>
      </w:r>
    </w:p>
    <w:p>
      <w:pPr/>
      <w:r>
        <w:rPr>
          <w:b/>
        </w:rPr>
        <w:t>Shared claim-specific concepts:</w:t>
      </w:r>
      <w:r>
        <w:t xml:space="preserve"> also; EU scope not established. This is a provisional connection, not an outcome finding.</w:t>
      </w:r>
    </w:p>
    <w:p>
      <w:pPr>
        <w:pStyle w:val="SourceNote"/>
      </w:pPr>
      <w:r>
        <w:rPr>
          <w:b/>
        </w:rPr>
        <w:t>Available abstract (not full text):</w:t>
      </w:r>
      <w:r>
        <w:t xml:space="preserve"> Driven by market value, a co-benefits assessment framework to encompass various benefits arising from distributed energy systems is developed. Using a monetization approach, a quantitative analysis model is established to evaluate both direct and indirect benefits. According to the simulation results of typical distributed energy systems, the distributed photovoltaic (PV) system demonstrates superior economic performance compared with the gas-fired distributed energy system, highlighting its potential for widespread commercialization. Moreover, the inclusion of indirect benefits significantly enhances the economic viability of the distributed energy system. While the PV system exhibits a more favorable promotional impact, it also renders the gas-fired distributed energy system commercially feasible.</w:t>
      </w:r>
    </w:p>
    <w:p>
      <w:pPr/>
      <w:r>
        <w:rPr>
          <w:b/>
        </w:rPr>
        <w:t>POSSIBLE 2024:</w:t>
      </w:r>
      <w:r>
        <w:t xml:space="preserve"> Monetizing Animal Welfare Impacts for Benefit–Cost Analysis — https://doi.org/10.1017/bca.2024.19</w:t>
      </w:r>
    </w:p>
    <w:p>
      <w:pPr/>
      <w:r>
        <w:rPr>
          <w:b/>
        </w:rPr>
        <w:t>Shared claim-specific concepts:</w:t>
      </w:r>
      <w:r>
        <w:t xml:space="preserve"> assess, different, between, political, allows; EU scope not established. This is a provisional connection, not an outcome finding.</w:t>
      </w:r>
    </w:p>
    <w:p>
      <w:pPr>
        <w:pStyle w:val="SourceNote"/>
      </w:pPr>
      <w:r>
        <w:rPr>
          <w:b/>
        </w:rPr>
        <w:t>Available abstract (not full text):</w:t>
      </w:r>
      <w:r>
        <w:t xml:space="preserve"> Abstract Animal welfare is often ignored in decision-making, despite widespread agreement about its importance. This is partly because of a lack of quantitative methods to assess the impacts of policies on humans and nonhumans alike on a common scale. At the same time, recent work in economics, philosophy, and animal welfare science has made progress on the fundamental theoretical challenge of estimating the well-being potential of different species on a single scale. By combining these estimates of each species’ well-being potential with assessments of how various policies impact the quality of life for these species, along with the number of animals affected, we can arrive at a framework for estimating the impact of policies on animal health and well-being. This framework allows for a quantifiable comparison between policies affecting humans and animals. For instance, it enables us to compare human QALYs to animal QALYs tailored to specific species. Hence, the intrinsic value of animal welfare impacts of policies can be monetized on the same scale as market and non-market impact for humans, facilitating benefit–cost analysis. Many challenges remain though, including issues of population ethics, political feasibility, and new complexities in addressing equity and uncertainty.</w:t>
      </w:r>
    </w:p>
    <w:p>
      <w:pPr/>
      <w:r>
        <w:rPr>
          <w:b/>
        </w:rPr>
        <w:t>POSSIBLE 2024:</w:t>
      </w:r>
      <w:r>
        <w:t xml:space="preserve"> Cochlear implant cost analysis in adults: a European narrative review — https://doi.org/10.1007/s00405-024-08591-3</w:t>
      </w:r>
    </w:p>
    <w:p>
      <w:pPr/>
      <w:r>
        <w:rPr>
          <w:b/>
        </w:rPr>
        <w:t>Shared claim-specific concepts:</w:t>
      </w:r>
      <w:r>
        <w:t xml:space="preserve"> different, between; EU scope visible. This is a provisional connection, not an outcome finding.</w:t>
      </w:r>
    </w:p>
    <w:p>
      <w:pPr>
        <w:pStyle w:val="SourceNote"/>
      </w:pPr>
      <w:r>
        <w:rPr>
          <w:b/>
        </w:rPr>
        <w:t>Available abstract (not full text):</w:t>
      </w:r>
      <w:r>
        <w:t xml:space="preserve"> PURPOSE: The aim of this study was to provide an updated European narrative review spanning the last decade, focusing on the cost-effectiveness of cochlear implants (CIs) for adults with severe to profound post-lingual hearing loss. METHODS: This review encompasses both prospective and retrospective approaches, as well as cross-sectional and longitudinal trials conducted on CIs in adults. All studies related to European countries (Austria, Germany, Switzerland, the Netherlands, Sweden, the UK and Poland) were conducted in English and were published between 2012 and June 2023. RESULTS: Nine studies were included in the analysis. The patients' ages ranged from 18 years to over 67 years, with sample sizes ranging from 20 to 100 patients; two of these studies were focused on single-sided deafness in adults. The Markov model was identified as the most commonly utilized analysis method. CONCLUSIONS: This review identified a general consensus on CI cost-effectiveness, despite substantial variability among countries in factors such as observation time horizons, cost-effectiveness thresholds, methods of cost collection, discount rates, CI eligibility criteria and country-specific health systems. Generally, CIs yield positive societal benefits for working-age individuals, potentially less for seniors. Early unilateral CI enhances cost-effectiveness, highlighting the importance of prompt </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pStyle w:val="Heading2"/>
      </w:pPr>
      <w:r>
        <w:t>839.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2025:</w:t>
      </w:r>
      <w:r>
        <w:t xml:space="preserve"> Policy Design, Diffusion, and Policy Instrument Attitudes — https://doi.org/10.1111/ropr.70032</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Policymakers are in the constant struggle to design policies that appropriately address societal, economic, and ecological needs. Literature on policy design has contributed to the field of policy studies with a systematization of possible policy instruments (Howlett 2004, 2023; Acciai and Capano 2021; Capano and Howlett 2020). But how do policymakers decide whether and which policy to implement and how does the public respond to different policy instruments? These questions will be treated in the fourth issue of this year's Review of Policy Research volume from different perspectives. The first part of this issue focuses on governments and what influences their decision to implement or not implement certain policies. In line with research on policy diffusion (Marsh and Sharman 2009; Mallinson 2021; Mistur et al. 2023), the first three papers illustrate how the decisions of neighboring regions can influence (local) governments to follow the same approach. The subsequent papers address how compatibility with already established policies through path dependence (Beyer 2010; Pierson 2014), institutional capacity (Toshkov et al. 2021; Khan and Hussain 2024), and policy learning (Dunlop et al. 2018; Crow et al. 2023; Zaki et al. 2023) shape policymakers' decisions, and what constitutes effective policymaking. The second part of this issue turns toward citizens as the recipients of p</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pStyle w:val="Heading2"/>
      </w:pPr>
      <w:r>
        <w:t>840. Environmental impacts of high penetration renewable energy scenarios for Europe</w:t>
      </w:r>
    </w:p>
    <w:p>
      <w:pPr>
        <w:pStyle w:val="SourceNote"/>
      </w:pPr>
      <w:r>
        <w:rPr>
          <w:b/>
        </w:rPr>
        <w:t>Original source (2016):</w:t>
      </w:r>
      <w:r>
        <w:t xml:space="preserve"> https://doi.org/10.1088/1748-9326/11/1/014012</w:t>
      </w:r>
    </w:p>
    <w:p>
      <w:pPr/>
      <w:r>
        <w:t>Original wording (abstract; indexed_source_text_not_full_document_verified):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The climate change impacts from Europe for the year 2050 in a scenario using primarily natural gas are 1400 Tg CO 2 -eq while in a scenario using mostly coal with CCS the impacts are 480 Tg CO 2 -eq.</w:t>
      </w:r>
    </w:p>
    <w:p>
      <w:pPr/>
      <w:r>
        <w:rPr>
          <w:b/>
        </w:rPr>
        <w:t>POSSIBLE 2023:</w:t>
      </w:r>
      <w:r>
        <w:t xml:space="preserve"> Challenges and Solutions for Forest Biodiversity Conservation in Sweden: Assessment of Policy, Implementation Outputs, and Consequences — https://doi.org/10.3390/land12051098</w:t>
      </w:r>
    </w:p>
    <w:p>
      <w:pPr/>
      <w:r>
        <w:rPr>
          <w:b/>
        </w:rPr>
        <w:t>Shared claim-specific concepts:</w:t>
      </w:r>
      <w:r>
        <w:t xml:space="preserve"> outputs, including, systems; EU scope visible. This is a provisional connection, not an outcome finding.</w:t>
      </w:r>
    </w:p>
    <w:p>
      <w:pPr>
        <w:pStyle w:val="SourceNote"/>
      </w:pPr>
      <w:r>
        <w:rPr>
          <w:b/>
        </w:rPr>
        <w:t>Available abstract (not full text):</w:t>
      </w:r>
      <w:r>
        <w:t xml:space="preserve"> Swedish policies aim at conserving biological production, biodiversity, cultural heritage and recreational assets. This requires compositionally and structurally functional networks of representative habitats, the processes that maintain them, and resilient ecosystems. The term green infrastructure (GI) captures this. We review (1) policy concerning forest biodiversity conservation from the 1990s; (2) the implementation outputs, including the formulation of short-term and evidence-based long-term goals for protected areas, education, and the development of hierarchical spatial planning; (3) the consequences in terms of formally protected and voluntarily set-aside forest stands, as well as conservation management and habitat restoration. We assess the successes and failures regarding policy, outputs and consequences, discuss challenges to be addressed, and suggest solutions. Policies capture evidence-based knowledge about biodiversity, and evidence-based conservation planning as an output. However, the desired consequences are not met on the ground. Thus, the amount of formally protected and voluntary set-aside forests are presently too low, and have limited quality and poor functional connectivity. GI functionality is even declining because of forestry intensification, and insufficient conservation. Challenges include limited collaborative learning among forest and conservation</w:t>
      </w:r>
    </w:p>
    <w:p>
      <w:pPr/>
      <w:r>
        <w:rPr>
          <w:b/>
        </w:rPr>
        <w:t>POSSIBLE 2023:</w:t>
      </w:r>
      <w:r>
        <w:t xml:space="preserve"> DiSSCo Prepare Project: Increasing the Implementation Readiness Levels of the European Research Infrastructure — https://doi.org/10.3897/rio.9.e113906</w:t>
      </w:r>
    </w:p>
    <w:p>
      <w:pPr/>
      <w:r>
        <w:rPr>
          <w:b/>
        </w:rPr>
        <w:t>Shared claim-specific concepts:</w:t>
      </w:r>
      <w:r>
        <w:t xml:space="preserve"> outputs, system, including, natural; EU scope visible. This is a provisional connection, not an outcome finding.</w:t>
      </w:r>
    </w:p>
    <w:p>
      <w:pPr>
        <w:pStyle w:val="SourceNote"/>
      </w:pPr>
      <w:r>
        <w:rPr>
          <w:b/>
        </w:rPr>
        <w:t>Available abstract (not full text):</w:t>
      </w:r>
      <w:r>
        <w:t xml:space="preserve"> The Distributed System of Scientific Collections (DiSSCo) is a new world-class Research Infrastructure (RI) for Natural Science Collections. The DiSSCo RI aims to create a new business model for one European collection that digitally unifies all European natural science assets under common access, curation, policies and practices that ensure that all the data is easily Findable, Accessible, Interoperable and Reusable (FAIR principles). DiSSCo represents the largest ever formal agreement between natural history museums, botanic gardens and collection-holding institutions in the world. DiSSCo entered the European Roadmap for Research Infrastructures in 2018 and launched its main preparatory phase project (DiSSCo Prepare) in 2020. DiSSCo Prepare is the primary vehicle through which DiSSCo reaches the overall maturity necessary for its construction and eventual operation. DiSSCo Prepare raises DiSSCo’s implementation readiness level (IRL) across the five dimensions: technical, scientific, data, organisational and financial. Each dimension of implementation readiness is separately addressed by specific Work Packages (WP) with distinct targets, actions and tasks that will deliver DiSSCo’s Construction Masterplan. This comprehensive and integrated Masterplan will be the product of the outputs of all of its content related tasks and will be the project’s final output. It will serve as </w:t>
      </w:r>
    </w:p>
    <w:p>
      <w:pPr/>
      <w:r>
        <w:rPr>
          <w:b/>
        </w:rPr>
        <w:t>POSSIBLE 2023:</w:t>
      </w:r>
      <w:r>
        <w:t xml:space="preserve"> Implementing NLP techniques and data for Europe financial market forecasting — https://doi.org/10.54254/2755-2721/18/20230991</w:t>
      </w:r>
    </w:p>
    <w:p>
      <w:pPr/>
      <w:r>
        <w:rPr>
          <w:b/>
        </w:rPr>
        <w:t>Shared claim-specific concepts:</w:t>
      </w:r>
      <w:r>
        <w:t xml:space="preserve"> energy, natural; EU scope visible. This is a provisional connection, not an outcome finding.</w:t>
      </w:r>
    </w:p>
    <w:p>
      <w:pPr>
        <w:pStyle w:val="SourceNote"/>
      </w:pPr>
      <w:r>
        <w:rPr>
          <w:b/>
        </w:rPr>
        <w:t>Available abstract (not full text):</w:t>
      </w:r>
      <w:r>
        <w:t xml:space="preserve"> The large military conflict between Russia and Ukraine has consequences for the global financial market. The European region is one of the hardest hits, which experienced a high energy cost and devaluation of the currency. This paper investigates the Employment Expectations Indicator (EEI) and Economic Sentiment Indicator (ESI) from the business consumer survey index to reflect the reaction of the consumers of the European market by implementing Natural Language Processing (NLP) techniques and machine learning. In the object, the monetary policy decisions from European Central Bank are considered the data set for forecasting the Index. In the result, all nine models from ‘scikit-learn’ contributed a great job in both categories of Accuracy, Precision, and F-score and Recall with a level of 90% as average. It represents that the NLP techniques effectively forecast the future value of two European business and consumer indexes. However, the limit of the dataset and model mostly related to the performance of NLP techniques is working for forecasting but less related to the expected values of the EEI and ESI indices. Future research would focus more on forecasting the expected value of the two indexes and reflect the consumers' reactions in the markets.</w:t>
      </w:r>
    </w:p>
    <w:p>
      <w:pPr/>
      <w:r>
        <w:rPr>
          <w:b/>
        </w:rPr>
        <w:t>POSSIBLE 2020:</w:t>
      </w:r>
      <w:r>
        <w:t xml:space="preserve"> Perspectives of cardiovascular research in Central and Eastern Europe (letter) — https://doi.org/10.1093/eurheartj/suaa099</w:t>
      </w:r>
    </w:p>
    <w:p>
      <w:pPr/>
      <w:r>
        <w:rPr>
          <w:b/>
        </w:rPr>
        <w:t>Shared claim-specific concepts:</w:t>
      </w:r>
      <w:r>
        <w:t xml:space="preserve"> letter, system, life, systems, largely; EU scope visible. This is a provisional connection, not an outcome finding.</w:t>
      </w:r>
    </w:p>
    <w:p>
      <w:pPr>
        <w:pStyle w:val="SourceNote"/>
      </w:pPr>
      <w:r>
        <w:rPr>
          <w:b/>
        </w:rPr>
        <w:t>Available abstract (not full text):</w:t>
      </w:r>
      <w:r>
        <w:t xml:space="preserve"> When considering the perspectives of cardiovascular research, the first question to ask is whether it is justified to focus specifically on cardiovascular research in Central and Eastern Europe, i.e. whether different socio-economic circumstances should influence the direction of cardiovascular research. Over the past four decades, age-adjusted cardiovascular disease (CVD) mortality in Europe has declined and is currently following a steady trend; nonetheless, CVDs are still a major cause of death and accounts for 46% of all deaths.1 Large inequalities exist across Europe with CVD-related mortality generally higher in Central and Eastern Europe. In Central and East European countries, coronary heart disease and stroke are responsible for 49% and 32% of all CVD deaths, respectively.2 It is noteworthy that Eastern European countries have some of the highest rates of CVD mortality in the world. Additionally, in most middle-income countries, the overall burden of CVD, which includes morbidity, is greater than in high-income countries. This growing burden of disease is one of the triggers for the growth in cardiovascular research. Cardiovascular disease research plays a key role in improving patient outcomes as well as bolstering the sustainability of healthcare systems. The epidemiology of CVD suggests that one direction for research should focus on identifying the root causes of t</w:t>
      </w:r>
    </w:p>
    <w:p>
      <w:pPr/>
      <w:r>
        <w:rPr>
          <w:b/>
        </w:rPr>
        <w:t>POSSIBLE 2018:</w:t>
      </w:r>
      <w:r>
        <w:t xml:space="preserve"> Letter to the Editor — https://doi.org/10.2478/jos-2018-0027</w:t>
      </w:r>
    </w:p>
    <w:p>
      <w:pPr/>
      <w:r>
        <w:rPr>
          <w:b/>
        </w:rPr>
        <w:t>Shared claim-specific concepts:</w:t>
      </w:r>
      <w:r>
        <w:t xml:space="preserve"> letter, system, including, based; EU scope visible. This is a provisional connection, not an outcome finding.</w:t>
      </w:r>
    </w:p>
    <w:p>
      <w:pPr>
        <w:pStyle w:val="SourceNote"/>
      </w:pPr>
      <w:r>
        <w:rPr>
          <w:b/>
        </w:rPr>
        <w:t>Available abstract (not full text):</w:t>
      </w:r>
      <w:r>
        <w:t xml:space="preserve"> On Statistical Unit Errors in Business StatisticsOfficial business statistics are crucial for decision makers, but what is actually meant by a "business" has been debated in the statistical community for decades.Economic data can be based on many different unit types, such as legal or fiscal units in administrative data, and different kinds of reporting units in the case of primary data collection.The choice of the targeted business unit type is a cornerstone decision that determines the outcome of business statistics.However, despite the fundamental importance of business units in business statistics, traditionally, there has been little statistical theory and methodological guidance available regarding the prevention and treatment of errors associated with the business units.To improve the situation, we believe methodologists need to become fully aware of the nature of unit errors and their potential consequences.The aim of this letter is three-fold: (i) to summarise the core aspects of the unit error and the associated unit problem, (ii) to stimulate the discussions to clarify and improve our understanding of the system of statistical units, which is needed for the production of National Accounts and various relevant national and international business and economic statistics, and (iii) to call for a general approach to the unit problem in business statistics, including the </w:t>
      </w:r>
    </w:p>
    <w:p>
      <w:pPr/>
      <w:r>
        <w:rPr>
          <w:b/>
        </w:rPr>
        <w:t>POSSIBLE 2017:</w:t>
      </w:r>
      <w:r>
        <w:t xml:space="preserve"> Letter-Based Speech Recognition with Gated ConvNets — https://doi.org/10.48550/arxiv.1712.09444</w:t>
      </w:r>
    </w:p>
    <w:p>
      <w:pPr/>
      <w:r>
        <w:rPr>
          <w:b/>
        </w:rPr>
        <w:t>Shared claim-specific concepts:</w:t>
      </w:r>
      <w:r>
        <w:t xml:space="preserve"> letter, system, systems, based; EU scope not established. This is a provisional connection, not an outcome finding.</w:t>
      </w:r>
    </w:p>
    <w:p>
      <w:pPr>
        <w:pStyle w:val="SourceNote"/>
      </w:pPr>
      <w:r>
        <w:rPr>
          <w:b/>
        </w:rPr>
        <w:t>Available abstract (not full text):</w:t>
      </w:r>
      <w:r>
        <w:t xml:space="preserve"> In the recent literature, "end-to-end" speech systems often refer to letter-based acoustic models trained in a sequence-to-sequence manner, either via a recurrent model or via a structured output learning approach (such as CTC). In contrast to traditional phone (or senone)-based approaches, these "end-to-end'' approaches alleviate the need of word pronunciation modeling, and do not require a "forced alignment" step at training time. Phone-based approaches remain however state of the art on classical benchmarks. In this paper, we propose a letter-based speech recognition system, leveraging a ConvNet acoustic model. Key ingredients of the ConvNet are Gated Linear Units and high dropout. The ConvNet is trained to map audio sequences to their corresponding letter transcriptions, either via a classical CTC approach, or via a recent variant called ASG. Coupled with a simple decoder at inference time, our system matches the best existing letter-based systems on WSJ (in word error rate), and shows near state of the art performance on LibriSpeech.</w:t>
      </w:r>
    </w:p>
    <w:p>
      <w:pPr>
        <w:pStyle w:val="Heading2"/>
      </w:pPr>
      <w:r>
        <w:t>841.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production, technological;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2025:</w:t>
      </w:r>
      <w:r>
        <w:t xml:space="preserve"> DASNordicSLR - Sea Level Projections for Northern Europe — https://doi.org/10.31223/x5tj24</w:t>
      </w:r>
    </w:p>
    <w:p>
      <w:pPr/>
      <w:r>
        <w:rPr>
          <w:b/>
        </w:rPr>
        <w:t>Shared claim-specific concepts:</w:t>
      </w:r>
      <w:r>
        <w:t xml:space="preserve"> water, level, based, projections, four;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An Enhanced Framework for Improving SWOT-based Surface Water Level and River Slope Estimations — https://doi.org/10.24400/527896/a03-2025.4246</w:t>
      </w:r>
    </w:p>
    <w:p>
      <w:pPr/>
      <w:r>
        <w:rPr>
          <w:b/>
        </w:rPr>
        <w:t>Shared claim-specific concepts:</w:t>
      </w:r>
      <w:r>
        <w:t xml:space="preserve"> water, level, develop; EU scope visible. This is a provisional connection, not an outcome finding.</w:t>
      </w:r>
    </w:p>
    <w:p>
      <w:pPr>
        <w:pStyle w:val="SourceNote"/>
      </w:pPr>
      <w:r>
        <w:rPr>
          <w:b/>
        </w:rPr>
        <w:t>Available abstract (not full text):</w:t>
      </w:r>
      <w:r>
        <w:t xml:space="preserve"> The Surface Water and Ocean Topography (SWOT) satellite, launched in 2022, provides unprecedented observations of water surface elevation (WSE), river width, and slope for global rivers. The project DETECT-REDS (DETECT-REfecct-Discharge-Storage) continues the REFECCT project of the SWOT Science Team 2020-2023. The central hypothesis is that SWOT and SAR altimetry outperform conventional altimetry with new products to monitor surface water and study hydrodynamic processes. The main objective is to evaluate the scientific usability of the SWOT data in inland waters, with a specific focus on applications related to river discharge and storage change. In the DFG-founded DETECT project, we evaluate the applicability of SWOT in medium and small size rivers and lakes to determine spatial and temporal detection limits of the space techniques. Standard SWOT products (RiverSP and LakeSP) exhibit constrained accuracy and spatial definitions. Building upon SWOT Pixel Cloud (PIXC) and Raster products, we develop an enhanced framework to overcome these limitations for estimating surface water level, incorporating quality flags and gaussian mixture distribution clustering. For lake and reservoir from Raster product, our approach achieves 4 cm median STDD with 1 cm bias against Swiss in situ gauges, effectively extending SWOT's observational capacity to sub-1 km² water bodies. For river applic</w:t>
      </w:r>
    </w:p>
    <w:p>
      <w:pPr>
        <w:pStyle w:val="Heading2"/>
      </w:pPr>
      <w:r>
        <w:t>842.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An integrated analytical framework for assessing latent sustainability dimensions across European Union Member States — https://doi.org/10.1007/s43621-026-04221-6</w:t>
      </w:r>
    </w:p>
    <w:p>
      <w:pPr/>
      <w:r>
        <w:rPr>
          <w:b/>
        </w:rPr>
        <w:t>Shared claim-specific concepts:</w:t>
      </w:r>
      <w:r>
        <w:t xml:space="preserve"> indicate, member, states, energy, framework; EU scope visible. This is a provisional connection, not an outcome finding.</w:t>
      </w:r>
    </w:p>
    <w:p>
      <w:pPr>
        <w:pStyle w:val="SourceNote"/>
      </w:pPr>
      <w:r>
        <w:rPr>
          <w:b/>
        </w:rPr>
        <w:t>Available abstract (not full text):</w:t>
      </w:r>
      <w:r>
        <w:t xml:space="preserve"> Understanding sustainability requires analytical frameworks capable of integrating environmental, innovation and fiscal dimensions rather than examining them separately. This study develops an integrated empirical framework to identify latent sustainability dimensions, classify European Union Member States according to their sustainability profiles and examine the statistical association between these dimensions and energy productivity. The analysis is based on a balanced panel of the 27 European Union Member States covering the period 2013–2023. Principal Component Analysis is used to extract latent sustainability dimensions, whose robustness is evaluated through alternative rotation methods and temporal stability analyses. The resulting factor scores are subsequently employed in K-means clustering to identify homogeneous sustainability profiles and in panel regression analysis with robust estimators to assess their statistical association with energy productivity. Three robust latent sustainability dimensions are identified, representing Environmental pressure and resource-use intensity, Innovation capacity and public fiscal effort, and Corporate tax policy. The factor structure remains stable across alternative model specifications and temporal subsamples, supporting the robustness of the proposed framework. The clustering analysis reveals three distinct sustainability profi</w:t>
      </w:r>
    </w:p>
    <w:p>
      <w:pPr/>
      <w:r>
        <w:rPr>
          <w:b/>
        </w:rPr>
        <w:t>POSSIBLE 2026:</w:t>
      </w:r>
      <w:r>
        <w:t xml:space="preserve"> European Structural and Investment Funds (ESIF) and Regional Cohesion in EU Member-states — https://doi.org/10.1007/s13132-026-03244-8</w:t>
      </w:r>
    </w:p>
    <w:p>
      <w:pPr/>
      <w:r>
        <w:rPr>
          <w:b/>
        </w:rPr>
        <w:t>Shared claim-specific concepts:</w:t>
      </w:r>
      <w:r>
        <w:t xml:space="preserve"> fund, both, framework; EU scope visible. This is a provisional connection, not an outcome finding.</w:t>
      </w:r>
    </w:p>
    <w:p>
      <w:pPr>
        <w:pStyle w:val="SourceNote"/>
      </w:pPr>
      <w:r>
        <w:rPr>
          <w:b/>
        </w:rPr>
        <w:t>Available abstract (not full text):</w:t>
      </w:r>
      <w:r>
        <w:t xml:space="preserve"> This paper presents a meticulously conducted and extensive comparative analysis of the absorption patterns of European Structural and Investment Funds (ESIF) throughout the 2014–2020 programming period across a diverse array of European countries, with a particular emphasis on the Greek context. The primary objective of this study is to offer a comprehensive understanding of both shared trends and variations in fund absorption dynamics, thereby providing valuable insights into the intricate factors that shape the utilization of ESIF. Utilizing a robust methodological framework, this research undertakes an exhaustive examination of national and regional data to unravel the multifaceted determinants influencing absorption rates. Key determinants, including macroeconomic conditions, administrative efficiency, institutional capacity, and policy frameworks, are rigorously scrutinized to elucidate their nuanced impacts on ESIF absorption dynamics. Through this methodical approach, the study endeavors to provide nuanced insights into the efficacy of fund allocation mechanisms and the pivotal role played by socio-economic factors in steering regional development trajectories.</w:t>
      </w:r>
    </w:p>
    <w:p>
      <w:pPr/>
      <w:r>
        <w:rPr>
          <w:b/>
        </w:rPr>
        <w:t>POSSIBLE 2026:</w:t>
      </w:r>
      <w:r>
        <w:t xml:space="preserve"> Managing socio-economic development in the European Union – a comparative analysis of member states (2010-2025) — https://doi.org/10.29119/1641-3466.2026.251.28</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The aim of the article is to evaluate the level of socio-economic development of European Union Member States between 2010 and 2025 and to identify key factors influencing development management.Design/methodology/approach: The study is based on secondary data analysis using Eurostat and UNDP databases, supported by comparative and descriptive analysis as well as an examination of relationships between selected socio-economic indicators. Findings:The results indicate a general improvement in socio-economic development across EU Member States, reflected in higher GDP per capita and HDI values, lower unemployment rates, and a positive relationship between economic and social development. Research limitations/implications:The study is limited by its reliance on secondary data and a selected set of macroeconomic and social indicators, which do not fully capture the complexity of socio-economic development. Practical implications:The findings may support policymakers and public institutions in designing and evaluating development strategies aimed at strengthening socio-economic cohesion and sustainable growth. Social implications:The results highlight the importance of investments in human capital, education, and social well-being as key factors contributing to improved quality of life and long-term development.Originality/value: The originality of the article lies in its comprehens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pStyle w:val="Heading2"/>
      </w:pPr>
      <w:r>
        <w:t>843.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climate, after, main, period, projections;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Wheat breeding trials will lose climate relevance in Europe — https://doi.org/10.1088/1748-9326/ae0e38</w:t>
      </w:r>
    </w:p>
    <w:p>
      <w:pPr/>
      <w:r>
        <w:rPr>
          <w:b/>
        </w:rPr>
        <w:t>Shared claim-specific concepts:</w:t>
      </w:r>
      <w:r>
        <w:t xml:space="preserve"> climate, strategies, show; EU scope visible. This is a provisional connection, not an outcome finding.</w:t>
      </w:r>
    </w:p>
    <w:p>
      <w:pPr>
        <w:pStyle w:val="SourceNote"/>
      </w:pPr>
      <w:r>
        <w:rPr>
          <w:b/>
        </w:rPr>
        <w:t>Available abstract (not full text):</w:t>
      </w:r>
      <w:r>
        <w:t xml:space="preserve"> Abstract Europe is a major wheat producer, but rising frequencies of drought and heatwaves increasingly threaten yields. To support breeding strategies aligned with future climatic challenges, we identified current European environments that are analogous to projected future drought and heat stress conditions in major wheat-growing regions. Using gridded crop model simulations with historical and future climate data from an ensemble of five global circulation models (RCP4.5 and RCP8.5 scenarios), we characterized stress patterns during key wheat developmental phases. We clustered environments into stress classes and computed a continuous similarity index to map analogue regions. Our results show that by the end of the century, most official value for cultivation and use (VCU) trial sites will face intensified drought and heat stresses, with stress combinations exceeding historical ranges. Current climate analogues for most VCU wheat trial sites in Central Europe are predominantly located in southern Spain, southern Italy, and parts of Greece, yet these analogue environments are projected to decrease substantially under high-emission scenarios. The disappearance of climate analogues threatens breeding based on past conditions. Our results highlight the need to rapidly adapt wheat breeding strategies in Europe to future climate conditions.</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2024:</w:t>
      </w:r>
      <w:r>
        <w:t xml:space="preserve"> The relationship between climate classes and particulate matters over Europe — https://doi.org/10.1038/s41598-024-80365-7</w:t>
      </w:r>
    </w:p>
    <w:p>
      <w:pPr/>
      <w:r>
        <w:rPr>
          <w:b/>
        </w:rPr>
        <w:t>Shared claim-specific concepts:</w:t>
      </w:r>
      <w:r>
        <w:t xml:space="preserve"> climate, main, period, show; EU scope visible. This is a provisional connection, not an outcome finding.</w:t>
      </w:r>
    </w:p>
    <w:p>
      <w:pPr>
        <w:pStyle w:val="SourceNote"/>
      </w:pPr>
      <w:r>
        <w:rPr>
          <w:b/>
        </w:rPr>
        <w:t>Available abstract (not full text):</w:t>
      </w:r>
      <w:r>
        <w:t xml:space="preserve"> Present and future Köppen-Geiger climate maps and time series of particulate matter (PM10) at continental scale were used to investigate the relationship between spatial patterns of PM10 and climate zones. Five main patterns (spatial clusters) of PM10 were found over the European continent, which show a good spatial overlap with the main Köppen-Geiger climate zones. The map of future climate, which shows a poleward movement of the warmer climate zones, an expansion of the (semi-)arid zones and a shrinking of the polar and tundra zones, indicates a higher PM10 concentration, especially in the northern part of Europe. The results also show that there is a temporal shift (later/earlier) of PM10 extremes in the period 2013-2022. This insight into the relationship between climate zones and clustered PM10 time series and the use of high-quality future climate maps based on different scenarios can be used to estimate possible changes, such as annual averages or seasonal cycles, in PM10 concentrations.</w:t>
      </w:r>
    </w:p>
    <w:p>
      <w:pPr>
        <w:pStyle w:val="Heading2"/>
      </w:pPr>
      <w:r>
        <w:t>844.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2022:</w:t>
      </w:r>
      <w:r>
        <w:t xml:space="preserve"> Public debt and money for a political ecology in the European Union — https://doi.org/10.3917/reof.173.0079</w:t>
      </w:r>
    </w:p>
    <w:p>
      <w:pPr/>
      <w:r>
        <w:rPr>
          <w:b/>
        </w:rPr>
        <w:t>Shared claim-specific concepts:</w:t>
      </w:r>
      <w:r>
        <w:t xml:space="preserve"> level, upon; EU scope visible. This is a provisional connection, not an outcome finding.</w:t>
      </w:r>
    </w:p>
    <w:p>
      <w:pPr>
        <w:pStyle w:val="SourceNote"/>
      </w:pPr>
      <w:r>
        <w:rPr>
          <w:b/>
        </w:rPr>
        <w:t>Available abstract (not full text):</w:t>
      </w:r>
      <w:r>
        <w:t xml:space="preserve"> The pandemic crisis has displayed the lack of precautionary measures and health infrastructure in most advanced countries, not forgetting how little help has been granted to poor countries. In the face of a worldwide ecological crisis, there has been no global cooperation. In addition, in 2020, catastrophic events due to climate change have accelerated. Public finances have been called upon to support the economy and to engineer a much hoped-for short-term recovery on the one hand, and to put financial systems in order to deal with climate change in the coming crucial decade on the other.Our work tries to address this dual challenge. First, it handles the crucial problem of debt sustainability in a theoretical framework that emphasizes the discounted ratio of future primary balances rather than the level of debt. Simulations of the theoretical model used are provided for the four largest countries of the euro zone to show the conditions in which public debt could be sustainable during the crisis and the subsequent recovery.Moving to the longer-term challenge of handling climate change, societies must confront the irruption of climate-related risks that are plagued with radical uncertainty. To deal with this new financial landscape, the institutional structure of finance must be reformed. Furthermore, macroeconomic disequilibria are no longer symmetrical. The threat of a deflati</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especially, article;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Are lower interest rates really associated with higher growth? New empirical evidence on the interest rate thesis from 19 countries — https://doi.org/10.1002/ijfe.2630</w:t>
      </w:r>
    </w:p>
    <w:p>
      <w:pPr/>
      <w:r>
        <w:rPr>
          <w:b/>
        </w:rPr>
        <w:t>Shared claim-specific concepts:</w:t>
      </w:r>
      <w:r>
        <w:t xml:space="preserve"> rate, about; EU scope not established. This is a provisional connection, not an outcome finding.</w:t>
      </w:r>
    </w:p>
    <w:p>
      <w:pPr>
        <w:pStyle w:val="SourceNote"/>
      </w:pPr>
      <w:r>
        <w:rPr>
          <w:b/>
        </w:rPr>
        <w:t>Available abstract (not full text):</w:t>
      </w:r>
      <w:r>
        <w:t xml:space="preserve"> Abstract There is a substantial literature on the link between finance and growth. Empirical evidence remains inconclusive and the debate continues. In this paper, we adopt the research strategy of focusing on a narrower underlying issue that remains at the core of most macroeconomic theories, namely the interest rate thesis (that lower rates result in higher growth and vice versa). If there are problems with this relationship, this could explain the lack of consensus on the finance‐growth nexus. The question is also of practical relevance: Central banks have been focusing on interest rate policy on the assumption that the interest rate thesis holds. There are theoretical reasons why this may not be the case. We conduct an analysis of time‐varying dynamic conditional correlation in a GARCH model and of the direction of statistical causation between nominal interest rates and real economic activity in 19 industrialized and emerging economies. We find evidence that interest rates are not negatively correlated with economic growth and do not cause growth. Instead, we find evidence that the relationship may be the opposite in both dimensions. This adds to recent doubts about the prevailing conduct of monetary policy and common theoretical models. Specifically, lowering interest rates may be counter‐productive when trying to stimulate the economy.</w:t>
      </w:r>
    </w:p>
    <w:p>
      <w:pPr/>
      <w:r>
        <w:rPr>
          <w:b/>
        </w:rPr>
        <w:t>POSSIBLE 2022:</w:t>
      </w:r>
      <w:r>
        <w:t xml:space="preserve"> What Firm-Specific and Macroeconomic Determinants of Financial Structure Affect Transport and Storage Companies from Selected European Countries? — https://doi.org/10.18267/j.efaj.269</w:t>
      </w:r>
    </w:p>
    <w:p>
      <w:pPr/>
      <w:r>
        <w:rPr>
          <w:b/>
        </w:rPr>
        <w:t>Shared claim-specific concepts:</w:t>
      </w:r>
      <w:r>
        <w:t xml:space="preserve"> rate, level, whether; EU scope visible. This is a provisional connection, not an outcome finding.</w:t>
      </w:r>
    </w:p>
    <w:p>
      <w:pPr>
        <w:pStyle w:val="SourceNote"/>
      </w:pPr>
      <w:r>
        <w:rPr>
          <w:b/>
        </w:rPr>
        <w:t>Available abstract (not full text):</w:t>
      </w:r>
      <w:r>
        <w:t xml:space="preserve"> A number of indicators can be assessed for a company’s financial health, with indebtedness indicators being one of the important ones. The formation of the financial structure is influenced by a huge number of factors. The subject of this research is the indebtedness of companies in the Transportation and storage industry. The companies come from the V4 countries, Austria, Bulgaria, Slovenia, and Romania, between 2010 and 2018. In total 25,246 companies are analysed according to their size for medium and large companies. The aim of the research is to find out whether profitability, liquidity, asset structure, non-debt tax shield, GDP growth rate, reference interest rate, and inflation rate affect the level of total, long-term and short-term debt. The main finding is that corporate debt is significantly affected (measured by the value of coefficients) by non-corporate determinants and specifically the development of the reference interest rate. However, if we look at the most numerous determinants, it is profitability. Companies in the selected industry should focus primarily on the various forecasts within the external environment of the company and include them in their analyses when financing their activities.</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2021:</w:t>
      </w:r>
      <w:r>
        <w:t xml:space="preserve"> IF1 Protein Controls Aging Rate — https://doi.org/10.1101/2021.10.28.466310</w:t>
      </w:r>
    </w:p>
    <w:p>
      <w:pPr/>
      <w:r>
        <w:rPr>
          <w:b/>
        </w:rPr>
        <w:t>Shared claim-specific concepts:</w:t>
      </w:r>
      <w:r>
        <w:t xml:space="preserve"> rate, especially, upon, use; EU scope not established. This is a provisional connection, not an outcome finding.</w:t>
      </w:r>
    </w:p>
    <w:p>
      <w:pPr>
        <w:pStyle w:val="SourceNote"/>
      </w:pPr>
      <w:r>
        <w:rPr>
          <w:b/>
        </w:rPr>
        <w:t>Available abstract (not full text):</w:t>
      </w:r>
      <w:r>
        <w:t xml:space="preserve"> ABSTRACT IF1 protein inhibits F 1 F 0 ATP hydrolysis (and not F 1 F 0 ATP synthesis). Across investigated species more IF1 protein, and less F 1 F 0 ATP hydrolysis, correlates with greater maximal lifespan. Increased IF1 protein, and decreased F 1 F 0 ATP hydrolysis, safely reduces a biomarker of aging in mice. Body temperature decrease, in mice administered with a small molecule drug that selectively inhibits F 1 F 0 ATP hydrolysis (which doesn’t inhibit F 1 F 0 ATP synthesis), is evidence that F 1 F 0 ATP hydrolysis is used for metabolic heat generation in vivo . Instrumental to homeothermy, which is a new fundamental discovery. A further discovery is that cancer cells subvert F 1 F 0 ATP hydrolysis to drive their distinctive Warburg metabolism and so selective drug inhibition of F 1 F 0 ATP hydrolysis exerts potent anticancer activity. When the body is in an ambient temperature of 37°C (or more), no metabolic heat generation is needed for the body to be at 37°C, and so a large dose of a F 1 F 0 ATP hydrolysis inhibiting anticancer drug may be administered, which may slow aging. So, here might be an entirely new class of anticancer drugs that may (when appropriately used) help, instead of harm, normal cells. Distinct from present anticancer drugs, which greatly harm normal cells, causing horrific side-effects, which kill many and cause many others to abandon cancer treatment.</w:t>
      </w:r>
    </w:p>
    <w:p>
      <w:pPr>
        <w:pStyle w:val="Heading2"/>
      </w:pPr>
      <w:r>
        <w:t>845.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846.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2022:</w:t>
      </w:r>
      <w:r>
        <w:t xml:space="preserve"> Machine learning application in soccer: a systematic review — https://doi.org/10.5114/biolsport.2023.112970</w:t>
      </w:r>
    </w:p>
    <w:p>
      <w:pPr/>
      <w:r>
        <w:rPr>
          <w:b/>
        </w:rPr>
        <w:t>Shared claim-specific concepts:</w:t>
      </w:r>
      <w:r>
        <w:t xml:space="preserve"> aim, learning, possibilities; EU scope not established. This is a provisional connection, not an outcome finding.</w:t>
      </w:r>
    </w:p>
    <w:p>
      <w:pPr>
        <w:pStyle w:val="SourceNote"/>
      </w:pPr>
      <w:r>
        <w:rPr>
          <w:b/>
        </w:rPr>
        <w:t>Available abstract (not full text):</w:t>
      </w:r>
      <w:r>
        <w:t xml:space="preserve"> Due to the chaotic nature of soccer, the predictive statistical models have become in a current challenge to decision-making based on scientific evidence. The aim of the present study was to systematically identify original studies that applied machine learning (ML) to soccer data, highlighting current possibilities in ML and future applications. A systematic review of PubMed, SPORTDiscus, and FECYT (Web of Sciences, CCC, DIIDW, KJD, MEDLINE, RSCI, and SCIELO) was performed according to the Preferred Reporting Items for Systematic Reviews and Meta-Analyses (PRISMA) guidelines. From the 145 studies initially identified, 32 were fully reviewed, and their outcome measures were extracted and analyzed. In summary, all articles were clustered into three groups: injury (n = 7); performance (n = 21), which was classified in match/league outcomes forecasting, physical/physiological forecasting, and technical/tactical forecasting; and the last group was about talent forecasting (n = 5). The development of technology, and subsequently the large amount of data available, has become ML in an important strategy to help team staff members in decision-making predicting dose-response relationship reducing the chaotic nature of this team sport. However, since ML models depend upon the amount of dataset, further studies should analyze the amount of data input needed make to a relevant predictive </w:t>
      </w:r>
    </w:p>
    <w:p>
      <w:pPr/>
      <w:r>
        <w:rPr>
          <w:b/>
        </w:rPr>
        <w:t>POSSIBLE 2022:</w:t>
      </w:r>
      <w:r>
        <w:t xml:space="preserve"> An Investigation and Analysis of College English Majors’ Autonomous Learning Ability in Ubiquitous Learning Environment — https://doi.org/10.1155/2022/9103148</w:t>
      </w:r>
    </w:p>
    <w:p>
      <w:pPr/>
      <w:r>
        <w:rPr>
          <w:b/>
        </w:rPr>
        <w:t>Shared claim-specific concepts:</w:t>
      </w:r>
      <w:r>
        <w:t xml:space="preserve"> learning, affect, school, teaching; EU scope not established. This is a provisional connection, not an outcome finding.</w:t>
      </w:r>
    </w:p>
    <w:p>
      <w:pPr>
        <w:pStyle w:val="SourceNote"/>
      </w:pPr>
      <w:r>
        <w:rPr>
          <w:b/>
        </w:rPr>
        <w:t>Available abstract (not full text):</w:t>
      </w:r>
      <w:r>
        <w:t xml:space="preserve"> In order to solve the problem that there are many places with poor learning ability of college English majors, this study conducts research, evaluation, and research on many places with poor learning ability. The independent learning ability of college students in different majors is obviously different, and majors affect the independent learning ability by 24.2%. Developing students' ability to succeed is a hot topic in teaching and learning. This study examines the self-learning ability of English majors in multiple subject areas by means of questionnaires and interviews. The study found that most UK adults had good self-control, but they showed improvements in self-planning, literacy and communication skills, and collaboration skills. The overall self-control ability is at a medium level and needs to be improved. At the same time, it discusses the necessity of improving learning ability and self-discipline in different learning environments, as well as strategies for improving academic ability, providing important guidance for supporting the academic development of the college new student. Compared with elementary and high school, the breadth and depth of knowledge acquired in school have expanded beyond textbooks. Classroom sound is fast and informative, requiring students to spend a lot of time after class to digest and understand. If students do not perform well in colleg</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Business transfer promotion in European countries — https://openalex.org/W3180120901</w:t>
      </w:r>
    </w:p>
    <w:p>
      <w:pPr/>
      <w:r>
        <w:rPr>
          <w:b/>
        </w:rPr>
        <w:t>Shared claim-specific concepts:</w:t>
      </w:r>
      <w:r>
        <w:t xml:space="preserve"> aim, barometer, challenges; EU scope visible. This is a provisional connection, not an outcome finding.</w:t>
      </w:r>
    </w:p>
    <w:p>
      <w:pPr>
        <w:pStyle w:val="SourceNote"/>
      </w:pPr>
      <w:r>
        <w:rPr>
          <w:b/>
        </w:rPr>
        <w:t>Available abstract (not full text):</w:t>
      </w:r>
      <w:r>
        <w:t xml:space="preserve"> Business transfers are becoming an increasingly important and natural part of SMEs’ strategic development, renewal and growth. A business transfer can be a complex and demanding process due to financial, managerial, regulatory and administrative challenges. A well-developed business transfer ecosystem will help to develop dynamic business transfer markets and hence support the growth of SMEs. Promoting business transfers is the best possible promotion of growth entrepreneurship. At the European level, business transfers have been an issue in entrepreneurship policy since the early 1990s. Currently, the aim is to improve the evidence base on business transfers in the EU Member States. In the line with earlier development measures, Seinäjoki University of Applied Sciences implemented a case study collection on best practices of SME Business Transfer Promotion in the EU Member States. The main objectives are to 1) collect data on best practices in business transfer promotion, 2) collect preliminary data on business transfer ecosystems and 3) create and publish case stories of the best practices in business transfer promotion. An online survey was sent to 65 experts in 27 EU countries. The questionnaire resulted in responses representing 17 countries with 29 proposals for good practices. Based on these proposals, the research team chose 15 cases to represent best practices in promo</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2020:</w:t>
      </w:r>
      <w:r>
        <w:t xml:space="preserve"> COVID-19 and teacher education: a literature review of online teaching and learning practices — https://doi.org/10.1080/02619768.2020.1821184</w:t>
      </w:r>
    </w:p>
    <w:p>
      <w:pPr/>
      <w:r>
        <w:rPr>
          <w:b/>
        </w:rPr>
        <w:t>Shared claim-specific concepts:</w:t>
      </w:r>
      <w:r>
        <w:t xml:space="preserve"> learning, teaching; EU scope not established. This is a provisional connection, not an outcome finding.</w:t>
      </w:r>
    </w:p>
    <w:p>
      <w:pPr>
        <w:pStyle w:val="SourceNote"/>
      </w:pPr>
      <w:r>
        <w:rPr>
          <w:b/>
        </w:rPr>
        <w:t>Available abstract (not full text):</w:t>
      </w:r>
      <w:r>
        <w:t xml:space="preserve"> The COVID-19 pandemic has impacted education at all levels in various ways. Institutions and teacher educators had to quickly respond to an unexpected and ‘forced’ transition from face-to-face to remote teaching. They also had to create learning environments for student teachers doing their preparation in the light of the requirements of teacher education programmes and the conditions in which both universities and schools had to operate. This paper provides a review of the literature on online teaching and learning practices in teacher education. In total, 134 empirical studies were analysed. Online teaching and learning practices related to social, cognitive and teaching presence were identified. The findings highlighted the need for a comprehensive view of the pedagogy of online education that integrates technology to support teaching and learning. The implications of this study for the development of online teaching and learning practices are discussed. Suggestions for further research are also examined.</w:t>
      </w:r>
    </w:p>
    <w:p>
      <w:pPr/>
      <w:r>
        <w:rPr>
          <w:b/>
        </w:rPr>
        <w:t>POSSIBLE 2019:</w:t>
      </w:r>
      <w:r>
        <w:t xml:space="preserve"> IFAD RESEARCH SERIES 60 Investing in rural youth in the Near East, North Africa, Europe and Central Asia — https://doi.org/10.22004/ag.econ.302655</w:t>
      </w:r>
    </w:p>
    <w:p>
      <w:pPr/>
      <w:r>
        <w:rPr>
          <w:b/>
        </w:rPr>
        <w:t>Shared claim-specific concepts:</w:t>
      </w:r>
      <w:r>
        <w:t xml:space="preserve"> take, consideration, challenges; EU scope visible. This is a provisional connection, not an outcome finding.</w:t>
      </w:r>
    </w:p>
    <w:p>
      <w:pPr>
        <w:pStyle w:val="SourceNote"/>
      </w:pPr>
      <w:r>
        <w:rPr>
          <w:b/>
        </w:rPr>
        <w:t>Available abstract (not full text):</w:t>
      </w:r>
      <w:r>
        <w:t xml:space="preserve"> Countries of the Near East, North Africa, Europe and Central Asia region face a myriad of social, economic and political challenges that have stalled their structural and rural transformation processes. The region has the highest youth unemployment rates in the world. Weak education systems are failing to provide youth, especially in rural areas, with the skills they need to compete in a global economy. The resulting high rates of joblessness, unemployment and informal work have encouraged rural youth to migrate to urban areas and abroad in search of better opportunities. This study reviews the opportunities and challenges facing rural youth in the region and suggests a number of programmes and policy priorities that governments can take into consideration.</w:t>
      </w:r>
    </w:p>
    <w:p>
      <w:pPr>
        <w:pStyle w:val="Heading2"/>
      </w:pPr>
      <w:r>
        <w:t>847.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2026:</w:t>
      </w:r>
      <w:r>
        <w:t xml:space="preserve"> UNRAVELLING SYSTEMIC RISK DETERMINANTS IN THE EUROPEAN BANKING SECTOR: IS IT JUST A MATTER OF SIZE? — https://doi.org/10.1142/s2282717x26400013</w:t>
      </w:r>
    </w:p>
    <w:p>
      <w:pPr/>
      <w:r>
        <w:rPr>
          <w:b/>
        </w:rPr>
        <w:t>Shared claim-specific concepts:</w:t>
      </w:r>
      <w:r>
        <w:t xml:space="preserve"> systemic, factors, framework; EU scope visible. This is a provisional connection, not an outcome finding.</w:t>
      </w:r>
    </w:p>
    <w:p>
      <w:pPr>
        <w:pStyle w:val="SourceNote"/>
      </w:pPr>
      <w:r>
        <w:rPr>
          <w:b/>
        </w:rPr>
        <w:t>Available abstract (not full text):</w:t>
      </w:r>
      <w:r>
        <w:t xml:space="preserve"> Given the well-established role of banking sector instability in driving financial and economic crises, this paper investigates the potential determinants of systemic risk on a selected sample of European listed banks. Drawing from a comprehensive review of literature, we employ a novel Least Absolute Shrinkage and Selection Operator (LASSO) enhancement of a panel data regression model to pinpoint the balance-sheet factors that significantly explain the systemic risk levels of the banking institutions. The analysis highlights that the interbank exposures among banks — measured through metrics like the interbank ratio — greatly amplify systemic risk, particularly during crises. Distinctively from past literature, this finding underscores the importance of “interconnectedness” over bank size, with the latter exhibiting a nonlinear impact on systemic risk level. Furthermore, our findings suggest that excessive bank capital can amplify the systemic importance of institutions by fostering risk-taking behavior among highly capitalized banks. Methodologically, our LASSO-based framework enhances variable selection by filtering out statistical noise and mitigating multicollinearity issues, thereby isolating the most relevant drivers of systemic risk. From a regulatory standpoint, our findings advocate for supervisory frameworks that explicitly integrate interbank exposure metrics into c</w:t>
      </w:r>
    </w:p>
    <w:p>
      <w:pPr/>
      <w:r>
        <w:rPr>
          <w:b/>
        </w:rPr>
        <w:t>POSSIBLE 2026:</w:t>
      </w:r>
      <w:r>
        <w:t xml:space="preserve"> ESG and systemic risk in financial networks: High- vs. low-rated portfolios in Europe — https://doi.org/10.1016/j.iref.2026.105363</w:t>
      </w:r>
    </w:p>
    <w:p>
      <w:pPr/>
      <w:r>
        <w:rPr>
          <w:b/>
        </w:rPr>
        <w:t>Shared claim-specific concepts:</w:t>
      </w:r>
      <w:r>
        <w:t xml:space="preserve"> systemic, assessment, framework; EU scope visible. This is a provisional connection, not an outcome finding.</w:t>
      </w:r>
    </w:p>
    <w:p>
      <w:pPr>
        <w:pStyle w:val="SourceNote"/>
      </w:pPr>
      <w:r>
        <w:rPr>
          <w:b/>
        </w:rPr>
        <w:t>Available abstract (not full text):</w:t>
      </w:r>
      <w:r>
        <w:t xml:space="preserve"> This study examines ESG-integrated portfolio strategies within a dynamic, network-based framework applied to the European financial sector. While existing research has extensively analyzed the relationship between ESG performance and financial outcomes, most studies rely on static portfolio approaches or assess ESG characteristics independently of the systemic, directional, and time-varying interdependencies among financial institutions. To address this gap, we focus on the systemically connected core of the STOXX Europe 600 Financials index and propose a hybrid methodology that jointly incorporates dynamic conditional correlations (DCC-GARCH), Granger causality, and network filtering techniques. Using this framework, we construct minimum-variance portfolios composed of assets with high and low ESG scores and compare their performance over the period 2012–2023. Over the full sample, portfolios tilted toward lower ESG scores exhibit slightly higher total return, lower volatility and risk-adjusted performance. However, during 2023, portfolios composed of Maximum ESG institutions outperform the compared portfolios their Minimum ESG counterparts, delivering higher total return, lower volatility, and improved risk-adjusted metrics. This shift coincides with a period of intensified ESG regulation in Europe, including the implementation phase of the Corporate Sustainability Reporting </w:t>
      </w:r>
    </w:p>
    <w:p>
      <w:pPr/>
      <w:r>
        <w:rPr>
          <w:b/>
        </w:rPr>
        <w:t>POSSIBLE 2026:</w:t>
      </w:r>
      <w:r>
        <w:t xml:space="preserve"> Scenario-based sociotechnical envisioning (SSE): an approach to enhance systemic risk assessments — https://doi.org/10.1007/s43681-026-01084-5</w:t>
      </w:r>
    </w:p>
    <w:p>
      <w:pPr/>
      <w:r>
        <w:rPr>
          <w:b/>
        </w:rPr>
        <w:t>Shared claim-specific concepts:</w:t>
      </w:r>
      <w:r>
        <w:t xml:space="preserve"> systemic, assessment, approach, success, factors; EU scope not established. This is a provisional connection, not an outcome finding.</w:t>
      </w:r>
    </w:p>
    <w:p>
      <w:pPr>
        <w:pStyle w:val="SourceNote"/>
      </w:pPr>
      <w:r>
        <w:rPr>
          <w:b/>
        </w:rPr>
        <w:t>Available abstract (not full text):</w:t>
      </w:r>
      <w:r>
        <w:t xml:space="preserve"> Regulators and policy makers around the world have endorsed risk-based approaches for governing the challenges and opportunities from Artificial Intelligence (AI). In theory, these assessments should protect the public from the harmful impacts of AI, thus safeguarding important societal values such as the realization of fundamental rights. However, as an anticipatory decision-making tool, the success and legitimacy of risk-based regulatory approaches depend critically on methods that help policymakers and societal stakeholders anticipate how AI may impact a diverse citizenry, the many different ways in which technological change may unfold, and the factors that lead to desirable and less desirable visions of the future. In this paper, we first point out critical flaws in existing assessment methods and regulatory approaches and consequently identify the need to complement current approaches to risk assessment. We call on scholars, policy makers, and the technology industry to engage in anticipatory approaches that go beyond compliance and checklist exercises and acknowledge the responsibility they have for impacts that go beyond what is known. Second, we propose a concrete empirical approach to address our concerns: Scenario-Based Sociotechnical Envisioning (SSE). By using SSE, practitioners can make assessments more inclusive, more aware of the socio-technical context in which</w:t>
      </w:r>
    </w:p>
    <w:p>
      <w:pPr/>
      <w:r>
        <w:rPr>
          <w:b/>
        </w:rPr>
        <w:t>POSSIBLE 2026:</w:t>
      </w:r>
      <w:r>
        <w:t xml:space="preserve"> Weaponised interdependence and European energy security: Infrastructure, systemic vulnerability, and the post-2022 transformation — https://doi.org/10.35467/sdq/226337</w:t>
      </w:r>
    </w:p>
    <w:p>
      <w:pPr/>
      <w:r>
        <w:rPr>
          <w:b/>
        </w:rPr>
        <w:t>Shared claim-specific concepts:</w:t>
      </w:r>
      <w:r>
        <w:t xml:space="preserve"> systemic, framework; EU scope visible. This is a provisional connection, not an outcome finding.</w:t>
      </w:r>
    </w:p>
    <w:p>
      <w:pPr>
        <w:pStyle w:val="SourceNote"/>
      </w:pPr>
      <w:r>
        <w:rPr>
          <w:b/>
        </w:rPr>
        <w:t>Available abstract (not full text):</w:t>
      </w:r>
      <w:r>
        <w:t xml:space="preserve"> This article extends a concept developed by Farrell and Newman (2019) beyond its original financial and digital domains to physical energy infrastructure, examining how the Russia–Ukraine war has transformed European energy security from a market-based relationship into a condition of systemic vulnerability. The analysis employs qualitative document analysis of publicly available European Union’s policy instruments, International Energy Agency’s market reports, and European Union Agency for Cybersecurity’s threat assessments, structured around a three-domain framework encompassing physical infrastructure, digital systems, and governance arrangements. Diversification strategies implemented after 2022 reduced dependence on Russian energy but simultaneously reconfigured systemic vulnerability across all three domains: liquified natural gas (LNG) import concentration and deployment of floating storage and regasification units created new physical chokepoints; supervisory control and data acquisition and digital vendor dependencies introduced persistent digital interdependencies; and governance fragmentation among member states amplified vulnerability by producing uneven resilience across interconnected systems. European energy security must be reconceptualised as the management of systemic interdependence across interconnected physical, digital, and institutional domains. The artic</w:t>
      </w:r>
    </w:p>
    <w:p>
      <w:pPr>
        <w:pStyle w:val="Heading2"/>
      </w:pPr>
      <w:r>
        <w:t>848.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2026:</w:t>
      </w:r>
      <w:r>
        <w:t xml:space="preserve"> I-P10Sky Projection of the Free-State Background — https://doi.org/10.5281/zenodo.21548281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Current cosmology usually interprets the cosmic microwave background (CMB) as the remnant radiation from the last scattering surface of the early hot plasma, and within this framework characterises its statistical structure by parameters such as the scalar spectral index n_s, the tensor‑to‑scalar ratio r, and low‑multipole anomalies. This framework is extremely successful in data processing, but at a deeper ontological level the CMB is still primarily understood as “a relic image of some early fireball stage.” This paper, building on the background‑skeleton object syntax, cosmological bridging, dark‑component division of labour, large‑scale structure, and background‑projection main line already accomplished in the three‑pillar system of Non‑manifest Selection of Being, invokes only the minimal public interfaces directly relevant to the CMB. It addresses three questions: what is the object‑position of the CMB in the new paradigm; why a slightly red‑tilted scalar spectrum should appear; and why the primordial B-mode window is naturally extremely weak, accompanied by low‑l suppression. Our core conclusions are threefold. First, the CMB should not be primarily regarded as the “afterglow of the last scattering surface,” but should be rewritten as: the all‑sky low‑energy projection of the free‑state‑dominated background at observational scales. Define the sky anisotropy field as $$\v</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2025:</w:t>
      </w:r>
      <w:r>
        <w:t xml:space="preserve"> Analysis of Beam Background for Time Projection Chamber at the High Luminosity Z-Pole Mode — https://doi.org/10.22323/1.476.1119</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As a superior performance gas particle track detector with a low mass, simple geometric structure and simple process of physics, time projection chamber (TPC) is chosen as the main tracker detector of the Circular Electron-Positron Collider (CEPC). Being a potential constraint for the capability of TPC, the beam background in interaction region of CEPC is discussed in the newest CEPC detector technical design report (TDR). This article shows the simulation results of the beam background of CEPC Z-pole mode, and gives an optimistic estimate.</w:t>
      </w:r>
    </w:p>
    <w:p>
      <w:pPr/>
      <w:r>
        <w:rPr>
          <w:b/>
        </w:rPr>
        <w:t>POSSIBLE 2025:</w:t>
      </w:r>
      <w:r>
        <w:t xml:space="preserve"> Long-Term 30-Year Variation (1990s-2020) of Background Tropospheric Ozone Concentration at Japanese Remote Stations — https://doi.org/10.2151/sola.2025-012</w:t>
      </w:r>
    </w:p>
    <w:p>
      <w:pPr/>
      <w:r>
        <w:rPr>
          <w:b/>
        </w:rPr>
        <w:t>Shared claim-specific concepts:</w:t>
      </w:r>
      <w:r>
        <w:t xml:space="preserve"> background, trends, long-term; EU scope not established. This is a provisional connection, not an outcome finding.</w:t>
      </w:r>
    </w:p>
    <w:p>
      <w:pPr>
        <w:pStyle w:val="SourceNote"/>
      </w:pPr>
      <w:r>
        <w:rPr>
          <w:b/>
        </w:rPr>
        <w:t>Available abstract (not full text):</w:t>
      </w:r>
      <w:r>
        <w:t xml:space="preserve"> Tropospheric ozone (O3) is an air pollutant and greenhouse gas and is still a problem in East Asia. O3 is formed via secondary photochemistry from nitrogen oxide (NOx) and volatile organic compound (VOC) precursors. Because of the increase in anthropogenic emissions globally, changes in O3 concentration over the Northern Hemisphere have been a concern. In this study, using measurements at three remote sites conducted by the Japan Meteorological Agency (JMA), the 30-year (1990s to 2020) long-term trend of background O3 concentration was analyzed. The results of the fitted curve revealed that background O3 concentration has changed by within ±0.3 ppbv/year over 30 years. The increasing trend at Ryori (39.03°N, 141.82°E) peaked in 2009 and then decreased, agreeing well with other reports in the mid-latitude zone (40°N-55°N). In contrast, the present study revealed continuous decreasing trends at Minamitorishima (24.28°N, 153.98°E) and Yonagunijima (24.47°N, 123.02°E) at lower latitudes. In addition, the analysis for 2020 clarified that the frequency density shifted to a lower O3 concentration compared with the dataset for the 1990s to 2019 at all three remote sites in Japan. This suggested that the emission reduction resulting from the COVID-19 pandemic could be a factor causing the decreasing background O3 concentration.</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2024:</w:t>
      </w:r>
      <w:r>
        <w:t xml:space="preserve"> Objectives and background — https://doi.org/10.1201/9781003580324-2</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The main objectives of this book are: to describe the work performed to develop a new test methodology to characterise the susceptibility of stainless steels to crevice corrosion in natural and treated seawaters; to describe the experimental procedures to perform crevice corrosion testing according to the proposed new test specifications. For years, many methods have been developed to characterise the crevice corrosion behaviour of stainless steels, but the majority of these are of a comparative nature, aimed only at ranking alloys [2] . Until now, no test methods have been recognised for testing passive materials such as stainless steels in marine environments. Many different forms of test set-up have been used, often giving different and varying results. Furthermore, the test procedures may vary somewhat between laboratories, as in-house modifications are applied instead of descriptions given in the test specification. This also contributes to the difficulties in comparing tests between test laboratories. Therefore, there is a need to develop a test method for passive metals to reflect reliably and reproducibly the long-term corrosion behaviour of these materials. There is a general agreement that the main corrosion risk in practical applications is crevice corrosion and that any qualification test should be a crevice corrosion test. The development of a reliable and reproduc</w:t>
      </w:r>
    </w:p>
    <w:p>
      <w:pPr>
        <w:pStyle w:val="Heading2"/>
      </w:pPr>
      <w:r>
        <w:t>849.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based, systems;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What explains the implementation gap in foresight-designed policies? Evidence from a regional development strategy in Chile — https://doi.org/10.1186/s40309-026-00297-5</w:t>
      </w:r>
    </w:p>
    <w:p>
      <w:pPr/>
      <w:r>
        <w:rPr>
          <w:b/>
        </w:rPr>
        <w:t>Shared claim-specific concepts:</w:t>
      </w:r>
      <w:r>
        <w:t xml:space="preserve"> foresight, based, challenge, policies; EU scope not established. This is a provisional connection, not an outcome finding.</w:t>
      </w:r>
    </w:p>
    <w:p>
      <w:pPr>
        <w:pStyle w:val="SourceNote"/>
      </w:pPr>
      <w:r>
        <w:rPr>
          <w:b/>
        </w:rPr>
        <w:t>Available abstract (not full text):</w:t>
      </w:r>
      <w:r>
        <w:t xml:space="preserve"> Abstract Foresight and strategic planning have been widely recommended in public policy design to reduce uncertainty and improve governance. However, the gap between a foresight-designed public policy and its effective implementation remains a critical challenge for long-term governance, especially given the limited empirical evidence on how these designs perform during the implementation phase. In Chile, Regional Development Strategies (RDS) articulate visions of the future to guide territorial action, but their implementation has been little examined from the perspective of implementation theory and future studies. This article analyzes the implementation process of the RDS of the Los Ríos Region in Chile (2009–2019) using Matland''s Ambiguity-Conflict model and its subsequent analytical operationalization by Van Gossum et al. Using a qualitative case study approach based on documentary analysis and structured interviews, the results of the implementation are analyzed in three categories: resources, networks, and rules. The results reveal that, although foresight initially managed to generate conditions conducive to an administrative implementation , in the process, the Los Ríos RDS evolved towards a political implementation . The findings show that the absence of financial resources, the rotation of authorities, high discretionary power, and the lack of monitoring and evalua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objectives, analyse;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A Reflection on Foresight in Human Resource Provision in the Judiciary — https://doi.org/10.61838/kman.jpdot.183</w:t>
      </w:r>
    </w:p>
    <w:p>
      <w:pPr/>
      <w:r>
        <w:rPr>
          <w:b/>
        </w:rPr>
        <w:t>Shared claim-specific concepts:</w:t>
      </w:r>
      <w:r>
        <w:t xml:space="preserve"> foresight, based, systems; EU scope not established. This is a provisional connection, not an outcome finding.</w:t>
      </w:r>
    </w:p>
    <w:p>
      <w:pPr>
        <w:pStyle w:val="SourceNote"/>
      </w:pPr>
      <w:r>
        <w:rPr>
          <w:b/>
        </w:rPr>
        <w:t>Available abstract (not full text):</w:t>
      </w:r>
      <w:r>
        <w:t xml:space="preserve"> In today’s rapidly evolving era, futures studies offer a structured opportunity for examining transformations and envisioning a desirable outlook for policymakers, particularly in labor-intensive organizations. Accordingly, this article aims to present a reasoned discussion on rethinking a foresight model in the domain of human resource provision and its requirements within the Judiciary. To this end, the research method was qualitative, employing the Delphi method based on the STEEP model. Data were collected through fieldwork using in-depth semi-structured interviews and a researcher-made questionnaire. A purposive sampling approach was used, and data saturation was achieved after 25 interviews. Based on the research findings—utilizing the fuzzy Delphi technique—the dimensions, components, and indicators of the proposed foresight model for the human resources and capital chain in the Judiciary reflect key parameters (actions and interactions) in political, social, cultural, economic, and technological domains. However, each of these factors, throughout its evolutionary path, will be influenced by information technology innovations, including the expansion of electronic environments and systems thinking approaches, in response to the time- and location-specific conditions of society (constant changes). The results indicate that the final model enjoys acceptable validity and, 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850.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2026:</w:t>
      </w:r>
      <w:r>
        <w:t xml:space="preserve"> Practices, Power, and Performativity: A Feminist Technoscience Exploration of AI Imaginaries of Work — https://doi.org/10.5281/zenodo.23669022</w:t>
      </w:r>
    </w:p>
    <w:p>
      <w:pPr/>
      <w:r>
        <w:rPr>
          <w:b/>
        </w:rPr>
        <w:t>Shared claim-specific concepts:</w:t>
      </w:r>
      <w:r>
        <w:t xml:space="preserve"> concept, imaginary, investigate, structures, build; EU scope visible. This is a provisional connection, not an outcome finding.</w:t>
      </w:r>
    </w:p>
    <w:p>
      <w:pPr>
        <w:pStyle w:val="SourceNote"/>
      </w:pPr>
      <w:r>
        <w:rPr>
          <w:b/>
        </w:rPr>
        <w:t>Available abstract (not full text):</w:t>
      </w:r>
      <w:r>
        <w:t xml:space="preserve"> Please cite the version of record: Silvia Ecclesia (2026). Practices, power, and performativity: A feminist technoscience exploration of AI imaginaries of work. https://hdl.handle.net/11250/5587420 In this thesis, I explore artificial intelligence (AI) imaginaries of work and how they shape processes of sociotechnical change, through the example of AI for human resources (HR). Sociotechnical change refers to the changes that AI, like other technologies, brings through its development, adoption, acceptance, or resistance, involving both social and technical dimensions (Sovacool &amp; Hess, 2017). AI imaginaries – collective, performative visions of the future (Jasanoff, 2015) – are highly influential in shaping said processes by informing decisions about development, regulation, and use. The idea of creating artificial life has been present in stories, myths, and fictions for centuries, creating highly polarised narratives about the potential future of AI. However, more research is needed to go beyond the sensationalistic visions that characterise AI imaginaries and better understand their effects on society and work. I thus investigate AI imaginaries through a feminist technoscience approach, focusing on their performativity, the embodied experiences of HR practitioners in enacting AI imaginaries through their practices, and how AI imaginaries interact with power structures. To do </w:t>
      </w:r>
    </w:p>
    <w:p>
      <w:pPr/>
      <w:r>
        <w:rPr>
          <w:b/>
        </w:rPr>
        <w:t>POSSIBLE 2026:</w:t>
      </w:r>
      <w:r>
        <w:t xml:space="preserve"> Navigating the national imaginary: internalized racism within integration narratives — https://doi.org/10.1080/01419870.2026.2693652</w:t>
      </w:r>
    </w:p>
    <w:p>
      <w:pPr/>
      <w:r>
        <w:rPr>
          <w:b/>
        </w:rPr>
        <w:t>Shared claim-specific concepts:</w:t>
      </w:r>
      <w:r>
        <w:t xml:space="preserve"> imaginary, political; EU scope visible. This is a provisional connection, not an outcome finding.</w:t>
      </w:r>
    </w:p>
    <w:p>
      <w:pPr>
        <w:pStyle w:val="SourceNote"/>
      </w:pPr>
      <w:r>
        <w:rPr>
          <w:b/>
        </w:rPr>
        <w:t>Available abstract (not full text):</w:t>
      </w:r>
      <w:r>
        <w:t xml:space="preserve"> This paper explores internalized racism by examining how Syrian refugees narrate their social positioning within German society. It conceptualizes integration as part of a hegemonic social imaginary – collectively shared and affectively charged frameworks of meaning that shape understandings of belonging. The findings show how participants adopt the guest–host metaphor, positioning themselves as recipients of German benevolence. Moreover, they often relativize experiences of racism, shifting critique away from structural inequalities toward inter-migrant dynamics. Boundary-making practices emerge as strategies for inclusion that simultaneously reinforce forms of differential inclusion. The analysis further highlights the role of affects as both shaping and being shaped by imaginaries. Ultimately, the study demonstrates that internalized racism is not only shaped by dominant integration discourses and coercive policies but also by pre-existing imaginaries rooted in the Syrian context. In this sense, participants’ navigation of Germany’s national imaginary is a negotiation of various political frameworks and affective registers.</w:t>
      </w:r>
    </w:p>
    <w:p>
      <w:pPr/>
      <w:r>
        <w:rPr>
          <w:b/>
        </w:rPr>
        <w:t>POSSIBLE 2026:</w:t>
      </w:r>
      <w:r>
        <w:t xml:space="preserve"> “Turn the faucet”: right-wing hydrosocial imaginaries of irrigation water in the Western United States — https://doi.org/10.3389/fsufs.2026.1869993</w:t>
      </w:r>
    </w:p>
    <w:p>
      <w:pPr/>
      <w:r>
        <w:rPr>
          <w:b/>
        </w:rPr>
        <w:t>Shared claim-specific concepts:</w:t>
      </w:r>
      <w:r>
        <w:t xml:space="preserve"> concept, imaginary, structures; EU scope not established. This is a provisional connection, not an outcome finding.</w:t>
      </w:r>
    </w:p>
    <w:p>
      <w:pPr>
        <w:pStyle w:val="SourceNote"/>
      </w:pPr>
      <w:r>
        <w:rPr>
          <w:b/>
        </w:rPr>
        <w:t>Available abstract (not full text):</w:t>
      </w:r>
      <w:r>
        <w:t xml:space="preserve"> The second administration of United States President Donald Trump has taken an authoritarian, centralized approach to governance in the United States. Water management is one area in which the president has attempted to show dominance. This research theorizes President Trump’s concept of water in the United States West as a “hydrosocial imaginary” in which the release of water from rivers and reservoirs indicates virility, action, and power, instead of liberal cautiousness and prudence. By ordering the release of two billion gallons of water from California’s Central Valley into the dry Tulare Basin one hundred miles north of Los Angeles for the purpose of battling the 2025 Los Angeles wildfires, Trump’s claim to have redirected water “down from the Pacific Northwest” into California to alleviate drought evokes an imaginary Western landscape of underexploited resources, instead of over-allocated river systems in water-stressed areas. Using content analysis of historical and contemporary newspaper articles and other relevant materials, this article first examines both parallel and contradictory rhetorical structures between Trump’s idea of water transfers and those of the past one hundred years. The article further refines this examination through semi-structured interviews of irrigators and water managers in the Pacific Northwest, demonstrating the differences between hydrosoci</w:t>
      </w:r>
    </w:p>
    <w:p>
      <w:pPr/>
      <w:r>
        <w:rPr>
          <w:b/>
        </w:rPr>
        <w:t>POSSIBLE 2026:</w:t>
      </w:r>
      <w:r>
        <w:t xml:space="preserve"> Cultural Events as Symbolic Infrastructure: Repositioning African Destinations in the Global Tourism Imaginary — https://openalex.org/W7217820939</w:t>
      </w:r>
    </w:p>
    <w:p>
      <w:pPr/>
      <w:r>
        <w:rPr>
          <w:b/>
        </w:rPr>
        <w:t>Shared claim-specific concepts:</w:t>
      </w:r>
      <w:r>
        <w:t xml:space="preserve"> concept, imaginary, political, events, around; EU scope not established. This is a provisional connection, not an outcome finding.</w:t>
      </w:r>
    </w:p>
    <w:p>
      <w:pPr>
        <w:pStyle w:val="SourceNote"/>
      </w:pPr>
      <w:r>
        <w:rPr>
          <w:b/>
        </w:rPr>
        <w:t>Available abstract (not full text):</w:t>
      </w:r>
      <w:r>
        <w:t xml:space="preserve"> The paper reconceptualises episodic African tourism events such as carnivals and festivals through the lens of symbolic infrastructure. This has the capability of repositioning the destinations in the global tourism imaginary. Although much research on African festivals has received little attention, especially the available research has been more on African festivals, and their effect on the economy, visitor satisfaction, and community deliverables, yet little attention has been directed towards their effectiveness in forging the African representational position in the global tourism hierarchy. The concept of symbolic infrastructure is formulated by this review through the andragogy of the cultural political economy, post-colonial theory, symbolic capital, and soft power literature in elucidating the process through which carnivals operate as narrators working towards the production of symbolic capital, the spread of alternative imaginaries, and destination legitimacy. The paper proposes that African carnivals disrupt deep-rooted discourses of deficit that plague the continent with the vectors of poverty, crisis, and wildlife essentialism. These events develop cosmopolitan, creative, and modern identities, which mediate around epistemic marginalisation in tourism systems of knowledge through performative spectacle, mediated circulation, and aesthetic production. By changing t</w:t>
      </w:r>
    </w:p>
    <w:p>
      <w:pPr/>
      <w:r>
        <w:rPr>
          <w:b/>
        </w:rPr>
        <w:t>POSSIBLE 2026:</w:t>
      </w:r>
      <w:r>
        <w:t xml:space="preserve"> Sociotechnical Imaginaries in Health and Biomedicine — https://doi.org/10.3390/encyclopedia6040090</w:t>
      </w:r>
    </w:p>
    <w:p>
      <w:pPr/>
      <w:r>
        <w:rPr>
          <w:b/>
        </w:rPr>
        <w:t>Shared claim-specific concepts:</w:t>
      </w:r>
      <w:r>
        <w:t xml:space="preserve"> concept, political, ideas; EU scope visible. This is a provisional connection, not an outcome finding.</w:t>
      </w:r>
    </w:p>
    <w:p>
      <w:pPr>
        <w:pStyle w:val="SourceNote"/>
      </w:pPr>
      <w:r>
        <w:rPr>
          <w:b/>
        </w:rPr>
        <w:t>Available abstract (not full text):</w:t>
      </w:r>
      <w:r>
        <w:t xml:space="preserve"> Sociotechnical imaginaries are collectively held and institutionally stabilised visions of desirable futures that link scientific and technological development with social and political order. Developed within Science and Technology Studies, the concept highlights the co-production of knowledge, technology, and governance, showing how ideas of progress are embedded in cultural values, moral assumptions, and political priorities. These imaginaries function as normative horizons that orient innovation, legitimise policy, shape regulation, and guide clinical practice. In health and biomedicine, sociotechnical imaginaries are particularly salient, as medical innovations directly affect life, death, and embodiment. Within medical sociology, the concept has been used to analyse how technologies such as assisted reproductive technologies (ARTs), genomics, regenerative medicine, and digital health are framed through narratives of hope, responsibility, risk, and transformation. These imaginaries shape what counts as legitimate knowledge, who accesses treatment, and how ethical debates are structured, from autonomy in ARTs to individualised care in precision medicine. Imaginaries are also shaped by national and institutional contexts. Comparative research shows that the United States, Europe, and East Asia produce distinct biomedical futures, reflecting different political traditions and</w:t>
      </w:r>
    </w:p>
    <w:p>
      <w:pPr/>
      <w:r>
        <w:rPr>
          <w:b/>
        </w:rPr>
        <w:t>POSSIBLE 2026:</w:t>
      </w:r>
      <w:r>
        <w:t xml:space="preserve"> Seeding Legitimacy, Framing the Future: Sociotechnical Imaginaries and European Governance of Agricultural Biotechnology (1990-2023) — https://openalex.org/W7165243110</w:t>
      </w:r>
    </w:p>
    <w:p>
      <w:pPr/>
      <w:r>
        <w:rPr>
          <w:b/>
        </w:rPr>
        <w:t>Shared claim-specific concepts:</w:t>
      </w:r>
      <w:r>
        <w:t xml:space="preserve"> imaginary, political, technique, around; EU scope visible. This is a provisional connection, not an outcome finding.</w:t>
      </w:r>
    </w:p>
    <w:p>
      <w:pPr>
        <w:pStyle w:val="SourceNote"/>
      </w:pPr>
      <w:r>
        <w:rPr>
          <w:b/>
        </w:rPr>
        <w:t>Available abstract (not full text):</w:t>
      </w:r>
      <w:r>
        <w:t xml:space="preserve"> European agriculture is shaped by technical debates whose implications are deeply political. When the European Commission decides on the safety of an agricultural technique, it is settling a scientific question whilst also making a political choice: which knowledge matters, which risks deserve attention, and which futures are worth investing in. This thesis analyses the evolution of the European Commission’s socio-technical imaginary in the field of agricultural biotechnology, from Directive 90/220/EEC (1990)—the first European regulation on GMOs—to proposal COM(2023)411 on New Genomic Techniques (NGTs). Drawing on Science and Technology Studies by mobilising the concepts of socio-technical imaginaries, co-production and boundary work, the study examines how the Commission constructs, stabilises and reconfigures the regulatory legitimacy of agricultural biotechnology through its official documents. The analysis is structured around two periods: 1990–2004 and 2018–2023. It argues that scientific reasoning is selectively used to silence political dissent, thereby imposing a particular definition of legitimate expertise. The trajectory analysed is not one of a break or linear continuity, but rather a logic of overlapping where the Commission reconstructs the conditions of legitimacy for its regulatory authority.</w:t>
      </w:r>
    </w:p>
    <w:p>
      <w:pPr/>
      <w:r>
        <w:rPr>
          <w:b/>
        </w:rPr>
        <w:t>POSSIBLE 2026:</w:t>
      </w:r>
      <w:r>
        <w:t xml:space="preserve"> Chapter Political Imaginary of Multilateralism — https://openalex.org/W7162903274</w:t>
      </w:r>
    </w:p>
    <w:p>
      <w:pPr/>
      <w:r>
        <w:rPr>
          <w:b/>
        </w:rPr>
        <w:t>Shared claim-specific concepts:</w:t>
      </w:r>
      <w:r>
        <w:t xml:space="preserve"> concept, imaginary, authors, political, ideas; EU scope not established. This is a provisional connection, not an outcome finding.</w:t>
      </w:r>
    </w:p>
    <w:p>
      <w:pPr>
        <w:pStyle w:val="SourceNote"/>
      </w:pPr>
      <w:r>
        <w:rPr>
          <w:b/>
        </w:rPr>
        <w:t>Available abstract (not full text):</w:t>
      </w:r>
      <w:r>
        <w:t xml:space="preserve"> This book explores the politics of multilateralism in the context of three United Nations (UN) pillars: human rights, peace and security, and development. Focussing on the debates, ideas, and practices of international cooperation that have dominated the UN agenda since the early 1990s, it shows how a conceptual understanding of multilateralism could help strengthen the international community to face uncertainty and crises. The authors analyze the language of multilateralism as employed when the UN handles cases of transnational challenges and seeks to establish an international response and argue that conceptual politics of multilateralism taking place in the UN concerning key contemporary challenges illustrate a lack of shared understanding of multilateralism, but also broad interest to promote alternatives for multilateral cooperation as an activity. Case studies illustrate the politics of multilateralism as an analytical concept and trace the practices, debates, and related concepts such as sovereignty, legitimacy, and authority. This volume will appeal to scholars of political theory, international organizations, global governance, and international relations as well as practitioners at think tanks and international organizations</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pStyle w:val="Heading2"/>
      </w:pPr>
      <w:r>
        <w:t>851.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European Integration — https://doi.org/10.1017/9781009604093.008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chapter aims to analyse the Polish ‘integration clause’: Article 90 of the Constitution as an element of the Polish constitutional imaginary. The notion of constitutional imaginary as formulated by Martin Loughlin will provide the theoretical framework for these considerations. Perceived through the lens of Louglin’s constitutional imaginary concept, Article 90 turns out to be the provision that shapes intricate relations of two big ineffable ideas: sovereignty and European integration. The latter has been perceived in the constitutional practice as both the ineffable aspiration and the object of serious concerns. Since Poland’s accession to the EU, for a long time, constitutional practice with regard to the EU was a syncretic collection of cautious friendliness towards EU law, emphasis on (formal) constitutional supremacy and narrowing down the interpretation of ‘the conferral of competences’. Nevertheless, until recently, the constitutional text had tended to be interpreted as facilitating rather than limiting Poland’s participation in European integration. Therefore, the recent Eurosceptic turn after 2015 was not justified either in the sphere of thought or in the constitutional text. It disturbed the existing balance between ideology and utopia.</w:t>
      </w:r>
    </w:p>
    <w:p>
      <w:pPr/>
      <w:r>
        <w:rPr>
          <w:b/>
        </w:rPr>
        <w:t>POSSIBLE 2026:</w:t>
      </w:r>
      <w:r>
        <w:t xml:space="preserve"> Building a European Understanding of Police-Academic Relations — https://doi.org/10.5553/ejps.2026.31</w:t>
      </w:r>
    </w:p>
    <w:p>
      <w:pPr/>
      <w:r>
        <w:rPr>
          <w:b/>
        </w:rPr>
        <w:t>Shared claim-specific concepts:</w:t>
      </w:r>
      <w:r>
        <w:t xml:space="preserve"> article, understanding, germany;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2026:</w:t>
      </w:r>
      <w:r>
        <w:t xml:space="preserve"> The European audiovisual sector at the intersection of the Council of Europe and the European Union: regional cooperation for a normative framework — https://doi.org/10.1080/10286632.2026.2661630</w:t>
      </w:r>
    </w:p>
    <w:p>
      <w:pPr/>
      <w:r>
        <w:rPr>
          <w:b/>
        </w:rPr>
        <w:t>Shared claim-specific concepts:</w:t>
      </w:r>
      <w:r>
        <w:t xml:space="preserve"> article, aims, understanding; EU scope visible. This is a provisional connection, not an outcome finding.</w:t>
      </w:r>
    </w:p>
    <w:p>
      <w:pPr>
        <w:pStyle w:val="SourceNote"/>
      </w:pPr>
      <w:r>
        <w:rPr>
          <w:b/>
        </w:rPr>
        <w:t>Available abstract (not full text):</w:t>
      </w:r>
      <w:r>
        <w:t xml:space="preserve"> The Council of Europe (CoE) and the European Union (EU) have a long-standing tradition of political dialogue and cooperation, which was consolidated with the ‘Memorandum of Understanding between the Council of Europe and the European Union’ (MoU) in (2007). The MoU sets out fundamental principles and provides the foundation for the CoE-EU cooperation framework, while also identifying areas of mutual interest. ‘Intercultural dialogue and cultural diversity’ are among the areas the CoE-EU cooperation framework encompasses. Despite the plethora of policy and legal instruments developed throughout the CoE-EU partnership, the copyright-related aspects of CoE instruments and their interaction with the EU copyright acquis remain an under-researched area within the literature. Therefore, this article aims to fill this gap by analysing the interplay of key CoE instruments and the EU copyright directives by focusing on a matter highly valued by both institutions: the protection and preservation of European audiovisual works and heritage.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understanding, show, high;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Understanding Volunteering in Europe: Mapping Approaches to Research, Policy and Practice across Nations — https://doi.org/10.5771/9783748948988-6</w:t>
      </w:r>
    </w:p>
    <w:p>
      <w:pPr/>
      <w:r>
        <w:rPr>
          <w:b/>
        </w:rPr>
        <w:t>Shared claim-specific concepts:</w:t>
      </w:r>
      <w:r>
        <w:t xml:space="preserve"> article, understanding, four, wide; EU scope visible. This is a provisional connection, not an outcome finding.</w:t>
      </w:r>
    </w:p>
    <w:p>
      <w:pPr>
        <w:pStyle w:val="SourceNote"/>
      </w:pPr>
      <w:r>
        <w:rPr>
          <w:b/>
        </w:rPr>
        <w:t>Available abstract (not full text):</w:t>
      </w:r>
      <w:r>
        <w:t xml:space="preserve"> This Special Issue of Voluntaris is the result of the collaborative efforts of both researchers and practitioners convened by the Centre for European Volunteering (CEV), co-financed by the EU Citizens, Equality, Rights and Values fund.It attempts to plot a comprehensive and inclusive map of volunteering studies and research in Europe.The selected topics: motivation, infrastructure, law, impact measurement, and politics, cover both traditional and new aspects of volunteer involvement.Each thematic article includes a discussion of theories, three to four country-specific perspectives, an analysis of European trends, and a final synthesis.This comparative lens highlights both national specificities and transnational convergences, inspiring a wide platform for future practice exchange, research and policy development.We strive to ensure that the theoretical and empirical discussions are grounded in practical realities, and that insights from volunteer management, policy development, and civil society action are integrated with academic analysis.</w:t>
      </w:r>
    </w:p>
    <w:p>
      <w:pPr/>
      <w:r>
        <w:rPr>
          <w:b/>
        </w:rPr>
        <w:t>POSSIBLE 2025:</w:t>
      </w:r>
      <w:r>
        <w:t xml:space="preserve"> Navigating ideals and interests: an analysis of European Union–Turkey ties and the role of European values — https://doi.org/10.1332/20437897y2025d000000073</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article examines the relations between the European Union (EU) and Türkiye between 2016 and 2024. It argues that while the EU positions itself as a normative power, advocating for democracy, human rights, and the rule of law, its engagement with Türkiye reflects a dual approach, balancing geopolitical necessities with normative concerns. This study aims to answer the following question: to what extent does the EU’s communication with Türkiye since 2016 reflect a normative commitment to democracy and human rights, and to what extent is it shaped by strategic priorities, such as security, migration, and economic cooperation? This article systematically analyzes whether the EU’s engagement with Türkiye aligns with the normative power Europe framework or shows a more realist, interest-driven approach by conducting a qualitative content analysis of European Commission statements and speeches. By analyzing the EU’s official discourse, this article aims to contribute to the broader literature on the normative–strategic divide in EU foreign policy. Understanding the balance between norms and interests is important not only for EU–Türkiye relations but also for broader discussion on the EU’s global role as a normative actor and its commitments. This article aims to provide empirical evidence on how the EU navigates the tension between its values and ideals and its strategic concern</w:t>
      </w:r>
    </w:p>
    <w:p>
      <w:pPr>
        <w:pStyle w:val="Heading2"/>
      </w:pPr>
      <w:r>
        <w:t>852.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2026:</w:t>
      </w:r>
      <w:r>
        <w:t xml:space="preserve"> Factor Investing Through Smart Beta ETFs in Europe : Risk-adjusted performance and factor exposure 2017–2025 — https://openalex.org/W7220771228</w:t>
      </w:r>
    </w:p>
    <w:p>
      <w:pPr/>
      <w:r>
        <w:rPr>
          <w:b/>
        </w:rPr>
        <w:t>Shared claim-specific concepts:</w:t>
      </w:r>
      <w:r>
        <w:t xml:space="preserve"> aim, examine, factors, three, measures; EU scope visible. This is a provisional connection, not an outcome finding.</w:t>
      </w:r>
    </w:p>
    <w:p>
      <w:pPr>
        <w:pStyle w:val="SourceNote"/>
      </w:pPr>
      <w:r>
        <w:rPr>
          <w:b/>
        </w:rPr>
        <w:t>Available abstract (not full text):</w:t>
      </w:r>
      <w:r>
        <w:t xml:space="preserve"> Smart beta is often described as an investment methodology that combines attributes of both passive and active investing. Similar to active investment funds, smart beta strategies seek to achieve higher returns relative to broad capital weighted indices. Unlike active funds, they aim to accomplish this at substantially lower management costs through a rules based methodology, typically tracking non capital weighted indices, which are deliberately structured around well known fundamental factors such as value, size, volatility, or momentum. This bachelor’s thesis aims to examine the risk adjusted performance and factor exposure of equity-based smart beta exchange traded funds (smart beta ETFs) with a targeted allocation to Europe during 2017–2025. The thesis focuses specifically on smart beta ETFs with low volatility, value, and size factor attributes, forming equal weighted portfolios for each strategic smart beta group. To assess relative performance, iShares STOXX Europe 600 ETF is used as a practical benchmark representing a broad, capital weighted ETF in the European stock market. The full sample period is further divided into three distinct sub periods: 2017–2019, 2020–2022, and 2023–2025. The Smart beta ETF portfolios are evaluated using conventional risk adjusted performance measures, including the Sharpe ratio, Jensen’s alpha, and maximum drawdown as a simple measure of</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pStyle w:val="Heading2"/>
      </w:pPr>
      <w:r>
        <w:t>853.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one, main, goals;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The evaluation of football players: an in-depth look at the Expected Goal metric — https://doi.org/10.1007/s10479-025-06606-8</w:t>
      </w:r>
    </w:p>
    <w:p>
      <w:pPr/>
      <w:r>
        <w:rPr>
          <w:b/>
        </w:rPr>
        <w:t>Shared claim-specific concepts:</w:t>
      </w:r>
      <w:r>
        <w:t xml:space="preserve"> since, one, main, goals, identify, influence; EU scope visible. This is a provisional connection, not an outcome finding.</w:t>
      </w:r>
    </w:p>
    <w:p>
      <w:pPr>
        <w:pStyle w:val="SourceNote"/>
      </w:pPr>
      <w:r>
        <w:rPr>
          <w:b/>
        </w:rPr>
        <w:t>Available abstract (not full text):</w:t>
      </w:r>
      <w:r>
        <w:t xml:space="preserve"> Abstract The global sports industry is valued at $480 billion in 2023, projected to rise to $629.81 billion by 2028, with the betting sector alone generating €1.41 trillion in turnover in 2022, €730 billion of which was from football. Football attracts millions of fans worldwide, creating lucrative opportunities for advertising and marketing. In Europe, the Big Five leagues represent most of the European professional sports market. In this context, it is important to be able to evaluate football clubs and players. The value of a football player depends mainly on his performance, which depends on different factors, such as personal characteristics, attacking and defending ability on the pitch, mentality, and much more. This study focuses on attacking performance, specifically Expected Goals (xG), a critical metric for financial and strategic decisions in football, since it helps clubs, investors, and bookmakers to evaluate more accurately team performance and identify value bets. In addition, the xG metric can also significantly influence a player’s market value and transfer decisions. This study has two main objectives: first, we want to identify the current xG model through data from Understat, one of the primary data providers for shot characteristics; then, we want to propose an improved approach for more accurate xG predictions.</w:t>
      </w:r>
    </w:p>
    <w:p>
      <w:pPr/>
      <w:r>
        <w:rPr>
          <w:b/>
        </w:rPr>
        <w:t>POSSIBLE 2025:</w:t>
      </w:r>
      <w:r>
        <w:t xml:space="preserve"> Implementation of Ecological Sustainability Goals in Public Industrial Heritage Facilities in Europe — https://doi.org/10.3390/heritage8020053</w:t>
      </w:r>
    </w:p>
    <w:p>
      <w:pPr/>
      <w:r>
        <w:rPr>
          <w:b/>
        </w:rPr>
        <w:t>Shared claim-specific concepts:</w:t>
      </w:r>
      <w:r>
        <w:t xml:space="preserve"> one, goals, identify, tourism, taken; EU scope visible. This is a provisional connection, not an outcome finding.</w:t>
      </w:r>
    </w:p>
    <w:p>
      <w:pPr>
        <w:pStyle w:val="SourceNote"/>
      </w:pPr>
      <w:r>
        <w:rPr>
          <w:b/>
        </w:rPr>
        <w:t>Available abstract (not full text):</w:t>
      </w:r>
      <w:r>
        <w:t xml:space="preserve"> Industrial heritage tourism has been subject to increasing visitor interest, making Europe’s old factories, mines, and steelworks into attractive tourist installations. However, these facilities, like all other market players, impact the environment, and, therefore, their management should take into account achieving sustainable development goals. The purpose of this article is to identify key sustainability measures taken by public industrial heritage tourism facilities in Europe to protect the environment. This article discusses the results of a survey of administrators of public industrial heritage facilities in Europe. This research was carried out using the Computer Assisted Web Interview technique, sending a research questionnaire to facilities associated with the European Route of Industrial Heritage. The results indicate that these entities are taking numerous measures to implement environmental sustainability patterns, particularly in the areas of waste segregation, pollution and waste generation reduction, and low energy consumption in equipment purchases. Unfortunately, the survey shows that many of the stated actions are not being implemented, as only one in four managers has implemented a formal program related to the implementation of at least some sustainability principles or training conducted in this regard. Managers of industrial heritage sites also advocate f</w:t>
      </w:r>
    </w:p>
    <w:p>
      <w:pPr/>
      <w:r>
        <w:rPr>
          <w:b/>
        </w:rPr>
        <w:t>POSSIBLE 2025:</w:t>
      </w:r>
      <w:r>
        <w:t xml:space="preserve"> Identifying and Quantifying the Impact of Climatic and Non‐Climatic Drivers on River Discharge in Europe — https://doi.org/10.1029/2024wr038220</w:t>
      </w:r>
    </w:p>
    <w:p>
      <w:pPr/>
      <w:r>
        <w:rPr>
          <w:b/>
        </w:rPr>
        <w:t>Shared claim-specific concepts:</w:t>
      </w:r>
      <w:r>
        <w:t xml:space="preserve"> main, trends; EU scope visible. This is a provisional connection, not an outcome finding.</w:t>
      </w:r>
    </w:p>
    <w:p>
      <w:pPr>
        <w:pStyle w:val="SourceNote"/>
      </w:pPr>
      <w:r>
        <w:rPr>
          <w:b/>
        </w:rPr>
        <w:t>Available abstract (not full text):</w:t>
      </w:r>
      <w:r>
        <w:t xml:space="preserve"> Abstract Our water resources have changed over the last century through a combination of water management evolution and climate change. Understanding and decomposing the drivers of discharge changes is essential to preparing and planning adaptive strategies. To separate the response of catchment dynamics between climate change‐related and other factors in discharge observations, we propose a methodology to compare discharge observations to discharge from a physically based model. The novelty lies in the fact that, to keep the comparison pertinent despite systematic biases in physically based model outputs, we compare both systems using a common framework of interpretation, a parsimonious model, which allows us to isolate trends in catchment dynamics from trends due to average changes in annual climate variables. The modeled system stands as the reference to reproduce changes only due to evolving climate dynamics. Comparing it to the interpretation framework applied to the observation system highlights the effect of the non‐modeled factors on catchment dynamics and discharge, such as human intervention in rivers and water uptakes. We show that over Europe, especially in the South, the dominant explanations for discharge trends are non‐climatic factors. Still, in some catchments of Northern Europe, climate change seems to be the dominating driver of change. We hypothesize that th</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854.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2026:</w:t>
      </w:r>
      <w:r>
        <w:t xml:space="preserve"> RUPTURES IN CLIMATE DISCOURSE: DIGITAL PUBLICS, POLARISATION, AND ENVIRONMENTAL CONFLICT IN AUSTRALIA AND BRAZIL — https://doi.org/10.5210/spir.v2024i0.15392</w:t>
      </w:r>
    </w:p>
    <w:p>
      <w:pPr/>
      <w:r>
        <w:rPr>
          <w:b/>
        </w:rPr>
        <w:t>Shared claim-specific concepts:</w:t>
      </w:r>
      <w:r>
        <w:t xml:space="preserve"> countries, australia, brazil; EU scope not established. This is a provisional connection, not an outcome finding.</w:t>
      </w:r>
    </w:p>
    <w:p>
      <w:pPr>
        <w:pStyle w:val="SourceNote"/>
      </w:pPr>
      <w:r>
        <w:rPr>
          <w:b/>
        </w:rPr>
        <w:t>Available abstract (not full text):</w:t>
      </w:r>
      <w:r>
        <w:t xml:space="preserve"> Australia and Brazil are on the frontlines of climate crises. Both have experienced significant warming, including intense heatwaves. Both have experienced changes in rainfall patterns, with increases in some regions and decreases in others, affecting biodiversity, agriculture, and infrastructure. Floods and largely destructive bushfires have been major events both countries dealt with in the last decade. The frequency and intensity of such extreme events like bushfires and floods are expected to increase, further increasing the impact to ecosystems and cities. Beyond suffering similar consequences of climate change, both economies rely on extractive industries (mining, agribusiness, and fossil fuels). Brazil is the sixth largest global greenhouse gas emitter, while Australia is one of the largest per capita emitters of greenhouse gases, largely due to its reliance on coal for energy and as an export commodity. In addition to the consequences and causes of climate change, climate activism and advocacy in both countries are highly driven by indigenous and other vulnerable communities, who are also the ones suffering the most severe consequences of ecological destruction. This panel brings together papers that investigate how climate debates unfold in these two nations, focusing on digital public spheres, political polarisation, and discursive struggles over climate action. By ex</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2025:</w:t>
      </w:r>
      <w:r>
        <w:t xml:space="preserve"> Amazon projects pose risks to Brazil and the World — https://doi.org/10.1093/biosci/biaf002</w:t>
      </w:r>
    </w:p>
    <w:p>
      <w:pPr/>
      <w:r>
        <w:rPr>
          <w:b/>
        </w:rPr>
        <w:t>Shared claim-specific concepts:</w:t>
      </w:r>
      <w:r>
        <w:t xml:space="preserve"> countries, brazil, china, indonesia, mexico, united; EU scope visible. This is a provisional connection, not an outcome finding.</w:t>
      </w:r>
    </w:p>
    <w:p>
      <w:pPr>
        <w:pStyle w:val="SourceNote"/>
      </w:pPr>
      <w:r>
        <w:rPr>
          <w:b/>
        </w:rPr>
        <w:t>Available abstract (not full text):</w:t>
      </w:r>
      <w:r>
        <w:t xml:space="preserve"> The 29th Conference of the Parties of the United Nations climate convention (COP 29) was marked by many promises in Baku, Azerbaijan. These annual meetings attempt to address the unfolding climate crisis, and the talks this year left many crucial issues unresolved. In recent years, a series of climate-fueled disasters and extreme events such as Australian bushfires, drought and fires in the Amazon, floods in southern Brazil, Hurricane Milton in the Gulf of Mexico, and North American and Spanish floods have wreaked havoc across the world. The continued upward trajectory of greenhouse gas emissions suggests that the window for limiting warming to 1.5 degrees Celsius (°C) above the preindustrial average may already have closed, given that we have already reached that record temperature in 2024 (Ripple et al. 2024). Unlike major global powers (such as the United States, China, and European Union countries), whose main contributors to greenhouse gas emissions are the burning of fossil fuels, deforestation is the main source of emissions in developing countries that still have large amounts of tropical forest cover, such as Brazil, Bolivia, Peru, Indonesia, and the Democratic Republic of Congo. Tropical forests store about 229 billion tons of carbon in their aboveground live woody vegetation (Baccini et al. 2012), and the conservation of these areas is vital for the mitigation of cli</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pStyle w:val="Heading2"/>
      </w:pPr>
      <w:r>
        <w:t>855.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2026:</w:t>
      </w:r>
      <w:r>
        <w:t xml:space="preserve"> Carbon-Aware and Reliability-Driven Optimization of Multiproduct Pipeline Scheduling: Integrating Data-Driven, Stochastic, and Cloud-Native Approaches — https://openalex.org/W7219998484</w:t>
      </w:r>
    </w:p>
    <w:p>
      <w:pPr/>
      <w:r>
        <w:rPr>
          <w:b/>
        </w:rPr>
        <w:t>Shared claim-specific concepts:</w:t>
      </w:r>
      <w:r>
        <w:t xml:space="preserve"> nature, need, sustainable, industrial, potential; EU scope not established. This is a provisional connection, not an outcome finding.</w:t>
      </w:r>
    </w:p>
    <w:p>
      <w:pPr>
        <w:pStyle w:val="SourceNote"/>
      </w:pPr>
      <w:r>
        <w:rPr>
          <w:b/>
        </w:rPr>
        <w:t>Available abstract (not full text):</w:t>
      </w:r>
      <w:r>
        <w:t xml:space="preserve"> The increasing complexity of multiproduct pipeline systems, coupled with the global imperative for sustainability and reliability, has necessitated a paradigm shift in pipeline scheduling methodologies. Traditional deterministic optimization approaches, while effective in controlled environments, often fail to address the dynamic, uncertain, and multi-objective nature of modern pipeline networks. This study presents a comprehensive, integrative research framework that synthesizes advancements in pipeline scheduling, carbon-aware optimization, stochastic modeling, and cloud-native system reliability. Drawing on recent literature spanning pipeline engineering, operations research, and cloud computing, the research develops a conceptual architecture that bridges physical infrastructure optimization with digital system resilience. The methodology adopts a hybrid analytical approach combining bibliometric synthesis, theoretical modeling, and cross-domain integration. Results highlight the limitations of conventional batch scheduling models and demonstrate the potential of data-driven and matheuristic techniques in improving operational efficiency and environmental performance. Furthermore, the incorporation of cloud reliability principles and site reliability engineering (SRE) introduces a novel dimension of system robustness in pipeline operations. The discussion elaborates on trad</w:t>
      </w:r>
    </w:p>
    <w:p>
      <w:pPr/>
      <w:r>
        <w:rPr>
          <w:b/>
        </w:rPr>
        <w:t>POSSIBLE 2026:</w:t>
      </w:r>
      <w:r>
        <w:t xml:space="preserve"> SentinelSphere: AI-Driven Cybersecurity Platform Combining Threat Detection with Security Awareness — https://doi.org/10.34190/iccws.21.1.4465</w:t>
      </w:r>
    </w:p>
    <w:p>
      <w:pPr/>
      <w:r>
        <w:rPr>
          <w:b/>
        </w:rPr>
        <w:t>Shared claim-specific concepts:</w:t>
      </w:r>
      <w:r>
        <w:t xml:space="preserve"> growing, awareness, further; EU scope not established. This is a provisional connection, not an outcome finding.</w:t>
      </w:r>
    </w:p>
    <w:p>
      <w:pPr>
        <w:pStyle w:val="SourceNote"/>
      </w:pPr>
      <w:r>
        <w:rPr>
          <w:b/>
        </w:rPr>
        <w:t>Available abstract (not full text):</w:t>
      </w:r>
      <w:r>
        <w:t xml:space="preserve"> The growing complexity of cyber threats coupled with the widening cybersecurity knowledge gap presents new challenges in the organisational security domain of the business sector. This paper introduces SentinelSphere, an innovative platform that redesigns cybersecurity defense by integrating advanced threat detection with interactive cybersecurity awareness education, creating a unified approach to building organisational cyber resilience. SentinelSphere employs an Enhanced Deep Neural Network model with specialised feature engineering to significantly reduce false positives while maintaining high detection accuracy across diverse attack vectors. The system includes a Traffic Light System (TLS) to transform complex threat intelligence into intuitive visual indicators, serving simultaneously as an operational tool for security professionals and an educational interface for non-technical users. This paper further presents a Large Language Model that delivers real-time, context-aware cybersecurity guidance and training. This conversational AI agent operates efficiently on standard enterprise hardware, making advanced security education accessible without requiring specialised infrastructure. SentinelSphere is validated using industry-standard datasets, achieving enterprise-grade performance in threat detection with a 94% F1 score and 69.5% reduction in false positives compared to </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2025:</w:t>
      </w:r>
      <w:r>
        <w:t xml:space="preserve"> Leveraging Artificial Intelligence for ESG Reporting: A Case Study in the European Fashion Industry — https://doi.org/10.1002/bse.70405</w:t>
      </w:r>
    </w:p>
    <w:p>
      <w:pPr/>
      <w:r>
        <w:rPr>
          <w:b/>
        </w:rPr>
        <w:t>Shared claim-specific concepts:</w:t>
      </w:r>
      <w:r>
        <w:t xml:space="preserve"> driven, growing, awareness, need, sustainable; EU scope visible. This is a provisional connection, not an outcome finding.</w:t>
      </w:r>
    </w:p>
    <w:p>
      <w:pPr>
        <w:pStyle w:val="SourceNote"/>
      </w:pPr>
      <w:r>
        <w:rPr>
          <w:b/>
        </w:rPr>
        <w:t>Available abstract (not full text):</w:t>
      </w:r>
      <w:r>
        <w:t xml:space="preserve"> ABSTRACT The fashion industry in Europe has increasingly recognized the importance of Environmental, Social, and Governance (ESG) reporting as a key driver for sustainable development and transparency. As consumer awareness grows and regulatory frameworks evolve, companies are pressured to disclose their sustainability practices, ethical labor standards, and governance policies. Artificial intelligence (AI) is emerging as a powerful tool in this transformation, providing innovative solutions for data collection, analysis, and reporting. AI‐driven systems support fashion companies in monitoring environmental impacts, optimizing supply chains, and improving labor conditions while ensuring ESG compliance. Their predictive capabilities also enable early detection of ESG risks, supporting proactive sustainability strategies. However, the adoption of AI into ESG monitoring and reporting is still underdeveloped, particularly in sector‐specific contexts. This paper examines the intersection of ESG reporting and the role of AI in enhancing transparency and accountability, in the European fashion industry. Drawing on seven in‐depth interviews with sustainability managers from Italian companies, the study employs thematic analysis to identify key patterns in ESG reporting and AI adoption. The findings reveal heterogeneous ESG maturity levels, limited but growing AI integration, and strong</w:t>
      </w:r>
    </w:p>
    <w:p>
      <w:pPr/>
      <w:r>
        <w:rPr>
          <w:b/>
        </w:rPr>
        <w:t>POSSIBLE 2025:</w:t>
      </w:r>
      <w:r>
        <w:t xml:space="preserve"> Europe’s Energy Shift: From Fossil Fuels to Renewable Energy — https://doi.org/10.28991/esj-2025-09-05-06</w:t>
      </w:r>
    </w:p>
    <w:p>
      <w:pPr/>
      <w:r>
        <w:rPr>
          <w:b/>
        </w:rPr>
        <w:t>Shared claim-specific concepts:</w:t>
      </w:r>
      <w:r>
        <w:t xml:space="preserve"> fossil, sustainable, pathways, economy; EU scope visible. This is a provisional connection, not an outcome finding.</w:t>
      </w:r>
    </w:p>
    <w:p>
      <w:pPr>
        <w:pStyle w:val="SourceNote"/>
      </w:pPr>
      <w:r>
        <w:rPr>
          <w:b/>
        </w:rPr>
        <w:t>Available abstract (not full text):</w:t>
      </w:r>
      <w:r>
        <w:t xml:space="preserve"> Objectives: This study explores the transformation of energy consumption in Europe between 2002 and 2022, focusing on the declining role of fossil fuels and the increasing significance of renewable and nuclear energy sources. The study also considers how countries with varying levels of economic development adopt different energy strategies and how these strategies correlate with shifts in energy usage. A circular economy approach that includes energy recovery from waste and resource reuse is a complementary aspect of sustainable energy transitions. Methods/Analysis: The per capita energy consumption data were analyzed through decile classification and cluster analysis to group countries with similar energy profiles. To explore the relationship between GDP and energy use—both total and renewable—linear and exponential regression models were applied. Outlier countries with atypical consumption trends were excluded to improve model reliability. Statistical analyses were conducted using SPSS, and Excel was used to support the visualization process. Findings: Six distinct clusters of energy consumption patterns emerged. In lower- and middle-GDP countries, renewable energy use showed a stronger exponential correlation with GDP growth than total energy use. While fossil fuel dependence has declined across most countries, the pathways taken have been diverse. High-GDP nations such as </w:t>
      </w:r>
    </w:p>
    <w:p>
      <w:pPr>
        <w:pStyle w:val="Heading2"/>
      </w:pPr>
      <w:r>
        <w:t>856.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Growth patterns in patients with congenital adrenal hyperplasia analyzed by the QEPS growth model — https://doi.org/10.3389/fendo.2026.1736405</w:t>
      </w:r>
    </w:p>
    <w:p>
      <w:pPr/>
      <w:r>
        <w:rPr>
          <w:b/>
        </w:rPr>
        <w:t>Shared claim-specific concepts:</w:t>
      </w:r>
      <w:r>
        <w:t xml:space="preserve"> population, patients; EU scope not established. This is a provisional connection, not an outcome finding.</w:t>
      </w:r>
    </w:p>
    <w:p>
      <w:pPr>
        <w:pStyle w:val="SourceNote"/>
      </w:pPr>
      <w:r>
        <w:rPr>
          <w:b/>
        </w:rPr>
        <w:t>Available abstract (not full text):</w:t>
      </w:r>
      <w:r>
        <w:t xml:space="preserve"> Context: Patients with congenital adrenal hyperplasia (CAH) often face challenges in achieving their target adult height. The QEPS growth model, previously used for assessing healthy and pathological growth patterns, has not been applied to individuals with CAH. Objective: To evaluate growth patterns in patients with CAH using the QEPS growth model and to compare their growth characteristics with a healthy reference population. Design: A retrospective longitudinal study analyzing growth data collected from 1986 to 2008. Setting: The study was conducted in a single tertiary care center. Patients: The study included 25 patients (13 girls) with CAH, subtyped into salt wasting (SW; 12 boys, 8 girls) and simple virilizing (SV; 5 girls). Growth data were compared with a healthy reference cohort. Interventions: All patients were treated with hydrocortisone, and patients with CAH-SW received mineralocorticoids. Main outcome measures: Growth patterns were analyzed using the QEPS model, which includes specific early life growth (E-function), basic childhood growth (Q-function), and specific pubertal growth (P-function). Final adult height was compared with the reference population and parental heights. Results: CAH-SW boys and girls were longer at birth, exhibited reduced early-life growth, and had reduced puberty-specific growth (lower Pmax), resulting in shorter adult height (1.7 SDS).</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2025:</w:t>
      </w:r>
      <w:r>
        <w:t xml:space="preserve"> Bridging Europe’s Innovation Divide: How European Union Research Policy Drives Growth in Less Developed Regions — https://doi.org/10.12688/stomiedintrelat.17930.1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Background This research examines the impact of competitive European research and development funding—specifically from the European Union’s Seventh Framework Programme and Horizon 2020—on regional economic growth, research capacities, and innovation performance across NUTS2 regions, representing mid-level administrative divisions within European Union Member States. Given the persistent disparities in research and innovation output between more and less developed regions, we focus on how these funding mechanisms influence economic and scientific development, particularly in less developed and peripheral regions. While European Union research programs aim to foster knowledge production and technological advancement, their role in mitigating regional inequalities and supporting economic convergence remains an open question . Methods To assess the effects of European Union Research and Development (EU R&amp;D) funding, we conduct a quantitative analysis using data from Eurostat, PATSTAT, Web of Science, and the European Commission’s CORDIS database. We measure changes in three key indicators —publication output, patent applications, and GDP per capita— between 2011 and 2022. GDP per capita , representing a region’s total economic output divided by its population, is a key indicator of regional economic performance. Ordinary least squares regression models are employed to evaluate the</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pStyle w:val="Heading2"/>
      </w:pPr>
      <w:r>
        <w:t>857.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2025:</w:t>
      </w:r>
      <w:r>
        <w:t xml:space="preserve"> VisionZip: Longer is Better but Not Necessary in Vision Language Models — https://doi.org/10.1109/cvpr52734.2025.01843</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Recent advancements in vision-language models have enhanced performance by increasing the length of visual tokens, making them much longer than text tokens and significantly raising computational costs. However, we observe that the visual tokens generated by popular vision encoders, such as CLIP and SigLIP, contain significant redundancy. To address this, we introduce VisionZip, a simple yet effective method that selects a set of informative tokens for input to the language model, reducing visual token redundancy and improving efficiency while maintaining model performance. The proposed VisionZip can be widely applied to image and video understanding tasks and is well-suited for multi-turn dialogues in real-world scenarios, where previous methods tend to underperform. Experimental results show that VisionZip outperforms the previous state-of-the-art method by at least 5% performance gains across nearly all settings. Moreover, our method significantly enhances model inference speed, improving the prefilling time by 8× and enabling the LLaVA-Next 13B model to infer faster than the LLaVA-Next 7B model while achieving better results. Furthermore, we analyze the causes of this redundancy and encourage the community to focus on extracting better visual features rather than merely increasing token length. Our code is available at https://github.com/dvlab-research/VisionZip.</w:t>
      </w:r>
    </w:p>
    <w:p>
      <w:pPr/>
      <w:r>
        <w:rPr>
          <w:b/>
        </w:rPr>
        <w:t>POSSIBLE 2025:</w:t>
      </w:r>
      <w:r>
        <w:t xml:space="preserve"> Revitalizing the National-Popular — https://doi.org/10.1215/00295132-12157398</w:t>
      </w:r>
    </w:p>
    <w:p>
      <w:pPr/>
      <w:r>
        <w:rPr>
          <w:b/>
        </w:rPr>
        <w:t>Shared claim-specific concepts:</w:t>
      </w:r>
      <w:r>
        <w:t xml:space="preserve"> vision, world; EU scope visible. This is a provisional connection, not an outcome finding.</w:t>
      </w:r>
    </w:p>
    <w:p>
      <w:pPr>
        <w:pStyle w:val="SourceNote"/>
      </w:pPr>
      <w:r>
        <w:rPr>
          <w:b/>
        </w:rPr>
        <w:t>Available abstract (not full text):</w:t>
      </w:r>
      <w:r>
        <w:t xml:space="preserve"> John T. Connor's Mid-Century Romance: Modernism, Socialist Culture, and the Historical Novel is a fascinating study of British late modernism and mid-century communist culture that breathes new life into a genre that has had its share of hard times—namely, the historical novel. Georg Lukács famously dated the historical novel's decline to the 1848 defeats of revolutionary movements across the European continent; subsequently, critics from across the political spectrum have deemed it moribund, tied as it was to the fate of the nation-state and a past long past, and hence out of sync with a newly global capitalist world. But Connor suggests otherwise, tying the fortunes of the historical novel to the culture of British and international communism and the “reparative” possibilities that it envisioned “of the nation transformed” (6). The genre of romance and its connection, in particular, to Walter Scott's historical novels and their legacy is key to this reparative work, which at once looks backward to antiquarian traditions and a common culture of the people that emerges from within the space of the nation, and looks forward, with its distance from realism and the realities of everyday life and its capacity for dreaming and envisioning new futures.To make his case, Connor marshals an illuminating range of concepts and frameworks to contextualize the novels he discusses and establ</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2024:</w:t>
      </w:r>
      <w:r>
        <w:t xml:space="preserve"> A Survey on Efficient Vision Transformers: Algorithms, Techniques, and Performance Benchmarking — https://doi.org/10.1109/tpami.2024.3392941</w:t>
      </w:r>
    </w:p>
    <w:p>
      <w:pPr/>
      <w:r>
        <w:rPr>
          <w:b/>
        </w:rPr>
        <w:t>Shared claim-specific concepts:</w:t>
      </w:r>
      <w:r>
        <w:t xml:space="preserve"> popular, vision, called; EU scope not established. This is a provisional connection, not an outcome finding.</w:t>
      </w:r>
    </w:p>
    <w:p>
      <w:pPr>
        <w:pStyle w:val="SourceNote"/>
      </w:pPr>
      <w:r>
        <w:rPr>
          <w:b/>
        </w:rPr>
        <w:t>Available abstract (not full text):</w:t>
      </w:r>
      <w:r>
        <w:t xml:space="preserve"> Vision Transformer (ViT) architectures are becoming increasingly popular and widely employed to tackle computer vision applications. Their main feature is the capacity to extract global information through the self-attention mechanism, outperforming earlier convolutional neural networks. However, ViT deployment and performance have grown steadily with their size, number of trainable parameters, and operations. Furthermore, self-attention's computational and memory cost quadratically increases with the image resolution. Generally speaking, it is challenging to employ these architectures in real-world applications due to many hardware and environmental restrictions, such as processing and computational capabilities. Therefore, this survey investigates the most efficient methodologies to ensure sub-optimal estimation performances. More in detail, four efficient categories will be analyzed: compact architecture, pruning, knowledge distillation, and quantization strategies. Moreover, a new metric called Efficient Error Rate has been introduced in order to normalize and compare models' features that affect hardware devices at inference time, such as the number of parameters, bits, FLOPs, and model size. Summarizing, this paper first mathematically defines the strategies used to make Vision Transformer efficient, describes and discusses state-of-the-art methodologies, and analyzes the</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2023:</w:t>
      </w:r>
      <w:r>
        <w:t xml:space="preserve"> A review on the application of computer vision and machine learning in the tea industry — https://doi.org/10.3389/fsufs.2023.1172543</w:t>
      </w:r>
    </w:p>
    <w:p>
      <w:pPr/>
      <w:r>
        <w:rPr>
          <w:b/>
        </w:rPr>
        <w:t>Shared claim-specific concepts:</w:t>
      </w:r>
      <w:r>
        <w:t xml:space="preserve"> popular, vision, world; EU scope not established. This is a provisional connection, not an outcome finding.</w:t>
      </w:r>
    </w:p>
    <w:p>
      <w:pPr>
        <w:pStyle w:val="SourceNote"/>
      </w:pPr>
      <w:r>
        <w:rPr>
          <w:b/>
        </w:rPr>
        <w:t>Available abstract (not full text):</w:t>
      </w:r>
      <w:r>
        <w:t xml:space="preserve"> Tea is rich in polyphenols, vitamins, and protein, which is good for health and tastes great. As a result, tea is very popular and has become the second most popular beverage in the world after water. For this reason, it is essential to improve the yield and quality of tea. In this paper, we review the application of computer vision and machine learning in the tea industry in the last decade, covering three crucial stages: cultivation, harvesting, and processing of tea. We found that many advanced artificial intelligence algorithms and sensor technologies have been used in tea, resulting in some vision-based tea harvesting equipment and disease detection methods. However, these applications focus on the identification of tea buds, the detection of several common diseases, and the classification of tea products. Clearly, the current applications have limitations and are insufficient for the intelligent and sustainable development of the tea field. The current fruitful developments in technologies related to UAVs, vision navigation, soft robotics, and sensors have the potential to provide new opportunities for vision-based tea harvesting machines, intelligent tea garden management, and multimodal-based tea processing monitoring. Therefore, research and development combining computer vision and machine learning is undoubtedly a future trend in the tea industry.</w:t>
      </w:r>
    </w:p>
    <w:p>
      <w:pPr/>
      <w:r>
        <w:rPr>
          <w:b/>
        </w:rPr>
        <w:t>POSSIBLE 2022:</w:t>
      </w:r>
      <w:r>
        <w:t xml:space="preserve"> Transnational Solidarities and Competing Visions of Europe: Vienna's Vote on the Russo‐Japanese War — https://doi.org/10.1111/1468-229x.13327</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Abstract The 1904–05 Russo‐Japanese War is commonly described as a clash between a European power (Russia) and an Asian one (Japan). This binary framing is problematic, however, as ideas of Europeanness and Asianness were hotly contested during the war. Both Russia and Japan laid claim to being more European than the other, based on competing notions of racial and ideological kinship. The Russo‐Japanese War instantaneously became a first‐rate media event that galvanised audiences worldwide, prompting them to take sides with one or the other of the belligerents. This article examines reactions to the war in the public sphere of Vienna in neutral Austria‐Hungary. It focusses especially on an opinion survey launched by the popular newspaper Illustrirtes Wiener Extrablatt in late February 1904, which attracted more than 12,000 responses and resulted in a narrow victory for Japan. The survey provides us with a valuable sample of ordinary people's voices on the war and reveals that Viennese society was deeply split between solidarity with Russia and with Japan, reflecting the contested socio‐political situation in the city and in the Austro‐Hungarian Empire as a whole. While supporters of Russia excluded Japan from a racially, religiously and geographically defined vision of Europe, supporters of Japan often envisioned a community of civilisation, freedom and justice, which excluded </w:t>
      </w:r>
    </w:p>
    <w:p>
      <w:pPr/>
      <w:r>
        <w:rPr>
          <w:b/>
        </w:rPr>
        <w:t>POSSIBLE 2022:</w:t>
      </w:r>
      <w:r>
        <w:t xml:space="preserve"> Vision-Based Anti-UAV Detection and Tracking — https://doi.org/10.1109/tits.2022.3177627</w:t>
      </w:r>
    </w:p>
    <w:p>
      <w:pPr/>
      <w:r>
        <w:rPr>
          <w:b/>
        </w:rPr>
        <w:t>Shared claim-specific concepts:</w:t>
      </w:r>
      <w:r>
        <w:t xml:space="preserve"> vision, called, simple, based; EU scope not established. This is a provisional connection, not an outcome finding.</w:t>
      </w:r>
    </w:p>
    <w:p>
      <w:pPr>
        <w:pStyle w:val="SourceNote"/>
      </w:pPr>
      <w:r>
        <w:rPr>
          <w:b/>
        </w:rPr>
        <w:t>Available abstract (not full text):</w:t>
      </w:r>
      <w:r>
        <w:t xml:space="preserve"> Unmanned aerial vehicles (UAV) have been widely used in various fields, and their invasion of security and privacy has aroused social concern. Several detection and tracking systems for UAVs have been introduced in recent years, but most of them are based on radio frequency, radar, and other media. We assume that the field of computer vision is mature enough to detect and track invading UAVs. Thus we propose a visible light mode dataset called Dalian University of Technology Anti-UAV dataset, DUT Anti-UAV for short. It contains a detection dataset with a total of 10,000 images and a tracking dataset with 20 videos that include short-term and long-term sequences. All frames and images are manually annotated precisely. We use this dataset to train several existing detection algorithms and evaluate the algorithms’ performance. Several tracking methods are also tested on our tracking dataset. Furthermore, we propose a clear and simple tracking algorithm combined with detection that inherits the detector’s high precision. Extensive experiments show that the tracking performance is improved considerably after fusing detection, thus providing a new attempt at UAV tracking using our dataset. The datasets and results are publicly available at:https://github.com/wangdongdut/DUT-Anti-UAV.</w:t>
      </w:r>
    </w:p>
    <w:p>
      <w:pPr>
        <w:pStyle w:val="Heading2"/>
      </w:pPr>
      <w:r>
        <w:t>858.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2026:</w:t>
      </w:r>
      <w:r>
        <w:t xml:space="preserve"> A storyline approach to select the CMIP6 model ensemble to be downscaled for the South America domain — https://doi.org/10.1007/s00382-025-08017-8</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Abstract Selecting the most appropriate Global Climate Models (GCMs) is necessary for Regional Climate Models (RCMs) downscaling. We propose a methodology to select CMIP6 GCMs based on the representation of the multiple physical processes which control regional circulation in a specific domain and the uncertainty in the precipitation projections. To develop the methodology, we identified relevant climate features for the South American (SA) region, focusing on the two most important climatological features: the South American Monsoon System (SAMS) and extratropical cyclones. A set of indicators was defined based on the precipitation in three specific regions (the La Plata and Amazon basins, and Southeastern Brazil) and circulation patterns that are part of the SAMS and control the tracking of extratropical cyclones (South American Low-Level jets, South Atlantic and South Pacific Subtropical Highs, trade winds, Bolivian High, cyclonic vortices, and upper-level jet stream). The selection of the CMIP6 GCM ensemble is based on historical validation of the circulation patterns and the spread in possible future circulation changes that can lead to different precipitation responses. We used a storyline approach to assess the spread in the precipitation response controlled by regional circulation uncertainty and to identify the wettest and driest possible futures. To assess both SAMS (</w:t>
      </w:r>
    </w:p>
    <w:p>
      <w:pPr/>
      <w:r>
        <w:rPr>
          <w:b/>
        </w:rPr>
        <w:t>POSSIBLE 2026:</w:t>
      </w:r>
      <w:r>
        <w:t xml:space="preserve"> Once upon a future heatwave: A practical storyline chain from existing climate data to stakeholder engagement — https://doi.org/10.1016/j.cliser.2026.100681</w:t>
      </w:r>
    </w:p>
    <w:p>
      <w:pPr/>
      <w:r>
        <w:rPr>
          <w:b/>
        </w:rPr>
        <w:t>Shared claim-specific concepts:</w:t>
      </w:r>
      <w:r>
        <w:t xml:space="preserve"> used, storylines, different; EU scope not established. This is a provisional connection, not an outcome finding.</w:t>
      </w:r>
    </w:p>
    <w:p>
      <w:pPr>
        <w:pStyle w:val="SourceNote"/>
      </w:pPr>
      <w:r>
        <w:rPr>
          <w:b/>
        </w:rPr>
        <w:t>Available abstract (not full text):</w:t>
      </w:r>
      <w:r>
        <w:t xml:space="preserve"> With ongoing global warming, the occurrence of unprecedented, record-breaking heat extremes steadily rises. Storylines, or tales of future weather, are an increasingly popular climate communication strategy that describe how specific, individual events may arise and how severe they may become under different background climates. By focusing on plausibility rather than probability, they can help stress-test current policy and infrastructure, and support adaptation planning and heat-risk preparedness. What remains less developed is a practical workflow for building event-based storylines and bringing them into stakeholder discussions. Here, we present a readily applicable chain of methodological steps for constructing stakeholder-oriented tales of future weather using only existing simulation output and observational datasets. The chain incorporates Global Warming Scaling and ensemble mining to identify plausible future years of extreme heat in climate-model projections by matching specific indices derived from scaled observations. We apply the method to the EURO-CORDEX ensemble to assess heat extremes in a future Belgian climate corresponding to 2°of global warming. From the mining results, an example event is chosen and used as input for impact modeling, after which model outputs are translated into a coherent and communicable tale. This tale is presented to national stakeholde</w:t>
      </w:r>
    </w:p>
    <w:p>
      <w:pPr/>
      <w:r>
        <w:rPr>
          <w:b/>
        </w:rPr>
        <w:t>POSSIBLE 2026:</w:t>
      </w:r>
      <w:r>
        <w:t xml:space="preserve"> Could the 2018 Amsterdam heatwave have been more extreme? A climate risk storyline of plausible extreme heat — https://doi.org/10.5194/egusphere-egu26-8221</w:t>
      </w:r>
    </w:p>
    <w:p>
      <w:pPr/>
      <w:r>
        <w:rPr>
          <w:b/>
        </w:rPr>
        <w:t>Shared claim-specific concepts:</w:t>
      </w:r>
      <w:r>
        <w:t xml:space="preserve"> then, storylines, different, leading; EU scope visible. This is a provisional connection, not an outcome finding.</w:t>
      </w:r>
    </w:p>
    <w:p>
      <w:pPr>
        <w:pStyle w:val="SourceNote"/>
      </w:pPr>
      <w:r>
        <w:rPr>
          <w:b/>
        </w:rPr>
        <w:t>Available abstract (not full text):</w:t>
      </w:r>
      <w:r>
        <w:t xml:space="preserve"> The Royal Netherlands Meteorological Institute (KNMI) recently published nine different climate risk storylines to prepare for climate hazards in the current and near future climate. This study specifically zooms in on the climate risk storyline for a heatwave in Amsterdam. The summer of 2018 was exceptional, leading to the first code Orange for extreme heat. In this study we investigate whether, and how, the heatwave of 2018 could plausibly have evolved into a more extreme event. Using ensemble forecasts from ECMWF, we identify an alternative but physically consistent meteorological evolution in which the cooling front of late July 2018 did not reach the Netherlands. This alternative scenario, termed ‘Heatwave XL’, is dynamically downscaled using the regional climate model RACMO, with corrections for model bias. Urban heat island diagnostics are applied to derive spatially explicit heat exposure across Amsterdam. Sectoral impact knowledge from impact partners is then integrated to assess potential societal impacts and cascading effects. The Heatwave XL storyline results in several additional days of extreme daytime temperatures exceeding 35 °C, combined with persistently hot nights, likely exacerbating societal impacts already seen in 2018. This case demonstrates the value of storyline approaches for stress-testing preparedness and supporting anticipatory decision-making under</w:t>
      </w:r>
    </w:p>
    <w:p>
      <w:pPr/>
      <w:r>
        <w:rPr>
          <w:b/>
        </w:rPr>
        <w:t>POSSIBLE 2026:</w:t>
      </w:r>
      <w:r>
        <w:t xml:space="preserve"> Ambient temperature and impacts on preterm birth: A storyline approach — https://doi.org/10.64898/2026.10.07.26364935</w:t>
      </w:r>
    </w:p>
    <w:p>
      <w:pPr/>
      <w:r>
        <w:rPr>
          <w:b/>
        </w:rPr>
        <w:t>Shared claim-specific concepts:</w:t>
      </w:r>
      <w:r>
        <w:t xml:space="preserve"> then, used, demographic; EU scope visible. This is a provisional connection, not an outcome finding.</w:t>
      </w:r>
    </w:p>
    <w:p>
      <w:pPr>
        <w:pStyle w:val="SourceNote"/>
      </w:pPr>
      <w:r>
        <w:rPr>
          <w:b/>
        </w:rPr>
        <w:t>Available abstract (not full text):</w:t>
      </w:r>
      <w:r>
        <w:t xml:space="preserve"> Abstract Background Non-optimal air temperature increases the risk of preterm birth, but how temperature-related risks may translate into future population burden remains uncertain. We aimed to estimate the association between temperature and preterm birth in Sweden and assess how preterm birth burden may change under plausible future temperature conditions. Methods We conducted a nationwide population-based cohort study of singleton births in Sweden from 1973 to 2018. Weekly mean temperature was assigned at the parish level according to maternal residence. Cox proportional hazards models with a distributed lag nonlinear model were used to estimate nonlinear and delayed associations between temperature and preterm birth. The estimated exposure–response relationship and baseline hazards were then incorporated into an individual-based microsimulation of gestational progression under projected temperatures for 2025–2055. Future projections were examined across multiple climate models under SSP1-2.6 and SSP3-7.0 scenarios. Outcomes included the annual number and cumulative incidence of preterm births and the temperature-attributable fraction. Results Among 4,338,825 singleton births, 211,397 (4.9%) were preterm. Temperature–preterm birth associations were modest overall. The clearest increase in hazard was observed following exposure to very low temperatures, particularly −10°C at </w:t>
      </w:r>
    </w:p>
    <w:p>
      <w:pPr/>
      <w:r>
        <w:rPr>
          <w:b/>
        </w:rPr>
        <w:t>POSSIBLE 2026:</w:t>
      </w:r>
      <w:r>
        <w:t xml:space="preserve"> Neuroadaptive Generative Gaming using Artificial Intelligence and Brain–Computer Interface for Real-Time Storyline Evolution — https://doi.org/10.56726/irjmets85487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rapid evolution of Artificial Intelligence (AI) and Brain-Computer Interface (BCI) technologies is revolutionizing the way humans interact with digital systems, particularly within the gaming industry.This study introduces and explores the emerging paradigm of Neuroadaptive Generative Gaming, a nextgeneration approach that merges cognitive neuroscience, emotion-aware computing, and generative artificial intelligence to enable dynamically evolving narrative experiences.The core objective of this research is to design a hybridized system in which BCI-derived neural data and Generative AI models collaborate to adapt in-game storylines, missions, dialogues, and environmental factors in real time, in response to a player's cognitive and emotional states.In this proposed framework, the player's brain activity-captured through electroencephalography (EEG) signals-is continuously analyzed using machine learning classifiers to interpret affective states such as engagement, frustration, relaxation, or excitement.These real-time affective indicators are transmitted to a Generative Language Model (LLM) that reconstructs the narrative context dynamically.For instance, when heightened excitement or stress is detected, the system can autonomously alter gameplay intensity, modify environmental tone, or reconfigure dialogue structures to sustain player immersion.Conversely, in calmer states</w:t>
      </w:r>
    </w:p>
    <w:p>
      <w:pPr/>
      <w:r>
        <w:rPr>
          <w:b/>
        </w:rPr>
        <w:t>POSSIBLE 2026:</w:t>
      </w:r>
      <w:r>
        <w:t xml:space="preserve"> Modelling language using large language models — https://doi.org/10.1007/s11098-026-02479-0</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Abstract This paper argues that large language models have a valuable scientific role to play in serving as scientific models of public languages. Linguistic study should not only be concerned with the cognitive processes behind linguistic competence, but also with language understood as an external, social entity. Once this is recognized, the value of large language models as scientific models becomes clear. This paper defends the position against a number of arguments to the effect that language models provide no linguistic insight. Building upon Weisberg’s (Brit J Philos Sci 58(2):207–233, 2007) notion of a model construal, it is then argued that recent work in computational linguistics to better understand the inner workings of large language models can be used to develop a model construal for large language models as models of a language.</w:t>
      </w:r>
    </w:p>
    <w:p>
      <w:pPr>
        <w:pStyle w:val="Heading2"/>
      </w:pPr>
      <w:r>
        <w:t>859.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2026:</w:t>
      </w:r>
      <w:r>
        <w:t xml:space="preserve"> ClimRisk.eu: Regional climate projections for Europe — https://doi.org/10.5194/ems2026-518</w:t>
      </w:r>
    </w:p>
    <w:p>
      <w:pPr/>
      <w:r>
        <w:rPr>
          <w:b/>
        </w:rPr>
        <w:t>Shared claim-specific concepts:</w:t>
      </w:r>
      <w:r>
        <w:t xml:space="preserve"> climate, projections, precipitation, even;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Environmental determinants and potential suitability for Phlebotomus mascittii sand flies in central-western Europe under future Shared Socioeconomic Pathways climate change projections — https://doi.org/10.21203/rs.3.rs-8718479/v1</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860.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2026:</w:t>
      </w:r>
      <w:r>
        <w:t xml:space="preserve"> STRATEGIC DIRECTIONS FOR THE DEVELOPMENT OF TELECOMMUNICATION SERVICES IN UKRAINE IN THE CONDITIONS OF EUROPEAN INTEGRATION — https://doi.org/10.32752/1993-6788-2026-1-295-630-637</w:t>
      </w:r>
    </w:p>
    <w:p>
      <w:pPr/>
      <w:r>
        <w:rPr>
          <w:b/>
        </w:rPr>
        <w:t>Shared claim-specific concepts:</w:t>
      </w:r>
      <w:r>
        <w:t xml:space="preserve"> directions, requirements, conditions; EU scope visible. This is a provisional connection, not an outcome finding.</w:t>
      </w:r>
    </w:p>
    <w:p>
      <w:pPr>
        <w:pStyle w:val="SourceNote"/>
      </w:pPr>
      <w:r>
        <w:rPr>
          <w:b/>
        </w:rPr>
        <w:t>Available abstract (not full text):</w:t>
      </w:r>
      <w:r>
        <w:t xml:space="preserve"> The article substantiates the strategic directions of development of telecommunications services in Ukraine in the context of European integration as the basic infrastructure of the digital economy and society. It is shown that the European integration vector transforms the logic of the industry's functioning through the requirements of market openness, technological neutrality, consumer protection and guaranteeing the continuity of service provision. Key development challenges are identified: uneven infrastructure coverage between regions, asymmetry between the pace of digital transformation and investment opportunities of networks, as well as increasing requirements for quality, cyber resilience and data protection. The strategic vectors of development of telecommunications services (infrastructure, regulatory, technological and social) are systematized and their systemic effect for reducing the digital divide, increasing market transparency and competitiveness of operators is revealed. It is proven that the transformation of the market under the influence of European integration is manifested in the consolidation of the structure, the transition from basic services to complex digital solutions and the growth of investment activity, while at the same time increasing financial and institutional risks. It is substantiated that the coordination of telecommunications development </w:t>
      </w:r>
    </w:p>
    <w:p>
      <w:pPr/>
      <w:r>
        <w:rPr>
          <w:b/>
        </w:rPr>
        <w:t>POSSIBLE 2026:</w:t>
      </w:r>
      <w:r>
        <w:t xml:space="preserve"> MAIN DIRECTIONS OF PENSION SYSTEM REFORM IN THE EU COUNTRIES AND UKRAINE — https://doi.org/10.32782/business-navigator.85-43</w:t>
      </w:r>
    </w:p>
    <w:p>
      <w:pPr/>
      <w:r>
        <w:rPr>
          <w:b/>
        </w:rPr>
        <w:t>Shared claim-specific concepts:</w:t>
      </w:r>
      <w:r>
        <w:t xml:space="preserve"> possible, directions, different, conditions; EU scope visible. This is a provisional connection, not an outcome finding.</w:t>
      </w:r>
    </w:p>
    <w:p>
      <w:pPr>
        <w:pStyle w:val="SourceNote"/>
      </w:pPr>
      <w:r>
        <w:rPr>
          <w:b/>
        </w:rPr>
        <w:t>Available abstract (not full text):</w:t>
      </w:r>
      <w:r>
        <w:t xml:space="preserve"> The article examines the main directions of pension system reform in the countries of the European Union and Ukraine in the context of contemporary socio-economic transformations. The theoretical foundations of the functioning of pension provision are analyzed, and its role in shaping the system of social protection of the population is determined. Particular attention is paid to the analysis of the current state of pension systems, key trends in their development, and the challenges faced by European countries and Ukraine under conditions of demographic and economic change. The main factors that determine the need for pension system reform are identified, including demographic population aging, increasing life expectancy, a decrease in the share of the economically active population, an increasing burden on working citizens, as well as the financial instability of solidarity pension systems. The study examines the main models of pension provision operating in the countries of the European Union and identifies their characteristic features. The experience of implementing multi-pillar pension systems that combine solidarity, funded, and private pension provision levels is analyzed. It is demonstrated that the combination of different mechanisms for the formation of pension benefits makes it possible to increase the financial stability of the system, ensure the diversification of</w:t>
      </w:r>
    </w:p>
    <w:p>
      <w:pPr/>
      <w:r>
        <w:rPr>
          <w:b/>
        </w:rPr>
        <w:t>POSSIBLE 2026:</w:t>
      </w:r>
      <w:r>
        <w:t xml:space="preserve"> Kyrgyzstan – Europe: Cooperation in the Field of Education — https://doi.org/10.33619/2414-2948/124/61</w:t>
      </w:r>
    </w:p>
    <w:p>
      <w:pPr/>
      <w:r>
        <w:rPr>
          <w:b/>
        </w:rPr>
        <w:t>Shared claim-specific concepts:</w:t>
      </w:r>
      <w:r>
        <w:t xml:space="preserve"> analyzes, possible, directions; EU scope visible. This is a provisional connection, not an outcome finding.</w:t>
      </w:r>
    </w:p>
    <w:p>
      <w:pPr>
        <w:pStyle w:val="SourceNote"/>
      </w:pPr>
      <w:r>
        <w:rPr>
          <w:b/>
        </w:rPr>
        <w:t>Available abstract (not full text):</w:t>
      </w:r>
      <w:r>
        <w:t xml:space="preserve"> This article will analyze the formation, stages of development, and current state of educational cooperation between Kyrgyzstan and European countries on a comprehensive scientific basis. In the context of globalization, the internationalization of education systems is one of the main directions of interstate cooperation. Cooperation with European countries in reforming the education system, increasing human resources, and introducing international standards is of particular importance for Kyrgyzstan. This abstract will consider the regulatory framework for cooperation between the European Union and Kyrgyzstan in the field of education. In particular, partnership and cooperation agreements concluded between Kyrgyzstan and the European Union, and strategic documents aimed at the development of educational policy will be analyzed. These documents demonstrate a desire to modernize the education system, expand academic mobility, and improve the quality of education. The study will highlight the role of European educational programs such as Erasmus+, Tempus (NEE), and Horizon Europe for Kyrgyzstan. Through these programs, Kyrgyz universities closely cooperate with European universities, implementing joint educational programs. As a result, it has become possible to update curricula, introduce credit technologies, and use competency-based educational models. In this abstract, the aca</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861.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2025:</w:t>
      </w:r>
      <w:r>
        <w:t xml:space="preserve"> Narrative and case law — https://doi.org/10.4324/9781003404668-3</w:t>
      </w:r>
    </w:p>
    <w:p>
      <w:pPr/>
      <w:r>
        <w:rPr>
          <w:b/>
        </w:rPr>
        <w:t>Shared claim-specific concepts:</w:t>
      </w:r>
      <w:r>
        <w:t xml:space="preserve"> considers, extent, case, within, critical; EU scope not established. This is a provisional connection, not an outcome finding.</w:t>
      </w:r>
    </w:p>
    <w:p>
      <w:pPr>
        <w:pStyle w:val="SourceNote"/>
      </w:pPr>
      <w:r>
        <w:rPr>
          <w:b/>
        </w:rPr>
        <w:t>Available abstract (not full text):</w:t>
      </w:r>
      <w:r>
        <w:t xml:space="preserve"> This chapter addresses the particular and the general in narrative, and in masterplots, as an approach to questions of authority and change in the law. It argues that the concept of ‘masterplot’ encapsulates a reciprocity between the particular and the general that is fundamental to narrative as a mode of cognition, and that this foundation of narrative authority is essential to the principles of case law, as expounded by Oliver Wendell Holmes Jr. These principles are thrown into relief by two contrasting views of the authority of law, from Frederick Schauer and Meir Sternberg – both of whom, however, misconstrue the reciprocal relation involved. The chapter draws out the respects in which the particular–general dynamic within the narrative bears upon the strengths and weaknesses of the common law and considers the extent to which the critical concept of masterplot may help hold the law’s authority up to proper scrutiny.</w:t>
      </w:r>
    </w:p>
    <w:p>
      <w:pPr/>
      <w:r>
        <w:rPr>
          <w:b/>
        </w:rPr>
        <w:t>POSSIBLE 2025:</w:t>
      </w:r>
      <w:r>
        <w:t xml:space="preserve"> Increasing frequency and spatial extent of cattle heat stress conditions in the Southern plains of the USA — https://doi.org/10.1038/s41598-025-99621-5</w:t>
      </w:r>
    </w:p>
    <w:p>
      <w:pPr/>
      <w:r>
        <w:rPr>
          <w:b/>
        </w:rPr>
        <w:t>Shared claim-specific concepts:</w:t>
      </w:r>
      <w:r>
        <w:t xml:space="preserve"> extent, conditions, critical; EU scope not established. This is a provisional connection, not an outcome finding.</w:t>
      </w:r>
    </w:p>
    <w:p>
      <w:pPr>
        <w:pStyle w:val="SourceNote"/>
      </w:pPr>
      <w:r>
        <w:rPr>
          <w:b/>
        </w:rPr>
        <w:t>Available abstract (not full text):</w:t>
      </w:r>
      <w:r>
        <w:t xml:space="preserve"> Oklahoma, as part of the Southern Plains region and a key contributor to U.S. cattle production, faces increasing heat stress due to climate change, which can adversely influence livestock. We analyzed data from 121 Oklahoma Mesonet stations (1998-2022) to assess the spatio-temporal patterns of heat stress that influence cattle production across the state. Using the temperature humidity index (THI) and comprehensive climate index (CCI), we counted the number of days that exceeded critical thresholds for cattle production. Based on THI, only 12% of stations showed a significant increase in heat stress, while more than 60% did based on CCI, driven mainly by significantly lower summer wind speeds. Statewide cattle and calf inventory data showed a significant decrease in cattle numbers, especially following years with a large number of heat stress days based on CCI. At the county level, decreasing inventory often aligned with increasing heat stress, which suggested a strong relationship between heat stress and cattle health. With the number of heat stress days increasing by up to four days per year, adaptive strategies are crucial to mitigate the negative impacts of heat stress on cattle health and productivity in this region.</w:t>
      </w:r>
    </w:p>
    <w:p>
      <w:pPr/>
      <w:r>
        <w:rPr>
          <w:b/>
        </w:rPr>
        <w:t>POSSIBLE 2025:</w:t>
      </w:r>
      <w:r>
        <w:t xml:space="preserve"> Case studies of AI policy development in Africa — https://doi.org/10.1017/dap.2024.71</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Abstract Artificial intelligence (AI) requires new ways of evaluating national technology use and strategy for African nations. We conduct a survey of existing “readiness” assessments both for general digital adoption and AI policy in particular. We conclude that existing global readiness assessments do not fully capture African states’ progress in AI readiness and lay the groundwork for how assessments can be better used for the African context. We consider the extent to which these indicators map to the African context and what these indicators miss in capturing African states’ on-the-ground work in meeting AI capability. Through case studies of four African nations of diverse geographic and economic dimensions, we identify nuances missed by global assessments and offer high-level policy considerations for how states can best improve their AI readiness standards and prepare their societies to capture the benefits of AI.</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pStyle w:val="Heading2"/>
      </w:pPr>
      <w:r>
        <w:t>862.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2026:</w:t>
      </w:r>
      <w:r>
        <w:t xml:space="preserve"> The Role of Fiscal Policy in the Management of Nigerian Economy — https://doi.org/10.61090/aksujomas.11312</w:t>
      </w:r>
    </w:p>
    <w:p>
      <w:pPr/>
      <w:r>
        <w:rPr>
          <w:b/>
        </w:rPr>
        <w:t>Shared claim-specific concepts:</w:t>
      </w:r>
      <w:r>
        <w:t xml:space="preserve"> not, fiscal, effect, strong, but; EU scope not established. This is a provisional connection, not an outcome finding.</w:t>
      </w:r>
    </w:p>
    <w:p>
      <w:pPr>
        <w:pStyle w:val="SourceNote"/>
      </w:pPr>
      <w:r>
        <w:rPr>
          <w:b/>
        </w:rPr>
        <w:t>Available abstract (not full text):</w:t>
      </w:r>
      <w:r>
        <w:t xml:space="preserve"> This study critically examined the role of fiscal policy in managing Nigeria’s economy, specifically assessing the impact of government expenditure, taxation, and public debt on Real Gross Domestic Product (RGDP). It employed time series data and the Autoregressive Distributed Lag (ARDL) model, supported by unit root tests and bounds testing to analyze short-run and long-run dynamics. The key findings were clear. Firstly, government spending, especially on areas like roads, schools, and hospitals, had a strong positive effect on economic growth, particularly in the short term. Secondly, taxes were found to have a slight negative effect on growth, but this result was not strong enough to be definitive, suggesting the current tax system may be inefficient. Finally, public debt helped the economy a little in the short run but became harmful to long-term growth if too much debt was accumulated. The study concluded that wise fiscal policy is vital for Nigeria. It recommended that the government should focus on productive spending, reform the tax system to make it more growth-friendly, and be very careful to only borrow for projects that will benefit the economy in the future, ensuring debt remains sustainable.</w:t>
      </w:r>
    </w:p>
    <w:p>
      <w:pPr>
        <w:pStyle w:val="Heading2"/>
      </w:pPr>
      <w:r>
        <w:t>863.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union, reach;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union, provide,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What Factors Are Conducive to Coherence? Translation Activity in Late Medieval Western Europe: A Sketch of a Research Program — https://doi.org/10.38145/2025.2.158</w:t>
      </w:r>
    </w:p>
    <w:p>
      <w:pPr/>
      <w:r>
        <w:rPr>
          <w:b/>
        </w:rPr>
        <w:t>Shared claim-specific concepts:</w:t>
      </w:r>
      <w:r>
        <w:t xml:space="preserve"> sketch, coherence, article; EU scope visible. This is a provisional connection, not an outcome finding.</w:t>
      </w:r>
    </w:p>
    <w:p>
      <w:pPr>
        <w:pStyle w:val="SourceNote"/>
      </w:pPr>
      <w:r>
        <w:rPr>
          <w:b/>
        </w:rPr>
        <w:t>Available abstract (not full text):</w:t>
      </w:r>
      <w:r>
        <w:t xml:space="preserve"> Why is the history of intellectual change in the Middle Ages a history of selectively studied influences about which so few historians have dared venture generalizations? Why is it so rich with contradictions? And why do we have so little comprehensive knowledge about the translators behind these intellectual changes? To answer these questions, this article proposes a novel approach to the history of Greek-Latin translations between 1050 and 1350, which substantially reshaped the Medieval Latin intellectual landscape and the cultural history of Europe. After reviewing the conclusions in the most recent secondary literature, the essay offers a sketch of a historical analysis of translation-centered decision-making processes. In doing so, it singles out four hypotheses and describes four research areas corresponding to these assumptions. The proposed research examines the translators’ personalities and activities, their training, mobility, cultural patronage, networks and their audiences (including universities) that influenced their decisions when they chose to translate texts from Greek into Latin. Such an analysis will help us better understand the expanding cultural networks between the medieval Western and Eastern Mediterranean and the development of translations in Latin-using Western Europe.</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2024:</w:t>
      </w:r>
      <w:r>
        <w:t xml:space="preserve"> Symbol Detection in Mechanical Engineering Sketches: Experimental Study on Principle Sketches with Synthetic Data Generation and Deep Learning — https://doi.org/10.3390/app14146106</w:t>
      </w:r>
    </w:p>
    <w:p>
      <w:pPr/>
      <w:r>
        <w:rPr>
          <w:b/>
        </w:rPr>
        <w:t>Shared claim-specific concepts:</w:t>
      </w:r>
      <w:r>
        <w:t xml:space="preserve"> two, approaches, potential; EU scope not established. This is a provisional connection, not an outcome finding.</w:t>
      </w:r>
    </w:p>
    <w:p>
      <w:pPr>
        <w:pStyle w:val="SourceNote"/>
      </w:pPr>
      <w:r>
        <w:rPr>
          <w:b/>
        </w:rPr>
        <w:t>Available abstract (not full text):</w:t>
      </w:r>
      <w:r>
        <w:t xml:space="preserve"> Digital transformation is omnipresent in our daily lives and its impact is noticeable through new technologies, like smart devices, AI-Chatbots or the changing work environment. This digitalization also takes place in product development, with the integration of many technologies, such as Industry 4.0, digital twins or data-driven methods, to improve the quality of new products and to save time and costs during the development process. Therefore, the use of data-driven methods reusing existing data has great potential. However, data from product design are very diverse and strongly depend on the respective development phase. One of the first few product representations are sketches and drawings, which represent the product in a simplified and condensed way. But, to reuse the data, the existing sketches must be found with an automated approach, allowing the contained information to be utilized. One approach to solve this problem is presented in this paper, with the detection of principle sketches in the early phase of the development process. The aim is to recognize the symbols in these sketches automatically with object detection models. Therefore, existing approaches were analyzed and a new procedure developed, which uses synthetic training data generation. In the next step, a total of six different data generation types were analyzed and tested using six different one- and tw</w:t>
      </w:r>
    </w:p>
    <w:p>
      <w:pPr>
        <w:pStyle w:val="Heading2"/>
      </w:pPr>
      <w:r>
        <w:t>864.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2026:</w:t>
      </w:r>
      <w:r>
        <w:t xml:space="preserve"> Governing asylum seekers : logistics, differentiation, and failure in the European Union’s reception regime — https://doi.org/10.82444/warw.33757732</w:t>
      </w:r>
    </w:p>
    <w:p>
      <w:pPr/>
      <w:r>
        <w:rPr>
          <w:b/>
        </w:rPr>
        <w:t>Shared claim-specific concepts:</w:t>
      </w:r>
      <w:r>
        <w:t xml:space="preserve"> identify, resulting, government; EU scope visible. This is a provisional connection, not an outcome finding.</w:t>
      </w:r>
    </w:p>
    <w:p>
      <w:pPr>
        <w:pStyle w:val="SourceNote"/>
      </w:pPr>
      <w:r>
        <w:rPr>
          <w:b/>
        </w:rPr>
        <w:t>Available abstract (not full text):</w:t>
      </w:r>
      <w:r>
        <w:t xml:space="preserve"> This thesis investigates the complex and heterogeneous regime of government resulting from the failure of the EU attempts to govern asylum seekers through the Dublin system and the harmonisation of reception conditions. Combining the analytical perspective of governmentality with a regime analysis which resembles those proposed by critical migration studies, the thesis aims to identify features and functioning of a possible EU government of asylum seekers, which is defined as EU reception regime. Through a rich empirical study primarily based on semi-structured interviews with a range of different actors in several contexts in Italy and Sweden, three key modes of operation of the regime are identified, which are: logistics, differentiation, and failure. Logistics denotes an increasing importance of operational and organisational concerns in the reception of asylum seekers, which pave the way to the commodification of reception and transform the regime into a reception industry. Differentiation concerns a mode of governing asylum seekers based on the arbitrary multiplication of treatments, conditions, and experiences, across as well as within states, which therefore makes the regime work as a reception roulette. Finally, failure is a key aspect of the regime which is both intrinsic to its functioning and productive, thus making the regime operate as a reception dispositif. In pa</w:t>
      </w:r>
    </w:p>
    <w:p>
      <w:pPr/>
      <w:r>
        <w:rPr>
          <w:b/>
        </w:rPr>
        <w:t>POSSIBLE 2026:</w:t>
      </w:r>
      <w:r>
        <w:t xml:space="preserve"> Dancer in the Dark: Where Next for the European Union as a Global Film Enabler? — https://doi.org/10.1007/978-3-032-25320-0_11</w:t>
      </w:r>
    </w:p>
    <w:p>
      <w:pPr/>
      <w:r>
        <w:rPr>
          <w:b/>
        </w:rPr>
        <w:t>Shared claim-specific concepts:</w:t>
      </w:r>
      <w:r>
        <w:t xml:space="preserve"> next, internal, external; EU scope visible. This is a provisional connection, not an outcome finding.</w:t>
      </w:r>
    </w:p>
    <w:p>
      <w:pPr>
        <w:pStyle w:val="SourceNote"/>
      </w:pPr>
      <w:r>
        <w:rPr>
          <w:b/>
        </w:rPr>
        <w:t>Available abstract (not full text):</w:t>
      </w:r>
      <w:r>
        <w:t xml:space="preserve"> The film industry occupies a distinctive position at the intersection of economic, political, and cultural dynamics, making it a strategic sector within the European Union’s broader objective of integration. The European Film Industry has developed as a political project combining cultural and economic objectives and reflecting the EU’s ambition to exercise influence as a regulatory, industrial, and cultural power. This project encompasses both internal and external dimensions, guiding the development of the film industry across Europe while also informing the EU’s engagement with global audiovisual markets. Today, however, these ambitions are increasingly challenged by the accelerating process of platformisation and the growing power of global streaming services, which are reshaping production, distribution, and visibility in the industry. Understanding how these transformations affect the EU’s capacity to sustain this project lies at the core of this book’s purpose. In this context, the book pursued two main objectives:</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2025:</w:t>
      </w:r>
      <w:r>
        <w:t xml:space="preserve"> From strategy to doctrine: the next steps for European economic security — https://doi.org/10.64153/nmid5539</w:t>
      </w:r>
    </w:p>
    <w:p>
      <w:pPr/>
      <w:r>
        <w:rPr>
          <w:b/>
        </w:rPr>
        <w:t>Shared claim-specific concepts:</w:t>
      </w:r>
      <w:r>
        <w:t xml:space="preserve"> next, relationships, threats, state;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The European Health Data Space: The Next Step in Data Regulation — https://doi.org/10.5771/9783748943990-425</w:t>
      </w:r>
    </w:p>
    <w:p>
      <w:pPr/>
      <w:r>
        <w:rPr>
          <w:b/>
        </w:rPr>
        <w:t>Shared claim-specific concepts:</w:t>
      </w:r>
      <w:r>
        <w:t xml:space="preserve"> next, resulting, state; EU scope visible. This is a provisional connection, not an outcome finding.</w:t>
      </w:r>
    </w:p>
    <w:p>
      <w:pPr>
        <w:pStyle w:val="SourceNote"/>
      </w:pPr>
      <w:r>
        <w:rPr>
          <w:b/>
        </w:rPr>
        <w:t>Available abstract (not full text):</w:t>
      </w:r>
      <w:r>
        <w:t xml:space="preserve"> The European Health Data Space (Regulation (EU) 2025/327, EHDS) is an ambitious regulatory project concerning the accessibility of health data.The rules established through this initiative can play a crucial role in addressing the currently fragmented state of digitalisation in healthcare across Member States.Major changes occur in the area of primary use of health data.By granting individuals more autonomy over their electronic health records, the EHDS ensures that patients can access, add, rectify and manage their health records more easily.This also provides healthcare professionals with a greater understanding of a patient's medical history, thus improving treatment quality, especially in cross-border scenarios.Furthermore, the EHDS creates a novel framework for the secondary use of health data, mainly for research, innovation and policymaking.It does so by stipulating specific cases of secondary use for which different categories of data can be accessed.If all criteria are fulfilled, a data permit will be issued.The EHDS establishes a set of rules and guidelines for such application processes.However, the implementation of the EHDS raises complex questions, particularly regarding its relationship with the General Data Protection Regulation and the resulting legal conflicts.Additionally, the risk of national fragmentation in interpretation and application of the EHDS could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pStyle w:val="Heading2"/>
      </w:pPr>
      <w:r>
        <w:t>865.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2026:</w:t>
      </w:r>
      <w:r>
        <w:t xml:space="preserve"> The Third Path: The Fiction of Sytze Backer — https://doi.org/10.5281/zenodo.19139896</w:t>
      </w:r>
    </w:p>
    <w:p>
      <w:pPr/>
      <w:r>
        <w:rPr>
          <w:b/>
        </w:rPr>
        <w:t>Shared claim-specific concepts:</w:t>
      </w:r>
      <w:r>
        <w:t xml:space="preserve"> third, work, two; EU scope not established. This is a provisional connection, not an outcome finding.</w:t>
      </w:r>
    </w:p>
    <w:p>
      <w:pPr>
        <w:pStyle w:val="SourceNote"/>
      </w:pPr>
      <w:r>
        <w:rPr>
          <w:b/>
        </w:rPr>
        <w:t>Available abstract (not full text):</w:t>
      </w:r>
      <w:r>
        <w:t xml:space="preserve"> Between 1983 and 1995, Sytze Backer published ten works of fiction through his own imprints, outside the major Dutch publishing houses, without prizes, without reviews in the national press. In 1993 he placed his work on the internet — making him, in all likelihood, the first Dutch literary writer to publish online. There it has remained ever since: quietly present, entirely available, almost entirely unread. This essay reads Backer's bibliography in full, from the 1983 novella Het Beest to the 1995 novel Amoebe Tien, and makes the case that what these ten works constitute, read together, is a body of fiction of unusual ambition, consistency, and formal intelligence. The Breda that runs through the bibliography is as specifically rendered as any city in Dutch fiction of the period. The recurring human types — the man of principle whose ethics exceed the world's capacity to reward them, the woman whose clarity the narrative consistently validates, the charismatic authority figure who organises the world around his own indifference — are among the most precisely observed in postwar Dutch prose. And in Amoebe Tien, published two years before the first mass-market browser brought the internet into Dutch living rooms, Backer assembled an argument about the attention economy, the colonisation of consciousness by commercial infrastructure, and the dissolution of private selfhood into </w:t>
      </w:r>
    </w:p>
    <w:p>
      <w:pPr/>
      <w:r>
        <w:rPr>
          <w:b/>
        </w:rPr>
        <w:t>POSSIBLE 2026:</w:t>
      </w:r>
      <w:r>
        <w:t xml:space="preserve"> On satire and The Third Policeman — https://doi.org/10.1075/lal.45.06too</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Simpson’s doctoral thesis ( 1984 , see also 1986 , 1997 ) presented an innovative stylistic account of Flann O’Brien’s absurdist or post-modernist novel The Third Policeman , originally written around 1940 but not published until 1967. This early stylistic work drew on sociolinguistic patterns in order to show the ways that our familiar language usages can be subverted for satirical, humorous or dark effects, particularly in dealing with the misdirection that underlies the series of red herrings across the narrative world of the novel. In this chapter, Michael Toolan takes Simpson’s later thinking on satire to re-evaluate the novel in terms of its addressivity and its complex layering of narrator, author and pseudonym. The chapter captures the modern stylistic method of moving from key literary critical questions, to text, to different framing contexts of history, authorship and genre.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pStyle w:val="Heading2"/>
      </w:pPr>
      <w:r>
        <w:t>866.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2026:</w:t>
      </w:r>
      <w:r>
        <w:t xml:space="preserve"> Visible Light‐Driven NHC/Organophotoredox Catalysis: Mechanistic Insights and Organic Transformations — https://doi.org/10.1002/slct.74753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Visible light‐driven organophotoredox catalysis has emerged as a sustainable strategy for promoting diverse organic transformations with remarkable efficiency under mild reaction conditions. The integration of N‐heterocyclic carbene (NHC) catalysis with organophotoredox catalysis has enabled the generation of persistent ketyl radicals and transient radical intermediates through single electron transfer (SET), hydrogen atom transfer (HAT), and proton‐coupled electron transfer (PCET) processes, thereby facilitating chemo‐, regio‐, and stereoselective Carbon–Carbon and C–heteroatom (N, O, P) bond‐forming reactions. Likewise, to overcome the limitations associated with transition‐metal‐based photocatalysts, sustainable metal‐free organophotoredox catalysts, such as xanthene dyes, acridinium salts, anthracene‐derived photocatalysts, and thermally activated delayed fluorescence (TADF) donor–acceptor systems, have been extensively developed. Owing to their tunable photophysical properties, excellent redox capabilities, low toxicity, and cost‐effectiveness, these organophotoredox catalysts have emerged as attractive alternatives for transition metal‐based photoredox catalysis. This review summarizes the fundamental principles of visible light‐driven NHC/organophotoredox catalysis, discusses the underlying mechanistic pathways and dual catalytic transformations, thereby highlig</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2025:</w:t>
      </w:r>
      <w:r>
        <w:t xml:space="preserve"> Amyloid Light-Chain (AL) Amyloidosis in a Middle-Aged Lady: Confronting the Challenges of a Rare Diagnosis in a Developing Country — https://doi.org/10.7759/cureus.85493</w:t>
      </w:r>
    </w:p>
    <w:p>
      <w:pPr/>
      <w:r>
        <w:rPr>
          <w:b/>
        </w:rPr>
        <w:t>Shared claim-specific concepts:</w:t>
      </w:r>
      <w:r>
        <w:t xml:space="preserve"> light, options, identified; EU scope not established. This is a provisional connection, not an outcome finding.</w:t>
      </w:r>
    </w:p>
    <w:p>
      <w:pPr>
        <w:pStyle w:val="SourceNote"/>
      </w:pPr>
      <w:r>
        <w:rPr>
          <w:b/>
        </w:rPr>
        <w:t>Available abstract (not full text):</w:t>
      </w:r>
      <w:r>
        <w:t xml:space="preserve"> Amyloid light-chain (AL) amyloidosis, which results from monoclonal light-chain deposition from plasma cell dyscrasia, is often identified in old patients. A 37-year-old lady presented with frothy urine and constipation with constitutional symptoms for two months duration. On examination, she had tender hepatomegaly with cervical lymphadenopathy. She was found to have sub-nephrotic-range proteinuria, while serum protein electrophoresis revealed a monoclonal band of 17 g/l. Bone marrow aspiration and biopsy showed evidence of plasma cell dyscrasia with 20% of pleomorphic plasma cells. Myeloma-defining events were negative with normal serum calcium and serum creatinine, a haemoglobin of 10.5 g/dl, no lytic lesions on low-dose whole-body computed tomography, and involved-to-uninvolved serum free light-chain ratio of 8 with involved lambda light chains of 126.21 mg/l (4.23-27.69). Renal and lymph node biopsies demonstrated an eosinophilic amorphous material which showed apple-green birefringence on a Congo red stain suggestive of amyloidosis. Bone marrow aspiration, trephine biopsy, and lymph node biopsy together with renal biopsy led to the diagnosis of AL amyloidosis. She was classified as a stage 1 disease according to the Revised Mayo Clinic staging system. She was treated with a total of nine cycles of cyclophosphamide, bortezomib, and dexamethasone (CycloBorDex), where she ac</w:t>
      </w:r>
    </w:p>
    <w:p>
      <w:pPr/>
      <w:r>
        <w:rPr>
          <w:b/>
        </w:rPr>
        <w:t>POSSIBLE 2025:</w:t>
      </w:r>
      <w:r>
        <w:t xml:space="preserve"> Shear center determination of open light-gauge sections — https://doi.org/10.52899/24141437_2025_01_5</w:t>
      </w:r>
    </w:p>
    <w:p>
      <w:pPr/>
      <w:r>
        <w:rPr>
          <w:b/>
        </w:rPr>
        <w:t>Shared claim-specific concepts:</w:t>
      </w:r>
      <w:r>
        <w:t xml:space="preserve"> developed, options, different, industry; EU scope not established. This is a provisional connection, not an outcome finding.</w:t>
      </w:r>
    </w:p>
    <w:p>
      <w:pPr>
        <w:pStyle w:val="SourceNote"/>
      </w:pPr>
      <w:r>
        <w:rPr>
          <w:b/>
        </w:rPr>
        <w:t>Available abstract (not full text):</w:t>
      </w:r>
      <w:r>
        <w:t xml:space="preserve"> BACKGROUND: Import substitution issues are very topical in the domestic machine building industry. Recently, thin-walled curvilinear cross-sections have been obtained in the optimization of design and technological parameters thin-walled curvilinear cross-sections have been recently emphasized in the optimization of structural and technological parameters of power machine elements. The method of calculation of strength characteristics for a thin-walled closed profile is similar to those commonly used for the calculation of solid profiles, but for the calculation of sections with unclosed thin-walled curvilinear profiles it is limitedly applicable, due to the mismatch of the center of torsion with the center of mass of the section area. AIM: To presents some highlights on the strain state of units and parts of various power machines and devices with curved light-gauge open profiles operating in various strain conditions. METHODS: It describes the methodology of the proposed general algorithm for the automated calculation of the basic stiffness parameters of strained curved light-gauge open profiles with the determination of the shear center. It also reviews different options for determining these parameters for light-gauge line profiles and complex light-gauge profiles of components. RESULTS: An experimental setup has been developed that allows to identify the planes of loading </w:t>
      </w:r>
    </w:p>
    <w:p>
      <w:pPr>
        <w:pStyle w:val="Heading2"/>
      </w:pPr>
      <w:r>
        <w:t>867.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2026:</w:t>
      </w:r>
      <w:r>
        <w:t xml:space="preserve"> Co‐Creating Circular Pathways in the Fashion Industry: A Participatory System Dynamics Perspective — https://doi.org/10.1002/bse.71644</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Circular economy transitions in the fashion industry are frequently constrained not by a lack of reinforcing drivers but by endogenous feedback structures that limit growth as systems expand. Focusing on the Brazil context, this study identifies the dominant feedback archetypes governing circular transitions across four distinct socio‐technical contexts, namely, fashion brands, consumers, micro‐businesses, and digital circular platforms and offers an explanation, grounded in a participatory system dynamics approach, for why circular initiatives stall or progress. A participatory approach was adopted, combining co‐created causal loop diagrams, group model building, and backcasting workshops targeting a shared 2030 circular economy scenario, actively engaging 20 heterogeneous stakeholders including fashion brands, waste picker cooperatives, local government officials, and academics. Four causal loop diagrams were developed and validated through recorded and transcribed stakeholder interviews. The results identify a dominant limits to growth archetype across all four contexts, each driven by a distinct limiting mechanism: margin erosion in fashion brands, price‐mediated adoption constraints in consumer markets, infrastructure and workforce deficits in micro‐business recycling systems, and a dual operational and financial constraint in digital circular platforms. By struct</w:t>
      </w:r>
    </w:p>
    <w:p>
      <w:pPr/>
      <w:r>
        <w:rPr>
          <w:b/>
        </w:rPr>
        <w:t>POSSIBLE 2026:</w:t>
      </w:r>
      <w:r>
        <w:t xml:space="preserve"> System archetypes shaping e-waste circular economy transitions: A participatory system dynamics study — https://doi.org/10.1016/j.jclepro.2026.149418</w:t>
      </w:r>
    </w:p>
    <w:p>
      <w:pPr/>
      <w:r>
        <w:rPr>
          <w:b/>
        </w:rPr>
        <w:t>Shared claim-specific concepts:</w:t>
      </w:r>
      <w:r>
        <w:t xml:space="preserve"> developed, participatory, backcasting, methodology; EU scope not established. This is a provisional connection, not an outcome finding.</w:t>
      </w:r>
    </w:p>
    <w:p>
      <w:pPr>
        <w:pStyle w:val="SourceNote"/>
      </w:pPr>
      <w:r>
        <w:rPr>
          <w:b/>
        </w:rPr>
        <w:t>Available abstract (not full text):</w:t>
      </w:r>
      <w:r>
        <w:t xml:space="preserve"> Socio-technical transitions in e-waste systems are increasingly recognised as a distinct class of technological change, in which the co-evolution of reverse logistics infrastructure, extended producer responsibility regimes, and informal recovery networks determines the pace and direction of circular economy diffusion. Understanding how feedback structures within these systems accelerate or obstruct the scaling of circular technologies is therefore central to designing effective transition interventions. This study examines circular economy transition pathways in Brazil's e-waste sector through the lens of socio-technical change, employing a participatory System Dynamics methodology that integrates co-created causal loop diagrams (CLDs), backcasting exercises anchored to a 2030 normative vision, and archetype analysis. CLDs were developed in a participatory workshop engaging heterogeneous stakeholder groups, including manufacturers, waste cooperatives, policymakers, and industry practitioners operating across Brazil's hybrid extended producer responsibility and informal governance landscape. The diagrams were further validated through multi-round interviews with the same stakeholders. The analysis spans the full product life cycle, from circular design and manufacturing to reverse logistics and end-of-life recovery. This study develops participatory causal loop diagrams that ca</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pStyle w:val="Heading2"/>
      </w:pPr>
      <w:r>
        <w:t>868.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process, particularly;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Carbon trade biases and the emerging mesoscale structure of the European Emissions Trading System network — https://doi.org/10.1038/s41467-025-59913-w</w:t>
      </w:r>
    </w:p>
    <w:p>
      <w:pPr/>
      <w:r>
        <w:rPr>
          <w:b/>
        </w:rPr>
        <w:t>Shared claim-specific concepts:</w:t>
      </w:r>
      <w:r>
        <w:t xml:space="preserve"> recent, network, transport; EU scope visible. This is a provisional connection, not an outcome finding.</w:t>
      </w:r>
    </w:p>
    <w:p>
      <w:pPr>
        <w:pStyle w:val="SourceNote"/>
      </w:pPr>
      <w:r>
        <w:rPr>
          <w:b/>
        </w:rPr>
        <w:t>Available abstract (not full text):</w:t>
      </w:r>
      <w:r>
        <w:t xml:space="preserve"> The European Union Emissions Trading System (EU ETS) is designed to promote cost-effective carbon emission reductions through allowance trading. However, observed trade patterns suggest potential inefficiencies. This study conducts a province-level analysis of the EU ETS trade network of allowances, demonstrating that trades predominantly occur between entities within the same country and sector, even in recent phases of the system. To systematically examine the mesoscale structure of the trade network while accounting for geographical and sectoral homophily, we introduce a community detection framework based on the gravity model and optimal transport theory. By disentangling home and sectoral biases, we identify trade communities that align with cultural dimensions. Our findings reveal a complex interplay between geographical, economic, and cultural factors that shape carbon allowances trade patterns. These findings contribute to a deeper understanding of structural constraints within the EU ETS trade network and inform strategies for improving its cost-effectiveness. The EU Emissions Trading System allows carbon trading across Europe, but market inefficiencies remain. A gravity-based community model reveals that trades are shaped by cultural, economic, and geographic proximity, limiting broader integration.</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pStyle w:val="Heading2"/>
      </w:pPr>
      <w:r>
        <w:t>869.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2026:</w:t>
      </w:r>
      <w:r>
        <w:t xml:space="preserve"> THE IMPACT OF MERGERS AND ACQUISITIONS ON THE PERFORMANCE OF EUROPEAN PHARMACEUTICAL COMPANIES: A CURRENT STATUS REVIEW — https://doi.org/10.36871/ek.up.p.r.2026.01.02.004</w:t>
      </w:r>
    </w:p>
    <w:p>
      <w:pPr/>
      <w:r>
        <w:rPr>
          <w:b/>
        </w:rPr>
        <w:t>Shared claim-specific concepts:</w:t>
      </w:r>
      <w:r>
        <w:t xml:space="preserve"> view, evaluation, well, review, about; EU scope visible. This is a provisional connection, not an outcome finding.</w:t>
      </w:r>
    </w:p>
    <w:p>
      <w:pPr>
        <w:pStyle w:val="SourceNote"/>
      </w:pPr>
      <w:r>
        <w:rPr>
          <w:b/>
        </w:rPr>
        <w:t>Available abstract (not full text):</w:t>
      </w:r>
      <w:r>
        <w:t xml:space="preserve"> The purpose of the study is to generalize and systematize scientific ideas about the impact of mergers and acquisitions on the effectiveness of European pharmaceutical companies based on the analysis of modern empirical and theoretical works. The research materials include scientific publications on mergers and acquisitions in the pharmaceutical industry in Europe, as well as research results on the pricing, innovation and corporate effects of mergers and acquisitions. The article uses methods of comparative and structural analysis, deductive generalization, and analytical comparison of studies. Research result: a holistic view of the multidimensional nature of the impact of mergers and acquisitions on the effectiveness of pharmaceutical companies has been formed, taking into account differences in indicators and evaluation horizons. Conclusions: a) the effectiveness of mergers and acquisitions in the European pharmaceutical industry is not reduced to a single indicator; b) discrepancies in research results are due to differences in methods and interpretations; c) a correct assessment of the impact of mergers and acquisitions involves taking into account management decisions after their completion.</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2025:</w:t>
      </w:r>
      <w:r>
        <w:t xml:space="preserve"> Impacts of reduced livestock density on European agriculture and the environment — https://doi.org/10.1016/j.agsy.2025.104299</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European Green Deal (EGD) and Common Agricultural Policy (CAP) reforms aim to achieve substantial environmental and climate objectives, requiring changes in agricultural practices. Livestock density limits could be one of the measures to reduce adverse environmental impacts associated with intensive livestock production, particularly nitrogen pollution and greenhouse gas (GHG) emissions. This study examines the effects of imposing maximum limits on livestock units (LSU) per hectare of utilized agricultural area (UAA) across the EU. The analysis focuses on both the economic and environmental impacts of livestock density restrictions, with particular emphasis on their influence on production, nitrogen surplus, ammonia emissions, nitrate leaching, and GHG emissions. Using the Common Agricultural Policy Regional Impact Analysis (CAPRI) model, a detailed agricultural sector model, the study simulates impacts of different livestock density thresholds (2 LSU/ha and 1.4 LSU/ha) at regional and grid levels. The model facilitates an evaluation of the potential changes in production, market prices, trade dynamics, and environmental indicators, providing a comprehensive view of the policy's potential outcomes. Implementing livestock density limits results in reduced EU livestock numbers, particularly affecting the pig sector, with subsequent decreases in production of animal products a</w:t>
      </w:r>
    </w:p>
    <w:p>
      <w:pPr/>
      <w:r>
        <w:rPr>
          <w:b/>
        </w:rPr>
        <w:t>POSSIBLE 2025:</w:t>
      </w:r>
      <w:r>
        <w:t xml:space="preserve"> Implementation Toolkit for the OECD Recommendation on Public Policy Evaluation — https://doi.org/10.1787/77faa4fe-en</w:t>
      </w:r>
    </w:p>
    <w:p>
      <w:pPr/>
      <w:r>
        <w:rPr>
          <w:b/>
        </w:rPr>
        <w:t>Shared claim-specific concepts:</w:t>
      </w:r>
      <w:r>
        <w:t xml:space="preserve"> evaluation, recommendation, learning, offers, action; EU scope not established. This is a provisional connection, not an outcome finding.</w:t>
      </w:r>
    </w:p>
    <w:p>
      <w:pPr>
        <w:pStyle w:val="SourceNote"/>
      </w:pPr>
      <w:r>
        <w:rPr>
          <w:b/>
        </w:rPr>
        <w:t>Available abstract (not full text):</w:t>
      </w:r>
      <w:r>
        <w:t xml:space="preserve"> ​The Implementation Toolkit for the OECD Recommendation offers practical guidance for government officials and evaluators seeking to improve their evaluation capacities and systems, by enabling a deeper understanding of their strengths and weaknesses and learning from OECD member country experiences and trends. The toolkit supports the practical implementation of the principles contained in the 2022 OECD Recommendation on Public Policy Evaluation, which is the first international standard aimed at driving the establishment of robust institutions and practices that promote the use of public policy evaluations. Together, the Recommendation and this accompanying toolkit seek to help governments build a culture of continuous learning and evidence-informed policymaking, potentially leading to more impactful policies and greater trust in government action.​</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pStyle w:val="Heading2"/>
      </w:pPr>
      <w:r>
        <w:t>870.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2026:</w:t>
      </w:r>
      <w:r>
        <w:t xml:space="preserve"> The European Commission and Dissensus over Liberal Democracy — https://doi.org/10.1007/978-3-032-22481-1_15</w:t>
      </w:r>
    </w:p>
    <w:p>
      <w:pPr/>
      <w:r>
        <w:rPr>
          <w:b/>
        </w:rPr>
        <w:t>Shared claim-specific concepts:</w:t>
      </w:r>
      <w:r>
        <w:t xml:space="preserve"> article, democracy, polity;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different;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2025:</w:t>
      </w:r>
      <w:r>
        <w:t xml:space="preserve"> Influence of the European Union on queer politics of Eastern Europe — https://doi.org/10.1504/ijhrcs.2025.147396</w:t>
      </w:r>
    </w:p>
    <w:p>
      <w:pPr/>
      <w:r>
        <w:rPr>
          <w:b/>
        </w:rPr>
        <w:t>Shared claim-specific concepts:</w:t>
      </w:r>
      <w:r>
        <w:t xml:space="preserve"> article, different, politics; EU scope visible. This is a provisional connection, not an outcome finding.</w:t>
      </w:r>
    </w:p>
    <w:p>
      <w:pPr>
        <w:pStyle w:val="SourceNote"/>
      </w:pPr>
      <w:r>
        <w:rPr>
          <w:b/>
        </w:rPr>
        <w:t>Available abstract (not full text):</w:t>
      </w:r>
      <w:r>
        <w:t xml:space="preserve"> Eastern Europe's socio-cultural dynamics are defined by early Slavs and Greeks - cultures with evidence of accepted homosexuality and queerness. However, present-day Eastern Europe hosts an anti-queer environment. This paper focuses on finding the roots of this divergence by secondary data analysis of the available historical literature about the socio-cultural practices of the region. The paper also aims to find the influence of the politics of the European Union on the queer politics of the region by analysing particular socio-economic policies. The neo-functionalist theory of European integration talks about the spillover effect experienced across different socio - political-economic sectors. This paper examines how/whether this spillover 'controls' the 'queer politics' of Eastern European countries. The article has further taken a specific case of contemporary Hungarian 'queer politics' to analyse the contentions between the state and the union and to see the European Union's scope in redefining this politics.</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pStyle w:val="Heading2"/>
      </w:pPr>
      <w:r>
        <w:t>871.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2026:</w:t>
      </w:r>
      <w:r>
        <w:t xml:space="preserve"> Selected Indicators of the Agricultural Sector in the European Union — https://doi.org/10.33422/worldbme.v3i2.1740</w:t>
      </w:r>
    </w:p>
    <w:p>
      <w:pPr/>
      <w:r>
        <w:rPr>
          <w:b/>
        </w:rPr>
        <w:t>Shared claim-specific concepts:</w:t>
      </w:r>
      <w:r>
        <w:t xml:space="preserve"> indicators, highlight, high, world, concentration; EU scope visible. This is a provisional connection, not an outcome finding.</w:t>
      </w:r>
    </w:p>
    <w:p>
      <w:pPr>
        <w:pStyle w:val="SourceNote"/>
      </w:pPr>
      <w:r>
        <w:rPr>
          <w:b/>
        </w:rPr>
        <w:t>Available abstract (not full text):</w:t>
      </w:r>
      <w:r>
        <w:t xml:space="preserve"> Agriculture plays a key role in the modern world due to its multifaceted impact. In the last three decades, global, as well as Slovak, agricultural enterprises have undergone significant changes driven by socio-economic transformations, shifts in agricultural policy, institutional reforms, and the adoption of new tools. An analysis of selected indicators of the agricultural sector in the European Union points to significant differences in the structure and performance of agricultural holdings between Member States. In 2020, there were a total of 9.1 million agricultural holdings operating in the EU-27, with the highest shares in Romania (31.8%), Poland (14.4%), Italy (12.5%), and Spain (10.1%). Most of these entities (94.8%) were family farms, though France and Estonia had notable proportions of non-family farms. Almost two-thirds of farms operated on an area of less than 5 ha, while only 7.5% of holdings with an area of 50 ha or more managed 68.2% of the utilised agricultural area (UAA). Slovakia had one of the smallest shares of farms (0.2%) but one of the largest average farm sizes (81 ha) and a high concentration of land in large farms. The grouped Gini coefficient reached approximately 0.81, confirming a high degree of concentration of UAA among agricultural holdings in the EU-27. 3.3 million holdings with standard output below EUR 2,000 produced only 1% of the total stand</w:t>
      </w:r>
    </w:p>
    <w:p>
      <w:pPr/>
      <w:r>
        <w:rPr>
          <w:b/>
        </w:rPr>
        <w:t>POSSIBLE 2026:</w:t>
      </w:r>
      <w:r>
        <w:t xml:space="preserve"> Effectiveness of the National Radon Action Plans: Core Set and Extensive Set of Indicators — https://doi.org/10.14407/jrpr.2026.00066</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health risks associated with radon exposure have been known for decades. European legislation has established basic safety requirements for protection against hazards arising from exposure to indoor radon. European Union (EU) Member States are required to implement national radon action plans to address the long-term risks of radon exposure in homes, public buildings, and workplaces.Materials and Methods: By applying the drivers, pressures, state, impact, and response model (DPSIR) to radon and incorporating key factors associated with European legislation into the causal framework, indicators were identified to assess the effectiveness of the actions implemented by national radon action plans in line with EU guidelines.Results and Discussion: Since national radon action plans must take into account aspects such as radiation protection, geology, epidemiology, data management and analysis, political responsibility, building construction techniques, and communication, an extensive set of 25 effectiveness indicators associated with specific objectives of European radon legislation has been identified. It would be difficult for a policy maker to guide decisions among so many different indicators, so a core set of four effectiveness indicators has been selected based on the political relevance, analytical validity, and measurability of each indicator.Conclusion: Desp</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2025:</w:t>
      </w:r>
      <w:r>
        <w:t xml:space="preserve"> The Need to Standardize the Criteria for Classifying Protected Areas within the EU — https://openalex.org/W7215017291</w:t>
      </w:r>
    </w:p>
    <w:p>
      <w:pPr/>
      <w:r>
        <w:rPr>
          <w:b/>
        </w:rPr>
        <w:t>Shared claim-specific concepts:</w:t>
      </w:r>
      <w:r>
        <w:t xml:space="preserve"> create, set, areas, high, world, based; EU scope visible. This is a provisional connection, not an outcome finding.</w:t>
      </w:r>
    </w:p>
    <w:p>
      <w:pPr>
        <w:pStyle w:val="SourceNote"/>
      </w:pPr>
      <w:r>
        <w:rPr>
          <w:b/>
        </w:rPr>
        <w:t>Available abstract (not full text):</w:t>
      </w:r>
      <w:r>
        <w:t xml:space="preserve"> Abstract: The European Union has paid increasing attention to the conservation of biodiversity in its member countries and to the protection of the environment. In this context, protected areas, regardless of their rank, surface area, geographical location, play an essential role in saving ecosystems and species in danger of extinction or simply threatened. However, despite their importance, a fundamental aspect of their management remains the non-uniformity in their classification and assessment in the Member States of the European Union and in other non-member European countries. The need to standardize the criteria for classifying protected areas has thus become a key theme in the debates on conservation. The implications are not limited to the effectiveness of environmental policies or the harmonization of standards between the different EU countries. The efficiency of national or EU funding for protected area officials could be greatly improved if there were a common denominator in classifying and comparing these protected areas. Each Member State adopts different rules and methodologies for identifying and designating protected areas, and this can lead to significant differences in the protection status of ecologically similar areas. For example, an area may be considered of major ecological importance in one country but not protected in another. A standardization of crit</w:t>
      </w:r>
    </w:p>
    <w:p>
      <w:pPr/>
      <w:r>
        <w:rPr>
          <w:b/>
        </w:rPr>
        <w:t>POSSIBLE 2025:</w:t>
      </w:r>
      <w:r>
        <w:t xml:space="preserve"> Statistical atlas of European agriculture: gridded data from the agricultural census 2020 and the spatial distribution of CAP contextual indicators — https://doi.org/10.5194/essd-17-3893-2025</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Abstract. International organizations have voiced the need to integrate geographical information from agricultural holdings into official statistics to gain a better understanding of the spatial dynamics of the European agricultural sector. This paper presents a set of thematic maps based on the European 2020 agricultural census to explore the major structural differences between regions and countries. To comply with the confidentiality requirements associated with the census data, we applied a multi-resolution gridded approach by varying the resolution of the grid cells as a function of the density, dominance, and quality of individual observations. The data sets contain a mixture of grid resolutions ranging from 1 km to 40 km, preserving a hierarchical structure where higher resolution grids are aggregated into lower levels until the statistical disclosure requirements are met. The variables presented here correspond to the Contextual Indicators of the Performance Monitoring and Evaluation Framework of the Common Agricultural Policy and are divided into three broad categories: structural components (i.e., agricultural holdings, land use, livestock patterns, and labor input); the demographics of farmers (i.e., age, gender, and skills); and agricultural production methods (i.e., irrigation and organic farming). Our exploratory analysis indicates that high farm density occurs in</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pStyle w:val="Heading2"/>
      </w:pPr>
      <w:r>
        <w:t>872.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873.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874.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2024:</w:t>
      </w:r>
      <w:r>
        <w:t xml:space="preserve"> GCAM–GLORY v1.0: representing global reservoir water storage in a multi-sector human–Earth system model — https://doi.org/10.5194/gmd-17-5587-2024</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Reservoirs play a significant role in modifying the spatiotemporal availability of surface water to meet multi-sector human demands, despite representing a relatively small fraction of the global water budget. Yet the integrated modeling frameworks that explore the interactions among climate, land, energy, water, and socioeconomic systems at a global scale often contain limited representations of water storage dynamics that incorporate feedbacks from other systems. In this study, we implement a representation of water storage in the Global Change Analysis Model (GCAM) to enable exploration of the future role (e.g., expansion) of reservoir water storage globally in meeting demands for, and evolving in response to interactions with, the climate, land, and energy systems. GCAM represents 235 global water basins, operates at 5-year time steps, and uses supply curves to capture economic competition among renewable water (now including reservoirs), non-renewable groundwater, and desalination. Our approach consists of developing the GLObal Reservoir Yield (GLORY) model, which uses a Linear Programming (LP)-based optimization algorithm, and dynamically linking GLORY with GCAM. The new coupled GCAM-GLORY approach improves the representation of reservoir water storage in GCAM in several ways. First, the GLORY model identifies the cost to supply increasing levels of water supply</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pStyle w:val="Heading2"/>
      </w:pPr>
      <w:r>
        <w:t>875.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2025:</w:t>
      </w:r>
      <w:r>
        <w:t xml:space="preserve"> Planning the natural development of a peripheral vertex on the example of a regional airport in Central Europe — https://doi.org/10.12913/22998624/204142</w:t>
      </w:r>
    </w:p>
    <w:p>
      <w:pPr/>
      <w:r>
        <w:rPr>
          <w:b/>
        </w:rPr>
        <w:t>Shared claim-specific concepts:</w:t>
      </w:r>
      <w:r>
        <w:t xml:space="preserve"> peripheral, used; EU scope visible. This is a provisional connection, not an outcome finding.</w:t>
      </w:r>
    </w:p>
    <w:p>
      <w:pPr>
        <w:pStyle w:val="SourceNote"/>
      </w:pPr>
      <w:r>
        <w:rPr>
          <w:b/>
        </w:rPr>
        <w:t>Available abstract (not full text):</w:t>
      </w:r>
      <w:r>
        <w:t xml:space="preserve"> In this paper, a young airport in Central Europe is presented as a peripheral node of a complex network, subject to Luce's natural laws of development.Research conducted since the late 1990s has focused on creating models that apply to the entire network.Even the development of the most important nodes of a complex network, the socalled hubs, is considered as a consequence of the topology of the entire network.The paper considers what laws and models can be applied to a single, peripheral network node, compared to the widely used exponential models.The presented analysis of the dynamics of the scheduled traffic at the Lublin Airport allows for forecasting its further development.Thus, the methods proposed here for the case study of a regional airport enable us to specify a forecast for the further development of any peripheral vertex of a complex network of a transportation system.On the basis of this analysis, it was pointed out, among others, that seasonality expressing the dynamics of a complex network, so far expressed in statistics using the time series method can also be approached in the Elliot waves terminology and used to predict the profitability of a regional airport.It was also established, that since 2015 the regional demand for civil aviation operations in the General Aviation category has been saturated at the Lublin Airport, reaching the level of 1750 operations</w:t>
      </w:r>
    </w:p>
    <w:p>
      <w:pPr/>
      <w:r>
        <w:rPr>
          <w:b/>
        </w:rPr>
        <w:t>POSSIBLE 2025:</w:t>
      </w:r>
      <w:r>
        <w:t xml:space="preserve"> Local Implementation of the 2030 Agenda in Europe — https://doi.org/10.17645/up.9873</w:t>
      </w:r>
    </w:p>
    <w:p>
      <w:pPr/>
      <w:r>
        <w:rPr>
          <w:b/>
        </w:rPr>
        <w:t>Shared claim-specific concepts:</w:t>
      </w:r>
      <w:r>
        <w:t xml:space="preserve"> specific, sustainable, local, environment; EU scope visible. This is a provisional connection, not an outcome finding.</w:t>
      </w:r>
    </w:p>
    <w:p>
      <w:pPr>
        <w:pStyle w:val="SourceNote"/>
      </w:pPr>
      <w:r>
        <w:rPr>
          <w:b/>
        </w:rPr>
        <w:t>Available abstract (not full text):</w:t>
      </w:r>
      <w:r>
        <w:t xml:space="preserve"> While some scholars see the Sustainable Development Goals (SDGs) as an example of environmentally friendly development approaches that reconnect development with biospheric preconditions, others argue that they mask ongoing contestation. This article begins with a multi‐level governance perspective on the “green goals” of the 2030 Agenda and the importance of local action for their implementation. The focus is on Europe, where municipal sustainability governance was found to be concentrated and where the environment is most likely prioritized. Against this backdrop, I analyze which policy measures the European Union, nation states, regions, and municipalities in Europe name in the reviews submitted to the UN High‐Level Political Forum to achieve environmental targets. I show that although the environment is not a priority of SDG implementation at any policy level, municipalities are occasionally leading the way in environmental action both horizontally, with site‐specific measures, and vertically, with multi‐level measures.</w:t>
      </w:r>
    </w:p>
    <w:p>
      <w:pPr/>
      <w:r>
        <w:rPr>
          <w:b/>
        </w:rPr>
        <w:t>POSSIBLE 2025:</w:t>
      </w:r>
      <w:r>
        <w:t xml:space="preserve"> Enhancing “4 per 1000” initiative implementation through region-specific agricultural and forestry practices — https://doi.org/10.1016/j.soilad.2025.100057</w:t>
      </w:r>
    </w:p>
    <w:p>
      <w:pPr/>
      <w:r>
        <w:rPr>
          <w:b/>
        </w:rPr>
        <w:t>Shared claim-specific concepts:</w:t>
      </w:r>
      <w:r>
        <w:t xml:space="preserve"> specific, region, sustainable; EU scope not established. This is a provisional connection, not an outcome finding.</w:t>
      </w:r>
    </w:p>
    <w:p>
      <w:pPr>
        <w:pStyle w:val="SourceNote"/>
      </w:pPr>
      <w:r>
        <w:rPr>
          <w:b/>
        </w:rPr>
        <w:t>Available abstract (not full text):</w:t>
      </w:r>
      <w:r>
        <w:t xml:space="preserve"> The critical importance of enhancing and maintaining the organic carbon (C) content in agricultural and forest soils has been emphasized for a decade within the objectives of the International "4 per 1000" Initiative. The multiple benefits of soil organic C (SOC) sequestration in addressing global challenges—such as food security, climate change mitigation and adaptation, and biodiversity conservation—are now well-recognized. However, less well understood is how the capacity for SOC sequestration varies across regions and what specific management practices are most suitable for promoting soil health and SOC sequestration regarding different regional contexts and initial conditions. In this paper, we review data and research from three major global regions—Africa, Asia, and Oceania—each with distinct cultural, socio-economic, and environmental challenges and opportunities. To provide insights from forest and agricultural management approaches in each region, we discuss practices that have proven effective and propose that a deeper exploration of region-specific management could lead to the identification of additional viable practices that enhance SOC sequestration. This approach would support the objectives of the "4 per 1000" Initiative and contribute to achieving global climate change and sustainable development goals.</w:t>
      </w:r>
    </w:p>
    <w:p>
      <w:pPr/>
      <w:r>
        <w:rPr>
          <w:b/>
        </w:rPr>
        <w:t>POSSIBLE 2025:</w:t>
      </w:r>
      <w:r>
        <w:t xml:space="preserve"> NAVIGATING SMART HOTEL IMPLEMENTATION IN BATAM ISLAND, INDONESIA: STAKEHOLDER PERSPECTIVES — https://doi.org/10.35631/aijbes.725039</w:t>
      </w:r>
    </w:p>
    <w:p>
      <w:pPr/>
      <w:r>
        <w:rPr>
          <w:b/>
        </w:rPr>
        <w:t>Shared claim-specific concepts:</w:t>
      </w:r>
      <w:r>
        <w:t xml:space="preserve"> implemented, specific, island, seeking, integrated, sustainable; EU scope not established. This is a provisional connection, not an outcome finding.</w:t>
      </w:r>
    </w:p>
    <w:p>
      <w:pPr>
        <w:pStyle w:val="SourceNote"/>
      </w:pPr>
      <w:r>
        <w:rPr>
          <w:b/>
        </w:rPr>
        <w:t>Available abstract (not full text):</w:t>
      </w:r>
      <w:r>
        <w:t xml:space="preserve"> The hospitality industry is undergoing a significant transformation driven by rapid technological advancements, resulting in the emergence of smart hotels as a new paradigm in accommodation services. These hotels integrate a range of cutting-edge technologies, including Artificial Intelligence (AI), the Internet of Things (IoT), big data analytics, and mobile applications, to enhance guest experiences through personalization and convenience, optimize operational efficiency, and promote sustainable and environmentally responsible practices. This shift is reshaping guest expectations and industry standards globally, creating opportunities for competitive advantage. Batam Island, Indonesia, as a rapidly developing tourist destination and a critical gateway for international visitors, presents a relevant and strategically significant setting to explore the adoption and implementation of smart hotel technologies. The island’s evolving tourism landscape, coupled with its socio-economic and infrastructural characteristics, underscores the importance of understanding how these innovations are integrated within emerging market settings. This study aims to investigate the implementation of smart hotels in Batam by focusing on the socio-technical challenges inherent in this process, including infrastructural constraints, cultural considerations, and stakeholder readiness. Although extensi</w:t>
      </w:r>
    </w:p>
    <w:p>
      <w:pPr>
        <w:pStyle w:val="Heading2"/>
      </w:pPr>
      <w:r>
        <w:t>876.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2025:</w:t>
      </w:r>
      <w:r>
        <w:t xml:space="preserve"> Aid, Structural Change, and Productivity Growth in Developing Countries — https://doi.org/10.33612/diss.1302004539</w:t>
      </w:r>
    </w:p>
    <w:p>
      <w:pPr/>
      <w:r>
        <w:rPr>
          <w:b/>
        </w:rPr>
        <w:t>Shared claim-specific concepts:</w:t>
      </w:r>
      <w:r>
        <w:t xml:space="preserve"> structural, alternative; EU scope visible. This is a provisional connection, not an outcome finding.</w:t>
      </w:r>
    </w:p>
    <w:p>
      <w:pPr>
        <w:pStyle w:val="SourceNote"/>
      </w:pPr>
      <w:r>
        <w:rPr>
          <w:b/>
        </w:rPr>
        <w:t>Available abstract (not full text):</w:t>
      </w:r>
      <w:r>
        <w:t xml:space="preserve"> This thesis investigates structural change in developing countries, with a focus on sub-Saharan Africa and the former Soviet Union. Virtually all cases of sustained economic growth have involved large-scale reallocation of labour and resources from low- to high-productivity sectors, often to manufacturing, and often alongside rapid urbanization. Yet many developing regions have not undergone such structural transformation, or have done so under significant distortion. This thesis shows that, with the exception of a small number of atypical countries, Sub-Saharan Africa has neither industrialized nor deindustrialized. A major feature of its post-independence landscape has been the prevalence of foreign aid. Whilst widely analyzed, the effects of aid remain ambiguous. This thesis presents new evidence showing that, on average, aid has impeded industrialization and reduced urbanization across the region. By contrast, the countries of the former Soviet Union and Eastern Europe experienced structural change in reverse. Overindustrialized at the end of the Cold War, many underwent rapid deindustrialization, often without expanding alternative high-productivity sectors for excess manufacturing labour to relocate to. In the Soviet successor states, this shift has contributed negatively to aggregate productivity since 1990, in contrast with the former centrally planned economies which w</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2020:</w:t>
      </w:r>
      <w:r>
        <w:t xml:space="preserve"> LEVERS OF STATE REGULATION OF STRUCTURAL CHANGES IN THE NATIONAL ECONOMY — https://doi.org/10.26661/2414-0287-2020-3-47-16</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The article is devoted to the research of problems of formation and implementation of mechanisms, methods and measures of state regulation of structural transformations of the national economy. The interpretation of mechanisms, methods, tools and means of state regulation of the economy in domestic economics is studied. It is substantiated that the main shortcomings of the application of the program-target method of national economy management are chronic underfunding of state and local target programs, weak involvement of stakeholders and ineffective control over the implementation of programs and projects. It has been analyzed the European experience of the state practice of coordinating structural changes in accordance with the priorities of socio-economic development, in particular the application of such a regulatory tool as tax benefits. It is proved the expediency of using a reactive and proactive system of public administration in achieving the strategic goals of the national economy, which will more optimally determine the necessary means for their implementation, as well as prevent and respond to negative socio-economic effects. The measures of public administration within the mechanism of state regulation of structural changes in national economy are systematized. The basic tools of state regulation of structural reform of the national economy with grouping by mechan</w:t>
      </w:r>
    </w:p>
    <w:p>
      <w:pPr/>
      <w:r>
        <w:rPr>
          <w:b/>
        </w:rPr>
        <w:t>POSSIBLE 2020:</w:t>
      </w:r>
      <w:r>
        <w:t xml:space="preserve"> The Concept of Structural Human Rights in the European Convention on Human Rights — https://doi.org/10.1093/hrlr/ngaa024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ABSTRACT This article introduces the concept of structural human rights in the context of the European Convention on Human Rights. It starts from the observation that the current understanding of human rights obligations does not account for all the effects that the judgments of the European Court of Human Rights have in practice. To comply with their obligations under the Convention, States Parties may be required to modify their very institutional architecture. The article argues that this is a consequence of structural human rights. These are fundamental rights that, when enforced, may impose structural obligations, requiring changes to a State's governmental structure. The article offers a theoretical underpinning of the concept and indicates the benefits of understanding Convention rights also in a structural way. Furthermore, the notion is conceptualised further by way of an overview of several strands of case law, demonstrating the way in which Convention rights can develop their structural nature and what kind of structural effects they may have.</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pStyle w:val="Heading2"/>
      </w:pPr>
      <w:r>
        <w:t>877.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Circulation Patterns, Genetic Diversity, and Public Health Implications of Enterovirus D68, Europe, 2014–2024 — https://doi.org/10.3201/eid3204.251022</w:t>
      </w:r>
    </w:p>
    <w:p>
      <w:pPr/>
      <w:r>
        <w:rPr>
          <w:b/>
        </w:rPr>
        <w:t>Shared claim-specific concepts:</w:t>
      </w:r>
      <w:r>
        <w:t xml:space="preserve"> implications, countries, during; EU scope visible. This is a provisional connection, not an outcome finding.</w:t>
      </w:r>
    </w:p>
    <w:p>
      <w:pPr>
        <w:pStyle w:val="SourceNote"/>
      </w:pPr>
      <w:r>
        <w:rPr>
          <w:b/>
        </w:rPr>
        <w:t>Available abstract (not full text):</w:t>
      </w:r>
      <w:r>
        <w:t xml:space="preserve"> Enterovirus D68 (EV-D68) represents a continuing public health concern, given its association with severe respiratory illness and neurologic complications. In this study, we analyzed EV-D68 circulation and genetic evolution during 2014-2024 using data from 18 countries in Europe. Of 61,297 enterovirus-positive specimens, molecular detection and viral protein 1 sequencing identified 3,541 (6%) EV-D68 cases. A biennial circulation pattern was observed; detection rates ranged from 9% in 2014 to 0.9% in 2019. The pattern was disrupted in 2020 because of measures implemented in response to the COVID-19 pandemic, but then notable increases occurred in 2021 (14%), 2022 (10.7%), and 2024 (20.6%). Subgenogroups B3 (59.8%) and A2/D (28.0%) were predominant; A2/D reemerged as dominant in 2024. Mutation analyses revealed changes in antigenic regions. Our findings underscore the persistent adaptation and resurgence of EV-D68 after COVID-19. Continued genomic surveillance is essential to monitor transmission patterns caused by antigenic changes.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Access to insurance for European SMEs: Patterns, clusters, and policy implications — https://doi.org/10.21511/ins.16(2).2025.08</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Type of the article: Research ArticleAbstractThe study aims to explore the insurance profiles of SMEs and to identify access gaps across different firm categories, using the Ipsos European Public Affairs survey dataset, which consists of 8,187 SMEs from Europe. This dataset was analyzed using multiple correspondence analysis, cluster analysis, and discriminant analysis. Results show clear evidence of ownership concentration in a few insurance products: commercial motor (64.3% of SMEs own such an insurance), general liability (54.4%), and workers’ compensation (46.1%). On the other hand, uptake is lowest for cyber insurance (15.3%), non-damage business interruption (14.5%), and commercial insurance with business interruption (20.3%); notably, 8.2% report no insurance product ownership. Furthermore, three behavioral clusters were identified: minimally insured (n = 3,604; mean 1.58 policies), moderately insured (n = 2,603; mean 5.22), and broadly insured (n = 1,980; mean 6.73). Also, portfolios exhibit structured “baskets” with frequent co-ownership of general liability and motor (40%). Findings document systematic, demography-linked disparities and actionable access gaps. The study concludes that persistent disparities in access are linked to firm size, age, and turnover, underscoring the need for tailored policy measures and market solutions to address inclusion gaps. The practi</w:t>
      </w:r>
    </w:p>
    <w:p>
      <w:pPr/>
      <w:r>
        <w:rPr>
          <w:b/>
        </w:rPr>
        <w:t>POSSIBLE 2025:</w:t>
      </w:r>
      <w:r>
        <w:t xml:space="preserve"> A New Piece in the Puzzle: Corruption and Financial Constraints—Evidence From European Firms — https://doi.org/10.1111/beer.12815</w:t>
      </w:r>
    </w:p>
    <w:p>
      <w:pPr/>
      <w:r>
        <w:rPr>
          <w:b/>
        </w:rPr>
        <w:t>Shared claim-specific concepts:</w:t>
      </w:r>
      <w:r>
        <w:t xml:space="preserve"> sample, only, firms, countries, other, different; EU scope visible. This is a provisional connection, not an outcome finding.</w:t>
      </w:r>
    </w:p>
    <w:p>
      <w:pPr>
        <w:pStyle w:val="SourceNote"/>
      </w:pPr>
      <w:r>
        <w:rPr>
          <w:b/>
        </w:rPr>
        <w:t>Available abstract (not full text):</w:t>
      </w:r>
      <w:r>
        <w:t xml:space="preserve"> ABSTRACT This study explores how country‐level corruption affects firm‐level financial constraints. We use a sample of 21 European countries from 2002 to 2022 comprising 22,974 firm‐year observations. We find that corruption increases financial constraints. In other words, as countries become more transparent, firms face fewer financial constraints. Our findings are robust when we employ alternative definitions of corruption, financial constraints, alternative subsamples, additional firm‐level control variables, and different econometric methodologies. As a further analysis, we provide novel evidence that an increase in country‐level transparency decreases financial constraints only for firms with lower information asymmetry, higher institutional ownership, or higher foreign ownership. Finally, this effect is stronger for firms with lower ESG performance and firms without bribery corruption or fraud controversies. Our paper contributes to the literature by employing country‐level corruption indices as a macroeconomic determinant of firm‐level financial constraints for firms in developed countries and by investigating how different firm‐level factors moderate the association between country‐level corruption and firm‐level financial constraints.</w:t>
      </w:r>
    </w:p>
    <w:p>
      <w:pPr/>
      <w:r>
        <w:rPr>
          <w:b/>
        </w:rPr>
        <w:t>POSSIBLE 2025:</w:t>
      </w:r>
      <w:r>
        <w:t xml:space="preserve"> Oropouche Virus: An Emerging Arboviral Threat and Its Implications for Europe — https://doi.org/10.3390/life15111674</w:t>
      </w:r>
    </w:p>
    <w:p>
      <w:pPr/>
      <w:r>
        <w:rPr>
          <w:b/>
        </w:rPr>
        <w:t>Shared claim-specific concepts:</w:t>
      </w:r>
      <w:r>
        <w:t xml:space="preserve"> limitations, implications, other, during; EU scope visible. This is a provisional connection, not an outcome finding.</w:t>
      </w:r>
    </w:p>
    <w:p>
      <w:pPr>
        <w:pStyle w:val="SourceNote"/>
      </w:pPr>
      <w:r>
        <w:rPr>
          <w:b/>
        </w:rPr>
        <w:t>Available abstract (not full text):</w:t>
      </w:r>
      <w:r>
        <w:t xml:space="preserve"> Oropouche virus (OROV), an emerging arbovirus of the Peribunyaviridae family, is responsible for acute febrile illness and, in some cases, neurological or hemorrhagic complications. Although traditionally confined to tropical areas of Central and South America, the 2024–2025 epidemic has signaled a major shift in its geographic and clinical profile, with sustained transmission in the Caribbean, over 15,000 confirmed cases, and the first imported infections reported in Europe and the United States. New clinical observations include fatalities in previously healthy adults, suspected vertical transmission with adverse fetal outcomes, and potential sexual transmission. Despite entomological data indicating low competence of European mosquito species and the absence of the main vector Culicoides paraensis, the increasing frequency of imported cases underscores the need for continued vigilance. Diagnostic limitations and clinical overlap with other arboviruses further complicate early detection. This review summarizes current knowledge on OROV’s epidemiology, transmission dynamics, and clinical features, and highlights the urgent need for integrated surveillance, diagnostic readiness, and coordinated research efforts. Emphasis is placed on Europe’s preparedness strategies, with Italy’s Jubilee 2025 offering a real-world case study for managing arboviral threats during mass gatherings</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pStyle w:val="Heading2"/>
      </w:pPr>
      <w:r>
        <w:t>878.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Comparative Analysis of the Views of Rodney Stark and Bryan Wilson in the Context of Secularisation Paradigms — https://doi.org/10.35415/sirnakifd.1538315</w:t>
      </w:r>
    </w:p>
    <w:p>
      <w:pPr/>
      <w:r>
        <w:rPr>
          <w:b/>
        </w:rPr>
        <w:t>Shared claim-specific concepts:</w:t>
      </w:r>
      <w:r>
        <w:t xml:space="preserve"> stark, high, show, specifically; EU scope visible. This is a provisional connection, not an outcome finding.</w:t>
      </w:r>
    </w:p>
    <w:p>
      <w:pPr>
        <w:pStyle w:val="SourceNote"/>
      </w:pPr>
      <w:r>
        <w:rPr>
          <w:b/>
        </w:rPr>
        <w:t>Available abstract (not full text):</w:t>
      </w:r>
      <w:r>
        <w:t xml:space="preserve"> The phenomenon of secularisation has long been a subject of considerable interest among sociologists of religion. This process is intricately linked with modernization, which represents a fundamental dynamic driving societal change and reshaping various social institutions. According to some sociologists, religion, once a central institution, has begun to lose its influence and prominence as societies modernize. Numerous scholars, particularly sociologists have articulated this observation. Western sociologists have approached the study of secularisation through different paradigms, including “the old secularisation paradigm,” “the new secularisation paradigm,” and “the alternative (eclectic) secularisation paradigm,” the latter of which often focuses on non-Western contexts. For instance, Bryan Ronald Wilson (1926-2004), a prominent representative of the classical paradigm, has authored several influential works on new religious movements, such as Sects and Society: Magic and the Millennium (1973) and The Social Dimensions of Sectarianism (1990). From a different perspective, Rodney Stark (1934-2022), a key figure in the new paradigm, has contributed extensively to the discourse on religion and secularisation through publications such as The Triumph of Faith (2015), A Theory of Religion (1987), The Future of Religion (1985), and various articles including “Secularization, R.I.</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2022:</w:t>
      </w:r>
      <w:r>
        <w:t xml:space="preserve"> SARS-CoV-2 has not emerged in roe, red or fallow deer in Germany or Austria during the COVID 19 pandemic — https://doi.org/10.1101/2022.02.18.480872</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Abstract Spillover of SARS-CoV-2 to North American white tailed deer ( Odocoileus virginianus) has been documented. We evaluated pre and pandemic exposure of German and Austrian deer species using a SARS-CoV-2 pseudoneutralization assay. In stark contrast to North American white tailed deer, we found no evidence of SARS-CoV-2 exposure. Article Summary Line Using a sensitive serological assay, 433 pre and pandemic deer samples from Germany and Austria tested negative for SARS-CoV-2-specific antibodies highlighting a major difference between central European and North American deer exposure and in their epidemiologic roles.</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pStyle w:val="Heading2"/>
      </w:pPr>
      <w:r>
        <w:t>879.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2024:</w:t>
      </w:r>
      <w:r>
        <w:t xml:space="preserve"> ULOTrack: Underwater Long-Term Object Tracker for Marine Organism Capture — https://doi.org/10.3390/jmse12112092</w:t>
      </w:r>
    </w:p>
    <w:p>
      <w:pPr/>
      <w:r>
        <w:rPr>
          <w:b/>
        </w:rPr>
        <w:t>Shared claim-specific concepts:</w:t>
      </w:r>
      <w:r>
        <w:t xml:space="preserve"> marine, significant, long-term, field, current; EU scope not established. This is a provisional connection, not an outcome finding.</w:t>
      </w:r>
    </w:p>
    <w:p>
      <w:pPr>
        <w:pStyle w:val="SourceNote"/>
      </w:pPr>
      <w:r>
        <w:rPr>
          <w:b/>
        </w:rPr>
        <w:t>Available abstract (not full text):</w:t>
      </w:r>
      <w:r>
        <w:t xml:space="preserve"> Underwater object tracking holds considerable significance in the field of ocean engineering. Additionally, it serves as a crucial component in the operations of autonomous underwater vehicles (AUVs), particularly during tasks associated with capturing marine organisms. However, the attenuation and scattering of light result in shortcomings such as poor contrast in underwater images. Additionally, the motion deformation of marine organisms poses a significant challenge. Therefore, existing tracking algorithms face difficulty in direct application to underwater object tracking. To overcome this challenge, we propose a novel tracking architecture for the marine organism capturing of AUVs called ULOTrack. ULOTrack is based on a performance discrimination and re-detection framework and constitutes three modules: (1) an object tracker, which can extract multi-feature information of the underwater target; (2) a multi-layer tracking performance discriminator, which serves the purpose of evaluating the stability of the current tracking state, thereby reducing potential model drift; and (3) lightweight detection, which can predict the candidate boxes to relocate the lost tracked underwater object. We conduct comprehensive experiments to validate the efficacy of the designed modules. Finally, the results of the experimentation demonstrate that ULOTrack significantly outperforms existing </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role, system, technology;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Marine Energy Commercialization Review: Evaluation of the Transition From Public to Private Capital — https://doi.org/10.2172/2483818</w:t>
      </w:r>
    </w:p>
    <w:p>
      <w:pPr/>
      <w:r>
        <w:rPr>
          <w:b/>
        </w:rPr>
        <w:t>Shared claim-specific concepts:</w:t>
      </w:r>
      <w:r>
        <w:t xml:space="preserve"> marine, energy, technology; EU scope not established. This is a provisional connection, not an outcome finding.</w:t>
      </w:r>
    </w:p>
    <w:p>
      <w:pPr>
        <w:pStyle w:val="SourceNote"/>
      </w:pPr>
      <w:r>
        <w:rPr>
          <w:b/>
        </w:rPr>
        <w:t>Available abstract (not full text):</w:t>
      </w:r>
      <w:r>
        <w:t xml:space="preserve"> The mission of the U.S. Department of Energy's Water Power Technologies Office (WPTO) is to advance marine energy technologies through research, testing, and commercialization. This paper explores the barriers and potential solutions for marine energy commercialization by evaluating publicly available literature, feedback from public and private actors, and historical WPTO actions. A key finding is the absence of standardized metrics to measure marine energy commercialization progress and the lack of targeted success goals. This paper aims to define those metrics, informed by public and private goals and the challenges developers experience, and to further evaluate targets offered by public funders and private capital providers. Recommendations to address barriers in marine energy commercialization include enhancing public-private communication, refining commercialization requirements, leveraging technology transfer programs, and exploring novel funding mechanisms like green bonds and contracts for difference. Addressing these challenges through proposed adjustments could facilitate the transition of marine energy technologies from public funding to sustainable private investment, ultimately advancing their commercialization.</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pStyle w:val="Heading2"/>
      </w:pPr>
      <w:r>
        <w:t>880.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2026:</w:t>
      </w:r>
      <w:r>
        <w:t xml:space="preserve"> Impact of Qualitative Research Methodology Workshop on Researchers’ Learning and Skill Development — https://doi.org/10.36948/ijfmr.2026.v08i01.66909</w:t>
      </w:r>
    </w:p>
    <w:p>
      <w:pPr/>
      <w:r>
        <w:rPr>
          <w:b/>
        </w:rPr>
        <w:t>Shared claim-specific concepts:</w:t>
      </w:r>
      <w:r>
        <w:t xml:space="preserve"> workshop, methodology, used, various; EU scope not established. This is a provisional connection, not an outcome finding.</w:t>
      </w:r>
    </w:p>
    <w:p>
      <w:pPr>
        <w:pStyle w:val="SourceNote"/>
      </w:pPr>
      <w:r>
        <w:rPr>
          <w:b/>
        </w:rPr>
        <w:t>Available abstract (not full text):</w:t>
      </w:r>
      <w:r>
        <w:t xml:space="preserve"> Qualitative research gained prominence in all research areas. It provides a lens for what happens naturally in our surroundings. How do the researchers observe, understand, and interpret situations? The workshops provide in identifying and exploring relevant factors in understanding complex and knowledge-based aspect of qualitative research methodology, which is also supported by technology. The workshops on specific themes are designed to fulfil research purposes. The present study was designed to study the impact of a qualitative research methodology workshop on the researcher’s learning and skill development. This study was based on pre and post-surveys and interviews of the research scholars engaged in a 10-day qualitative research training workshop. The participants were those research scholars who are currently enrolled in Ph.D. Programme across India and are doing qualitative research in the field of social sciences. 15 research scholars were selected for this study out of 30 population sizes. The findings suggest that different methods like hands-on activities, practical experiences, field trips, group discussions, use of ICT, and participant engagement were used to enhance the researcher’s learning in the workshop for skill development. There is a significant difference between the researcher’s skills possessed before and those acquired after attending the workshop. It</w:t>
      </w:r>
    </w:p>
    <w:p>
      <w:pPr/>
      <w:r>
        <w:rPr>
          <w:b/>
        </w:rPr>
        <w:t>POSSIBLE 2026:</w:t>
      </w:r>
      <w:r>
        <w:t xml:space="preserve"> Evaluation of Research Methodology workshop for first year postgraduates by Kirkpatrick’s Model — https://doi.org/10.65048/ijbmr.2026.17.3.8582.1047</w:t>
      </w:r>
    </w:p>
    <w:p>
      <w:pPr/>
      <w:r>
        <w:rPr>
          <w:b/>
        </w:rPr>
        <w:t>Shared claim-specific concepts:</w:t>
      </w:r>
      <w:r>
        <w:t xml:space="preserve"> workshop, methodology, method; EU scope not established. This is a provisional connection, not an outcome finding.</w:t>
      </w:r>
    </w:p>
    <w:p>
      <w:pPr>
        <w:pStyle w:val="SourceNote"/>
      </w:pPr>
      <w:r>
        <w:rPr>
          <w:b/>
        </w:rPr>
        <w:t>Available abstract (not full text):</w:t>
      </w:r>
      <w:r>
        <w:t xml:space="preserve"> Background: Learning Research Methodology is a basic requirement for the postgraduates before they embark to carry out their dissertation work which is mandatory for obtaining their postgraduate degree. Workshop is one of the teachings – learning activities to achieve the goal and its effectiveness needs to be assessed for improving the process. Objectives: 1. To evaluate the student’s perception and learning regarding T-L methods of Research methodology workshop and modify the programme later as per the results of Pre-test and Post Questionnaire and feedback for the students. To evaluate the effectiveness of the research methodology workshop by applying the Kirkpatrick's evaluation model. Material and Methods: A 2- day Research methodology workshop programme approved by the Research and Medical education departments was circulated to the first year post-graduate students 15 days ahead along with the study material involving Scientific research committee and Ethical committee protocols and ICMR Ethical Guidelines A pretest and posttest was obtained by Questionnaire method on each day and Feedback form at the end of the programme through google forms. Satistical analysis: Pre-test and post-test scores were compared by using paired t-test. Feedback results were analysed by 5 point Likert scale. The programme outcome was evaluated by applying the 4 levels of Kirk patricks model. R</w:t>
      </w:r>
    </w:p>
    <w:p>
      <w:pPr/>
      <w:r>
        <w:rPr>
          <w:b/>
        </w:rPr>
        <w:t>POSSIBLE 2026:</w:t>
      </w:r>
      <w:r>
        <w:t xml:space="preserve"> Report on Scenario Development Workshop — https://doi.org/10.5281/zenodo.21298583</w:t>
      </w:r>
    </w:p>
    <w:p>
      <w:pPr/>
      <w:r>
        <w:rPr>
          <w:b/>
        </w:rPr>
        <w:t>Shared claim-specific concepts:</w:t>
      </w:r>
      <w:r>
        <w:t xml:space="preserve"> workshop, various, structures; EU scope visible. This is a provisional connection, not an outcome finding.</w:t>
      </w:r>
    </w:p>
    <w:p>
      <w:pPr>
        <w:pStyle w:val="SourceNote"/>
      </w:pPr>
      <w:r>
        <w:rPr>
          <w:b/>
        </w:rPr>
        <w:t>Available abstract (not full text):</w:t>
      </w:r>
      <w:r>
        <w:t xml:space="preserve"> The Scenario Development Workshop represents a key step within the broader architecture of the SWINS project, supporting the development of a coherent analytical framework for the ex-ante assessment of investment in social policies and services. More specifically, the workshop contributed to establishing a shared conceptual and methodological basis for constructing policy-relevant scenarios, which will be put into practice in the project's empirical work. The overall objective of SWINS is to elaborate an effective framework for measuring the economic, social and environmental returns generated by investments in social policies and services. In doing so, the project addresses a number of interconnected methodological and analytical challenges. On the one hand, social investments may produce heterogeneous forms of returns, ranging from income and employment outcomes to broader dimensions such as sustainability, inequality reduction and wellbeing. On the other hand, these effects emerge through complex interactions between macro-level institutional changes and micro-level behavioural responses (Ciani &amp; Fattacciu, 2025). The analytical perspective adopted in SWINS is grounded in the Social Investment approach (Hemerijck, Ronchi, &amp; Plavgo, 2022). According to this approach, providing social policies and services can generate changes in individuals’ opportunity structures and behavio</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pStyle w:val="Heading2"/>
      </w:pPr>
      <w:r>
        <w:t>881.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2026:</w:t>
      </w:r>
      <w:r>
        <w:t xml:space="preserve"> Hybrid foresight: integrating artificial intelligence and expert judgement to address strategic challenges in UK Forest resilience — https://doi.org/10.1093/forestry/cpag066</w:t>
      </w:r>
    </w:p>
    <w:p>
      <w:pPr/>
      <w:r>
        <w:rPr>
          <w:b/>
        </w:rPr>
        <w:t>Shared claim-specific concepts:</w:t>
      </w:r>
      <w:r>
        <w:t xml:space="preserve"> foresight, system, expert, strategic; EU scope visible. This is a provisional connection, not an outcome finding.</w:t>
      </w:r>
    </w:p>
    <w:p>
      <w:pPr>
        <w:pStyle w:val="SourceNote"/>
      </w:pPr>
      <w:r>
        <w:rPr>
          <w:b/>
        </w:rPr>
        <w:t>Available abstract (not full text):</w:t>
      </w:r>
      <w:r>
        <w:t xml:space="preserve"> Abstract Forests occupy a pivotal position in addressing the intertwined crises of climate change, biodiversity loss, and sustainable resource use. Yet, the United Kingdom, one of Europe’s least-wooded and most nature-depleted nations, faces persistent barriers to resilient forest management: low forest cover, narrow species diversity, dependence on timber imports, and fragmented ownership. Building on a national horizon scan conducted in 2022, which identified ‘catastrophic forest ecosystem collapse’ as the most pressing emerging issue, this paper explores how artificial intelligence (AI) can strengthen foresight and policy coherence. Although large language models and other AI tools were technically available during the 2022 horizon-scanning exercise, their use in environmental foresight was not yet methodologically normalized or institutionally validated. The absence of AI from that process should therefore be understood less as an omission than as evidence of a rapidly changing methodological context. We propose an AI-assisted horizon-scanning framework that combines AI-enabled signal detection and synthesis with expert interpretation, deliberation and judgement through six iterative stages: framing, signal discovery, expert engagement, synthesis, simulation, and reflexive learning. The framework operationalizes principles of Responsible Research and Innovation and Responsi</w:t>
      </w:r>
    </w:p>
    <w:p>
      <w:pPr/>
      <w:r>
        <w:rPr>
          <w:b/>
        </w:rPr>
        <w:t>POSSIBLE 2026:</w:t>
      </w:r>
      <w:r>
        <w:t xml:space="preserve"> India’s role in the Arctic: comparative scenarios and strategic foresight — https://doi.org/10.3389/fpos.2026.1758233</w:t>
      </w:r>
    </w:p>
    <w:p>
      <w:pPr/>
      <w:r>
        <w:rPr>
          <w:b/>
        </w:rPr>
        <w:t>Shared claim-specific concepts:</w:t>
      </w:r>
      <w:r>
        <w:t xml:space="preserve"> foresight, strategic, directions, long-term; EU scope not established. This is a provisional connection, not an outcome finding.</w:t>
      </w:r>
    </w:p>
    <w:p>
      <w:pPr>
        <w:pStyle w:val="SourceNote"/>
      </w:pPr>
      <w:r>
        <w:rPr>
          <w:b/>
        </w:rPr>
        <w:t>Available abstract (not full text):</w:t>
      </w:r>
      <w:r>
        <w:t xml:space="preserve"> Introduction The Arctic has become a space for global interaction, serving not only as an arena for rivalry but also as a target for environmental initiatives. The growing interest of extra-regional powers, including India, increases the importance of research on the strategies and policies of non-Arctic states in the Arctic region. Considering and analyzing India’s experience and policies is essential for understanding how countries in the Global South and Asia are shaping and implementing their models of participation in the management of global common resources. The purpose of this article is to analyze and identify forecast scenarios for India’s Arctic strategy and policy, as well as benchmarking scenarios and identifying constraints and opportunities. Methods The study uses scenario analysis to explore several potential directions for India’s Arctic policy and their broader strategic implications. Along with examining the climate agenda, strategic forecasting is applied, expressing the diversity and multidimensionality of the research approaches. Results Three scenarios were developed, among them deepening Arctic cooperation, which involves India acting as a climate partner inscribed in multilateral governance and scientific diplomacy; polar competition, in which India cautiously aligns with Russia to secure access to energy resources amid geopolitical fragmentation; and 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expert, strategic, technological;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NEXUS-HC: A Framework for Technology Foresight in Strategic Communications — https://doi.org/10.34190/eccws.25.1.4709</w:t>
      </w:r>
    </w:p>
    <w:p>
      <w:pPr/>
      <w:r>
        <w:rPr>
          <w:b/>
        </w:rPr>
        <w:t>Shared claim-specific concepts:</w:t>
      </w:r>
      <w:r>
        <w:t xml:space="preserve"> foresight, system, evaluation, strategic; EU scope not established. This is a provisional connection, not an outcome finding.</w:t>
      </w:r>
    </w:p>
    <w:p>
      <w:pPr>
        <w:pStyle w:val="SourceNote"/>
      </w:pPr>
      <w:r>
        <w:rPr>
          <w:b/>
        </w:rPr>
        <w:t>Available abstract (not full text):</w:t>
      </w:r>
      <w:r>
        <w:t xml:space="preserve"> Strategic communications teams increasingly operate in an information environment shaped less by what people say to each other and more by what platforms choose to show, boost, or hide. Automation, synthetic media, and faster technology cycles mean influence activity can scale quickly, while decision-makers must still choose what to monitor, test, and prepare for. Many organisations track technology "hype" informally through news and vendor claims, but this often fails to produce clear priorities or explainable trade-offs. This paper introduces NEXUS-HC (Navigational Examination and Understanding System for Hype Cycle Analysis), a decision-oriented framework that adapts the familiar hype-cycle idea for contested, next-generation information environments. NEXUS-HC standardises technology assessment through a lightweight cross-impact rubric to compare likely effects, and links assessment to action through five portfolio postures: Monitor, Pilot, Adopt, Govern/Harden, or Counter. The framework separates (a) maturity and diffusion signals, (b) disruption mechanisms relevant to influence and integrity, and (c) adversarial leverage and governance readiness. We provide practical guidance for running the workflow in a small StratCom team, recording evidence notes and confidence, and setting reassessment triggers. A short three-technology illustration and light-touch retrospective valid</w:t>
      </w:r>
    </w:p>
    <w:p>
      <w:pPr/>
      <w:r>
        <w:rPr>
          <w:b/>
        </w:rPr>
        <w:t>POSSIBLE 2026:</w:t>
      </w:r>
      <w:r>
        <w:t xml:space="preserve"> Ukraine’s Electricity Sector Amidst “Creative Destruction”: A Foresight Analysis of Strategic Perspectives for Sustainable Entrepreneurship — https://doi.org/10.32983/2222-4459-2026-6-159-172</w:t>
      </w:r>
    </w:p>
    <w:p>
      <w:pPr/>
      <w:r>
        <w:rPr>
          <w:b/>
        </w:rPr>
        <w:t>Shared claim-specific concepts:</w:t>
      </w:r>
      <w:r>
        <w:t xml:space="preserve"> foresight, strategic, directions, technological; EU scope visible. This is a provisional connection, not an outcome finding.</w:t>
      </w:r>
    </w:p>
    <w:p>
      <w:pPr>
        <w:pStyle w:val="SourceNote"/>
      </w:pPr>
      <w:r>
        <w:rPr>
          <w:b/>
        </w:rPr>
        <w:t>Available abstract (not full text):</w:t>
      </w:r>
      <w:r>
        <w:t xml:space="preserve"> The article examines the transformational processes underway in Ukraine’s electricity sector through the lens of Schumpeter’s conception of «creative destruction». It is substantiated that the global energy transition, combined with the catastrophic consequences of the ongoing war, forms a unique configuration of factors that simultaneously destroys the sector’s established, largely Soviet-era structures and opens space for fundamentally new forms of entrepreneurial activity. The study reveals the paradoxical nature of the current energy transition, in which record investment in clean energy coexists with record fossil-fuel consumption, deepening strategic uncertainty for business actors. Methodologically, the research rests on a synthesis of foresight, oriented towards generating multiple alternative images of the future, and the theory of strategic entrepreneurship as the simultaneous pursuit of market opportunities and competitive advantage. On this basis, the authors propose an original set of sectoral development scenarios up to 2050, ranging from Ukraine’s transformation into a «green hub» of Europe to the inertial entrenchment of technological backwardness, and systematizes priority directions for sustainable entrepreneurship. The article contends that the scale of destruction caused by the war makes it economically rational not to restore obsolete infrastructure but to </w:t>
      </w:r>
    </w:p>
    <w:p>
      <w:pPr>
        <w:pStyle w:val="Heading2"/>
      </w:pPr>
      <w:r>
        <w:t>882.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2026:</w:t>
      </w:r>
      <w:r>
        <w:t xml:space="preserve"> 64 A paradox of supply and demand: unemployed doctors amid NHS waiting lists — https://doi.org/10.1136/bmjoq-2026-qsho.64</w:t>
      </w:r>
    </w:p>
    <w:p>
      <w:pPr/>
      <w:r>
        <w:rPr>
          <w:b/>
        </w:rPr>
        <w:t>Shared claim-specific concepts:</w:t>
      </w:r>
      <w:r>
        <w:t xml:space="preserve"> recent, number, unemployed, times; EU scope visible. This is a provisional connection, not an outcome finding.</w:t>
      </w:r>
    </w:p>
    <w:p>
      <w:pPr>
        <w:pStyle w:val="SourceNote"/>
      </w:pPr>
      <w:r>
        <w:rPr>
          <w:b/>
        </w:rPr>
        <w:t>Available abstract (not full text):</w:t>
      </w:r>
      <w:r>
        <w:t xml:space="preserve"> Introduction Despite the NHS facing record-high patient waiting times, an increasing number of UK doctors remain unemployed due to systemic training bottlenecks, underfunding, and workplace mismanagement (Cleland et al., 2019). The UK, being well known as a multicultural melting pot since the early 1900s, has garnered immense attention from the entire world for being one of the most diverse countries in Europe. This led to an influx of internationally qualified healthcare professionals (IMGs) into the UK, with IMGs accepted for 41% of specialty training posts in 2023 in mainland England, up from around 35% in 2021 (NHS England, 2021). While this has increased the number of doctors applying for work, there hasn’t been a corresponding rise in the number of doctors who have been employed under the NHS.An Oversupply of Graduates Without Matching Training Opportunities Compounding the issue, over the last few years, there has been an increase in medical students in the UK. The UK government is expanding the number of medical school places, with a recent increase of 350 additional places for the 2025/26 academic year alone (GOV.UK, n.d.). Although the overall rise has been proposed to meet the healthcare needs of the population, there hasn’t been a corresponding increase in specialty training places, as 11,757 doctors who completed Foundation Year 2 did not enter specialty training i</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2024:</w:t>
      </w:r>
      <w:r>
        <w:t xml:space="preserve"> Oral health and self-perceived job readiness among socially disadvantaged and unemployed citizens — https://doi.org/10.2340/aos.v83.42077</w:t>
      </w:r>
    </w:p>
    <w:p>
      <w:pPr/>
      <w:r>
        <w:rPr>
          <w:b/>
        </w:rPr>
        <w:t>Shared claim-specific concepts:</w:t>
      </w:r>
      <w:r>
        <w:t xml:space="preserve"> unemployed, people, between; EU scope visible. This is a provisional connection, not an outcome finding.</w:t>
      </w:r>
    </w:p>
    <w:p>
      <w:pPr>
        <w:pStyle w:val="SourceNote"/>
      </w:pPr>
      <w:r>
        <w:rPr>
          <w:b/>
        </w:rPr>
        <w:t>Available abstract (not full text):</w:t>
      </w:r>
      <w:r>
        <w:t xml:space="preserve"> OBJECTIVE: The aims of this article are (1) to evaluate the association between oral health-related quality of life (OHRQoL) and self-perceived job readiness and (2) to investigate changes in self-perceived job readiness following an oral health promotion intervention. MATERIALS AND METHODS: The first aim was elucidated in a cross-sectional design, and the second through a prospective intervention study. A survey was administered among 273 unemployed vulnerable people in Copenhagen, Denmark. Participants were randomised to either control or intervention in 2018, and follow-up was conducted 7-15 months later. The intervention entailed support for dental care. OHRQoL was measured by the Oral Health Impact Profile (OHIP-14), and self-perceived job readiness was measured using the Employability Indicator Project (BIP) questionnaire. RESULTS: The sample reported a high mean OHIP-14 score at baseline (26.9, SD 15.6) and poor OHRQoL was significantly associated with low self-perceived job readiness (rs = -0.15, p = 0.02). The control group reported better job readiness at follow-up compared to the intervention group. However, the effect sizes were small in both groups and no clear pattern was observed. CONCLUSIONS: The results indicate that OHRQoL is linked to self-perceived job readiness. However, the oral health promotion applied in this study did not lead to better self-perceived j</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Glacial lake outburst floods threaten millions globally — https://doi.org/10.1038/s41467-023-36033-x</w:t>
      </w:r>
    </w:p>
    <w:p>
      <w:pPr/>
      <w:r>
        <w:rPr>
          <w:b/>
        </w:rPr>
        <w:t>Shared claim-specific concepts:</w:t>
      </w:r>
      <w:r>
        <w:t xml:space="preserve"> number, millions, four, people; EU scope not established. This is a provisional connection, not an outcome finding.</w:t>
      </w:r>
    </w:p>
    <w:p>
      <w:pPr>
        <w:pStyle w:val="SourceNote"/>
      </w:pPr>
      <w:r>
        <w:rPr>
          <w:b/>
        </w:rPr>
        <w:t>Available abstract (not full text):</w:t>
      </w:r>
      <w:r>
        <w:t xml:space="preserve"> Glacial lake outburst floods (GLOFs) represent a major hazard and can result in significant loss of life. Globally, since 1990, the number and size of glacial lakes has grown rapidly along with downstream population, while socio-economic vulnerability has decreased. Nevertheless, contemporary exposure and vulnerability to GLOFs at the global scale has never been quantified. Here we show that 15 million people globally are exposed to impacts from potential GLOFs. Populations in High Mountains Asia (HMA) are the most exposed and on average live closest to glacial lakes with ~1 million people living within 10 km of a glacial lake. More than half of the globally exposed population are found in just four countries: India, Pakistan, Peru, and China. While HMA has the highest potential for GLOF impacts, we highlight the Andes as a region of concern, with similar potential for GLOF impacts to HMA but comparatively few published research studies.</w:t>
      </w:r>
    </w:p>
    <w:p>
      <w:pPr/>
      <w:r>
        <w:rPr>
          <w:b/>
        </w:rPr>
        <w:t>POSSIBLE 2023:</w:t>
      </w:r>
      <w:r>
        <w:t xml:space="preserve"> Self-affirmation increases reemployment success for the unemployed — https://doi.org/10.1073/pnas.2301532120</w:t>
      </w:r>
    </w:p>
    <w:p>
      <w:pPr/>
      <w:r>
        <w:rPr>
          <w:b/>
        </w:rPr>
        <w:t>Shared claim-specific concepts:</w:t>
      </w:r>
      <w:r>
        <w:t xml:space="preserve"> number, unemployed, people, between; EU scope not established. This is a provisional connection, not an outcome finding.</w:t>
      </w:r>
    </w:p>
    <w:p>
      <w:pPr>
        <w:pStyle w:val="SourceNote"/>
      </w:pPr>
      <w:r>
        <w:rPr>
          <w:b/>
        </w:rPr>
        <w:t>Available abstract (not full text):</w:t>
      </w:r>
      <w:r>
        <w:t xml:space="preserve"> Losing a job is one of life's most stressful events. Furthermore, maladaptive reactions to unemployment can trap people in a vicious cycle that derails their reemployment efforts. The current research tested whether a brief values-based self-affirmation intervention increases the odds of reemployment after a job loss and during unemployment, which presumably breaks this vicious cycle. Two field experiments, including one with a governmental employment agency, found that a 15-min self-affirmation exercise-i.e., reflecting on one's most important values-increased key employment-related outcomes after 4 wk, including the probability and speed of reemployment and the number of job offers. Because the ordeal of job loss and the probability of reemployment may be particularly challenging for individuals above the age of 50 y, we also explored whether the intervention was equally effective for those above and below 50 y of age. Demonstrating the generality of this effect, the efficacy of the intervention did not differ between individuals below and above the age of 50, and it was also effective for both recently unemployed and chronically unemployed individuals. Because self-affirmations have more typically been tested in educational contexts, the current research demonstrates the wide-ranging value of this intervention. By diminishing the vicious cycle of unemployment, the present st</w:t>
      </w:r>
    </w:p>
    <w:p>
      <w:pPr/>
      <w:r>
        <w:rPr>
          <w:b/>
        </w:rPr>
        <w:t>POSSIBLE 2023:</w:t>
      </w:r>
      <w:r>
        <w:t xml:space="preserve"> SOCIO-ECONOMIC COMPONENT ANALYSIS OF THE EUROPEAN UNION HUMAN POTENTIAL — https://doi.org/10.32782/2413-2675/2023-57-3</w:t>
      </w:r>
    </w:p>
    <w:p>
      <w:pPr/>
      <w:r>
        <w:rPr>
          <w:b/>
        </w:rPr>
        <w:t>Shared claim-specific concepts:</w:t>
      </w:r>
      <w:r>
        <w:t xml:space="preserve"> recent, number, unemployed, decrease, people, aged; EU scope visible. This is a provisional connection, not an outcome finding.</w:t>
      </w:r>
    </w:p>
    <w:p>
      <w:pPr>
        <w:pStyle w:val="SourceNote"/>
      </w:pPr>
      <w:r>
        <w:rPr>
          <w:b/>
        </w:rPr>
        <w:t>Available abstract (not full text):</w:t>
      </w:r>
      <w:r>
        <w:t xml:space="preserve"> The article analyzes the main indicators of the functioning of the European Union's labor market, which characterize the socio-economic component of the EU's human potential. The study was conducted using such general scientific and special research methods as the method of abstraction, analysis and synthesis, induction and deduction, graphical and analytical method, and system analysis. The socio-economic component of the human potential of the European Union was considered through the following criteria: population dynamics, number of unemployed and unemployment rate (total and by gender), gender gap in unemployment, share of young people who do not work, study or acquire professional skills (NEET generation), employment rate (total, by gender and by age group), gender gap in employment, share of self-employed, temporarily employed and part-time workers. The analysis of these indicators made it possible to outline the state and trends in the development of the labor market and the socio-economic component of the human potential of the European Union. Based on the study, it was found that the labor market of the EU countries is slowly demonstrating positive dynamics of development and the following trends: a gradual decrease in the unemployment rate and the number of unemployed since 2013; excess of the unemployment rate of women over the unemployment rate of men – the gender </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pStyle w:val="Heading2"/>
      </w:pPr>
      <w:r>
        <w:t>883.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An Integrated IT Management Framework for Scenario-Based Enterprise Analytics and Strategic Decision Optimization — https://doi.org/10.63125/3wtc3z49</w:t>
      </w:r>
    </w:p>
    <w:p>
      <w:pPr/>
      <w:r>
        <w:rPr>
          <w:b/>
        </w:rPr>
        <w:t>Shared claim-specific concepts:</w:t>
      </w:r>
      <w:r>
        <w:t xml:space="preserve"> scenario-based, integrated, assessment; EU scope not established. This is a provisional connection, not an outcome finding.</w:t>
      </w:r>
    </w:p>
    <w:p>
      <w:pPr>
        <w:pStyle w:val="SourceNote"/>
      </w:pPr>
      <w:r>
        <w:rPr>
          <w:b/>
        </w:rPr>
        <w:t>Available abstract (not full text):</w:t>
      </w:r>
      <w:r>
        <w:t xml:space="preserve"> Enterprises increasingly invest in cloud platforms, enterprise systems, data warehouses, business intelligence applications, and analytical tools, yet strategic decisions often remain fragmented because governance, data, infrastructure, modeling, and user capabilities are insufficiently integrated. This study aimed to develop and quantitatively evaluate an integrated IT management framework for strengthening scenario-based enterprise analytics effectiveness and strategic decision optimiza_tion. A quantitative, cross-sectional, descriptive, explanatory, and case-based design was applied across selected enterprise cases using enterprise resource planning systems, cloud services, customer relationship management platforms, data warehouses, and decision-support technologies in financial services, manufacturing, logistics, telecommunications, retail, healthcare, and public-oriented institutions. From 360 distributed questionnaires, 312 valid responses were retained, producing an effective response rate of 86.67 percent. The model examined IT Governance and Strategic Alignment, Enterprise Data Integration and Information Quality, IT Infrastructure Flexibility and System Interoperability, Scenario-Modeling and Analytical Capability, Analytics-User Competency and Organizational Readiness, Scenario-Based Enterprise Analytics Effectiveness, and Strategic Decision Optimization. IBM SPSS w</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Developing Scenario‐Based Strategies for Health, Climate, and Environmental Preparedness: The One Health, One Earth Approach — https://doi.org/10.1029/2025gh001674</w:t>
      </w:r>
    </w:p>
    <w:p>
      <w:pPr/>
      <w:r>
        <w:rPr>
          <w:b/>
        </w:rPr>
        <w:t>Shared claim-specific concepts:</w:t>
      </w:r>
      <w:r>
        <w:t xml:space="preserve"> integrated, health, climate; EU scope not established. This is a provisional connection, not an outcome finding.</w:t>
      </w:r>
    </w:p>
    <w:p>
      <w:pPr>
        <w:pStyle w:val="SourceNote"/>
      </w:pPr>
      <w:r>
        <w:rPr>
          <w:b/>
        </w:rPr>
        <w:t>Available abstract (not full text):</w:t>
      </w:r>
      <w:r>
        <w:t xml:space="preserve"> workshop sought to explore this gap through human-centered design exercises involving interdisciplinary researchers from climate and Earth sciences, engineering, epidemiology, microbiology, and environmental health. Although participants did not co-develop solutions with affected communities, they used stakeholder role-playing to guide ideation and lay groundwork for actionable plans. Through these methods, participants identified community needs and proposed prototype solutions to alleviate health threats exacerbated by global environmental change. Prototypes were organized around infectious diseases, extreme weather, and air quality, as illustrative themes rather than an exhaustive set of risks. Key solutions included strategies for anticipatory systems and early warning (e.g., integrating environmental signals with health data), inclusive communication and infrastructure needs for responding to extreme weather events, and integrated platforms visualizing air quality trends to support tailored, context-aware guidance beyond one-size-fits-all alerts. The workshop highlighted opportunities such as leveraging machine learning, Earth observation, and real-time surveillance to protect communities, but also noted barriers including data quality, technological redundancy, privacy, and governance challenges. Additionally, participants emphasized the need for interdisciplinary teams c</w:t>
      </w:r>
    </w:p>
    <w:p>
      <w:pPr/>
      <w:r>
        <w:rPr>
          <w:b/>
        </w:rPr>
        <w:t>POSSIBLE 2026:</w:t>
      </w:r>
      <w:r>
        <w:t xml:space="preserve"> Extending integrated assessment model scenarios until 2150 using emulation approaches — https://doi.org/10.1088/2515-7620/ae661b</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Abstract Whereas there is growing interest in exploring very long-term climate with overshoot beyond 2100, most integrated assessment models (IAMs) generate emissions scenarios only through 2100. Here we propose approaches for extending scenarios until 2150 using an emulator of IAMs. Our approaches offer a potential interim solution for developing very long-term scenarios, such as the scenario model intercomparison project, circumventing the challenges of fully simulating IAMs beyond 2100.</w:t>
      </w:r>
    </w:p>
    <w:p>
      <w:pPr/>
      <w:r>
        <w:rPr>
          <w:b/>
        </w:rPr>
        <w:t>POSSIBLE 2026:</w:t>
      </w:r>
      <w:r>
        <w:t xml:space="preserve"> Integrating a pesticide risk indicator into a multi-criteria assessment tool for comparing crop protection scenarios — https://doi.org/10.1016/j.agsy.2026.104945</w:t>
      </w:r>
    </w:p>
    <w:p>
      <w:pPr/>
      <w:r>
        <w:rPr>
          <w:b/>
        </w:rPr>
        <w:t>Shared claim-specific concepts:</w:t>
      </w:r>
      <w:r>
        <w:t xml:space="preserve"> integrated, health, assessment, due, three; EU scope visible. This is a provisional connection, not an outcome finding.</w:t>
      </w:r>
    </w:p>
    <w:p>
      <w:pPr>
        <w:pStyle w:val="SourceNote"/>
      </w:pPr>
      <w:r>
        <w:rPr>
          <w:b/>
        </w:rPr>
        <w:t>Available abstract (not full text):</w:t>
      </w:r>
      <w:r>
        <w:t xml:space="preserve"> CONTEXT Chemical pesticides remain central to agricultural productivity but pose well documented risks to human health and ecosystems. While Integrated Pest Management (IPM) offers a more sustainable alternative, its adoption remains limited, partly due to the complex trade-offs that are not easily quantified and compared. OBJECTIVE This study presents the IPM Self-Assessment Tool (ISAT), a web-based application designed to enable transparent comparison of crop protection scenarios at the field level, integrating environmental, human health, agronomic, and economic indicators. METHODS A new harmonized pesticide risk indicator for Europe (PL EU – Pesticide Load Indicator for Europe) was developed. The PL EU covers 41 hazard metrics across three sub-indicators (Environmental Fate, Ecotoxicity, and Human Health). The PL EU was integrated into the ISAT alongside indicators for greenhouse gas (GHG) emissions and production costs, calculated using life cycle based methods. The tool was developed using data from ten European countries covering eight crops, with scenarios described by regional specialists and validated by farm advisors. RESULTS AND CONCLUSIONS The PL EU was calculated for 502 active ingredients (441 synthetic, 61 biopesticides) across eight pesticide groups. A case study on winter wheat in Germany showed that, relative to conventional practice, an IPM scenario replacin</w:t>
      </w:r>
    </w:p>
    <w:p>
      <w:pPr/>
      <w:r>
        <w:rPr>
          <w:b/>
        </w:rPr>
        <w:t>POSSIBLE 2026:</w:t>
      </w:r>
      <w:r>
        <w:t xml:space="preserve"> Independent and healthy ageing - Health promotion and monitoring of health, lifestyle and well-being of older people in Europe — https://doi.org/10.5281/zenodo.22093148</w:t>
      </w:r>
    </w:p>
    <w:p>
      <w:pPr/>
      <w:r>
        <w:rPr>
          <w:b/>
        </w:rPr>
        <w:t>Shared claim-specific concepts:</w:t>
      </w:r>
      <w:r>
        <w:t xml:space="preserve"> integrated, health, explores; EU scope visible. This is a provisional connection, not an outcome finding.</w:t>
      </w:r>
    </w:p>
    <w:p>
      <w:pPr>
        <w:pStyle w:val="SourceNote"/>
      </w:pPr>
      <w:r>
        <w:rPr>
          <w:b/>
        </w:rPr>
        <w:t>Available abstract (not full text):</w:t>
      </w:r>
      <w:r>
        <w:t xml:space="preserve"> How can we support people to stay healthy, independent, and engaged as they age? This PhD thesis explores factors that influence healthy ageing and evaluates innovative approaches to promote well-being among older adults. The research highlights the role of fear of falling, frailty, functional limitations, multimorbidity, and loneliness in shaping health-related quality of life. It also examines emerging technologies, such as the use of energy and water consumption data to support independent living, and evaluates two European self-management programs for people with chronic conditions: SEFAC and EFFICHRONIC. The findings show that self-management interventions can improve perceived health, psychosocial well-being, and quality of life, while potentially reducing healthcare utilization. Together, these studies provide new insights into healthy ageing and offer practical directions for strengthening prevention, self-management, and integrated care for older adults across Europe.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pStyle w:val="Heading2"/>
      </w:pPr>
      <w:r>
        <w:t>884.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climate, spain;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pStyle w:val="Heading2"/>
      </w:pPr>
      <w:r>
        <w:t>885.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Climate &amp; Air Quality projections over Europe for 2030 and 2050 — https://openalex.org/W7213705154</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Implementation and validation of the RegCM5 regional climate model on a Central European domain for extreme precipitation conditions — https://doi.org/10.5194/egusphere-egu26-648</w:t>
      </w:r>
    </w:p>
    <w:p>
      <w:pPr/>
      <w:r>
        <w:rPr>
          <w:b/>
        </w:rPr>
        <w:t>Shared claim-specific concepts:</w:t>
      </w:r>
      <w:r>
        <w:t xml:space="preserve"> regional, climate, used, temperature, period; EU scope visible. This is a provisional connection, not an outcome finding.</w:t>
      </w:r>
    </w:p>
    <w:p>
      <w:pPr>
        <w:pStyle w:val="SourceNote"/>
      </w:pPr>
      <w:r>
        <w:rPr>
          <w:b/>
        </w:rPr>
        <w:t>Available abstract (not full text):</w:t>
      </w:r>
      <w:r>
        <w:t xml:space="preserve"> Due to climate change, extreme precipitation events have become increasingly common over Europe, resulting in flash floods such as in Germany in 2021 or Spain in 2024. Regional climate models (RCMs) are key tools to project the mitigation and adaptation challenges regarding these events in the 21st century. However, to provide accurate results, it is necessary to find the optimal modelling setup for the research domain and validate the simulations against reference datasets of past measurements.In this study, the validation of several regional climate model simulations using the new RegCM5 RCM with a horizontal resolution of 10 km has been carried out. The model was set up with different parametrization scheme combinations for each run to assess which combination most accurately reproduces the monthly temperature and precipitation fields of the reference datasets. To analyse the model performance in reproducing extreme precipitation, the monthly frequency of days with precipitation over 10 mm (RR10) was also validated.The simulation period is short, i.e. 2010–2011, with a spin-up year of 2009. However, the period suits the validation purposes as it involves both an extremely wet and dry year with 2010 holding the record for the highest, and 2011 the lowest sum of yearly precipitation in Hungary. The initial and boundary conditions for temperature, geopotential, specific humidit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regional, climate, investigate, temperature, period;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886.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2026:</w:t>
      </w:r>
      <w:r>
        <w:t xml:space="preserve"> A Multidimensional Muscle Quality Index in Severe Obesity: Relationships with Ageing, Adiposity, and Functional Performance — https://doi.org/10.3390/jcm15176696</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Background/Objectives: Traditional anthropometric indicators such as body mass index (BMI) may inadequately capture functional muscular impairment in obesity. To investigate a multidimensional composite muscle quality index (MQI) integrating relative strength and lower-limb functional power in adults with severe obesity. Methods: The study included 202 adults with severe obesity. The Composite MQI was calculated as the mean of standardized z-scores derived from handgrip strength (HG) normalized by fat-free mass (FFM) (HG/FFM) and sit-to-stand power (STS power) normalized by skeletal muscle mass (MM) (STS power/MM). Associations between the Composite MQI and demographic, anthropometric, and body composition variables were assessed using correlation analyses and multivariable linear regression. Participants were additionally stratified into quartiles of the Composite MQI to explore age-related differences. Results: The mean age of the study group was 44.9 ± 14.0 years, and the BMI was 42.5 ± 5.1 kg/m2. Age showed a moderate inverse association with the Composite MQI (r = −0.41, p &lt; 0.001), whereas BMI showed no significant correlation (r = −0.09). In multivariable regression models adjusted for sex and BMI, increasing age remained independently associated with lower Composite MQI (β = −0.022, p &lt; 0.001), whereas BMI was not independently associated with Composite MQI (p = 0.373).</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pStyle w:val="Heading2"/>
      </w:pPr>
      <w:r>
        <w:t>887.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2026:</w:t>
      </w:r>
      <w:r>
        <w:t xml:space="preserve"> Understanding negative feedback and classical conditioning of autonomic responses in physiological regulation — https://doi.org/10.3389/fphys.2026.1912305</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Physiological regulation is achieved via a complex and highly integrated network of innate autonomic and somatic reflexes combined with learned responses acquired through experience. Historically, scholars investigating homeostatic regulation focused on the intricate innate reflexes, with little or no consideration of the key role of experience and learning. Our goal in this perspective paper is to provide increased clarity as well as a more nuanced understanding of the roles of negative feedback and feedforward mechanisms in thermoregulation with relevance to the broader field of physiological regulation. While physiological regulation requires innate regulatory reflexes and negative feedback control, we contend that learning also plays a key role when animals are confronted with common or recurring regulatory challenges. Animals readily acquire knowledge as to when regulatory disturbances are likely to occur and, accordingly, can learn to make anticipatory responses that minimize or eliminate completely the expected disturbance. We focus on how regulatory responses learned via classical conditioning enable more rapid and more efficient regulation than would result from negative feedback alone. Learning builds upon the foundation provided by innate regulatory reflexes and negative feedback and thereby improves the strength and timing of regulatory responses. We argue that a mo</w:t>
      </w:r>
    </w:p>
    <w:p>
      <w:pPr/>
      <w:r>
        <w:rPr>
          <w:b/>
        </w:rPr>
        <w:t>POSSIBLE 2026:</w:t>
      </w:r>
      <w:r>
        <w:t xml:space="preserve"> Navigating Inclusive Education: Understanding the Common Challenges Faced by Regular Teachers in an Inclusive Classroom Environment — https://openalex.org/W7161658658</w:t>
      </w:r>
    </w:p>
    <w:p>
      <w:pPr/>
      <w:r>
        <w:rPr>
          <w:b/>
        </w:rPr>
        <w:t>Shared claim-specific concepts:</w:t>
      </w:r>
      <w:r>
        <w:t xml:space="preserve"> common, understanding, different, opportunities, plan; EU scope not established. This is a provisional connection, not an outcome finding.</w:t>
      </w:r>
    </w:p>
    <w:p>
      <w:pPr>
        <w:pStyle w:val="SourceNote"/>
      </w:pPr>
      <w:r>
        <w:rPr>
          <w:b/>
        </w:rPr>
        <w:t>Available abstract (not full text):</w:t>
      </w:r>
      <w:r>
        <w:t xml:space="preserve"> This study assessed the common challenges faced by regular teachers in an inclusive classroom environment at one of the Cebu City Province Schools during School Year 2023-2024 as basis for an action plan. It involved the qualitative approach, which utilized the interview and focused-group discussion methods to gather data from 21 regular teachers, who were chosen through complete enumeration. Thematic analysis was used to categorize the different challenges the participants experienced. The themes on academic challenges were instructional challenges, student-related challenges, teacher development challenges, and external factors. Themes on social and emotional challenges were classroom management, social interaction, diversity and inclusion, emotional and behaviour, and teacher well-being. On the existing attitudes and beliefs, the common themes were beliefs, impact on teaching practices, influencing factors, and classroom outcomes. On resource-related challenges, common themes were human resources, material resources, environmental resources, and financial resources. The common themes on professional development opportunities and support systems were effectiveness of professional development, importance of collaboration, need for intensive training, and positive classroom environment. The common themes on strategies employed to differentiate instruction were instructional str</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2025:</w:t>
      </w:r>
      <w:r>
        <w:t xml:space="preserve"> Medical error and medical incident: common and different — https://doi.org/10.21045/3033-6341-2025-1-1-5-13</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Introduction. The development of modern medicine is characterized by technological progress with the increasing complexity of instruments, procedures, and manipulations. With the growth of the introduction of complex diagnostic and therapeutic technologies, the number of potential complications, failures, and errors increases accordingly. High-quality medical care is care without gross medical malpractice. The tension around medical malpractice has stimulated the legal system to formalise and expand the application of such concepts as «medical incident» and «insurance event». The given concepts are ambiguous, the nature of their relationship with the concepts of «medical malpractice» and «iatrogenesis» is not clearly defined, which complicates the understanding and control of the «medical malpractice” issue. The purpose of the study is to determine the common features and differences between the concepts of “medical malpractice” and “medical incident”. Materials and methods. The Study Materials include current laws in the field of healthcare, articles reflecting the problem of medical incidents and medical malpractice over the past five years. Research methods are axiomatic and general-logical (analysis and synthesis, induction and deduction, analogy, etc.). Results. A medical incident is a polysemantic concept, meaning both an event that caused harm to the patient’s health and</w:t>
      </w:r>
    </w:p>
    <w:p>
      <w:pPr/>
      <w:r>
        <w:rPr>
          <w:b/>
        </w:rPr>
        <w:t>POSSIBLE 2025:</w:t>
      </w:r>
      <w:r>
        <w:t xml:space="preserve"> Detection of QTL associated with morphological, adaptive, and reproductive traits in common bermudagrass — https://doi.org/10.1002/its2.70007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Common bermudagrass [ Cynodon dactylon (L.) Pers.] is an important turfgrass in tropical, subtropical, and warm temperate climates worldwide. However, molecular information associated with adaptive and morphological traits in this species is limited. Accordingly, the objectives of this study were to identify genomic regions associated with establishment rate, spring green‐up, drought response, leaf length and width, and stem internode length and width. We used an existing high‐density linkage map constructed with 3322 single nucleotide polymorphisms and 222 simple sequence repeat markers for “A12359” common bermudagrass. A total of 130 first‐generation selfed progeny of A12359 were evaluated in a field trial using a randomized complete block design with three replications. Thirty‐two QTL were identified as associated with the target traits. We identified 29 candidate genes from consistent and pleiotropic QTL regions. These results provide important genetic resources toward understanding the molecular information associated with the target traits as well as provide a foundation for marker‐assisted selection in bermudagrass breeding.</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2024:</w:t>
      </w:r>
      <w:r>
        <w:t xml:space="preserve"> Optimal in vitro models as a basis for understanding and more effective treatment of infantile haemangiomas — https://doi.org/10.1093/bjd/ljae505</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The pathogenesis of infantile haemangiomas (IHs) – the most common benign vascular tumours in infants regulated by multiple cellular mechanisms – has remained controversial. Various studies have suggested different cellular origins and molecular pathways.1 A complete understanding of the underlying mechanisms would open the door to targeted treatments that could improve clinical outcomes.2,3 Although the therapeutic efficacy of propranolol is internationally recognized, its adverse effects should not be overlooked, as well as the fact that a number of patients develop resistance or relapse, opening the way for the development and investigation of new, potentially better therapeutics within the framework of personalized medicine and precision therapy in the future.4 Accordingly, the development and establishment of stable and reliable IH models provide a standardized experimental platform for elucidating its pathogenesis, facilitating the development of new drugs and the identification of effective treatments. Common IH models include the cell suspension implantation model, the viral gene transfer model, the tissue block transplantation model and the most recent three-­dimensional (3D) microtumour model.5</w:t>
      </w:r>
    </w:p>
    <w:p>
      <w:pPr>
        <w:pStyle w:val="Heading2"/>
      </w:pPr>
      <w:r>
        <w:t>888.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2026:</w:t>
      </w:r>
      <w:r>
        <w:t xml:space="preserve"> Mapping climate change adaptation policy instruments in European agriculture: a qualitative analysis of National Adaptation Strategy and National Adaptation Plan — https://doi.org/10.1007/s10113-026-02691-y</w:t>
      </w:r>
    </w:p>
    <w:p>
      <w:pPr/>
      <w:r>
        <w:rPr>
          <w:b/>
        </w:rPr>
        <w:t>Shared claim-specific concepts:</w:t>
      </w:r>
      <w:r>
        <w:t xml:space="preserve"> adaptation, significant, between; EU scope visible. This is a provisional connection, not an outcome finding.</w:t>
      </w:r>
    </w:p>
    <w:p>
      <w:pPr>
        <w:pStyle w:val="SourceNote"/>
      </w:pPr>
      <w:r>
        <w:rPr>
          <w:b/>
        </w:rPr>
        <w:t>Available abstract (not full text):</w:t>
      </w:r>
      <w:r>
        <w:t xml:space="preserve"> Abstract Climate change poses an increasing threat to agricultural production and food security. While many European countries have developed National Adaptation Strategies (NASs) and National Adaptation Plans (NAPs), the alignment between proposed policies and their supporting mechanisms remains under-explored. This study maps adaptation frameworks across ten European countries—Finland, Austria, Switzerland, Belgium, the Netherlands, Denmark, Estonia, Spain, Latvia, and Lithuania—to clarify diverse national policies and identify how specific instruments are prioritized to address adaptation goals. Drawing upon 20 official documents available on the Climate-ADAPT platform and using ATLAS.ti for qualitative analysis, 131 climate adaptation policies in agriculture were extracted to form a thematic synthesis. Then, we determined which policy instruments (categorized into four groups: information-based, legal and regulatory, economic, and infrastructural and physical instruments) were associated with each policy. The findings indicate that while these frameworks provide strategic guidance, they place significant emphasis on information-based and awareness-raising measures. This suggests a distinct pattern in European climate governance: a preference for farmer engagement and voluntary action over more direct regulatory or economic interventions.</w:t>
      </w:r>
    </w:p>
    <w:p>
      <w:pPr/>
      <w:r>
        <w:rPr>
          <w:b/>
        </w:rPr>
        <w:t>POSSIBLE 2026:</w:t>
      </w:r>
      <w:r>
        <w:t xml:space="preserve"> Water allocation for drought adaptation: a review of practical options — https://doi.org/10.3389/frwa.2026.1803379</w:t>
      </w:r>
    </w:p>
    <w:p>
      <w:pPr/>
      <w:r>
        <w:rPr>
          <w:b/>
        </w:rPr>
        <w:t>Shared claim-specific concepts:</w:t>
      </w:r>
      <w:r>
        <w:t xml:space="preserve"> adaptation, options, significant; EU scope not established. This is a provisional connection, not an outcome finding.</w:t>
      </w:r>
    </w:p>
    <w:p>
      <w:pPr>
        <w:pStyle w:val="SourceNote"/>
      </w:pPr>
      <w:r>
        <w:rPr>
          <w:b/>
        </w:rPr>
        <w:t>Available abstract (not full text):</w:t>
      </w:r>
      <w:r>
        <w:t xml:space="preserve"> This review highlights five types of strategic activities and four types of operational activities through which water allocation systems can mitigate the impacts of droughts and increase the resilience of communities and ecosystems to climate change. The review draws on the literature of drought and water allocation in general and that of Ethiopia, South Africa and Chile in particular. The analysis discusses the complexities and challenges that can arise during the implementation of these activities. Many existing water allocation systems are inadequate or outdated, as they were designed at a time when water was perceived as abundant. Significant reforms may be needed to manage water resources more equitably, efficiently, and sustainably, in recognition of the "new normal" created by climate change. The insights are relevant both to low-income countries in Africa and South Asia where severe drought conditions are intensifying, and to high-income countries that are newly experiencing droughts.</w:t>
      </w:r>
    </w:p>
    <w:p>
      <w:pPr>
        <w:pStyle w:val="Heading2"/>
      </w:pPr>
      <w:r>
        <w:t>889.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2026:</w:t>
      </w:r>
      <w:r>
        <w:t xml:space="preserve"> The Theory of Development of Innovative Trade Services and Its Socio-Economic Essence — https://doi.org/10.51699/sefm.v3i6.946</w:t>
      </w:r>
    </w:p>
    <w:p>
      <w:pPr/>
      <w:r>
        <w:rPr>
          <w:b/>
        </w:rPr>
        <w:t>Shared claim-specific concepts:</w:t>
      </w:r>
      <w:r>
        <w:t xml:space="preserve"> socio-economic, assessment; EU scope not established. This is a provisional connection, not an outcome finding.</w:t>
      </w:r>
    </w:p>
    <w:p>
      <w:pPr>
        <w:pStyle w:val="SourceNote"/>
      </w:pPr>
      <w:r>
        <w:rPr>
          <w:b/>
        </w:rPr>
        <w:t>Available abstract (not full text):</w:t>
      </w:r>
      <w:r>
        <w:t xml:space="preserve"> The rapid transformation of global commerce in the digital age has made the study of innovative trade services both timely and necessary. This article examines the theoretical foundations underpinning the development of innovative trade services and investigates their broader socio-economic essence within contemporary market systems. Drawing on a mixed-methods approach that combines systematic literature analysis, comparative institutional analysis, and structured expert assessment, the study traces how trade services have evolved from simple exchange facilitation mechanisms into complex, technology-driven ecosystems that carry significant implications for economic growth, employment, and social equity. The paper argues that traditional conceptualizations of trade services — grounded primarily in transactional efficiency — are insufficient for capturing the multidimensional value that innovative services generate across supply chains, consumer communities, and regional economies. Through analysis of empirical data from fifteen transition and emerging economies, the findings demonstrate that service innovation in trade is consistently associated with measurable gains in productivity, reduced information asymmetries, and improved market access for small and medium-sized enterprises. The results further reveal that the socio-economic impact of such innovation is mediated by instit</w:t>
      </w:r>
    </w:p>
    <w:p>
      <w:pPr/>
      <w:r>
        <w:rPr>
          <w:b/>
        </w:rPr>
        <w:t>POSSIBLE 2026:</w:t>
      </w:r>
      <w:r>
        <w:t xml:space="preserve"> An Integrated Governance Framework for SME Performance and Socio-Economic Development: The Bora SME Performance System in Cambodia — https://doi.org/10.56943/joe.v5i2.998</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Small and medium-sized enterprises (SMEs) play a significant role in economic growth, employment generation, and business development, particularly in emerging economies. However, many SMEs continue to face governance, performance management, and human capital development challenges that limit long-term sustainability and competitiveness. This study proposes the Bora SME Performance System (BPS) as an integrated governance framework designed to support SME performance and organizational capability development. The framework consists of five core dimensions: Profit Engine, Process Discipline, Performance Control, People Accountability, and Potential Development. In addition, the study conceptually introduces a balanced integration between Human Resource Management (HRM) and Human Capital Management (HCM) to strengthen both operational performance and workforce capability development. Drawing on the Resource-Based View, Human Capital Theory, and contemporary governance literature, this study develops a conceptual model linking governance structures, organizational capability, and SME performance outcomes. The framework contributes to SME governance literature by offering a simplified and context-relevant model for emerging economies. The study also provides practical implications for SME leaders, consultants, and policymakers seeking to improve organizational sustainability and c</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2025:</w:t>
      </w:r>
      <w:r>
        <w:t xml:space="preserve"> INDICATORS OF SOCIO-ECONOMIC EFFICIENCY OF PERSONNEL DEVELOPMENT IN THE CONTEXT OF DIGITALIZATION — https://doi.org/10.30525/2500-946x/2025-2-6</w:t>
      </w:r>
    </w:p>
    <w:p>
      <w:pPr/>
      <w:r>
        <w:rPr>
          <w:b/>
        </w:rPr>
        <w:t>Shared claim-specific concepts:</w:t>
      </w:r>
      <w:r>
        <w:t xml:space="preserve"> socio-economic, included; EU scope not established. This is a provisional connection, not an outcome finding.</w:t>
      </w:r>
    </w:p>
    <w:p>
      <w:pPr>
        <w:pStyle w:val="SourceNote"/>
      </w:pPr>
      <w:r>
        <w:rPr>
          <w:b/>
        </w:rPr>
        <w:t>Available abstract (not full text):</w:t>
      </w:r>
      <w:r>
        <w:t xml:space="preserve"> In the context of rapid digital transformation, the issue of assessing the socio-economic efficiency of personnel development is gaining strategic importance. This article proposes a system of indicators that reflects both quantitative and qualitative changes in employee development under digitalization. The study identifies key performance criteria, such as productivity, adaptability, digital skills, and return on training investment, which can serve as tools for evaluating human capital efficiency in modern organizations. The proposed indicator framework allows for a more accurate alignment of HR development strategies with organizational goals in the digital era. The purpose of this article is to develop and substantiate a system of socio-economic indicators that can be used to evaluate the efficiency of personnel development in the conditions of digital transformation. Methodology. The study is based on a combination of theoretical analysis and expert evaluation methods. A review of scientific literature and international reports was conducted to identify existing approaches to performance measurement. The final system of indicators was structured through comparative analysis and validated using expert assessments and relevance criteria. Both quantitative (e.g., digital ROI) and qualitative (e.g., employee adaptability) indicators were included. Results. The article present</w:t>
      </w:r>
    </w:p>
    <w:p>
      <w:pPr>
        <w:pStyle w:val="Heading2"/>
      </w:pPr>
      <w:r>
        <w:t>890.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r>
        <w:rPr>
          <w:b/>
        </w:rPr>
        <w:t>POSSIBLE 2018:</w:t>
      </w:r>
      <w:r>
        <w:t xml:space="preserve"> The sensitivity of middle Miocene paleoenvironments to changing marine gateways in Central Europe — https://doi.org/10.1130/g45698.1</w:t>
      </w:r>
    </w:p>
    <w:p>
      <w:pPr/>
      <w:r>
        <w:rPr>
          <w:b/>
        </w:rPr>
        <w:t>Shared claim-specific concepts:</w:t>
      </w:r>
      <w:r>
        <w:t xml:space="preserve"> entailed, driving; EU scope visible. This is a provisional connection, not an outcome finding.</w:t>
      </w:r>
    </w:p>
    <w:p>
      <w:pPr>
        <w:pStyle w:val="SourceNote"/>
      </w:pPr>
      <w:r>
        <w:rPr>
          <w:b/>
        </w:rPr>
        <w:t>Available abstract (not full text):</w:t>
      </w:r>
      <w:r>
        <w:t xml:space="preserve"> During the middle Miocene (15-12 Ma), the paleoenvironmental conditions in the Paratethys Sea of Central Europe changed from normal marine to hypersaline and from normal marine to brackish-marine conditions.These paleoenvironmental changes do not consistently correlate to global sea-level curves, indicating other driving mechanisms.Water circulation in the Paratethys strongly depended on two shallow and narrow gateways that were located in tectonically active regions.Here we combine the conservation of water and salt mass with strait-exchange theory to quantitatively link freshwater surface forcing and gateway dimensions to the observed environments.Our model confirms that the proposed sea-level drop of 50-70 m at 13.8 Ma could have restricted the western gateway to the Mediterranean to such an extent that halite formed in the Central Paratethys.Subsequently, the progressive opening of the eastern gateway to the Black Sea led to a decrease in lake level, exposure of the shallow margins, and a reduced surface area in the Eastern Paratethys.This entailed a reduction in water loss to the atmosphere, which, combined with constant river influx, resulted in a positive freshwater budget for the Paratethys proper, and reduced the salinity in the Central Paratethys.This provides a novel physics-based explanation for the change from evaporitic to marine to brackish-marine water condition</w:t>
      </w:r>
    </w:p>
    <w:p>
      <w:pPr>
        <w:pStyle w:val="Heading2"/>
      </w:pPr>
      <w:r>
        <w:t>891.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2026:</w:t>
      </w:r>
      <w:r>
        <w:t xml:space="preserve"> A multi-model analysis of hydrogen uptake in a climate-neutral Europe — https://doi.org/10.1038/s41467-026-78681-9</w:t>
      </w:r>
    </w:p>
    <w:p>
      <w:pPr/>
      <w:r>
        <w:rPr>
          <w:b/>
        </w:rPr>
        <w:t>Shared claim-specific concepts:</w:t>
      </w:r>
      <w:r>
        <w:t xml:space="preserve"> energy, role, hydrogen, climate;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The electricity system value of the local acceptance of onshore wind in Europe — https://openalex.org/W7148177161</w:t>
      </w:r>
    </w:p>
    <w:p>
      <w:pPr/>
      <w:r>
        <w:rPr>
          <w:b/>
        </w:rPr>
        <w:t>Shared claim-specific concepts:</w:t>
      </w:r>
      <w:r>
        <w:t xml:space="preserve"> energy, system, assess, role;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2025:</w:t>
      </w:r>
      <w:r>
        <w:t xml:space="preserve"> From grey to “Green”: Modelling the non-energy uses of hydrogen for the EU energy transition — https://doi.org/10.1016/j.apenergy.2025.126325</w:t>
      </w:r>
    </w:p>
    <w:p>
      <w:pPr/>
      <w:r>
        <w:rPr>
          <w:b/>
        </w:rPr>
        <w:t>Shared claim-specific concepts:</w:t>
      </w:r>
      <w:r>
        <w:t xml:space="preserve"> bottom-up, energy, system, used, hydrogen, current; EU scope visible. This is a provisional connection, not an outcome finding.</w:t>
      </w:r>
    </w:p>
    <w:p>
      <w:pPr>
        <w:pStyle w:val="SourceNote"/>
      </w:pPr>
      <w:r>
        <w:rPr>
          <w:b/>
        </w:rPr>
        <w:t>Available abstract (not full text):</w:t>
      </w:r>
      <w:r>
        <w:t xml:space="preserve"> Hydrogen (H 2 ) used as feedstock (i.e., as raw material) in chemicals, refineries, and steel is currently produced from fossil fuels , thus leading to significant carbon dioxide (CO 2 ) emissions. As these hard-to-abate sectors have limited electrification alternatives, H 2 produced by electrolysis offers a potential option for decarbonising them. Existing modelling analyses to date provide limited insights due to their predominant use of sector-specific, static, non-recursive, and non-open models. This paper advances research by presenting a dynamic, recursive, open-access energy model using System Dynamics to study long-term systemic and environmental impacts of transitioning from fossil-based methods to electrolytic H 2 production for industrial feedstock. The regional model adopts a bottom-up approach and is applied to the EU across five innovative decarbonisation scenarios, including varying technological transition speeds and a paradigm-shift scenario (Degrowth). Our results indicate that, assuming continued H 2 demand trends and large-scale electrolytic H 2 deployment by 2030, grid decarbonisation in the EU must accelerate to ensure green H 2 for industrial feedstock emits less CO 2 than fossil fuel methods, doubling the current pace. Otherwise, electrolytic H 2 won't offer clear CO 2 reduction benefits until 2040. The most effective CO 2 emission mitigation occurs in g</w:t>
      </w:r>
    </w:p>
    <w:p>
      <w:pPr/>
      <w:r>
        <w:rPr>
          <w:b/>
        </w:rPr>
        <w:t>POSSIBLE 2025:</w:t>
      </w:r>
      <w:r>
        <w:t xml:space="preserve"> Future Wood Availability in Europe in Light of Climate and Energy Policy and Geopolitical Developments—A Wood Resource Balance-Based Assessment — https://doi.org/10.3390/su17031291</w:t>
      </w:r>
    </w:p>
    <w:p>
      <w:pPr/>
      <w:r>
        <w:rPr>
          <w:b/>
        </w:rPr>
        <w:t>Shared claim-specific concepts:</w:t>
      </w:r>
      <w:r>
        <w:t xml:space="preserve"> energy, climate, current; EU scope visible. This is a provisional connection, not an outcome finding.</w:t>
      </w:r>
    </w:p>
    <w:p>
      <w:pPr>
        <w:pStyle w:val="SourceNote"/>
      </w:pPr>
      <w:r>
        <w:rPr>
          <w:b/>
        </w:rPr>
        <w:t>Available abstract (not full text):</w:t>
      </w:r>
      <w:r>
        <w:t xml:space="preserve"> The amended European Union (EU) Renewable Energy Directive—in aiming to increase the share of renewable energy in overall energy consumption—promotes an increased demand for wood, while the EU’s updated Land Use, Land-Use Change, and Forestry (LULUCF) Regulation sets ambitious, binding national targets for the increase in net greenhouse gas removals that could restrict the supply of wood. Additionally, the ongoing war in Ukraine has directly affected the availability of woody biomass in Europe through the EU’s import ban on timber and timber products from Russia and Belarus. This paper provides an in-depth comparative analysis of sources and uses of woody biomass in four European regions in light of these recent climate and energy policies and geopolitical developments. The analysis indicates significantly underestimated reported removals in three of the four European regions studied. Further, projections suggest policy incoherence between current climate and energy objectives until 2030 in all four regions, as fellings increase at a faster rate than net annual increment in all four regions, decreasing the forest carbon sink and thus making it all but impossible to reach the 2030 target of the LULUCF regulation. However, between 2030 and 2040, energy-related fellings could decrease in regions north and west, while they could continue to grow in regions east and south, albeit at</w:t>
      </w:r>
    </w:p>
    <w:p>
      <w:pPr/>
      <w:r>
        <w:rPr>
          <w:b/>
        </w:rPr>
        <w:t>POSSIBLE 2025:</w:t>
      </w:r>
      <w:r>
        <w:t xml:space="preserve"> The Onshore Wind Potential of the EU and Neighbouring Countries — https://doi.org/10.2760/4154939</w:t>
      </w:r>
    </w:p>
    <w:p>
      <w:pPr/>
      <w:r>
        <w:rPr>
          <w:b/>
        </w:rPr>
        <w:t>Shared claim-specific concepts:</w:t>
      </w:r>
      <w:r>
        <w:t xml:space="preserve"> energy, system, role, decarbonisation; EU scope visible. This is a provisional connection, not an outcome finding.</w:t>
      </w:r>
    </w:p>
    <w:p>
      <w:pPr>
        <w:pStyle w:val="SourceNote"/>
      </w:pPr>
      <w:r>
        <w:rPr>
          <w:b/>
        </w:rPr>
        <w:t>Available abstract (not full text):</w:t>
      </w:r>
      <w:r>
        <w:t xml:space="preserve"> This is the second edition of a report on Europe’s feasible technical onshore wind energy potential at high geographical resolution. Additional spatial constraints such as road and grid vicinity limit the potential to realistic locations where a wind park could be accessed and connected without the need for large-scale infrastructure investment. The findings show that a large proportion of Europe’s onshore wind potential is still untapped and wind can continue to play a central role in the decarbonisation of Europe’s energy system. It also finds that policy decisions on setback distances have a significant impact on the available potential. The JRC ENSPRESO 2 dataset builds on the original ENSPRESO project (ENergy Systems Potential Renewable Energy SOurces) which concluded in 2018. The updated version operates at a high resolution of 1 km2 , incorporating newly available wind energy datasets and reflecting recent technological advances in wind energy technology, research and practices. ENSPRESO 2 therefore enables policymakers and energy planners to make up-to-date, spatially informed decisions about onshore wind energy deployment.</w:t>
      </w:r>
    </w:p>
    <w:p>
      <w:pPr>
        <w:pStyle w:val="Heading2"/>
      </w:pPr>
      <w:r>
        <w:t>892.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2026:</w:t>
      </w:r>
      <w:r>
        <w:t xml:space="preserve"> Smart Grids and Renewable Energy Communities in Pakistan and the Middle East: Present Situation, Perspectives, Future Developments, and Comparison with EU — https://doi.org/10.3390/en19020535</w:t>
      </w:r>
    </w:p>
    <w:p>
      <w:pPr/>
      <w:r>
        <w:rPr>
          <w:b/>
        </w:rPr>
        <w:t>Shared claim-specific concepts:</w:t>
      </w:r>
      <w:r>
        <w:t xml:space="preserve"> smart, energy, policies, perspectives; EU scope visible. This is a provisional connection, not an outcome finding.</w:t>
      </w:r>
    </w:p>
    <w:p>
      <w:pPr>
        <w:pStyle w:val="SourceNote"/>
      </w:pPr>
      <w:r>
        <w:rPr>
          <w:b/>
        </w:rPr>
        <w:t>Available abstract (not full text):</w:t>
      </w:r>
      <w:r>
        <w:t xml:space="preserve"> The shift towards the integration of and transition to renewable energy has led to an increase in renewable energy communities (RECs) and smart grids (SGs). The significance of these RECs is mainly energy self-sufficiency, energy independence, and energy autonomy. Despite this, in low- and middle-income countries and regions like Pakistan and the Middle East, SGs and RECs are still in their initial stage. However, they have potential for green energy solutions rooted in their unique geographic and climatic conditions. SGs offer energy monitoring, communication infrastructure, and automation features to help these communities build flexible and efficient energy systems. This work provides an overview of Pakistani and Middle Eastern energy policies, goals, and initiatives while aligning with European comparisons. This work also highlights technical, regulatory, and economic challenges in those regions. The main objectives of the research are to ensure that residential service sizes are optimized to maximize the economic and environmental benefits of green energy. Furthermore, in line with SDG 7, affordable and clean energy, the focus in this study is on the development and transformation of energy systems for sustainability and creating synergies with other SDGs. The paper presents insights on the European Directive, including the amended Renewable Energy Directive (RED II and II</w:t>
      </w:r>
    </w:p>
    <w:p>
      <w:pPr/>
      <w:r>
        <w:rPr>
          <w:b/>
        </w:rPr>
        <w:t>POSSIBLE 2026:</w:t>
      </w:r>
      <w:r>
        <w:t xml:space="preserve"> Trustworthy AI in Smart Grid Systems — https://doi.org/10.5772/intechopen.1013588</w:t>
      </w:r>
    </w:p>
    <w:p>
      <w:pPr/>
      <w:r>
        <w:rPr>
          <w:b/>
        </w:rPr>
        <w:t>Shared claim-specific concepts:</w:t>
      </w:r>
      <w:r>
        <w:t xml:space="preserve"> smart, grid, increasingly, energy; EU scope not established. This is a provisional connection, not an outcome finding.</w:t>
      </w:r>
    </w:p>
    <w:p>
      <w:pPr>
        <w:pStyle w:val="SourceNote"/>
      </w:pPr>
      <w:r>
        <w:rPr>
          <w:b/>
        </w:rPr>
        <w:t>Available abstract (not full text):</w:t>
      </w:r>
      <w:r>
        <w:t xml:space="preserve"> As smart grids increasingly rely on AI for energy distribution, demand forecasting, and fault detection, the trustworthiness of these systems becomes critical to their successful deployment and public acceptance. Ensuring responsible decision-making involves protecting sensitive consumer and operational data, building models using ethically sourced and representative data, and developing explainable models that promote transparency, accountability, and user engagement. This chapter addresses the foundations of ethical AI and the challenges it presents in today’s smart grid systems, examines the challenges of identifying and mitigating bias in AI models used in critical infrastructure, explores the importance of fairness in these systems and strategies to ensure it, and provides an overview of predictive maintenance with trustful AI in smart grid environments.</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2025:</w:t>
      </w:r>
      <w:r>
        <w:t xml:space="preserve"> Smart Grid Development for Efficient Energy Use and Management — https://doi.org/10.70382/ajsede.v10i5.023</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This paper presents a comprehensive overview smart-grid deployment in Nigeria to improve energy efficiency, reliability, and management. It synthesizes recent policy initiatives, pilot projects, and sector metrics; describes essential smart-grid components and architectures; analyses Nigeria-specific technical, economic, and institutional barriers; and proposes a staged implementation roadmap (national → regional → distribution/metro → rural microgrids) that leverages distributed renewable energy, advanced metering, and market reforms. Key recommendations cover regulatory reform, targeted investments in distribution automation, data/telecom infrastructure, workforce capacity building, and financing models to accelerate adoption. Evidence from NERC and recent donor/private projects shows distributed renewables and mini/microgrid programs are already central to expanding access smart grids can multiply their benefits when integrated with grid modernization efforts.</w:t>
      </w:r>
    </w:p>
    <w:p>
      <w:pPr/>
      <w:r>
        <w:rPr>
          <w:b/>
        </w:rPr>
        <w:t>POSSIBLE 2025:</w:t>
      </w:r>
      <w:r>
        <w:t xml:space="preserve"> SMART GRID TECHNOLOGIES AND THEIR ROLE IN REDUCING ENERGY CONSUMPTION: A STUDY ON THE FUTURE OF RENEWABLE ENERGY INTEGRATION — https://openalex.org/W7220191985</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 technologies represent a fundamental transformation of traditional electrical infrastructure, enabling bidirectional energy flows, real-time monitoring, and intelligent demand response to optimize energy consumption and integrate renewable energy sources. This study provides a comprehensive analysis of smart grid implementations across 45 pilot projects in North America, Europe, and Asia from 2015-2023, examining technological efficacy, energy savings, and integration challenges. Results demonstrate that advanced metering infrastructure (AMI) reduces residential energy consumption by 5-15% through behavioral feedback, while dynamic pricing strategies achieve 10-25% peak demand reduction. Grid modernization incorporating phasor measurement units (PMUs) and distribution automation reduces system losses from 6.8% to 3.2% on average, while improving renewable integration capacity from 20% to 45% of total generation. Machine learning algorithms for load forecasting achieve 92.3% accuracy, enabling better generation planning and reducing reserve requirements by 15-30%. Energy storage integration, particularly lithium-ion batteries at grid scale, enhances renewable utilization by 22-40% through time-shifting of solar and wind generation. However, cybersecurity vulnerabilities present significant risks, with penetration testing revealing successful attacks on 18% of smart me</w:t>
      </w:r>
    </w:p>
    <w:p>
      <w:pPr/>
      <w:r>
        <w:rPr>
          <w:b/>
        </w:rPr>
        <w:t>POSSIBLE 2025:</w:t>
      </w:r>
      <w:r>
        <w:t xml:space="preserve"> EERA Joint Programme Smart Grids White Paper: The crucial role of Smart Grids for the success of the clean energy transition — https://doi.org/10.5281/zenodo.19497090</w:t>
      </w:r>
    </w:p>
    <w:p>
      <w:pPr/>
      <w:r>
        <w:rPr>
          <w:b/>
        </w:rPr>
        <w:t>Shared claim-specific concepts:</w:t>
      </w:r>
      <w:r>
        <w:t xml:space="preserve"> smart, grid, energy, policies, electricity; EU scope visible. This is a provisional connection, not an outcome finding.</w:t>
      </w:r>
    </w:p>
    <w:p>
      <w:pPr>
        <w:pStyle w:val="SourceNote"/>
      </w:pPr>
      <w:r>
        <w:rPr>
          <w:b/>
        </w:rPr>
        <w:t>Available abstract (not full text):</w:t>
      </w:r>
      <w:r>
        <w:t xml:space="preserve"> Reliable, interconnected electricity grids are essential for Europe’s energy transition, enabling renewable integration and electrification. The white paper highlights the need for major investment to modernise and digitalise infrastructure using technologies like AI. It identifies key challenges, including renewable integration, electrification, cybersecurity, and skills gaps. It calls for a shift to flexible, decentralised, consumer-driven systems, supported by innovative technologies and policies to build a resilient, integrated European power grid aligned with climate goals.</w:t>
      </w:r>
    </w:p>
    <w:p>
      <w:pPr/>
      <w:r>
        <w:rPr>
          <w:b/>
        </w:rPr>
        <w:t>POSSIBLE 2025:</w:t>
      </w:r>
      <w:r>
        <w:t xml:space="preserve"> Smart Grids and the Green Transition: Shaping the Future of Europe’s Internal Electricity Market — https://doi.org/10.56037/978-963-646-442-4</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Europe’s energy transition is shaped by the dual imperatives of climate neutrality and security of supply, underpinned by technological innovation and legal reform. This book, Smart Grids and the Green Transition: Shaping the Future of Europe’s Internal Electricity Market, provides a comprehensive analysis of how smart grid technologies and digitalisation are transforming electricity networks, consumer roles, and regulatory frameworks. It situates smart grids as the backbone of a decarbonised energy system, essential for integrating renewable energy, enabling e-mobility, and ensuring demand-side flexibility. Against the backdrop of the European Green Deal, the Fit for 55 package, REPowerEU, and the recast Internal Electricity Market Directive, the book explores the evolving interaction between climate ambition, market regulation, and consumer protection. By addressing data governance, cybersecurity, competition, and sector integration, it demonstrates how EU energy law is adapting to balance sustainability, affordability, and resilience in Europe’s internal electricity market.</w:t>
      </w:r>
    </w:p>
    <w:p>
      <w:pPr>
        <w:pStyle w:val="Heading2"/>
      </w:pPr>
      <w:r>
        <w:t>893.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2025:</w:t>
      </w:r>
      <w:r>
        <w:t xml:space="preserve"> Temporalities for, of, and in Planning: Exploring Post-Growth, Participation, and Devolution Across European Planning Reforms — https://doi.org/10.17645/up.9121</w:t>
      </w:r>
    </w:p>
    <w:p>
      <w:pPr/>
      <w:r>
        <w:rPr>
          <w:b/>
        </w:rPr>
        <w:t>Shared claim-specific concepts:</w:t>
      </w:r>
      <w:r>
        <w:t xml:space="preserve"> planning, used, framework; EU scope visible. This is a provisional connection, not an outcome finding.</w:t>
      </w:r>
    </w:p>
    <w:p>
      <w:pPr>
        <w:pStyle w:val="SourceNote"/>
      </w:pPr>
      <w:r>
        <w:rPr>
          <w:b/>
        </w:rPr>
        <w:t>Available abstract (not full text):</w:t>
      </w:r>
      <w:r>
        <w:t xml:space="preserve"> In the wake of the Covid-19 pandemic and the acceleration of climate change, many governments are turning to their planning systems to explore how national planning reform can help them address their current crisis. Time across planning reforms appears as a central dimension, building on governments’ long-term ambitions to speed planning. While academic normative debates argue in favour of faster and/or slower changes to planning as inherently good or bad, this article draws on a comparative analysis of national planning reforms across three European countries to critically examine how time is being mobilised and with what objective. Through an analytical framework that seeks a more holistic understanding of the planning process, we argue that temporalities in planning are relational. Across the three cases, we can see how the generation of consensus depoliticises the use of time, and it is generally used to advance regressive agendas. We argue that despite ambitions to make planning more responsive and participatory at the local level, planning reforms (a) reduce the influence of public participation while strengthening private property rights; (b) are used to territorialise sectoral, top–down, and long-term agendas with no consideration of the timely and situated concerns and visions of residents and communities; and (c) are underpinned by a pro-growth and rapid urbanisation </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European Burns Association guidelines for the management of burn mass casualty incidents within a European response plan — https://doi.org/10.1016/j.burns.2022.12.011</w:t>
      </w:r>
    </w:p>
    <w:p>
      <w:pPr/>
      <w:r>
        <w:rPr>
          <w:b/>
        </w:rPr>
        <w:t>Shared claim-specific concepts:</w:t>
      </w:r>
      <w:r>
        <w:t xml:space="preserve"> developed, used, following; EU scope visible. This is a provisional connection, not an outcome finding.</w:t>
      </w:r>
    </w:p>
    <w:p>
      <w:pPr>
        <w:pStyle w:val="SourceNote"/>
      </w:pPr>
      <w:r>
        <w:rPr>
          <w:b/>
        </w:rPr>
        <w:t>Available abstract (not full text):</w:t>
      </w:r>
      <w:r>
        <w:t xml:space="preserve"> BACKGROUND: A European response plan to burn mass casualty incidents has been jointly developed by the European Commission and the European Burn Association. Upon request for assistance by an affected country, the plan outlines a mechanism for coordinated international assistance, aiming to alleviate the burden of care in the affected country and to offer adequate specialized care to all patients who can benefit from it. To that aim, Burn Assessment Teams are deployed to assess and triage patients. Their transportation priority recommendations are used to distribute outnumbering burn casualties to foreign burn centers. Following an appropriate medical evacuation, these casualties receive specialized care in those facilities. METHODS: The European Burns Association's disaster committee developed medical-organizational guidelines to support this European plan. The experts identified fields of interest, defined questions to be addressed, performed relevant literature searches, and added their expertise in burn disaster preparedness and response. Due to the lack of high-level evidence in the available literature, recommendations and specially designed implementation tools were provided from expert opinion. The European Burns Association officially endorsed the draft recommendations in 2019, and the final full text was approved by the EBA executive committee in 2022. RECOMMENDATIONS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pStyle w:val="Heading2"/>
      </w:pPr>
      <w:r>
        <w:t>894.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2025:</w:t>
      </w:r>
      <w:r>
        <w:t xml:space="preserve"> EXAD: Framework for Designing Explanations in Adaptive User Interfaces — https://doi.org/10.1109/ichora65333.2025.11017085</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Adaptive user interfaces that personalize their behavior based on user patterns are becoming increasingly common, yet they often fail to communicate their adaptations to users effectively. This paper introduces EXAD, a framework for designing explanations in adaptive interfaces that considers adaptation type, explanation timing, and user characteristics. Through a mixed-methods study with 42 participants, we investigated how explanation approaches affect trust, understanding, and efficiency across content, layout, and interaction adaptations. Our findings demonstrate that explanation effectiveness varies significantly by adaptation type: Proactive explanations build the highest trust for layout adaptations, while progressive explanations offer the best balance between transparency and efficiency. We extend the EXAD framework to B5G (Beyond Fifth Generation) network systems, enabling context-aware explanations that enhance trust and transparency. Our results show that carefully designed explanation strategies improve user understanding and operational efficiency, and can be translatable in dynamic network environments such as resource allocation based on user patterns in B5G networks. This research bridges theoretical work in explainable AI with practical implementation challenges in adaptive interfaces.</w:t>
      </w:r>
    </w:p>
    <w:p>
      <w:pPr/>
      <w:r>
        <w:rPr>
          <w:b/>
        </w:rPr>
        <w:t>POSSIBLE 2025:</w:t>
      </w:r>
      <w:r>
        <w:t xml:space="preserve"> Collective Counterfactual Explanations: Balancing Individual Goals and Collective Dynamics — https://doi.org/10.52202/085713-1685</w:t>
      </w:r>
    </w:p>
    <w:p>
      <w:pPr/>
      <w:r>
        <w:rPr>
          <w:b/>
        </w:rPr>
        <w:t>Shared claim-specific concepts:</w:t>
      </w:r>
      <w:r>
        <w:t xml:space="preserve"> implement, theoretical, explanation; EU scope not established. This is a provisional connection, not an outcome finding.</w:t>
      </w:r>
    </w:p>
    <w:p>
      <w:pPr>
        <w:pStyle w:val="SourceNote"/>
      </w:pPr>
      <w:r>
        <w:rPr>
          <w:b/>
        </w:rPr>
        <w:t>Available abstract (not full text):</w:t>
      </w:r>
      <w:r>
        <w:t xml:space="preserve"> Counterfactual explanations provide individuals with cost-optimal recommendations to achieve their desired outcomes. However, when a significant number of individuals seek similar state modifications, this individual-centric approach can inadvertently create competition and introduce unforeseen costs. Additionally, disregarding the underlying data distribution may lead to recommendations that individuals perceive as unusual or impractical. To address these challenges, we propose a novel framework that extends standard counterfactual explanations by incorporating a population dynamics model. This framework penalizes deviations from equilibrium after individuals follow the recommendations, effectively mitigating externalities caused by correlated changes across the population. By balancing individual modification costs with their impact on others, our method ensures more equitable and efficient outcomes. We show how this approach reframes the counterfactual explanation problem from an individual-centric task to a collective optimization problem. Augmenting our theoretical insights, we design and implement scalable algorithms for computing collective counterfactuals, showcasing their effectiveness and advantages over existing recourse methods, particularly in aligning with collective objectives.</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2024:</w:t>
      </w:r>
      <w:r>
        <w:t xml:space="preserve"> ROBOTICS AS ONE OF THE TOOLS OF IMPLEMENTATION OF STEM-EDUCATION — https://doi.org/10.32626/2307-4507.2024-30.67-71</w:t>
      </w:r>
    </w:p>
    <w:p>
      <w:pPr/>
      <w:r>
        <w:rPr>
          <w:b/>
        </w:rPr>
        <w:t>Shared claim-specific concepts:</w:t>
      </w:r>
      <w:r>
        <w:t xml:space="preserve"> shows, tool, theoretical; EU scope not established. This is a provisional connection, not an outcome finding.</w:t>
      </w:r>
    </w:p>
    <w:p>
      <w:pPr>
        <w:pStyle w:val="SourceNote"/>
      </w:pPr>
      <w:r>
        <w:rPr>
          <w:b/>
        </w:rPr>
        <w:t>Available abstract (not full text):</w:t>
      </w:r>
      <w:r>
        <w:t xml:space="preserve"> The article is dedicated to the implementation of educational robotics as a component of STEMeducation in the New Ukrainian School learning process. Robotics is a versatile educational tool suitable for all ages, from elementary school students to university students and researchers. Studying robotics creates conditions for the students' personal socialization and provides opportunities for their continuous technical education.The use of educational robotics allows to detect students' technical talents on the early stage, develop them, and form their STEM-competencies overall. The analysis shows how, by studying this course, students learn to process and interpret information, analyze data, think critically, develop creativity, engineering thinking, and communication skills. The article offers an analysis of theoretical information on the current state of educational robotics development and implementation in the educational process. It determines that the form of educational activity used during the course has many advantages, such as high effectiveness in knowledge acquisition and skill formation, increased productivity, formation of cooperation skills, and others. It is established that students who study robotics become self-confident, demonstrate their creativity and creative thinking, develop research skills, as well as responsibility, patience, organization, diligence, a</w:t>
      </w:r>
    </w:p>
    <w:p>
      <w:pPr/>
      <w:r>
        <w:rPr>
          <w:b/>
        </w:rPr>
        <w:t>POSSIBLE 2024:</w:t>
      </w:r>
      <w:r>
        <w:t xml:space="preserve"> ANALYSING THE IMPORTANCE OF IMPLEMENTING DIGITAL TOOLS BY CONSTRUCTION COMPANIES — https://doi.org/10.36750/2524-2555.77.67-73</w:t>
      </w:r>
    </w:p>
    <w:p>
      <w:pPr/>
      <w:r>
        <w:rPr>
          <w:b/>
        </w:rPr>
        <w:t>Shared claim-specific concepts:</w:t>
      </w:r>
      <w:r>
        <w:t xml:space="preserve"> shows, performance, project; EU scope not established. This is a provisional connection, not an outcome finding.</w:t>
      </w:r>
    </w:p>
    <w:p>
      <w:pPr>
        <w:pStyle w:val="SourceNote"/>
      </w:pPr>
      <w:r>
        <w:rPr>
          <w:b/>
        </w:rPr>
        <w:t>Available abstract (not full text):</w:t>
      </w:r>
      <w:r>
        <w:t xml:space="preserve"> Abstract. This article provides a thorough analysis of the importance of the implementation of digital tools by enterprises in the construction industry. The focus is on studying how digitization affects various aspects of construction companies' operations, including project management efficiency, cost optimization, productivity improvement and risk reduction. Digital tools, such as project management systems, building information modeling software (BIM), tools for planning and monitoring work, significantly change approaches to the organization and management of construction processes. The implementation of these technologies allows for greater accuracy in calculations, more efficient use of resources, reduced costs of materials and labor, and improved coordination between various project participants. The article also examines the challenges faced by enterprises in the transition to digital technologies. These can be both technical problems and issues related to personnel training, changes in the internal processes of companies, as well as financial investments. However, despite these difficulties, the analysis shows that the long-term benefits of digitization far outweigh the initial costs and efforts. Digitization contributes not only to increased efficiency and productivity, but also provides the ability to adapt to rapid changes in the industry, which is especially impor</w:t>
      </w:r>
    </w:p>
    <w:p>
      <w:pPr/>
      <w:r>
        <w:rPr>
          <w:b/>
        </w:rPr>
        <w:t>POSSIBLE 2024:</w:t>
      </w:r>
      <w:r>
        <w:t xml:space="preserve"> Determinants of firms' initiative and inertia in pursuing climate neutrality strategies—Theoretical explanations and empirical evidence — https://doi.org/10.1002/bse.3698</w:t>
      </w:r>
    </w:p>
    <w:p>
      <w:pPr/>
      <w:r>
        <w:rPr>
          <w:b/>
        </w:rPr>
        <w:t>Shared claim-specific concepts:</w:t>
      </w:r>
      <w:r>
        <w:t xml:space="preserve"> implement, theoretical, explanation; EU scope visible. This is a provisional connection, not an outcome finding.</w:t>
      </w:r>
    </w:p>
    <w:p>
      <w:pPr>
        <w:pStyle w:val="SourceNote"/>
      </w:pPr>
      <w:r>
        <w:rPr>
          <w:b/>
        </w:rPr>
        <w:t>Available abstract (not full text):</w:t>
      </w:r>
      <w:r>
        <w:t xml:space="preserve"> Abstract In view of global warming and growing demands that economies, industries, and firms should be climate‐neutral by mid‐century, various sources complain that firms are still hesitant to implement a corresponding climate neutrality strategy (CNS). To date, however, there is little empirical evidence or explanation for such an alleged inertia. This study fills this void by analyzing key determinants that may explain whether a CNS is pursued at the firm level. We develop and test hypotheses grounded in theory using firm‐level data from the 2021 European Flash Eurobarometer as well as country‐level datasets to examine the impact of formal and informal institutions. Our results reveal that the majority of firms across many countries and industries have no explicit CNS. As predicted by institutional logics, the extent of a firm's home country's exposure to climate change, climate problem awareness, and regulatory enforcement has a significant positive impact on the likelihood of CNS being formulated and pursued by firms. Extending traditional structural inertia theory, internal factors cause large and old firms to be more likely to report having explicit CNS. We further find that these structural characteristics partially moderate the link between institutions and CNS. After a thorough discussion of the results, potential limitations, research opportunities, and implications f</w:t>
      </w:r>
    </w:p>
    <w:p>
      <w:pPr/>
      <w:r>
        <w:rPr>
          <w:b/>
        </w:rPr>
        <w:t>POSSIBLE 2024:</w:t>
      </w:r>
      <w:r>
        <w:t xml:space="preserve"> Theoretical Mechanism and Implementation Path of Digital Technology Enabling Cultural Heritage Protection — https://doi.org/10.1515/cfer-2024-0006</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Cultural heritage is an important carrier of Chinese excellent traditional culture, based on the background of digital and real integration, introducing symbiosis theory into the theoretical analysis framework of the integration and development of cultural heritage and digital technology has important academic value and practical significance. Based on the in-depth explanation of the connotation of the integration of cultural heritage and digital technology, we specifically analyze the symbiotic unit, symbiotic environment, and symbiotic mode in the dynamic symbiosis system, and discuss the application of digital technology in the protection, dissemination, and experience of cultural heritage. The integration development of Chinese cultural heritage and digital technology has made remarkable achievements, but there are still constraints such as insufficient integration depth, high user demand but weak practical application, and backward protection and utilization cognition. Therefore, it is necessary to accelerate the application and management of technology research and development, pay attention to user needs, and improve the level of social cognition, to realize the value of cultural heritage shared by the society.</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pStyle w:val="Heading2"/>
      </w:pPr>
      <w:r>
        <w:t>895.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2026:</w:t>
      </w:r>
      <w:r>
        <w:t xml:space="preserve"> Institutional pathways to TCM psychological acceptance abroad: A fuzzy Delphi evaluation of four Chinese colleges — https://doi.org/10.1016/j.actpsy.2026.106659</w:t>
      </w:r>
    </w:p>
    <w:p>
      <w:pPr/>
      <w:r>
        <w:rPr>
          <w:b/>
        </w:rPr>
        <w:t>Shared claim-specific concepts:</w:t>
      </w:r>
      <w:r>
        <w:t xml:space="preserve"> four, pathways, achieve, target; EU scope not established. This is a provisional connection, not an outcome finding.</w:t>
      </w:r>
    </w:p>
    <w:p>
      <w:pPr>
        <w:pStyle w:val="SourceNote"/>
      </w:pPr>
      <w:r>
        <w:rPr>
          <w:b/>
        </w:rPr>
        <w:t>Available abstract (not full text):</w:t>
      </w:r>
      <w:r>
        <w:t xml:space="preserve"> BACKGROUND CONTEXT: The "Plan for Promoting High-Quality Integration of Traditional Chinese Medicine into the Joint Construction of the 'Belt and Road' (2021-2025)" underscores strategic initiatives to advance TCM (Traditional Chinese Medicine) globally, including establishing overseas cultural brands (e.g., "Consular Officials in Chengdu Experience TCM" programs), integrating TCM into higher education systems of partner nations, and amplifying academic influence through research. STUDY OBJECTIVE: This study develops an expert-validated assessment model to evaluate the institutional capacity of four TCM internationalization entities (Colleges 1-4) to serve as effective proximal enablers of psychological acceptance-operationalized as cognitive understanding, affective trust, and behavioral adoption of TCM in target populations. Rather than measuring psychological acceptance directly in foreign audiences, the model identifies and weights the institutional preconditions theorized to enable it: transmission mechanisms, cultural-conceptual alignment, market positioning, and perceived efficacy. From an initial pool of 21 indicators across five dimensions, the FDM consensus process retained 15 indicators across four dimensions after eliminating six items that failed to meet the d &lt; 0.2 threshold. METHODOLOGY: The Fuzzy Delphi Method (FDM) was employed to refine criteria and prioritize</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2025:</w:t>
      </w:r>
      <w:r>
        <w:t xml:space="preserve"> Migration and citizenship pathways in/beyond Asia — https://doi.org/10.1080/01419870.2024.2441910</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Citizenship regimes are highly variegated in both migrant-sending and migrant-receiving countries. This special issue examines the diversified citizenship pathways that migrants undertake to manage uncertainties and global disparities or opportunities in various national contexts and at different life stages. We define citizenship pathways as the routes and processes that shape how migrants pursue personal and family goals to achieve citizenship recognition and redistribution. As migrants respond to changes in citizenship regimes or personal circumstances, their citizenship pathways evolve across national and transnational spaces, as well as over time. The special issue introduction sets out our conceptualization of citizenship pathways and provides an overview of how the papers in this collection engage with it. We foreground four themes: the geopolitical contexts of citizenship pathways; the strategies which migrants use to advance citizenship pathways; the temporal dimensions of citizenship pathways; and the new digital routes in citizenship pathways.</w:t>
      </w:r>
    </w:p>
    <w:p>
      <w:pPr/>
      <w:r>
        <w:rPr>
          <w:b/>
        </w:rPr>
        <w:t>POSSIBLE 2025:</w:t>
      </w:r>
      <w:r>
        <w:t xml:space="preserve"> Integrating sustainability in dentistry: a pathway towards achieving the UN 2030 agenda — https://doi.org/10.3389/froh.2025.1549020</w:t>
      </w:r>
    </w:p>
    <w:p>
      <w:pPr/>
      <w:r>
        <w:rPr>
          <w:b/>
        </w:rPr>
        <w:t>Shared claim-specific concepts:</w:t>
      </w:r>
      <w:r>
        <w:t xml:space="preserve"> energy, climate, significant; EU scope not established. This is a provisional connection, not an outcome finding.</w:t>
      </w:r>
    </w:p>
    <w:p>
      <w:pPr>
        <w:pStyle w:val="SourceNote"/>
      </w:pPr>
      <w:r>
        <w:rPr>
          <w:b/>
        </w:rPr>
        <w:t>Available abstract (not full text):</w:t>
      </w:r>
      <w:r>
        <w:t xml:space="preserve"> The growing impact of the climate crisis has raised significant concerns due to its profound effects on public health and ecological stability. This article explores how the implementation of sustainable practices in dentistry can contribute to a more efficient, safe and environmentally responsible approach, in line with the Sustainable Development Goals outlined in the United Nations' 2030 Agenda. A key focus is on waste reduction, which is achieved through the promotion of oral health and disease prevention, thereby minimising the waste and carbon emissions associated with dental care. In addition, the responsible use of resources such as water and energy and the use of environmentally sustainable dental materials play a critical role in reducing the environmental footprint of dentistry. Key measures such as the recycling of single-use plastics are essential to curb pollution and reduce the uptake of microplastics by marine ecosystems and humans. Education and awareness of sustainability is also essential. This can be promoted by integrating sustainable principles into the curriculum of dental courses and within scientific committees. Promoting these practices among emerging health professionals and researchers will drive the development of innovative alternatives that further reduce the environmental impact of the field.</w:t>
      </w:r>
    </w:p>
    <w:p>
      <w:pPr>
        <w:pStyle w:val="Heading2"/>
      </w:pPr>
      <w:r>
        <w:t>896.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2025:</w:t>
      </w:r>
      <w:r>
        <w:t xml:space="preserve"> Dynamical landscape and multistability of a climate model — https://openalex.org/W3166250015</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We apply two independent data analysis methodologies to locate stable climate states in an intermediate complexity climate model and analyse their interplay. First, drawing from the theory of quasi-potentials, and viewing the state space as an energy landscape with valleys and mountain ridges, we infer the relative likelihood of the identified multistable climate states and investigate the most likely transition trajectories as well as the expected transition times between them. Second, harnessing techniques from data science, and specifically manifold learning, we characterize the data landscape of the simulation output to find climate states and basin boundaries within a fully agnostic and unsupervised framework. Both approaches show remarkable agreement, and reveal, apart from the well known warm and snowball earth states, a third intermediate stable state in one of the two versions of PLASIM, the climate model used in this study. The combination of our approaches allows to identify how the negative feedback of ocean heat transport and entropy production via the hydrological cycle drastically change the topography of the dynamical landscape of Earth's climate.</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2024:</w:t>
      </w:r>
      <w:r>
        <w:t xml:space="preserve"> Numerical Modelling of Conductor Casing Settlement Using a Two-phase Model — https://doi.org/10.55592/cilamce.v6i06.10384</w:t>
      </w:r>
    </w:p>
    <w:p>
      <w:pPr/>
      <w:r>
        <w:rPr>
          <w:b/>
        </w:rPr>
        <w:t>Shared claim-specific concepts:</w:t>
      </w:r>
      <w:r>
        <w:t xml:space="preserve"> two, modelled, achieve; EU scope not established. This is a provisional connection, not an outcome finding.</w:t>
      </w:r>
    </w:p>
    <w:p>
      <w:pPr>
        <w:pStyle w:val="SourceNote"/>
      </w:pPr>
      <w:r>
        <w:rPr>
          <w:b/>
        </w:rPr>
        <w:t>Available abstract (not full text):</w:t>
      </w:r>
      <w:r>
        <w:t xml:space="preserve"> Oil exploration in subsea wells is a complex activity that involves a number of technical challenges, including installation conductor casing installation. The conductor casing plays a crucial role in the structural stability and overall performance of the well. Thus, for the conductor sttelemnt, one can highlight, among other techniques, the jetting method. Jetting is a promising technique for clay soils since seabed sediments behave like fine mud. In order to numerically model the operation, the clayay soil can be represented by a highly viscous non-Newtonian fluid. The aim of this study was therefore to carry out a numerical analysis of the conductor settlement by jetting. In order to achieve the proposed objectives, an eulerian - eulerian two phase model has been adopted. The soil phase has been modelled as a non-Newtonian fluid and computational fluid dynamics (CFD) has emerged as a powerful numerical tool for modeling and simulating problems of this nature in a attempt to bypass the issues that comes with large deformations problems other numerical methods. Ansys Fluent software was used, a CFD program based on the Finite Volume Method (FVM), which stands out for its robustness and precision when carrying out fluid dynamic simulations. The numerical analysis was carried out using the Gidaspow drag model to characterize the soil, which combines the Ergun and Wen-Yu empiric</w:t>
      </w:r>
    </w:p>
    <w:p>
      <w:pPr>
        <w:pStyle w:val="Heading2"/>
      </w:pPr>
      <w:r>
        <w:t>897.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2026:</w:t>
      </w:r>
      <w:r>
        <w:t xml:space="preserve"> MODELING SUSTAINABLE AGRICULTURAL DEVELOPMENT IN THE UNITED STATES AND WESTERN EUROPE — https://doi.org/10.36871/ek.up.p.r.2026.09.01.009</w:t>
      </w:r>
    </w:p>
    <w:p>
      <w:pPr/>
      <w:r>
        <w:rPr>
          <w:b/>
        </w:rPr>
        <w:t>Shared claim-specific concepts:</w:t>
      </w:r>
      <w:r>
        <w:t xml:space="preserve"> united, states, environmental, agricultural; EU scope visible. This is a provisional connection, not an outcome finding.</w:t>
      </w:r>
    </w:p>
    <w:p>
      <w:pPr>
        <w:pStyle w:val="SourceNote"/>
      </w:pPr>
      <w:r>
        <w:rPr>
          <w:b/>
        </w:rPr>
        <w:t>Available abstract (not full text):</w:t>
      </w:r>
      <w:r>
        <w:t xml:space="preserve"> This article presents a comprehensive review and comparative analysis of mathematical models used to analyze sustainable agricultural development in the United States and developed Western European countries. The author systematizes the conceptual differences in understanding sustainable development in the agricultural sector: while the United States emphasizes economic efficiency and environmental safety, the EU’s approach is more socially oriented and significantly stricter in environmental regulation, as reflected in the Green Deal strategies. The main content of the paper is devoted to a detailed description of key dynamic models. In the United States, field-level biophysical models (SWAT, EPIC, DAYCENT) and national-scale partial equilibrium models (FASOM, APEX) predominate. European modeling is represented by complex integrated systems such as CAPRI (an EU agricultural policy model), RAUMIS (a regional agricultural policy model in Germany), AROPAj (a model for analyzing agrifood systems in France and the EU), FAPRI-UK (for assessing the effectiveness of measures to reduce nitrogen and greenhouse gas emissions in UK agriculture), and MITERRA (for assessing the effectiveness of measures to reduce nitrogen and greenhouse gas emissions in Dutch agriculture). For each model, its mathematical structure, objective function, and practical application examples are described—from a</w:t>
      </w:r>
    </w:p>
    <w:p>
      <w:pPr>
        <w:pStyle w:val="Heading2"/>
      </w:pPr>
      <w:r>
        <w:t>898.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2026:</w:t>
      </w:r>
      <w:r>
        <w:t xml:space="preserve"> Electricity Generation: Are Uganda’s Electricity Generating Firms Efficient? — https://doi.org/10.56279/orseaj.special.5</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High tariffs and low access to electricity in Uganda remains a challenge despite surplus generation capacity. The excess generation is suggests inefficiencies in power generation. Most research has focused on demand side efficiency and limited attention is accorded to supply side technical efficiency, especially using Data Envelopment Analysis (DEA) and Tobit models. Therefore, the study extends DEA and Tobit model to evaluated technical efficiency and examine its drives of efficiency of generation companies in Uganda. Secondary data from Electricity Regulatory Authority (ERA) of Uganda from 2016 to 2023, for 36 generating firms, were analyses using an input-oriented Data Envelopment Analysis (DEA) and Tobit regression to examine the drivers of efficiency.Findings indicate that 22% of the firms are technically efficient while 67% are operating below 50% technical efficiency. This was attributed to aged technologies, high administrative or operation costs, and regulatory challenges.Plant size, workforce size, operations and maintenance costs, and energy source were found to be the major drivers of efficiency at generation level. The study extends the application of DEA approaches and Tobit model to firm-level generation side context. This shows that electricity is not efficiently generated in Uganda. Therefore, the responsible line ministry should put in place better rulesand re</w:t>
      </w:r>
    </w:p>
    <w:p>
      <w:pPr/>
      <w:r>
        <w:rPr>
          <w:b/>
        </w:rPr>
        <w:t>POSSIBLE 2026:</w:t>
      </w:r>
      <w:r>
        <w:t xml:space="preserve"> Green Electricity Product Solution in the Background of Electricity Market — https://doi.org/10.4236/ojapps.2026.163050</w:t>
      </w:r>
    </w:p>
    <w:p>
      <w:pPr/>
      <w:r>
        <w:rPr>
          <w:b/>
        </w:rPr>
        <w:t>Shared claim-specific concepts:</w:t>
      </w:r>
      <w:r>
        <w:t xml:space="preserve"> electricity, renewable, generation, become; EU scope not established. This is a provisional connection, not an outcome finding.</w:t>
      </w:r>
    </w:p>
    <w:p>
      <w:pPr>
        <w:pStyle w:val="SourceNote"/>
      </w:pPr>
      <w:r>
        <w:rPr>
          <w:b/>
        </w:rPr>
        <w:t>Available abstract (not full text):</w:t>
      </w:r>
      <w:r>
        <w:t xml:space="preserve"> In the development of a new power system dominated by green energy, green electricity has become a standardized commodity circulating nationwide through market mechanisms. The role of green electricity has evolved from being a dependent entity reliant on grid-guaranteed procurement to becoming a value-driven competitor driven by price signals and electricity demand. This paper proposes a green electricity product solution designed to provide reliable value assessment models and feasible implementation plans for users with diverse renewable energy needs. By modeling current internal power generation and consumption data within enterprises, the solution enables efficient communication between both parties during preliminary discussions. Based on digitalized models, green electricity service providers can deliver comprehensive solutions that are environmentally sustainable, economically viable, and highly efficient through policy analysis and technical evaluation.</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2025:</w:t>
      </w:r>
      <w:r>
        <w:t xml:space="preserve"> Globally interconnected solar-wind system addresses future electricity demands — https://doi.org/10.1038/s41467-025-59879-9</w:t>
      </w:r>
    </w:p>
    <w:p>
      <w:pPr/>
      <w:r>
        <w:rPr>
          <w:b/>
        </w:rPr>
        <w:t>Shared claim-specific concepts:</w:t>
      </w:r>
      <w:r>
        <w:t xml:space="preserve"> electricity, renewable, generation, meet; EU scope not established. This is a provisional connection, not an outcome finding.</w:t>
      </w:r>
    </w:p>
    <w:p>
      <w:pPr>
        <w:pStyle w:val="SourceNote"/>
      </w:pPr>
      <w:r>
        <w:rPr>
          <w:b/>
        </w:rPr>
        <w:t>Available abstract (not full text):</w:t>
      </w:r>
      <w:r>
        <w:t xml:space="preserve"> Accelerating energy transition towards renewables is central to net-zero emissions. However, building a global power system dominated by solar and wind energy presents immense challenges. Here, we demonstrate the potential of a globally interconnected solar-wind system to meet future electricity demands. We estimate that such a system could generate ~3.1 times the projected 2050 global electricity demand. By optimizing solar-wind deployment, storage capacity, and trans-regional transmission, the solar-wind penetration could be achieved using only 29.4% of the highest potential, with a 15.6% reduction in initial investment compared to a strategy without interconnection. Global interconnection improves energy efficiency, mitigates the variability of renewable energy, promotes energy availability, and eases the economic burden of decarbonization. Importantly, this interconnected system shows remarkable resilience to climate extremes, generation outages, transmission disruptions, and geopolitical conflicts. Our findings underscore the potential of global interconnection in enabling high renewable penetration and guiding sustainable energy transitions.</w:t>
      </w:r>
    </w:p>
    <w:p>
      <w:pPr/>
      <w:r>
        <w:rPr>
          <w:b/>
        </w:rPr>
        <w:t>POSSIBLE 2025:</w:t>
      </w:r>
      <w:r>
        <w:t xml:space="preserve"> Shifting Electricity Demand Under Temperature Extremes in Bangladesh — https://doi.org/10.3390/earth6040127</w:t>
      </w:r>
    </w:p>
    <w:p>
      <w:pPr/>
      <w:r>
        <w:rPr>
          <w:b/>
        </w:rPr>
        <w:t>Shared claim-specific concepts:</w:t>
      </w:r>
      <w:r>
        <w:t xml:space="preserve"> electricity, significant; EU scope not established. This is a provisional connection, not an outcome finding.</w:t>
      </w:r>
    </w:p>
    <w:p>
      <w:pPr>
        <w:pStyle w:val="SourceNote"/>
      </w:pPr>
      <w:r>
        <w:rPr>
          <w:b/>
        </w:rPr>
        <w:t>Available abstract (not full text):</w:t>
      </w:r>
      <w:r>
        <w:t xml:space="preserve"> Bangladesh is among the world’s most climate-vulnerable countries, facing recurrent hazards that disrupt lives and livelihoods. Among these, heatwaves and cold snaps strongly affect electricity consumption, representing a key socio-economic impact of climate extremes. In this study, we used meteorological and electricity data from six sub-regions of Bangladesh to examine long-term changes in extreme temperature days and their effects on electricity usage. Results showed that western inland stations (Chuadanga, Jashore) experienced hotter summers and colder winters, whereas coastal sites (Barishal, Patuakhali) were moderated by maritime influences. Trend analysis revealed significant increases in hot-day frequency since 1961 (up to 1.8 days yr−1 at coastal areas, while cold-day frequencies generally declined but with regional variability. Electricity demand followed a clear pattern, being highest on hot days, lowest on cold days, and intermediate on normal days. Among the regions, Khulna consistently recorded the greatest demand (up to 161 MWh), while Patuakhali remained the lowest (~19–32 MWh). Regression analysis further showed that demand rises with maximum temperature, with slopes up to 5.7 MWh °C−1 and moderate correlations (r = 0.27–0.47). Importantly, the temperature–demand relationship has strengthened in recent years, as similar climatic conditions now correspond to hig</w:t>
      </w:r>
    </w:p>
    <w:p>
      <w:pPr/>
      <w:r>
        <w:rPr>
          <w:b/>
        </w:rPr>
        <w:t>POSSIBLE 2025:</w:t>
      </w:r>
      <w:r>
        <w:t xml:space="preserve"> JMIP2 Part 3: The pace of hydrogen and electricity adoption in Japan’s demand-side decarbonization — https://doi.org/10.1016/j.egycc.2025.100223</w:t>
      </w:r>
    </w:p>
    <w:p>
      <w:pPr/>
      <w:r>
        <w:rPr>
          <w:b/>
        </w:rPr>
        <w:t>Shared claim-specific concepts:</w:t>
      </w:r>
      <w:r>
        <w:t xml:space="preserve"> electricity, renewable, become, sectors, meet, targets; EU scope not established. This is a provisional connection, not an outcome finding.</w:t>
      </w:r>
    </w:p>
    <w:p>
      <w:pPr>
        <w:pStyle w:val="SourceNote"/>
      </w:pPr>
      <w:r>
        <w:rPr>
          <w:b/>
        </w:rPr>
        <w:t>Available abstract (not full text):</w:t>
      </w:r>
      <w:r>
        <w:t xml:space="preserve"> • Under the net-zero scenario, the total final energy demand in Japan decreases by about 30% by 2050 compared to 2020. • Electricity is projected to potentially constitute approximately 50% or more of total final energy consumption. • The adoption of hydrogen is projected to increase from a negligible baseline to approximately 13% of the energy mix in 2050, with an accelerated growth trajectory anticipated post-2040. • Hydrogen is effective in deep industrial emission reduction, and its necessity increases as emission target being more stringent. Reaching net-zero emissions in Japan depends on technological advancements in energy efficiency and cost-effectiveness across both energy supply and demand sectors. Previous model comparison studies in Japan did not adequately address uncertainties from technological development under the latest net-zero commitment, potentially hindering effective stakeholder decision-making. This study coordinates multiple integrated assessment and energy systems models to analyze consistent policy and technology scenarios, focusing on energy transition pathways in end-use sectors. The results show that, to meet the net-zero requirement, all models exhibit a similar trend of declining total final energy demand, with a reduction of approximately 30% by 2050 relative to 2020. Meanwhile, electricity may account for around 50% or more of the total final e</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pStyle w:val="Heading2"/>
      </w:pPr>
      <w:r>
        <w:t>899.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best;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Exploration of transfer learning techniques for the prediction of PM10 — https://doi.org/10.1038/s41598-025-86550-6</w:t>
      </w:r>
    </w:p>
    <w:p>
      <w:pPr/>
      <w:r>
        <w:rPr>
          <w:b/>
        </w:rPr>
        <w:t>Shared claim-specific concepts:</w:t>
      </w:r>
      <w:r>
        <w:t xml:space="preserve"> pm10, concentrations, different; EU scope visible. This is a provisional connection, not an outcome finding.</w:t>
      </w:r>
    </w:p>
    <w:p>
      <w:pPr>
        <w:pStyle w:val="SourceNote"/>
      </w:pPr>
      <w:r>
        <w:rPr>
          <w:b/>
        </w:rPr>
        <w:t>Available abstract (not full text):</w:t>
      </w:r>
      <w:r>
        <w:t xml:space="preserve"> Abstract Modelling of pollutants provides valuable insights into air quality dynamics, aiding exposure assessment where direct measurements are not viable. Machine learning (ML) models can be employed to explore such dynamics, including the prediction of air pollution concentrations, yet demanding extensive training data. To address this, techniques like transfer learning (TL) leverage knowledge from a model trained on a rich dataset to enhance one trained on a sparse dataset, provided there are similarities in data distribution. In our experimental setup, we utilize meteorological and pollutant data from multiple governmental air quality measurement stations in Graz, Austria, supplemented by data from one station in Zagreb, Croatia to simulate data scarcity. Common ML models such as Random Forests, Multilayer Perceptrons, Long-Short-Term Memory, and Convolutional Neural Networks are explored to predict particulate matter in both cities. Our detailed analysis of PM 10 suggests that similarities between the cities and the meteorological features exist and can be further exploited. Hence, TL appears to offer a viable approach to enhance PM 10 predictions for the Zagreb station, despite the challenges posed by data scarcity. Our results demonstrate the feasibility of different TL techniques to improve particulate matter prediction on transferring a ML model trained from all statio</w:t>
      </w:r>
    </w:p>
    <w:p>
      <w:pPr/>
      <w:r>
        <w:rPr>
          <w:b/>
        </w:rPr>
        <w:t>POSSIBLE 2025:</w:t>
      </w:r>
      <w:r>
        <w:t xml:space="preserve"> Evaluation of a gravimetrical method with a cyclonic pre-separator against the reference method for measuring high PM10 mass concentrations in livestock houses — https://doi.org/10.1016/j.atmosenv.2025.121076</w:t>
      </w:r>
    </w:p>
    <w:p>
      <w:pPr/>
      <w:r>
        <w:rPr>
          <w:b/>
        </w:rPr>
        <w:t>Shared claim-specific concepts:</w:t>
      </w:r>
      <w:r>
        <w:t xml:space="preserve"> furthermore, pm10, concentrations, different, emission; EU scope not established. This is a provisional connection, not an outcome finding.</w:t>
      </w:r>
    </w:p>
    <w:p>
      <w:pPr>
        <w:pStyle w:val="SourceNote"/>
      </w:pPr>
      <w:r>
        <w:rPr>
          <w:b/>
        </w:rPr>
        <w:t>Available abstract (not full text):</w:t>
      </w:r>
      <w:r>
        <w:t xml:space="preserve"> PM 10 emission from livestock houses is a major contributor to the ambient PM 10 mass concentrations in many industrialized countries. Measurement methods developed for stationary source PM 10 emissions (e.g., EN 13284) are often unsuitable for application in livestock houses whereas methods for ambient air based on impaction pre-separators (e.g., EN 12341) are vulnerable to particle bouncing and overloading. In the past, a gravimetric reference method of EN 12341 (IPS) has been modified by incorporating a cyclone as pre-separator (CPS). The aim of this study was to investigate the equivalence of the modified version of the reference method used in livestock houses. Previous studies comparing the CPS and IPS reported a high variation in the relationship between these two samplers. This study examines the effect of different livestock categories on this relationship, as differences in particle size distributions associated with different livestock categories, are expected to influence the relationship between these two methods. Both CPS and IPS were applied in this study across multiple livestock houses of 3 livestock categories (fattening pigs , laying hens , broilers). Additionally, a meta-analysis was conducted, incorporating data from previous studies on gravimetric measurements of PM 10 , to establish a calibration function for measurements obtained using the CPS. This stud</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pStyle w:val="Heading2"/>
      </w:pPr>
      <w:r>
        <w:t>900.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2026:</w:t>
      </w:r>
      <w:r>
        <w:t xml:space="preserve"> Composite tidal flood risk assessment for adaptation prioritization — https://doi.org/10.61511/calamity.v4i1.2026.3759</w:t>
      </w:r>
    </w:p>
    <w:p>
      <w:pPr/>
      <w:r>
        <w:rPr>
          <w:b/>
        </w:rPr>
        <w:t>Shared claim-specific concepts:</w:t>
      </w:r>
      <w:r>
        <w:t xml:space="preserve"> tidal, coastal, areas; EU scope not established. This is a provisional connection, not an outcome finding.</w:t>
      </w:r>
    </w:p>
    <w:p>
      <w:pPr>
        <w:pStyle w:val="SourceNote"/>
      </w:pPr>
      <w:r>
        <w:rPr>
          <w:b/>
        </w:rPr>
        <w:t>Available abstract (not full text):</w:t>
      </w:r>
      <w:r>
        <w:t xml:space="preserve"> Background: Coastal areas of Jakarta, Indonesia face increasing flood risk due to sea-level rise, land subsidence, tidal inundation, dense urban development, and uneven social vulnerability. Existing coastal flood studies in Indonesia often analyze hazard, exposure, or vulnerability in isolation, limiting their value for integrated adaptation, especially in data-limited planning. This study aims to create a data-minimal risk assessment framework for Penjaringan District, North Jakarta, by integrating tidal flood trends, asset exposure values, and social vulnerability at the urban village level. Methods: The study used official tidal flood records, spatial building data, asset values from official unit costs and content ratios, and social vulnerability indicators (population density, slum settlement proportion, and malnutrition prevalence). Analysis included trend assessment, exposure estimation, min-max normalization, composite risk indexing, sensitivity analysis, risk typology, and hazard-vulnerability quadrant analysis. Findings: Results show a spatial mismatch between hazard concentration and composite risk. Pluit accounted for 149 of 171 flood-affected days (87.1%) and scored the highest Hazard Index (HI = 1.000), but Penjaringan reached the highest Risk Index (RI = 0.628), due to a Very High Exposure Index (EI = 0.816) and High Social Vulnerability Index (SVI = 0.667). Dis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2025:</w:t>
      </w:r>
      <w:r>
        <w:t xml:space="preserve"> Repeatability of tidal expiratory flow limitation during peak exercise — https://doi.org/10.36905/jses.2025.02.01</w:t>
      </w:r>
    </w:p>
    <w:p>
      <w:pPr/>
      <w:r>
        <w:rPr>
          <w:b/>
        </w:rPr>
        <w:t>Shared claim-specific concepts:</w:t>
      </w:r>
      <w:r>
        <w:t xml:space="preserve"> tidal, capacity, significant; EU scope not established. This is a provisional connection, not an outcome finding.</w:t>
      </w:r>
    </w:p>
    <w:p>
      <w:pPr>
        <w:pStyle w:val="SourceNote"/>
      </w:pPr>
      <w:r>
        <w:rPr>
          <w:b/>
        </w:rPr>
        <w:t>Available abstract (not full text):</w:t>
      </w:r>
      <w:r>
        <w:t xml:space="preserve"> The presence and degree of tidal expiratory flow limitation (EFLT) during exercise are usually determined from single observations and it is assumed that EFLT is a repeatable phenomenon.This study aimed to determine the repeatability of the presence and degree of EFLT and breathing patterns during peak exercise in healthy, young, athletic subjects.Fifteen subjects (9 males, 6 females; mean age of 23 ± 3 years) completed two maximal cardiopulmonary exercise tests (CPET) seven days apart.Coefficient of variation (CoV) were calculated for continuous variables and the Cohen's kappa coefficient was determined for the presence of EFLT.There were no significant differences in CPET variables between visits.The presence or absence of EFLT agreed in 14 out of 15 subjects (Cohen's kappa coefficient = 0.76, p = 0.007, indicating moderate agreement).The degree of EFLT showed high variability (CoV = 32.9%).Variability was low (CoV ranged between 2.8-6.1%) for end-inspiratory lung volume, tidal volume (VT), VT relative to forced vital capacity, inspiratory capacity, breathing frequency, and for end-expiratory lung volume the CoV = 10.9%.In conclusion, the presence or absence of EFLT showed good agreement and breathing patterns are highly repeatable observations in healthy subjects during peak exercise suggesting that reliable inferences can be made from single observations.</w:t>
      </w:r>
    </w:p>
    <w:p>
      <w:pPr/>
      <w:r>
        <w:rPr>
          <w:b/>
        </w:rPr>
        <w:t>POSSIBLE 2025:</w:t>
      </w:r>
      <w:r>
        <w:t xml:space="preserve"> Continuing recovery of wolves in Europe — https://doi.org/10.1371/journal.pstr.0000158</w:t>
      </w:r>
    </w:p>
    <w:p>
      <w:pPr/>
      <w:r>
        <w:rPr>
          <w:b/>
        </w:rPr>
        <w:t>Shared claim-specific concepts:</w:t>
      </w:r>
      <w:r>
        <w:t xml:space="preserve"> significant, role;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pStyle w:val="Heading2"/>
      </w:pPr>
      <w:r>
        <w:t>901.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2026:</w:t>
      </w:r>
      <w:r>
        <w:t xml:space="preserve"> The politics of urban growth and decline — https://doi.org/10.14749/32847788</w:t>
      </w:r>
    </w:p>
    <w:p>
      <w:pPr/>
      <w:r>
        <w:rPr>
          <w:b/>
        </w:rPr>
        <w:t>Shared claim-specific concepts:</w:t>
      </w:r>
      <w:r>
        <w:t xml:space="preserve"> purpose, two, cities; EU scope visible. This is a provisional connection, not an outcome finding.</w:t>
      </w:r>
    </w:p>
    <w:p>
      <w:pPr>
        <w:pStyle w:val="SourceNote"/>
      </w:pPr>
      <w:r>
        <w:rPr>
          <w:b/>
        </w:rPr>
        <w:t>Available abstract (not full text):</w:t>
      </w:r>
      <w:r>
        <w:t xml:space="preserve"> The purpose of this chapter is to explore the literature and arguments that have emerged over the last two decades about the politics of urban policy in Europe and North America. We consider the debates about the emergence of a stronger economic dimension to urban policy and what this means for social cohesion and democracy. We also discuss the significance of policy decentralization and the consequences for different kinds of places and people. We argue that local political processes matter to the social and economic trajectories of cities and that decentralization can be a positive force for prosperity and participation, although it can also be subverted for narrower political purposes and exacerbate inequalities. The structure of the chapter is as follows. The next section considers the economic sources and impacts of recent urban growth. Section two discusses the political processes that contribute to urban success. The third section contrasts different political theories of urban policy. Section four compares different perspectives on developments in Europe and North America. The fifth section examines who benefits from urban policy. The conclusion draws the threads together and outlines some directions for future research.</w:t>
      </w:r>
    </w:p>
    <w:p>
      <w:pPr/>
      <w:r>
        <w:rPr>
          <w:b/>
        </w:rPr>
        <w:t>POSSIBLE 2026:</w:t>
      </w:r>
      <w:r>
        <w:t xml:space="preserve"> The making of European Applied Linguistics: Tracing global origins, examining local identities — https://doi.org/10.1515/eujal-2025-0051</w:t>
      </w:r>
    </w:p>
    <w:p>
      <w:pPr/>
      <w:r>
        <w:rPr>
          <w:b/>
        </w:rPr>
        <w:t>Shared claim-specific concepts:</w:t>
      </w:r>
      <w:r>
        <w:t xml:space="preserve"> two, context; EU scope visible. This is a provisional connection, not an outcome finding.</w:t>
      </w:r>
    </w:p>
    <w:p>
      <w:pPr>
        <w:pStyle w:val="SourceNote"/>
      </w:pPr>
      <w:r>
        <w:rPr>
          <w:b/>
        </w:rPr>
        <w:t>Available abstract (not full text):</w:t>
      </w:r>
      <w:r>
        <w:t xml:space="preserve"> Abstract This editorial introduces the special issue “European Junior Applied Linguists in a Globalized World.” which showcases the work of emerging scholars in Applied Linguistics who took part in a recent AILA Europe Junior Researchers’ Meeting (JRM). The issue invites reflection on the historical development of Applied Linguistics within a European context and considers how (early career) researchers may be contributing to the construction of a distinct European identity in the field. It begins by tracing the evolution of Applied Linguistics in Europe, followed by an analysis of findings from two surveys conducted two decades apart. The editorial concludes by outlining the rationale behind the selection of articles featured in this volume.</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2025:</w:t>
      </w:r>
      <w:r>
        <w:t xml:space="preserve"> Purpose as an Ancient yet Nascent Construct — https://doi.org/10.1017/9781009407427.001</w:t>
      </w:r>
    </w:p>
    <w:p>
      <w:pPr/>
      <w:r>
        <w:rPr>
          <w:b/>
        </w:rPr>
        <w:t>Shared claim-specific concepts:</w:t>
      </w:r>
      <w:r>
        <w:t xml:space="preserve"> purpose, questions; EU scope not established. This is a provisional connection, not an outcome finding.</w:t>
      </w:r>
    </w:p>
    <w:p>
      <w:pPr>
        <w:pStyle w:val="SourceNote"/>
      </w:pPr>
      <w:r>
        <w:rPr>
          <w:b/>
        </w:rPr>
        <w:t>Available abstract (not full text):</w:t>
      </w:r>
      <w:r>
        <w:t xml:space="preserve"> Inquiry into purpose spans multiple disciplines, perspectives, and centuries. Seemingly inherent in the process of human development is the desire for humans to find a direction for their lives. This chapter provides an introduction to purpose inquiry, underscoring how purpose research shows that the construct can permeate multiple domains of life. We outline some of the frameworks and theoretical traditions that the reader will encounter throughout this volume. Following this section, we discuss three central questions regarding the nature of purpose that have yielded nascent reflections and research directions to this day. We conclude by providing the outline for the upcoming chapters, noting how each provides a valuable and unique piece to the puzzle of purpose.</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pStyle w:val="Heading2"/>
      </w:pPr>
      <w:r>
        <w:t>902.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2025:</w:t>
      </w:r>
      <w:r>
        <w:t xml:space="preserve"> D7.2 Bottom-up and top-down linkages between macro-level models and high-resolution models : Land use and management modelling for sustainable governance — https://openalex.org/W7154809934</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This deliverable documents how the LAMASUS modelling toolbox-more specifically, the macro-level models GLOBIOM, CAPRI, IMAGE, and MAGNET, together with the highresolution land-use model CLUMondo-has been further integrated to ensure consistent, spatially grounded land-use projections across Europe.Climate, economic, energy, and trade dynamics are captured by the macro models at the country to EU scale, while resulting landuse pressures are allocated by CLUMondo across a 1 km landscape.The deliverable focuses on four key drivers of land-use change-yield improvements, urban expansion, conservation areas, and afforestation.For each of these drivers, the deliverable methodologically improves the linkages and consistency within and across models.We report three major methodological advances: first, technological yield growth from GLOBIOM is implemented in CLUMondo.Second, CLUMondo's spatially explicit urban expansion and conservation maps are aggregated to NUTS2 and incorporated in GLOBIOM and CAPRI as land-availability constraints.Third, afforestation trajectories generated by G4M-GLOBIOM are interpreted both economically and spatially by IMAGE-MAGNET and spatially within CLUMondo, which can subsequently inform CAPRI.Together, these developments strengthen the two-way exchange between macro-level dynamics and high-resolution land-system outcomes, laying the methodological groundwor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pStyle w:val="Heading2"/>
      </w:pPr>
      <w:r>
        <w:t>903.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2026:</w:t>
      </w:r>
      <w:r>
        <w:t xml:space="preserve"> ACT4CAP27 Project Newsletter / Edition 4 / June 2026 — https://doi.org/10.5281/zenodo.21067483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ACT4CAP27 Project Newsletter / Edition 4 / June 2026 This the fourth in the series of 6 monthly newsletters in the ACT4CAP27 project. From this issue of our newsletter, you can get to know: What ACT4CAP27 is all about? • ACT4CAP27 is a Horizon Europe-funded five-year Research and Innovation Action that aims to enhance analytical capabilities, modelling tools and collaborative technical infrastructure within the policy modelling community, supporting evidence-based EU agri-food policies beyond 2027. What are the latest developments in our project? • Read the editorial from our Project Coordinator reflecting on the first half of 2026 and the progress achieved across the project. • Discover highlights from our 3rd Annual Meeting in Madrid, advances in modelling baselines and digitalisation scenarios, continued work on the Accelerator Platform, and strong coordination across the project's work packages. How are we engaging with stakeholders and building capacity? • Learn how stakeholder contributions during our April workshop on sugar tax and biodiversity scenarios are helping shape policy-relevant research and strengthen project outcomes. • Read about our latest capacity-building activities, including the CAPRI Developer Seminar, the CAPRI Applied Data Analysis Course, and the continued development of the Agri-Food Model Young Researchers Network (AMYRN), as well as achievements b</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union, determine;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The potential of genetically modified microorganisms to reduce nitrogen loads in the EU agricultural sector — https://doi.org/10.2760/8354314</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report evaluates the economic potential and viability of a biological nitrogen‑fixation (BNF) technology based on genetically edited microorganisms for use in European maize production. the report surveys the existing portfolio of nitrogen‑reduction technologies and presents a synthesis of performance data and case‑study evidence on product development. The review covers conventional measures (precision fertiliser placement, nitrification and urease inhibitors, enhanced‑efficiency fertilisers, cover crops and legume‑based rotations) and contrasts them with emerging biological solutions, in particular inoculants based on genetically edited microorganisms that enable biological nitrogen fixation (BNF). Building on this literature foundation, the analysis integrates (i) a historical nitrogen‑price series and a deterministic break‑even framework, (ii) a Markov‑switching model combined with Monte‑Carlo simulations to estimate the probability that the BNF inoculant is economically viable across a 3 x 3 grid of maize‑price and inoculant‑cost scenarios, and (iii) a partial‑equilibrium CAPRI model that captures production, income, market‑feedback and trade effects. Results indicate that higher nitrogen market prices and greater societal valuation of a 1 kg N reduction substantially raise the probability of viability, whereas full market feedback can offset farm‑level income gains th</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2025:</w:t>
      </w:r>
      <w:r>
        <w:t xml:space="preserve"> Modelling scope and data needs : D5.1 — https://openalex.org/W7172178632</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overarching objective of Work Package (WP) 5 is to provide a modelbased assessment of scenarios that depict a transition of European livestock production systems (ELPS) towards more economically, ecologically, and socially sustainable systems, as defined in WP6. To achieve this objective, the modelling framework combines three models: MAFSEU, AGMEMOD and CAPRI. The description of each model outlines its specific modelling approach and highlights its strengths. The particular role of each model in the STEP UP modelling framework is then defined based on this information. AGMEMOD is the only recursive-dynamic model that delivers year-by-year projections. It will be used to make initial projections for a number of mainly trend-driven variables (e.g. yields, stocks) over a defined time horizon. Also, operating at the level of member states, it can focus on simulating country-specific policy measures. The MAFSEU model, with its envisaged explicit representation of antibiotic use and use of other chemical inputs, serves as a tool for simulating changes in their use. MAFSEU also encompasses the link between food consumption and health indicators, and can be used to assess the health consequences of dietary shifts. CAPRI provides a highly detailed representation of greenhouse gas emissions and nutrient flows, including depictions of mitigation options, and will be used for respecti</w:t>
      </w:r>
    </w:p>
    <w:p>
      <w:pPr>
        <w:pStyle w:val="Heading2"/>
      </w:pPr>
      <w:r>
        <w:t>904.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2026:</w:t>
      </w:r>
      <w:r>
        <w:t xml:space="preserve"> European middle powers: Germany, France and Italy as international actors — https://openalex.org/W7215008340</w:t>
      </w:r>
    </w:p>
    <w:p>
      <w:pPr/>
      <w:r>
        <w:rPr>
          <w:b/>
        </w:rPr>
        <w:t>Shared claim-specific concepts:</w:t>
      </w:r>
      <w:r>
        <w:t xml:space="preserve"> france, decline, due;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A scoping review of multiple deprivation indices in Europe — https://doi.org/10.1093/eurpub/ckaf190</w:t>
      </w:r>
    </w:p>
    <w:p>
      <w:pPr/>
      <w:r>
        <w:rPr>
          <w:b/>
        </w:rPr>
        <w:t>Shared claim-specific concepts:</w:t>
      </w:r>
      <w:r>
        <w:t xml:space="preserve"> multiple, due, countries; EU scope visible. This is a provisional connection, not an outcome finding.</w:t>
      </w:r>
    </w:p>
    <w:p>
      <w:pPr>
        <w:pStyle w:val="SourceNote"/>
      </w:pPr>
      <w:r>
        <w:rPr>
          <w:b/>
        </w:rPr>
        <w:t>Available abstract (not full text):</w:t>
      </w:r>
      <w:r>
        <w:t xml:space="preserve"> Multiple deprivation indices (MDIs) measure community-level deprivation using various socio-economic indicators such as education level, unemployment rate, or family structure. With their growing use across Europe and the need to evaluate health impacts on vulnerable populations, this scoping review provides an overview of MDIs in the region. Insights into their construction methods will help provide guidance to researchers in developing future indices. This scoping review was conducted as part of the four-year research project funded through EU Horizon Europe-Burden of disease-based methods for estimating the socio-economic cost of environmental stressors (BEST-COST). We searched Medline, Embase, and Web of Science using terms covering deprivation in Europe. Articles meeting the inclusion criteria were reviewed to identify MDIs and their methodologies. Those including a health indicator were excluded from the study. From 163 articles meeting our inclusion criteria, 18 MDIs were identified. The number of underlying indicators ranged from 4 to 22 across MDIs. Most indices were built for small geographical areas, such as municipalities, districts, or census tracts. Ten indices applied weights derived from statistical methods such as principal components analysis, while the other eight applied equal weights and calculated the index as a simple arithmetic sum or mean composite scor</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2024:</w:t>
      </w:r>
      <w:r>
        <w:t xml:space="preserve"> Board of directors and innovation: A state‐of‐the‐art review from a contingency perspective — https://doi.org/10.1002/cjas.1761</w:t>
      </w:r>
    </w:p>
    <w:p>
      <w:pPr/>
      <w:r>
        <w:rPr>
          <w:b/>
        </w:rPr>
        <w:t>Shared claim-specific concepts:</w:t>
      </w:r>
      <w:r>
        <w:t xml:space="preserve"> contingency, due, thus; EU scope not established. This is a provisional connection, not an outcome finding.</w:t>
      </w:r>
    </w:p>
    <w:p>
      <w:pPr>
        <w:pStyle w:val="SourceNote"/>
      </w:pPr>
      <w:r>
        <w:rPr>
          <w:b/>
        </w:rPr>
        <w:t>Available abstract (not full text):</w:t>
      </w:r>
      <w:r>
        <w:t xml:space="preserve"> Abstract The link between the board of directors and innovation has received increasing interest from scholars, executives, and policymakers in recent years. Nevertheless, it remains somewhat cryptic, mainly due to limitations in terms of analytical frameworks, theoretical constructs, and methodological designs, as well as the absence of an approach that integrates the importance of contingencies. Thus, a systematic literature review at the junction of the highest strategic body (i.e., board of directors) and one of the most strategic organizational outcomes (i.e., innovation) proves to be an opportune exercise both from a scientific and practical perspective. Ultimately, the approach adopted in this study has led to the emergence of an integrative conceptual framework from a contingency perspective and various observations that dissect the impact of the board of directors on innovation based on a corpus of 114 articles published over a period of 33 years. Also, a research agenda and some key recommendations are derived from the in‐depth analysis conducted and constitute solid foundations on which to build tomorrow's studies in this research field.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multiple, population, decline, due;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pStyle w:val="Heading2"/>
      </w:pPr>
      <w:r>
        <w:t>905.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2026:</w:t>
      </w:r>
      <w:r>
        <w:t xml:space="preserve"> Conceptualizing Luxury Services and Consumption Trends in Romania within the European Context — https://doi.org/10.33727/jriss.2026.1.8:69-77</w:t>
      </w:r>
    </w:p>
    <w:p>
      <w:pPr/>
      <w:r>
        <w:rPr>
          <w:b/>
        </w:rPr>
        <w:t>Shared claim-specific concepts:</w:t>
      </w:r>
      <w:r>
        <w:t xml:space="preserve"> consumption, production, products; EU scope visible. This is a provisional connection, not an outcome finding.</w:t>
      </w:r>
    </w:p>
    <w:p>
      <w:pPr>
        <w:pStyle w:val="SourceNote"/>
      </w:pPr>
      <w:r>
        <w:rPr>
          <w:b/>
        </w:rPr>
        <w:t>Available abstract (not full text):</w:t>
      </w:r>
      <w:r>
        <w:t xml:space="preserve"> Luxury represents a complex and multidimensional concept, encompassing economic, sociological, psychological, and marketing perspectives. While the literature on luxury goods is well established, the conceptualization of luxury services remains fragmented, often implicitly derived from theories developed for tangible products. This gap highlights the need for an integrative framework that addresses luxury within the specific context of services, characterized by intangibility, simultaneity of production and consumption, and value co-creation. In contemporary economies increasingly dominated by the service sector, services play a crucial role in enhancing quality of life, while also representing a significant component of household expenditure, GDP formation, and employment. Within this context, luxury services emerge as a distinct segment, reflecting both the diversification of market offerings and the evolving structure of consumption. The expansion of companies providing highly specialized and personalized services suggests the existence of a growing demand, supported by increasing purchasing power among certain consumer segments. These services range from advanced riskmanagement solutions and personalized domestic assistance to high-end medical care delivered in private settings, illustrating the breadth and complexity of luxury service provision. This paper aims to conceptu</w:t>
      </w:r>
    </w:p>
    <w:p>
      <w:pPr/>
      <w:r>
        <w:rPr>
          <w:b/>
        </w:rPr>
        <w:t>POSSIBLE 2026:</w:t>
      </w:r>
      <w:r>
        <w:t xml:space="preserve"> Renewable energy - the engine of the journey to the low carbon economy. A socio-economic perspective for European Union countries — https://doi.org/10.1016/j.renene.2026.125437</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The countries of the European Union (EU) are deeply engaged in the energy transition process, demonstrating a strong commitment to achieving sustainability and reducing carbon emissions. Public authorities across the member states have made remarkable efforts by developing and implementing comprehensive legal frameworks that encourage and enforce responsible behavior among both companies and consumers. These regulations are designed to facilitate the adoption of renewable energy sources, enhance energy efficiency, and promote innovations in clean technologies. Additionally, the legal measures support initiatives that foster corporate social responsibility and consumer awareness, ensuring that economic growth aligns with environmental protection. In this context, the present study aims to examine the correlations between various socio-economic and environmental factors influencing CO2 emissions across EU member states, with a focus on the often pronounced differences between EU15 and EU27 countries. Using a combination of statistical and machine learning methods, the study explores the relationship between carbon dioxide emissions and relevant indicators: foreign direct investment, energy consumption, urban population, and literacy rates. The goal is to provide insights that will prove useful in crafting actionable strategies at the policy-making level.</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pStyle w:val="Heading2"/>
      </w:pPr>
      <w:r>
        <w:t>906.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Modeling soil solution electrical conductivity across Europe — https://doi.org/10.1016/j.scitotenv.2026.182021</w:t>
      </w:r>
    </w:p>
    <w:p>
      <w:pPr/>
      <w:r>
        <w:rPr>
          <w:b/>
        </w:rPr>
        <w:t>Shared claim-specific concepts:</w:t>
      </w:r>
      <w:r>
        <w:t xml:space="preserve"> here, climate, predicted, data, predict;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Quantifying AMOC Uncertainty in European Climate Damage Projections — https://doi.org/10.5194/egusphere-egu26-8370</w:t>
      </w:r>
    </w:p>
    <w:p>
      <w:pPr/>
      <w:r>
        <w:rPr>
          <w:b/>
        </w:rPr>
        <w:t>Shared claim-specific concepts:</w:t>
      </w:r>
      <w:r>
        <w:t xml:space="preserve"> here, combine, climate; EU scope visible. This is a provisional connection, not an outcome finding.</w:t>
      </w:r>
    </w:p>
    <w:p>
      <w:pPr>
        <w:pStyle w:val="SourceNote"/>
      </w:pPr>
      <w:r>
        <w:rPr>
          <w:b/>
        </w:rPr>
        <w:t>Available abstract (not full text):</w:t>
      </w:r>
      <w:r>
        <w:t xml:space="preserve"> Estimates of economic damages from climate change in Europe depend on temperature projections, and they are thereby subject to scenario uncertainty and model uncertainty, as well as damage function uncertainty. An additional, often implicit source of uncertainty is the projected, yet poorly constrained, weakening of the Atlantic Meridional Overturning Circulation (AMOC), which would lower European temperatures. Here, I explicitly quantify the contribution of AMOC uncertainty to total damage uncertainty, with AMOC uncertainty comprising uncertainty about future AMOC developments as well as uncertainty about the cooling pattern that would follow an AMOC weakening. I combine a newly developed pattern-scaling-type emulator of the European cooling response to AMOC weakening — calibrated for different Earth system models (ESMs) — with temperature projections from multiple ESMs and emissions scenarios, alongside several damage functions. This allows me to decompose the total uncertainty in European economic damages into different drivers and estimate the share attributable to the behaviour of the AMOC.</w:t>
      </w:r>
    </w:p>
    <w:p>
      <w:pPr/>
      <w:r>
        <w:rPr>
          <w:b/>
        </w:rPr>
        <w:t>POSSIBLE 2026:</w:t>
      </w:r>
      <w:r>
        <w:t xml:space="preserve"> Public support for climate mitigation and adaptation policies across Europe — https://doi.org/10.31235/osf.io/cpwxt_v2</w:t>
      </w:r>
    </w:p>
    <w:p>
      <w:pPr/>
      <w:r>
        <w:rPr>
          <w:b/>
        </w:rPr>
        <w:t>Shared claim-specific concepts:</w:t>
      </w:r>
      <w:r>
        <w:t xml:space="preserve"> here, combine, climate, two; EU scope visible. This is a provisional connection, not an outcome finding.</w:t>
      </w:r>
    </w:p>
    <w:p>
      <w:pPr>
        <w:pStyle w:val="SourceNote"/>
      </w:pPr>
      <w:r>
        <w:rPr>
          <w:b/>
        </w:rPr>
        <w:t>Available abstract (not full text):</w:t>
      </w:r>
      <w:r>
        <w:t xml:space="preserve"> Understanding the drivers of public support for climate policies is crucial for designing socially feasible policy packages. However, most large-scale public opinion surveys focus primarily on mitigation policies. Here, we combine two representative survey waves from nine European countries (n = 27,910) to directly compare determinants of public support for climate change mitigation versus adaptation measures. We find that respondents support both mitigation and adaptation as policy objectives, but support specific adaptation policies slightly more than specific mitigation measures. Moreover, support for the two is shaped by a different composition of individual characteristics and policy evaluations. While adaptation support is driven primarily by perceived effectiveness, mitigation support is mostly driven by cost salience and politicisation. Our results suggest a stark difference in how Europeans incorporate the costs and benefits of mitigation versus adaptation policies into their support, and suggest avenues for remedying this imbalance.</w:t>
      </w:r>
    </w:p>
    <w:p>
      <w:pPr/>
      <w:r>
        <w:rPr>
          <w:b/>
        </w:rPr>
        <w:t>POSSIBLE 2026:</w:t>
      </w:r>
      <w:r>
        <w:t xml:space="preserve"> Public support for climate mitigation and adaptation policies across Europe — https://doi.org/10.31235/osf.io/cpwxt_v1</w:t>
      </w:r>
    </w:p>
    <w:p>
      <w:pPr/>
      <w:r>
        <w:rPr>
          <w:b/>
        </w:rPr>
        <w:t>Shared claim-specific concepts:</w:t>
      </w:r>
      <w:r>
        <w:t xml:space="preserve"> here, combine, climate, two; EU scope visible. This is a provisional connection, not an outcome finding.</w:t>
      </w:r>
    </w:p>
    <w:p>
      <w:pPr>
        <w:pStyle w:val="SourceNote"/>
      </w:pPr>
      <w:r>
        <w:rPr>
          <w:b/>
        </w:rPr>
        <w:t>Available abstract (not full text):</w:t>
      </w:r>
      <w:r>
        <w:t xml:space="preserve"> Understanding the drivers of public support for climate policies is crucial for designing socially feasible policy packages. However, most large-scale public opinion surveys focus primarily on mitigation policies. Here, we combine two representative survey waves from nine European countries (n = 27,910) to directly compare determinants of public support for climate change mitigation versus adaptation measures. We find that respondents support both mitigation and adaptation as policy objectives, but support specific adaptation policies slightly more than specific mitigation measures. Moreover, support for the two is shaped by a different composition of individual characteristics and policy evaluations. While adaptation support is driven primarily by perceived effectiveness, mitigation support is mostly driven by cost salience and politicisation. Our results suggest a stark difference in how Europeans incorporate the costs and benefits of mitigation versus adaptation policies into their support, and suggest avenues for remedying this imbalance.</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907.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2026:</w:t>
      </w:r>
      <w:r>
        <w:t xml:space="preserve"> The Economic and Technological Resilience in the European Union: Geopolitical Fragmentation, Economic Security and the Future of Competitiveness — https://doi.org/10.3390/world7080135</w:t>
      </w:r>
    </w:p>
    <w:p>
      <w:pPr/>
      <w:r>
        <w:rPr>
          <w:b/>
        </w:rPr>
        <w:t>Shared claim-specific concepts:</w:t>
      </w:r>
      <w:r>
        <w:t xml:space="preserve"> further, technological, industrial; EU scope visible. This is a provisional connection, not an outcome finding.</w:t>
      </w:r>
    </w:p>
    <w:p>
      <w:pPr>
        <w:pStyle w:val="SourceNote"/>
      </w:pPr>
      <w:r>
        <w:rPr>
          <w:b/>
        </w:rPr>
        <w:t>Available abstract (not full text):</w:t>
      </w:r>
      <w:r>
        <w:t xml:space="preserve"> The European Union operates in a highly fragmented international environment shaped by geopolitical rivalry, geoeconomic competition, technological disruption, and growing uncertainty regarding critical external dependencies. These developments have elevated economic security and resilience to the centre of European policymaking, challenging assumptions that traditionally linked economic openness with stability, prosperity, and sustainable development. The purpose of this article is to examine how geopolitical and geoeconomic fragmentation is reshaping the European Union’s approach to economic and technological resilience and to analyse the implications of this transformation for long-term competitiveness and sustainable development. Employing a qualitative research design based on policy analysis and systematic document analysis, supported by secondary statistical evidence from European and international institutional sources, the study investigates three interconnected dimensions of resilience: technological resilience, resource resilience, and competitiveness resilience. The findings indicate that the European Union is moving from an efficiency-oriented model of globalisation towards a resilience-oriented governance framework focused on managing sensitive dependencies in critical technologies, strategic resources, and supply chains. The analysis further demonstrates that res</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r>
        <w:rPr>
          <w:b/>
        </w:rPr>
        <w:t>POSSIBLE 2024:</w:t>
      </w:r>
      <w:r>
        <w:t xml:space="preserve"> European solidarity and social class. An uneasy alliance — https://doi.org/10.1080/07036337.2024.2318550</w:t>
      </w:r>
    </w:p>
    <w:p>
      <w:pPr/>
      <w:r>
        <w:rPr>
          <w:b/>
        </w:rPr>
        <w:t>Shared claim-specific concepts:</w:t>
      </w:r>
      <w:r>
        <w:t xml:space="preserve"> steps, political; EU scope visible. This is a provisional connection, not an outcome finding.</w:t>
      </w:r>
    </w:p>
    <w:p>
      <w:pPr>
        <w:pStyle w:val="SourceNote"/>
      </w:pPr>
      <w:r>
        <w:rPr>
          <w:b/>
        </w:rPr>
        <w:t>Available abstract (not full text):</w:t>
      </w:r>
      <w:r>
        <w:t xml:space="preserve"> In response to various crises and a growing Eurosceptic electorate, the European Union (EU) has taken steps to implement solidarity measures aimed at mitigating economic risks and inequalities among member states and their citizens. However, the social basis of support for such redistributive policies in a supranational context remains largely unexplored, despite the ongoing relevance of social class for crucial political outcomes related to European integration.To address this gap, this article distinguishes between transnational and member state solidarity, scrutinizing how the post-industrial division of social classes shapes these two dimensions of European solidarity. The research reveals that the post-industrial structure of social classes, significantly affects both forms of European solidarity, independent of attitudes toward redistribution and European integration. Furthermore, it highlights the transformative potential of supranational redistribution in fostering political support and social cohesion among production workers manifesting exclusive national identities.</w:t>
      </w:r>
    </w:p>
    <w:p>
      <w:pPr>
        <w:pStyle w:val="Heading2"/>
      </w:pPr>
      <w:r>
        <w:t>908.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2025:</w:t>
      </w:r>
      <w:r>
        <w:t xml:space="preserve"> Cardiometabolic biomarkers in blood and the risk of cerebrovascular disease — https://doi.org/10.5287/ora-8jnj92pky</w:t>
      </w:r>
    </w:p>
    <w:p>
      <w:pPr/>
      <w:r>
        <w:rPr>
          <w:b/>
        </w:rPr>
        <w:t>Shared claim-specific concepts:</w:t>
      </w:r>
      <w:r>
        <w:t xml:space="preserve"> finally, rsf, makes, use, level; EU scope visible. This is a provisional connection, not an outcome finding.</w:t>
      </w:r>
    </w:p>
    <w:p>
      <w:pPr>
        <w:pStyle w:val="SourceNote"/>
      </w:pPr>
      <w:r>
        <w:rPr>
          <w:b/>
        </w:rPr>
        <w:t>Available abstract (not full text):</w:t>
      </w:r>
      <w:r>
        <w:t xml:space="preserve"> Background: Studies have reported inconsistent associations, with little causal evidence, between metabolites and ischaemic stroke. The aim of this DPhil project is to understand the molecular mechanisms underlying ischaemic stroke and to identify predictive and causal biomarkers based on the sociodemographic, lifestyle, clinical, molecular, and genetic data in UK Biobank (UKB). Methods: I studied 249 plasma metabolites using the nuclear magnetic resonance platform from UKB (N = 274,355, median 13.8 follow-up years). First, I studied the association of each of these metabolites individually with ischaemic stroke using Cox proportional hazards regression adjusting for age, sex, ethnicity, lipid modifying medication, fasting time, spectrometers, assessment centres, smoking status, alcohol intake, dietary supplement use, 13 dietary variables, physical activity, body mass index, prevalent diabetes, and systolic blood pressure. Second, I applied extreme gradient boosting model (XGBoost) and random survival forests (RSF) to assess the additional predictive values of metabolites over traditional risk factors. The Boruta algorithm was used to procure the relevant metabolites related to ischaemic stroke. Finally, bidirectional two-sample Mendelian randomisation (MR) was used to evaluate the causal relationship of identified metabolites with ischaemic stroke. Genome-wide association stud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2024:</w:t>
      </w:r>
      <w:r>
        <w:t xml:space="preserve"> Trends in enrolment in primary, secondary and tertiary education in Egypt — https://doi.org/10.1787/7b2bf5af-en</w:t>
      </w:r>
    </w:p>
    <w:p>
      <w:pPr/>
      <w:r>
        <w:rPr>
          <w:b/>
        </w:rPr>
        <w:t>Shared claim-specific concepts:</w:t>
      </w:r>
      <w:r>
        <w:t xml:space="preserve"> makes, level; EU scope not established. This is a provisional connection, not an outcome finding.</w:t>
      </w:r>
    </w:p>
    <w:p>
      <w:pPr>
        <w:pStyle w:val="SourceNote"/>
      </w:pPr>
      <w:r>
        <w:rPr>
          <w:b/>
        </w:rPr>
        <w:t>Available abstract (not full text):</w:t>
      </w:r>
      <w:r>
        <w:t xml:space="preserve"> Growth has held up better in Egypt than in neighbouring countries until recently but inflation has reached very high levels and financing conditions have tightened along with foreign currency shortages. In this context, Egypt is stepping up economic reform efforts. The exchange rate needs to become more flexible with monetary policy geared to bring inflation down to target. High public debt makes Egypt more vulnerable to external shocks. Committing to a credible consolidation strategy is key to restore public finance health, which would improve investor confidence and thereby reduce debt servicing costs. While expanding cash transfers to the most vulnerable, broad-based energy subsidies should be phased out, which would also reduce emissions. As public investment has expanded substantially, further efforts to rationalise large-scale construction projects should be pursued, while allocating resources to green investment. To revive private sector growth, the regulatory burden and the state footprint ought to be reduced, and ongoing reforms including the divestment plan should be implemented fully and effectively. As the working-age population will expand with a rising education level, younger generations need to be better integrated into the labour market. This requires reducing labour taxation, enhancing public employment support and better aligning skills to labour market needs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pStyle w:val="Heading2"/>
      </w:pPr>
      <w:r>
        <w:t>909.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2026:</w:t>
      </w:r>
      <w:r>
        <w:t xml:space="preserve"> Exploring Principal Autonomy in the Emirates School Establishment: A Qualitative Case Study — https://doi.org/10.1080/15700763.2026.2636604</w:t>
      </w:r>
    </w:p>
    <w:p>
      <w:pPr/>
      <w:r>
        <w:rPr>
          <w:b/>
        </w:rPr>
        <w:t>Shared claim-specific concepts:</w:t>
      </w:r>
      <w:r>
        <w:t xml:space="preserve"> principal, although, need, across; EU scope not established. This is a provisional connection, not an outcome finding.</w:t>
      </w:r>
    </w:p>
    <w:p>
      <w:pPr>
        <w:pStyle w:val="SourceNote"/>
      </w:pPr>
      <w:r>
        <w:rPr>
          <w:b/>
        </w:rPr>
        <w:t>Available abstract (not full text):</w:t>
      </w:r>
      <w:r>
        <w:t xml:space="preserve"> School principals play a critical role in shaping school culture and leading reform. This study examined the degree of autonomy experienced by public school principals in the United Arab Emirates under the Emirates School Establishment (ESE), and explored the challenges they face within a centralized governance system. A qualitative multi-case study design was employed across eight public schools, involving semi-structured interviews with eleven school leaders (ten principals and one cluster manager). Findings are organized around five themes: executive management constraints on school-level decision-making; limited authority in personnel recruitment; the need for targeted leadership preparation to exercise autonomy effectively; restricted financial discretion; and the role of collaborative decision-making processes. Although participants demonstrated strong leadership capacity and commitment to school improvement, centralized structures were perceived to limit timely, context-responsive decision-making. The study concludes that recalibrating principal autonomy at the policy level—while maintaining clear accountability frameworks and strengthening leadership development systems—may enhance school effectiveness and responsiveness within the current governance model.</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component, general, across;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pStyle w:val="Heading2"/>
      </w:pPr>
      <w:r>
        <w:t>910.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2025:</w:t>
      </w:r>
      <w:r>
        <w:t xml:space="preserve"> EXPERIENCES OF FOREIGN STUDENTS IN SILESIA: KEY CONCLUSIONS FOR THE INTERNATIONALIZATION OF UNIVERSITIES AND THE REGION — https://doi.org/10.29119/1641-3466.2025.217.11</w:t>
      </w:r>
    </w:p>
    <w:p>
      <w:pPr/>
      <w:r>
        <w:rPr>
          <w:b/>
        </w:rPr>
        <w:t>Shared claim-specific concepts:</w:t>
      </w:r>
      <w:r>
        <w:t xml:space="preserve"> conclusions, internationalization, education, among, international, key; EU scope not established. This is a provisional connection, not an outcome finding.</w:t>
      </w:r>
    </w:p>
    <w:p>
      <w:pPr>
        <w:pStyle w:val="SourceNote"/>
      </w:pPr>
      <w:r>
        <w:rPr>
          <w:b/>
        </w:rPr>
        <w:t>Available abstract (not full text):</w:t>
      </w:r>
      <w:r>
        <w:t xml:space="preserve"> The article analyzes the internationalization of Silesian universities and the region, emphasizing the importance of collaboration between academic institutions and the local community.This synergy is essential for creating a supportive environment for international students, facilitating their adaptation and integration.The study of international students' experiences provides insights into the impact of internationalization on fostering an open and diverse academic community.Design/methodology/approach: The study employed an online survey conducted during the 2024/2025 academic year among international students at Silesian universities.The questionnaire combined closed-ended questions for quantitative analysis with open-ended questions to explore students' experiences in depth. Findings:The results reveal a variety of experiences among international students, highlighting both opportunities and challenges.Students appreciate the quality of education and affordability in the region but encounter administrative difficulties, language barriers, and challenges with social integration.These findings underscore the need to enhance internationalization strategies and foster a more inclusive academic environment. Research limitations/implications:The study was conducted on a pilot sample of 54 students, which limits its scope.Further research with a larger sample is required.Addition</w:t>
      </w:r>
    </w:p>
    <w:p>
      <w:pPr/>
      <w:r>
        <w:rPr>
          <w:b/>
        </w:rPr>
        <w:t>POSSIBLE 2025:</w:t>
      </w:r>
      <w:r>
        <w:t xml:space="preserve"> Hiring a Consulting Firm for Internationalization - The Role of Consulting in Decision-Making about Internationalization Processes from the Perspective of CH Group — https://openalex.org/W7112896486</w:t>
      </w:r>
    </w:p>
    <w:p>
      <w:pPr/>
      <w:r>
        <w:rPr>
          <w:b/>
        </w:rPr>
        <w:t>Shared claim-specific concepts:</w:t>
      </w:r>
      <w:r>
        <w:t xml:space="preserve"> internationalization, based, international, key, findings; EU scope visible. This is a provisional connection, not an outcome finding.</w:t>
      </w:r>
    </w:p>
    <w:p>
      <w:pPr>
        <w:pStyle w:val="SourceNote"/>
      </w:pPr>
      <w:r>
        <w:rPr>
          <w:b/>
        </w:rPr>
        <w:t>Available abstract (not full text):</w:t>
      </w:r>
      <w:r>
        <w:t xml:space="preserve"> This report investigates the strategic role of consulting firms in the internationalization enterprises, based on the experience gained during a curricular internship at Grupo CH.Through direct involvement in three distinct projects -TISSOA (focused on IT services and shared services outsourcing to Asia), SAVEURS du PORTUGAL (centered on the international promotion of agri-food products), and the reverse mission from Sweden and Scandinavian countries (supporting the natural stone sector) -the internship provided insights into how consulting firms help overcome key internationalization barriers.The report combines academic frameworks, such as the Uppsala Model, Dunning's Eclectic Paradigm, and network-based approaches, with practical consulting activities, highlighting the multidimensional role of consultants in reducing uncertainty, building capabilities, activating networks, and translating strategic goals into actionable plans.Ultimately, the findings confirm that internationalization consulting, when tailored to SMEs' constraints and sectoral realities, plays a crucial role in enabling sustainable and competitive global expansion.</w:t>
      </w:r>
    </w:p>
    <w:p>
      <w:pPr/>
      <w:r>
        <w:rPr>
          <w:b/>
        </w:rPr>
        <w:t>POSSIBLE 2025:</w:t>
      </w:r>
      <w:r>
        <w:t xml:space="preserve"> The internationalization of renewable energy finance — https://doi.org/10.1016/j.isci.2025.112367</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Mitigating climate change necessitates vast investments in clean energy technologies globally, requiring internationalization not only of knowledge, production, and policies but also finance. This article examines 42,291 renewable energy investment deals across OECD countries from 2004 to 2022, revealing highly international capital flows. Results show that $US 45.4B annually (45%) is invested across borders, with varying degrees between countries. Further, renewable energy investments increasingly mirror general foreign direct investment (89% correlation), indicating financial mainstreaming, which can contribute to rapid deployment. These results are primarily driven by onshore wind and solar photovoltaic (PV). While all technologies experienced increased international capital mobility, offshore wind leads with 76% of capital exiting borders, whereas biomass is largely financed domestically (36% international). In sum, while international capital mobility has been crucial for growth in RE deployment, substantial country and technology differences exist. Our findings offer insights for novel low-carbon technologies and inform future research.</w:t>
      </w:r>
    </w:p>
    <w:p>
      <w:pPr>
        <w:pStyle w:val="Heading2"/>
      </w:pPr>
      <w:r>
        <w:t>911.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2025:</w:t>
      </w:r>
      <w:r>
        <w:t xml:space="preserve"> Du cinéma au baccalauréat ? Définir une « matière cinéma » au lycée (1984-1995) — https://doi.org/10.4000/155qy</w:t>
      </w:r>
    </w:p>
    <w:p>
      <w:pPr/>
      <w:r>
        <w:rPr>
          <w:b/>
        </w:rPr>
        <w:t>Shared claim-specific concepts:</w:t>
      </w:r>
      <w:r>
        <w:t xml:space="preserve"> les, une, article; EU scope visible. This is a provisional connection, not an outcome finding.</w:t>
      </w:r>
    </w:p>
    <w:p>
      <w:pPr>
        <w:pStyle w:val="SourceNote"/>
      </w:pPr>
      <w:r>
        <w:rPr>
          <w:b/>
        </w:rPr>
        <w:t>Available abstract (not full text):</w:t>
      </w:r>
      <w:r>
        <w:t xml:space="preserve"> Le présent article se propose d’analyser la création et la pérennisation des options Cinéma et audiovisuel au lycée entre 1984 et 1995 en France. À partir d’un corpus de sources diverses, notamment une dizaine d’entretiens réalisés auprès d’enseignants ayant participé à ces premières « classes cinéma », il s’agit d’analyser la naissance d’un réseau spécifique autour des « premiers » professeurs de cinéma, mais également l’offre de formation qui leur est proposée, la conception des programmes, des évaluations et le choix des films étudiés, ainsi que les différents débats que suscite l’introduction de cette nouvelle « matière cinéma » au baccalauréat. Cette reconnaissance officielle est ainsi une étape majeure dans le long processus de légitimation du statut artistique du cinéma qui tend à devenir, du moins en principe, un enseignement à part entière, au même titre que la musique, le théâtre ou les arts plastiques.</w:t>
      </w:r>
    </w:p>
    <w:p>
      <w:pPr/>
      <w:r>
        <w:rPr>
          <w:b/>
        </w:rPr>
        <w:t>POSSIBLE 2025:</w:t>
      </w:r>
      <w:r>
        <w:t xml:space="preserve"> Développement de stratégies de production écrite en FLE à travers un dispositif hybride — https://doi.org/10.70675/19c50e6cz500dz4fa5z842fz1410618132f3</w:t>
      </w:r>
    </w:p>
    <w:p>
      <w:pPr/>
      <w:r>
        <w:rPr>
          <w:b/>
        </w:rPr>
        <w:t>Shared claim-specific concepts:</w:t>
      </w:r>
      <w:r>
        <w:t xml:space="preserve"> second, nario, les, cadre, pour, une; EU scope not established. This is a provisional connection, not an outcome finding.</w:t>
      </w:r>
    </w:p>
    <w:p>
      <w:pPr>
        <w:pStyle w:val="SourceNote"/>
      </w:pPr>
      <w:r>
        <w:rPr>
          <w:b/>
        </w:rPr>
        <w:t>Available abstract (not full text):</w:t>
      </w:r>
      <w:r>
        <w:t xml:space="preserve"> Cette recherche empirique s’inscrit dans le domaine de la didactique du français langue étrangère (FLE). Elle a pour objet l’enseignement explicite des stratégies de production écrite (SPE), au sein d’une formation hybride en langues (FHL) dédiée à la préparation du DELF B1 en contexte universitaire à Mexico. La question de recherche qu’elle poursuit est de savoir de quelle manière les apprenants mobilisent et développent ces stratégies au cours de la formation. Afin d’y répondre, nous avons, dans un premier temps, conçu un scénario pédagogique hybride centré sur l’explicitation et l’enseignement des stratégies d’écriture, aligné sur la perspective actionnelle et en adéquation avec le cadre théorique établi. Une étude de cas multiples nous a, dans un second temps, permis de recueillir des données, le tout en appui sur une posture de praticien-chercheur.La conception de la formation hybride est partie de constats issus de l’observation des pratiques d’enseignement de la production écrite dans l’établissement, marquées par une focalisation sur la correction grammaticale et orthographique, une attention limitée au processus de planification et de révision, ainsi qu’un écart entre les orientations institutionnels et les pratiques effectives des enseignants. À partir de ces constats, la formation a fait évoluer un enseignement de l’écrit préexistant, majoritairement focalisé sur le </w:t>
      </w:r>
    </w:p>
    <w:p>
      <w:pPr/>
      <w:r>
        <w:rPr>
          <w:b/>
        </w:rPr>
        <w:t>POSSIBLE 2025:</w:t>
      </w:r>
      <w:r>
        <w:t xml:space="preserve"> Developing Writing Strategies in French as a Foreign Language through a Blended Learning Program — https://openalex.org/W7140154779</w:t>
      </w:r>
    </w:p>
    <w:p>
      <w:pPr/>
      <w:r>
        <w:rPr>
          <w:b/>
        </w:rPr>
        <w:t>Shared claim-specific concepts:</w:t>
      </w:r>
      <w:r>
        <w:t xml:space="preserve"> second, nario, les, cadre, pour, une; EU scope not established. This is a provisional connection, not an outcome finding.</w:t>
      </w:r>
    </w:p>
    <w:p>
      <w:pPr>
        <w:pStyle w:val="SourceNote"/>
      </w:pPr>
      <w:r>
        <w:rPr>
          <w:b/>
        </w:rPr>
        <w:t>Available abstract (not full text):</w:t>
      </w:r>
      <w:r>
        <w:t xml:space="preserve"> Cette recherche empirique s’inscrit dans le domaine de la didactique du français langue étrangère (FLE). Elle a pour objet l’enseignement explicite des stratégies de production écrite (SPE), au sein d’une formation hybride en langues (FHL) dédiée à la préparation du DELF B1 en contexte universitaire à Mexico. La question de recherche qu’elle poursuit est de savoir de quelle manière les apprenants mobilisent et développent ces stratégies au cours de la formation. Afin d’y répondre, nous avons, dans un premier temps, conçu un scénario pédagogique hybride centré sur l’explicitation et l’enseignement des stratégies d’écriture, aligné sur la perspective actionnelle et en adéquation avec le cadre théorique établi. Une étude de cas multiples nous a, dans un second temps, permis de recueillir des données, le tout en appui sur une posture de praticien-chercheur.La conception de la formation hybride est partie de constats issus de l’observation des pratiques d’enseignement de la production écrite dans l’établissement, marquées par une focalisation sur la correction grammaticale et orthographique, une attention limitée au processus de planification et de révision, ainsi qu’un écart entre les orientations institutionnels et les pratiques effectives des enseignants. À partir de ces constats, la formation a fait évoluer un enseignement de l’écrit préexistant, majoritairement focalisé sur le </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pStyle w:val="Heading2"/>
      </w:pPr>
      <w:r>
        <w:t>912.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2026:</w:t>
      </w:r>
      <w:r>
        <w:t xml:space="preserve"> Plant Crude Polysaccharide‐Enabled Hydrogel Electrodes for Long‐Term Stable EMG Recording — https://doi.org/10.1002/adfm.79041</w:t>
      </w:r>
    </w:p>
    <w:p>
      <w:pPr/>
      <w:r>
        <w:rPr>
          <w:b/>
        </w:rPr>
        <w:t>Shared claim-specific concepts:</w:t>
      </w:r>
      <w:r>
        <w:t xml:space="preserve"> recording, often, interactions, however, incorporating; EU scope not established. This is a provisional connection, not an outcome finding.</w:t>
      </w:r>
    </w:p>
    <w:p>
      <w:pPr>
        <w:pStyle w:val="SourceNote"/>
      </w:pPr>
      <w:r>
        <w:rPr>
          <w:b/>
        </w:rPr>
        <w:t>Available abstract (not full text):</w:t>
      </w:r>
      <w:r>
        <w:t xml:space="preserve"> ABSTRACT Conductive hydrogels with high conductivity, flexibility, skin compatibility, and long‐term stability are essential for reliable bioelectrical signal recording in flexible bioelectronic interfaces for wearable health monitoring and human‐machine interaction. However, additive‐based enhancement often disrupts the intrinsic hydrogel network, leading to trade‐offs among conductivity, flexibility, biocompatibility, and long‐term stability. To address this challenge, we propose a conductive hydrogel formation strategy based on the endogenous synergy of plant‐derived polysaccharides. As a representative system, we constructed a gelatin/PCA‐Na hydrogel incorporating safflower crude polysaccharides, which was denoted as GPP. Plant‐derived polysaccharide systems contain abundant hydrophilic groups and active components, including phenolic and ketone groups, which introduce multiple hydrogen bonds and non‐covalent interactions into the hydrogel network. As a result, GPP exhibits strong overall performance, with an adhesion strength of 50.1 kPa and a conductivity of 6.3 S m −1 . Moreover, it enables repeated EMG recordings during 7‐day continuous wear, with the signal‐to‐noise ratio remaining above 30 dB, indicating stable skin contact and reliable signal output. In addition, the endogenous synergy mechanism was extended to Prunella vulgaris crude polysaccharides. Overall, this w</w:t>
      </w:r>
    </w:p>
    <w:p>
      <w:pPr/>
      <w:r>
        <w:rPr>
          <w:b/>
        </w:rPr>
        <w:t>POSSIBLE 2026:</w:t>
      </w:r>
      <w:r>
        <w:t xml:space="preserve"> Quantifying soybean biological nitrogen fixation using long-term isotope enrichment — https://doi.org/10.1007/s11104-026-08810-2</w:t>
      </w:r>
    </w:p>
    <w:p>
      <w:pPr/>
      <w:r>
        <w:rPr>
          <w:b/>
        </w:rPr>
        <w:t>Shared claim-specific concepts:</w:t>
      </w:r>
      <w:r>
        <w:t xml:space="preserve"> long-term, biological, however; EU scope not established. This is a provisional connection, not an outcome finding.</w:t>
      </w:r>
    </w:p>
    <w:p>
      <w:pPr>
        <w:pStyle w:val="SourceNote"/>
      </w:pPr>
      <w:r>
        <w:rPr>
          <w:b/>
        </w:rPr>
        <w:t>Available abstract (not full text):</w:t>
      </w:r>
      <w:r>
        <w:t xml:space="preserve"> Abstract Background and aims Biological nitrogen fixation (BNF) supplies much of soybean ( Glycine max (L.) Merr.) nitrogen (N) demand, but reported fixation rates vary widely, leading to uncertainty in the soybean N cycle. We quantified whole-plant soybean BNF and N allocation using long-term 15 N labeling to assess whether BNF can offset grain N removal in a high-yielding system, and to quantify root contributions to fixed N. Methods Field mesocosms in Iowa, USA received three legacy fertilizer N rates as 2 atom% 15 N-enriched urea for four prior seasons of maize ( Zea mays L.) production. In 2024, N-fixing and non-N-fixing soybeans were grown to physiological maturity. Grain, aboveground biomass, and roots were analyzed to quantify BNF and to estimate whole-plant N budget. Results Soybean derived 81.8% ± 1% (SE) of total plant N from BNF. Legacy N rate had no effect on whole-plant N accumulation, BNF, or N partitioning among tissues (p &gt; 0.05). Roots contained ~2% of total fixed N, with most BNF-derived N allocated to grain. High grain N removal was largely offset by BNF (174.7 ± 8.9 kg N ha −1 ), resulting in a near-neutral partial N balance (−5.7 ± 2 kg N ha⁻ 1 ). Conclusion From this one-season mesocosm study, our finding of negligible fixed N in soybean roots indicates that neglecting root BNF does not necessarily bias conclusions about soybean N cycle. However, the comb</w:t>
      </w:r>
    </w:p>
    <w:p>
      <w:pPr/>
      <w:r>
        <w:rPr>
          <w:b/>
        </w:rPr>
        <w:t>POSSIBLE 2026:</w:t>
      </w:r>
      <w:r>
        <w:t xml:space="preserve"> HEEPidermis: A Versatile SoC for BioZ Recording — https://doi.org/10.1109/lascas67804.2026.11457136</w:t>
      </w:r>
    </w:p>
    <w:p>
      <w:pPr/>
      <w:r>
        <w:rPr>
          <w:b/>
        </w:rPr>
        <w:t>Shared claim-specific concepts:</w:t>
      </w:r>
      <w:r>
        <w:t xml:space="preserve"> long-term, biological, recording, experiments; EU scope not established. This is a provisional connection, not an outcome finding.</w:t>
      </w:r>
    </w:p>
    <w:p>
      <w:pPr>
        <w:pStyle w:val="SourceNote"/>
      </w:pPr>
      <w:r>
        <w:rPr>
          <w:b/>
        </w:rPr>
        <w:t>Available abstract (not full text):</w:t>
      </w:r>
      <w:r>
        <w:t xml:space="preserve"> Biological impedance (BioZ) is an information-packed modality that allows for non-invasive monitoring of health and emotional state. Currently, most research involving tissue impedance is based on bulky or fixed-purpose hardware, which limits the scope of research and the possibilities of experiments. In this work, we present HEEPidermis: a System-on-Chip (SoC) which integrates all the blocks needed for tissue impedance measurement, including two 8-bit, arbitrary-signal current DACs, two VCO-based ADCs, and a RISC-V CPU to enable on-chip feature extraction for closed-loop operation. An event-based sub-sampler improves storage and energy efficiency for long-term recording. In addition to the versatile SoC, the digital back-end and behavioral models of the analog front-end are open-source, allowing fast system-level simulations or repurposing. The SoC was taped out on TSMC 65 nm LP process.</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pStyle w:val="Heading2"/>
      </w:pPr>
      <w:r>
        <w:t>913.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2025:</w:t>
      </w:r>
      <w:r>
        <w:t xml:space="preserve"> European Spatial Visions – Reflections from a practice perspective (The case of Austria) — https://doi.org/10.1080/02513625.2025.2518860</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The paper emphasizes the importance of spatial planning, argues for a reconceptualization of Europe’s internal stability and its role as a global actor. It outlines three steps for strengthening European spatial development: documenting and analyzing spatial development, presenting the spatial impact of sector policies, and adopting a decision-making role through integrated spatial development. The paper highlights the need for active participation in societal debates, the use of strategic visions, and the development of competences and resources to address future challenges. The transformation of the energy system and the design of equitable spatial development serve as illustrative examples that underscore the significance of these issues. From the perspective of planning practice, the authors draw conclusions about the (re-)formulation of spatial visions for Europe in 2050.</w:t>
      </w:r>
    </w:p>
    <w:p>
      <w:pPr/>
      <w:r>
        <w:rPr>
          <w:b/>
        </w:rPr>
        <w:t>POSSIBLE 2025:</w:t>
      </w:r>
      <w:r>
        <w:t xml:space="preserve"> U.S. approaches to economic development of Western Europe in the 1940s–1950s — https://doi.org/10.48015/2076-7404-2025-17-1-54-88</w:t>
      </w:r>
    </w:p>
    <w:p>
      <w:pPr/>
      <w:r>
        <w:rPr>
          <w:b/>
        </w:rPr>
        <w:t>Shared claim-specific concepts:</w:t>
      </w:r>
      <w:r>
        <w:t xml:space="preserve"> author, outlines, relations, second, according, financial; EU scope visible. This is a provisional connection, not an outcome finding.</w:t>
      </w:r>
    </w:p>
    <w:p>
      <w:pPr>
        <w:pStyle w:val="SourceNote"/>
      </w:pPr>
      <w:r>
        <w:rPr>
          <w:b/>
        </w:rPr>
        <w:t>Available abstract (not full text):</w:t>
      </w:r>
      <w:r>
        <w:t xml:space="preserve"> During World War II, the United States gained superpower status, which implied the active participation of American diplomacy in the establishment of the post-war world order. In this context, one of the cornerstones of U.S. foreign policy was the strengthening of relations with the countries of Western Europe, which found themselves on the front lines of the nascent Soviet-American confrontation. This article attempts to place the evolution of American approaches to the economic development of Western Europe in the 1940s–1950s into a broader context of the U.S. plans to build a global liberal economic order. The study of the American post-war policy toward Europe is particularly relevant, as it can help to better comprehend the current logic of trade and economic relations between the United States and the European Union. The first section of the article outlines the main milestones in the history of post-war international trade and financial institutions: the International Monetary Fund (IMF), the International Bank for Reconstruction and Development (IBRD), and the General Agreement on Tariffs and Trade (GATT). The author notes that during this period, the United States, taking advantage of the weakness and dependence of European countries, was able to effectively impose its vision of a global economic order on them. At the same time, the U.S. leadership soon realized that t</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pStyle w:val="Heading2"/>
      </w:pPr>
      <w:r>
        <w:t>914.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915.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2026:</w:t>
      </w:r>
      <w:r>
        <w:t xml:space="preserve"> Climate mitigation and adaptation strategies tailored for different types of European cities: a typology and associated systematic review — https://doi.org/10.1088/1748-9326/ae7e97</w:t>
      </w:r>
    </w:p>
    <w:p>
      <w:pPr/>
      <w:r>
        <w:rPr>
          <w:b/>
        </w:rPr>
        <w:t>Shared claim-specific concepts:</w:t>
      </w:r>
      <w:r>
        <w:t xml:space="preserve"> inertia, need, identify, challenges; EU scope visible. This is a provisional connection, not an outcome finding.</w:t>
      </w:r>
    </w:p>
    <w:p>
      <w:pPr>
        <w:pStyle w:val="SourceNote"/>
      </w:pPr>
      <w:r>
        <w:rPr>
          <w:b/>
        </w:rPr>
        <w:t>Available abstract (not full text):</w:t>
      </w:r>
      <w:r>
        <w:t xml:space="preserve"> Abstract Amidst escalating climate impacts and continued emissions, numerous case studies have examined how cities can mitigate and adapt to climate change. Yet, systematic cross-sectoral and cross-impact assessments that identify which climate actions are relevant to which types of cities remain limited. This study addresses this gap for Europe through a data-driven analysis of European cities, categorising them into four distinct city types ( Shrinking cities, Growing cities, Established cities, Metropolises ), quantitatively analysing their need and capacity to act on climate change, and providing a systematic overview of effective climate action strategies for each of these clusters. Based on harmonised data for all 1263 cities in Europe, we identify sectoral and climate impact hotspots requiring concerted climate action across the four city types. These include reducing building- and transport-related greenhouse gas emissions in Metropolises and Established cities , heat and drought risk in Growing cities , and flood risk in Shrinking cities . Drawing on the existing case study literature comprising 1613 climate action assessments, we provide context-specific recommendations for addressing these climate hotspots and unlocking co-benefits by overcoming reported implementation challenges such as limited finance, local governance capacity, behavioural inertia and distribution</w:t>
      </w:r>
    </w:p>
    <w:p>
      <w:pPr/>
      <w:r>
        <w:rPr>
          <w:b/>
        </w:rPr>
        <w:t>POSSIBLE 2026:</w:t>
      </w:r>
      <w:r>
        <w:t xml:space="preserve"> Institutional inertia and labor market adjustment in a late-reforming emerging economy — https://doi.org/10.14254/2071-789x.2026/19-2/3</w:t>
      </w:r>
    </w:p>
    <w:p>
      <w:pPr/>
      <w:r>
        <w:rPr>
          <w:b/>
        </w:rPr>
        <w:t>Shared claim-specific concepts:</w:t>
      </w:r>
      <w:r>
        <w:t xml:space="preserve"> inertia, need, identify; EU scope visible. This is a provisional connection, not an outcome finding.</w:t>
      </w:r>
    </w:p>
    <w:p>
      <w:pPr>
        <w:pStyle w:val="SourceNote"/>
      </w:pPr>
      <w:r>
        <w:rPr>
          <w:b/>
        </w:rPr>
        <w:t>Available abstract (not full text):</w:t>
      </w:r>
      <w:r>
        <w:t xml:space="preserve"> Structural transformation in emerging economies often proceeds without a clear movement of labor into high-productivity sectors. This paper examines that pattern through Uzbekistan, a late-reforming economy in Central Asia, and reads its labor market trajectory against the wider post-socialist experience, drawing on Kazakhstan and Poland as contextual benchmarks. Using shift-share decomposition together with matched domain-specific and pooled panel regressions, we identify the sectors that drove employment change and assess how the supply of graduates relates to sectoral labor absorption. Employment change has followed a mainly service-led path, with manufacturing playing only a limited role in net job creation. The link between education and employment is uneven across sectors. Absorption is stronger in a few knowledge-intensive and highly skilled activities and weaker across several broader training areas. This pattern raises the question of whether labor reallocation is productivity-enhancing and underscores the need to align the expansion of higher education with the changing structure of labor demand.</w:t>
      </w:r>
    </w:p>
    <w:p>
      <w:pPr/>
      <w:r>
        <w:rPr>
          <w:b/>
        </w:rPr>
        <w:t>POSSIBLE 2026:</w:t>
      </w:r>
      <w:r>
        <w:t xml:space="preserve"> How do collective identities influence sector‐wide digital transformations? Insights from the European cooperative sector — https://doi.org/10.1111/emre.70057</w:t>
      </w:r>
    </w:p>
    <w:p>
      <w:pPr/>
      <w:r>
        <w:rPr>
          <w:b/>
        </w:rPr>
        <w:t>Shared claim-specific concepts:</w:t>
      </w:r>
      <w:r>
        <w:t xml:space="preserve"> sector, perspective, focusing; EU scope visible. This is a provisional connection, not an outcome finding.</w:t>
      </w:r>
    </w:p>
    <w:p>
      <w:pPr>
        <w:pStyle w:val="SourceNote"/>
      </w:pPr>
      <w:r>
        <w:rPr>
          <w:b/>
        </w:rPr>
        <w:t>Available abstract (not full text):</w:t>
      </w:r>
      <w:r>
        <w:t xml:space="preserve"> Abstract This paper applies the multilevel perspective (MLP) theory to investigate how collective identities influence sector‐wide digital transformations, focusing on the cooperative sector in Europe. By employing a wide mix of primary and secondary data from platform and incumbent cooperatives, our analysis showed that collective identities facilitate sector‐wide digital transformations by mobilizing resources and enhancing the legitimacy of niche innovations. However, they can also act as a source of friction across the different phases theorized by the MLP. Drawing on these findings, we propose a novel framework that links the influence of collective identities with overarching narratives framing digital transformation as either a threat, an inevitable tendency, or an opportunity to reaffirm collective identities. In addition to expanding current theorization on the role of collective identities, narratives, and intermediaries in sociotechnical transitions, our analysis urges managers and intermediary organizations to take the lead on the co‐creation of sector‐specific digital transformation narratives, reconciling collective identities with transition processes (and vice versa).</w:t>
      </w:r>
    </w:p>
    <w:p>
      <w:pPr/>
      <w:r>
        <w:rPr>
          <w:b/>
        </w:rPr>
        <w:t>POSSIBLE 2026:</w:t>
      </w:r>
      <w:r>
        <w:t xml:space="preserve"> Polish transport in a changing Europe – 20 years of change — https://doi.org/10.18559/978-83-8211-309-9/9</w:t>
      </w:r>
    </w:p>
    <w:p>
      <w:pPr/>
      <w:r>
        <w:rPr>
          <w:b/>
        </w:rPr>
        <w:t>Shared claim-specific concepts:</w:t>
      </w:r>
      <w:r>
        <w:t xml:space="preserve"> transport, investments, made; EU scope visible. This is a provisional connection, not an outcome finding.</w:t>
      </w:r>
    </w:p>
    <w:p>
      <w:pPr>
        <w:pStyle w:val="SourceNote"/>
      </w:pPr>
      <w:r>
        <w:rPr>
          <w:b/>
        </w:rPr>
        <w:t>Available abstract (not full text):</w:t>
      </w:r>
      <w:r>
        <w:t xml:space="preserve"> Two decades of EU membership are used to evaluate how infrastructure funding has transformed Polish transport. The chapter combines a literature review, EU funding data, statistical indicators and selected case studies of major road, rail, urban transport and waterway investments. Road and rail systems receive particular attention because they reveal the tangible effects of cohesion-policy financing. EU funds made possible projects that exceeded domestic financing capacity, including express roads, railway modernisation, rolling-stock purchases, tram routes and the Warsaw metro. Observable outcomes include expanded infrastructure, improved road safety, and fewer casualties and strong growth in railway passenger numbers, despite the interruption caused by the COVID-19 pandemic. The chapter reveals a clear connection between investment and transport quality. Continued funding can further support decarbonisation, accessibility and competitiveness across the Polish economy.</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pStyle w:val="Heading2"/>
      </w:pPr>
      <w:r>
        <w:t>916.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2023:</w:t>
      </w:r>
      <w:r>
        <w:t xml:space="preserve"> Cards against gamification: Using a role-playing game to tell alternative futures in the gig economy — https://doi.org/10.1177/00380261231184755</w:t>
      </w:r>
    </w:p>
    <w:p>
      <w:pPr/>
      <w:r>
        <w:rPr>
          <w:b/>
        </w:rPr>
        <w:t>Shared claim-specific concepts:</w:t>
      </w:r>
      <w:r>
        <w:t xml:space="preserve"> several, cards, reach, beyond; EU scope not established. This is a provisional connection, not an outcome finding.</w:t>
      </w:r>
    </w:p>
    <w:p>
      <w:pPr>
        <w:pStyle w:val="SourceNote"/>
      </w:pPr>
      <w:r>
        <w:rPr>
          <w:b/>
        </w:rPr>
        <w:t>Available abstract (not full text):</w:t>
      </w:r>
      <w:r>
        <w:t xml:space="preserve"> The discussions on the future of work are pulled between technological optimism and the increasing concerns regarding the precarity brought about by the gig economy. Often, these scenarios fail to meaningfully engage and account for the workers’ experiences, whose agency in effectively shaping their working future is denied and obscured behind discourses of autonomy, entrepreneurship and individual responsibility. In the context of the increased use of gamification strategies by platforms to both monitor and incentivise couriers, this article examines the capacity of playful methods to act as effective forms of engagement and mobilisation amongst gig workers. A workshop with this aim was run online in April 2021, at the end of the third Covid lockdown in the UK, using a role-playing card game with food couriers in Manchester. It drew on ethnographic data to explore how to support empathy and solidarity amongst couriers, how to facilitate the creation of a shared pool of knowledge about the job and how to reconfigure other stakeholders’ roles to improve working conditions. We finally offer some ideas to take the game beyond the workshop space suggesting several pathways for the future: a face-to-face game using printed cards, an open-source version of the game and collaborating with trade unions to reach more couriers.</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pStyle w:val="Heading2"/>
      </w:pPr>
      <w:r>
        <w:t>917.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2026:</w:t>
      </w:r>
      <w:r>
        <w:t xml:space="preserve"> Patient satisfaction towards pharmacists’ services in the community pharmacies in the Hail region — https://doi.org/10.1371/journal.pone.0354731</w:t>
      </w:r>
    </w:p>
    <w:p>
      <w:pPr/>
      <w:r>
        <w:rPr>
          <w:b/>
        </w:rPr>
        <w:t>Shared claim-specific concepts:</w:t>
      </w:r>
      <w:r>
        <w:t xml:space="preserve"> three, community, pharmacists, health, all, pharmaceutical; EU scope not established. This is a provisional connection, not an outcome finding.</w:t>
      </w:r>
    </w:p>
    <w:p>
      <w:pPr>
        <w:pStyle w:val="SourceNote"/>
      </w:pPr>
      <w:r>
        <w:rPr>
          <w:b/>
        </w:rPr>
        <w:t>Available abstract (not full text):</w:t>
      </w:r>
      <w:r>
        <w:t xml:space="preserve"> OBJECTIVES: Research on patient satisfaction with community pharmacy services in Saudi Arabia has mostly concentrated on large cities, leaving a significant gap in understanding these services within the Hail region. Evaluating patient satisfaction in Hail is essential to address regional service gaps in privacy and counseling. Thus, this study was designed to assess the patient satisfaction with community pharmacy services in the Hail region. METHODS: This cross-sectional study targeting the community pharmacy visitors in Hail region was conducted among 200 participants for a duration of three months (i.e., from 14 June 2024-29 September 2024). Patient satisfaction was assessed by a reliable and valid questionnaire. The instrument consisted of 17 items; and all of them were 5-point Likert scale responses (Poor = 1, Fair = 2, Good = 3, Very good = 4, Excellent = 5). To guarantee diverse geographic representation, 20 community pharmacies were purposefully chosen from several Hail City districts. In order to achieve balanced sample across all sites, a total of 200 participants were recruited, with roughly 10 patients joined from each Pharmacy. The data was analyzed for descriptive statistics using the SPSS, version 29.0. RESULTS: The majority of the 200 participants in this study (mean age of 37.5 years) were married (60.5%) and male (56.5%). More than half had only completed hig</w:t>
      </w:r>
    </w:p>
    <w:p>
      <w:pPr/>
      <w:r>
        <w:rPr>
          <w:b/>
        </w:rPr>
        <w:t>POSSIBLE 2026:</w:t>
      </w:r>
      <w:r>
        <w:t xml:space="preserve"> Towards an inclusive curriculum? Comparing the curricular regimes of three European countries — https://doi.org/10.1080/08856257.2026.2692090</w:t>
      </w:r>
    </w:p>
    <w:p>
      <w:pPr/>
      <w:r>
        <w:rPr>
          <w:b/>
        </w:rPr>
        <w:t>Shared claim-specific concepts:</w:t>
      </w:r>
      <w:r>
        <w:t xml:space="preserve"> design, three, role, all; EU scope visible. This is a provisional connection, not an outcome finding.</w:t>
      </w:r>
    </w:p>
    <w:p>
      <w:pPr>
        <w:pStyle w:val="SourceNote"/>
      </w:pPr>
      <w:r>
        <w:rPr>
          <w:b/>
        </w:rPr>
        <w:t>Available abstract (not full text):</w:t>
      </w:r>
      <w:r>
        <w:t xml:space="preserve"> This paper examines the evolution, status, and enactment of curricular regimes in relation to inclusive and special education policies in Austria, Cyprus and Sweden. While curricula are widely recognised as a central interface between policy and practice, their role in fostering or hindering inclusive education has received limited attention in comparative research. Drawing on structured country case studies, we trace national trajectories since the 1960s, highlighting how historical legacies, governance structures and international discourses shaped curricular approaches for students with disabilities. Our analysis shows that despite differing paths (Austria’s impairment-specific special school curricula, Cyprus’ ostensible ‘curriculum for all’, and Sweden’s early moves towards curricular alignment followed by renewed differentiation) all three regimes reproduce forms of segregation, most prominently for students with intellectual disabilities. Moreover, recent reforms aiming to harmonise curricula across settings often perpetuate ableist categorisations, particularly in the interplay of curricula, special educational needs frameworks and individualised education plans. We argue that curricular design and enactment remain key to understanding the tensions between inclusive rhetoric and exclusionary practices. By comparing national regimes, we identify shared patterns of path d</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pStyle w:val="Heading2"/>
      </w:pPr>
      <w:r>
        <w:t>918.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2024:</w:t>
      </w:r>
      <w:r>
        <w:t xml:space="preserve"> Introduction: the political philosophy of hope — https://doi.org/10.1080/13698230.2024.2344380</w:t>
      </w:r>
    </w:p>
    <w:p>
      <w:pPr/>
      <w:r>
        <w:rPr>
          <w:b/>
        </w:rPr>
        <w:t>Shared claim-specific concepts:</w:t>
      </w:r>
      <w:r>
        <w:t xml:space="preserve"> hope, about, role; EU scope not established. This is a provisional connection, not an outcome finding.</w:t>
      </w:r>
    </w:p>
    <w:p>
      <w:pPr>
        <w:pStyle w:val="SourceNote"/>
      </w:pPr>
      <w:r>
        <w:rPr>
          <w:b/>
        </w:rPr>
        <w:t>Available abstract (not full text):</w:t>
      </w:r>
      <w:r>
        <w:t xml:space="preserve"> Hope is in a twofold crises in Western societies: perceived as unavailable by some and as undesirable by others. Against this background, this introduction argues that there is a need to ask anew what (if anything) citizens should hope for. After some introductory remarks both about the current role of hope in the public arena and important developments in recent philosophical debates, I provide an overview of the contributions to the Special Issue. Through a variety of theoretical lenses and from a variety of theoretical backgrounds, the contributors systematically ask which hopes (if any) we should cultivate or whether it may sometimes be necessary to let go of certain hopes. While they agree that hope is indispensable as a way of dealing with our fragility and sustaining our resolve, it is not without dangers. What emerges is a profile of hope as a complex and ambivalent attitude that has so far received too little attention by political philosophers, despite its prominent and increasingly contested role in political practice.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pStyle w:val="Heading2"/>
      </w:pPr>
      <w:r>
        <w:t>919.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show, area, significantly, but, remains, land;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Mapping grassland and pastoral land use with livestock-density and grazing-presence proxies across Europe — https://doi.org/10.1088/2976-601x/ae8e7e</w:t>
      </w:r>
    </w:p>
    <w:p>
      <w:pPr/>
      <w:r>
        <w:rPr>
          <w:b/>
        </w:rPr>
        <w:t>Shared claim-specific concepts:</w:t>
      </w:r>
      <w:r>
        <w:t xml:space="preserve"> area, but, land, use; EU scope visible. This is a provisional connection, not an outcome finding.</w:t>
      </w:r>
    </w:p>
    <w:p>
      <w:pPr>
        <w:pStyle w:val="SourceNote"/>
      </w:pPr>
      <w:r>
        <w:rPr>
          <w:b/>
        </w:rPr>
        <w:t>Available abstract (not full text):</w:t>
      </w:r>
      <w:r>
        <w:t xml:space="preserve"> Abstract Grasslands and other grazed habitats play an important role in European agricultural systems, yet they are being degraded through under- and overgrazing, abandonment, and conversion to other land uses. Supporting more sustainable grassland and pastoral land use requires spatially explicit information on grazing presence, livestock density and related land-cover types, but harmonized data remain limited at high spatial and temporal resolution. In this paper, we present high-resolution maps of grassland and pastoral land-use proxy classes for the EU27+ countries for 2000, 2010 and 2018. The maps combine Corine Land Cover (CLC) with livestock-density data and modelled estimates of grazing, indoor or non-grazing livestock, and grazing in semi-natural areas. These inputs are used as the best currently available pan-European proxies for distinguishing broad livestock-density gradients and likely grazing presence across grassland and related pastoral land-cover classes. The maps were evaluated through a qualitative consultation with European grassland experts, who provided feedback on the broad spatial patterns represented in their countries. We also compared the 2018 map with mowing-event data for Austria, Germany and the EU, including data from the Copernicus high resolution layer on Vegetated land cover characteristics, to assess whether mowing events were more prevalent i</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pStyle w:val="Heading2"/>
      </w:pPr>
      <w:r>
        <w:t>920.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2026:</w:t>
      </w:r>
      <w:r>
        <w:t xml:space="preserve"> Assessment and Potential of Geothermal Energy in Romania: A Path to Sustainable Heating Solutions — https://doi.org/10.3390/eng7070361</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paper explores the underutilized potential of geothermal energy in Romania, focusing on both shallow and deep geothermal systems as sustainable alternatives for heating applications. Romania’s unique geological features, particularly the Pannonian Depression, offer significant geothermal resources, yet these remain largely untapped in many regions. This study presents an analysis of the country’s geothermal reservoirs, highlighting their spatial distribution, thermophysical properties, and technical potential. In-depth data on aquifer characteristics, including temperatures, depths, and capacities, supports a comprehensive assessment of the energy output achievable from these natural systems. Current applications of geothermal resources are reviewed, including successful projects in Oradea and Timiș County, which demonstrate the viability of geothermal systems for residential and commercial heating. Furthermore, this study discusses Romania’s regulatory landscape and incentive frameworks aligned with European Union standards, identifying key barriers and opportunities for growth. With a robust foundation of technical and spatial data, this paper underscores the strategic role geothermal energy can play in Romania’s transition to a low-carbon economy, supporting both environmental sustainability and energy resilience. The results demonstrate how geomatics-based resource mapp</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pStyle w:val="Heading2"/>
      </w:pPr>
      <w:r>
        <w:t>921.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2026:</w:t>
      </w:r>
      <w:r>
        <w:t xml:space="preserve"> Multi-Model Ensemble Approaches in Air Quality Prediction: A Comprehensive Review from Chemical Transport Models to Hybrid Machine Learning — https://doi.org/10.3390/atmos17070689</w:t>
      </w:r>
    </w:p>
    <w:p>
      <w:pPr/>
      <w:r>
        <w:rPr>
          <w:b/>
        </w:rPr>
        <w:t>Shared claim-specific concepts:</w:t>
      </w:r>
      <w:r>
        <w:t xml:space="preserve"> multi-model, ensemble, regional, high; EU scope visible. This is a provisional connection, not an outcome finding.</w:t>
      </w:r>
    </w:p>
    <w:p>
      <w:pPr>
        <w:pStyle w:val="SourceNote"/>
      </w:pPr>
      <w:r>
        <w:rPr>
          <w:b/>
        </w:rPr>
        <w:t>Available abstract (not full text):</w:t>
      </w:r>
      <w:r>
        <w:t xml:space="preserve"> Over the past two decades, air-quality prediction has moved from a mainly single-model paradigm toward ensemble systems that make explicit use of diversity across models, observations, and data streams. This review connects developments that are often treated separately: chemical transport model (CTM) ensembles, tree-based and hybrid machine learning ensembles, deep learning architectures, physics-informed neural networks, and distributed approaches such as federated learning. Evidence summarized from recent systematic reviews and coordinated modeling initiatives indicates that, within comparable validation settings, ensembles often outperform individual models for PM2.5, PM10, O3, NO2, CO, and SO2 across a broad range of spatial scales and standard error metrics, including RMSE, MAE, and correlation. Operational CTM ensembles, such as the Copernicus Atmosphere Monitoring Service (CAMS) European system with eleven regional models, improve both forecast skill and uncertainty characterization for ozone and particulate matter. In data-driven applications, tree-based ensembles (Random Forest, gradient boosting, XGBoost, LightGBM) and hybrid deep architectures (CNN–LSTM models, attention-based multi-branch networks, graph neural networks) now form a core part of the state of the art for AQI (Air Quality Index) and particulate-matter estimation from structured and multi-source data. </w:t>
      </w:r>
    </w:p>
    <w:p>
      <w:pPr/>
      <w:r>
        <w:rPr>
          <w:b/>
        </w:rPr>
        <w:t>POSSIBLE 2026:</w:t>
      </w:r>
      <w:r>
        <w:t xml:space="preserve"> Interpretable machine learning for CMIP6 multi-model ensembles — https://doi.org/10.1017/eds.2026.10044</w:t>
      </w:r>
    </w:p>
    <w:p>
      <w:pPr/>
      <w:r>
        <w:rPr>
          <w:b/>
        </w:rPr>
        <w:t>Shared claim-specific concepts:</w:t>
      </w:r>
      <w:r>
        <w:t xml:space="preserve"> multi-model, ensemble, climate, used, temperature, precipitation; EU scope not established. This is a provisional connection, not an outcome finding.</w:t>
      </w:r>
    </w:p>
    <w:p>
      <w:pPr>
        <w:pStyle w:val="SourceNote"/>
      </w:pPr>
      <w:r>
        <w:rPr>
          <w:b/>
        </w:rPr>
        <w:t>Available abstract (not full text):</w:t>
      </w:r>
      <w:r>
        <w:t xml:space="preserve"> Abstract Multi-model ensembles are widely used in climate science, yet Coupled Model Intercomparison Project Phase 6 (CMIP6) models are neither independent nor equally skillful. We present a framework for interpretable ensemble learning that improves prediction while making model contributions explicit. Using monthly CMIP6 near-surface temperature and precipitation (1948–2014) against ERA5, we compare arithmetic multi-model ensemble (AMME) averaging with Ridge regression, random forest, and a continuous gating mixture that adaptively interpolates between them. On held-out test years (2006–2014), gating achieves the best temperature performance and improves precipitation distributional behavior relative to both AMME and individual learners. We trace these gains back to individual models and space: dominant-cluster and dominant-model maps show that gating reallocates trust in regionally coherent patterns rather than collapsing to a single best model, while entropy-based diagnostics quantify where trust is concentrated versus distributed. These analyses provide a practical pathway for transparent ensemble learning that supports both predictive skill and scientific accountability.</w:t>
      </w:r>
    </w:p>
    <w:p>
      <w:pPr/>
      <w:r>
        <w:rPr>
          <w:b/>
        </w:rPr>
        <w:t>POSSIBLE 2026:</w:t>
      </w:r>
      <w:r>
        <w:t xml:space="preserve"> Developing Guidelines for working with Multi-Model Ensembles in CMIP — https://doi.org/10.5194/esd-17-495-2026</w:t>
      </w:r>
    </w:p>
    <w:p>
      <w:pPr/>
      <w:r>
        <w:rPr>
          <w:b/>
        </w:rPr>
        <w:t>Shared claim-specific concepts:</w:t>
      </w:r>
      <w:r>
        <w:t xml:space="preserve"> multi-model, ensemble, climate, projections; EU scope not established. This is a provisional connection, not an outcome finding.</w:t>
      </w:r>
    </w:p>
    <w:p>
      <w:pPr>
        <w:pStyle w:val="SourceNote"/>
      </w:pPr>
      <w:r>
        <w:rPr>
          <w:b/>
        </w:rPr>
        <w:t>Available abstract (not full text):</w:t>
      </w:r>
      <w:r>
        <w:t xml:space="preserve"> Abstract. Earth System Models (ESMs) are the key tool for studying the climate under changing conditions. Over recent decades, it has been established to not only rely on projections of a single model but to combine various ESMs in multi-model ensembles (MMEs) to improve robustness and quantify the uncertainty of the projections. The data access for MME studies has been fundamentally facilitated by the World Climate Research Programme's Coupled Model Intercomparison Project (CMIP) - a collaborative effort bringing together ESMs from modelling communities all over the world. Despite the CMIP standardisation processes, addressing specific research questions using MMEs requires unique ensemble design, analysis, and interpretation choices. Based on the collective expertise within the Fresh Eyes on CMIP initiative, mainly composed of early-career researchers engaged in CMIP, we have identified common issues and questions encountered while working with climate MMEs. In this project, we provide a comprehensive literature review addressing these questions. We provide statistics tracing the development of the climate MMEs analysis field throughout the last decades, and, synthesising existing studies, we outline guidelines regarding model evaluation, model dependence, weighting methods, and uncertainty treatment. We summarize a collection of useful resources for MME studies, we review co</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pStyle w:val="Heading2"/>
      </w:pPr>
      <w:r>
        <w:t>922.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2026:</w:t>
      </w:r>
      <w:r>
        <w:t xml:space="preserve"> Anthropogenic aerosol forcing of European windstorms in CMIP6 climate models — https://doi.org/10.5194/nhess-26-4663-2026</w:t>
      </w:r>
    </w:p>
    <w:p>
      <w:pPr/>
      <w:r>
        <w:rPr>
          <w:b/>
        </w:rPr>
        <w:t>Shared claim-specific concepts:</w:t>
      </w:r>
      <w:r>
        <w:t xml:space="preserve"> validated, climate, three, decades; EU scope visible. This is a provisional connection, not an outcome finding.</w:t>
      </w:r>
    </w:p>
    <w:p>
      <w:pPr>
        <w:pStyle w:val="SourceNote"/>
      </w:pPr>
      <w:r>
        <w:rPr>
          <w:b/>
        </w:rPr>
        <w:t>Available abstract (not full text):</w:t>
      </w:r>
      <w:r>
        <w:t xml:space="preserve"> A recently developed set of historical storm reconstructions were extensively validated by insurance loss data and revealed how European windstorm damages were three times higher in the 1980s and '90s compared to a few decades before and since. A better understanding of these slower fluctuations could improve how this costly risk is managed. Here, we explore the impacts of anthropogenic aerosols (AA) on European property damage using results from DAMIP (Detection and Attribution Model Intercomparison Project) climate model experiments. Multimodel mean DAMIP results indicate AA boosted European wind losses by 45 % in the late 20th century relative to preindustrial times, with the signal varying from zero to 100 % between the six models. A validation of these modelling results using independent data from previous climate studies suggested the signal is more likely to be at the higher end of this range. While this evidence suggests AA forcing contributed significantly to recent multidecadal changes in European windstorm losses, there remains significant uncertainties in model responses and the observational data used in their validation. Further research would benefit those exposed to this hazard.</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Outpacing climate change: adaptation to heatwaves in Europe — https://doi.org/10.1007/s00484-025-02872-0</w:t>
      </w:r>
    </w:p>
    <w:p>
      <w:pPr/>
      <w:r>
        <w:rPr>
          <w:b/>
        </w:rPr>
        <w:t>Shared claim-specific concepts:</w:t>
      </w:r>
      <w:r>
        <w:t xml:space="preserve"> climate, observed, current;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Selecting CMIP6 models to assess the impact of climate change on energy need for heating and cooling in Europe — https://doi.org/10.1007/s00704-024-05263-4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The CMIP project has reached the end of its sixth phase, with a large set of simulations: 30 research entities, 40 different climate models, and 8 socio-economic scenarios. All the simulations represent a very large volume of data amounting to more than 30 Petabytes. The exploitation of all the simulations in impact studies would be extremely costly in computing time and storage. Moreover, these models suffer from several sources of uncertainties (coarse spatial resolution, physical parameterizations, ...) which produce large systematic biases when they are compared to observations. This study details an approach developed for the selection of a subset of simulations from the CMIP6 multi-model ensemble to assess the impact of climate change on the energy demand in Europe. At a climatic time scale, besides socio-economic factors, energy demand variability and evolution depend mainly on air temperature (and to a lesser extent, wind speed, and humidity). The developed process of selection combines two main criteria applied to the daily mean, maximum, and minimum air temperature from all CMIP6 simulations where these variables are available. The first one consists of choosing a subset of models that represents the whole range of possible temperature changes in the future compared to the historical climate. The second criterion considers the skills of the CMIP6 historical s</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2024:</w:t>
      </w:r>
      <w:r>
        <w:t xml:space="preserve"> How many drugs are repositioned each year in Europe? — https://doi.org/10.1111/jwip.12327</w:t>
      </w:r>
    </w:p>
    <w:p>
      <w:pPr/>
      <w:r>
        <w:rPr>
          <w:b/>
        </w:rPr>
        <w:t>Shared claim-specific concepts:</w:t>
      </w:r>
      <w:r>
        <w:t xml:space="preserve"> conclude, over, last, decades, use; EU scope visible. This is a provisional connection, not an outcome finding.</w:t>
      </w:r>
    </w:p>
    <w:p>
      <w:pPr>
        <w:pStyle w:val="SourceNote"/>
      </w:pPr>
      <w:r>
        <w:rPr>
          <w:b/>
        </w:rPr>
        <w:t>Available abstract (not full text):</w:t>
      </w:r>
      <w:r>
        <w:t xml:space="preserve"> Abstract For two decades, commentators have argued for law and policy reform to incentivise organisations to develop new indications for (already) authorised drugs, an area of drug development known as ‘repositioning’. In short, they argue that hurdles in patent and pharmaceutical law hinder repositioning and, therefore, reform is required to increase its use. Yet, these arguments are made primarily on anecdotes; the empirical evidence is scant. One foundational question is how many drugs are repositioned each year in Europe. This study develops a method to examine the number authorised each year. The results show a marked increase in repositioning over the last 3 years, and that the number per year is comparable, though slightly fewer than, the number of new compounds, indicating modest to higher‐than‐expected activity. This study considers what the results mean for four suggested reform options, including the EU Commission's recent proposal. We conclude that the reforms may not achieve their goals or that further evidence is required before we can know whether they will be effective. Lastly, this paper explains how the method and data in this study could serve as a benchmark for evaluating the success of future reforms.</w:t>
      </w:r>
    </w:p>
    <w:p>
      <w:pPr/>
      <w:r>
        <w:rPr>
          <w:b/>
        </w:rPr>
        <w:t>POSSIBLE 2024:</w:t>
      </w:r>
      <w:r>
        <w:t xml:space="preserve"> Environmental niche modelling of the Chinese pond mussel invasion in Europe under climate change scenarios — https://doi.org/10.37828/em.2024.72.20</w:t>
      </w:r>
    </w:p>
    <w:p>
      <w:pPr/>
      <w:r>
        <w:rPr>
          <w:b/>
        </w:rPr>
        <w:t>Shared claim-specific concepts:</w:t>
      </w:r>
      <w:r>
        <w:t xml:space="preserve"> climate, three; EU scope visible. This is a provisional connection, not an outcome finding.</w:t>
      </w:r>
    </w:p>
    <w:p>
      <w:pPr>
        <w:pStyle w:val="SourceNote"/>
      </w:pPr>
      <w:r>
        <w:rPr>
          <w:b/>
        </w:rPr>
        <w:t>Available abstract (not full text):</w:t>
      </w:r>
      <w:r>
        <w:t xml:space="preserve"> In this paper, we modelled the Chinese pond mussel distribution in the European subcontinent under the recent climatic conditions and two climate change scenarios. Using species records of Sinanodonta woodiana (Bivalvia: Unionidae) in Europe and a set of bioclimatic variables, we applied the maximum entropy approach provided by MaxEnt to build the species distribution models and investigate how each climatic variable affects the species distribution. We found that winter temperatures had the largest contribution to the species distribution in all three scenarios (recent, RCP 4.5, RCP 8.5). We applied the minimum training presence threshold, as a less stringent, and 10th percentile training presence threshold, as more stringent, to map the potential area of the species occurrence. The models show that the climatically optimal range, depicted by the stricter threshold, will be expanded eastwards under all three scenarios. At the same time, the area of minimally suitable environments, represented by the less stringent threshold, will be contracted in the future climate. The species distribution models highlight that the climatic conditions of the British Isles and the Azov-Kuban Lowland are the most suitable, among the uninvaded regions, for further S. woodiana invasion.</w:t>
      </w:r>
    </w:p>
    <w:p>
      <w:pPr>
        <w:pStyle w:val="Heading2"/>
      </w:pPr>
      <w:r>
        <w:t>923.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2026:</w:t>
      </w:r>
      <w:r>
        <w:t xml:space="preserve"> Coupling hydrological, geotechnical and machine learning models to enhance landslide prediction for an early warning system: application to Upper Garonne River Basin, Pyrenees, Spain — https://doi.org/10.1007/s10346-025-02685-7</w:t>
      </w:r>
    </w:p>
    <w:p>
      <w:pPr/>
      <w:r>
        <w:rPr>
          <w:b/>
        </w:rPr>
        <w:t>Shared claim-specific concepts:</w:t>
      </w:r>
      <w:r>
        <w:t xml:space="preserve"> coupling, hydrological, use, generated; EU scope visible. This is a provisional connection, not an outcome finding.</w:t>
      </w:r>
    </w:p>
    <w:p>
      <w:pPr>
        <w:pStyle w:val="SourceNote"/>
      </w:pPr>
      <w:r>
        <w:rPr>
          <w:b/>
        </w:rPr>
        <w:t>Available abstract (not full text):</w:t>
      </w:r>
      <w:r>
        <w:t xml:space="preserve"> Abstract Landslide Early Warning Systems (LEWS) aim to anticipate slope failures by identifying critical hydrometeorological conditions, but their accuracy is often limited by simplified approaches that do not fully capture subsurface hydrological processes. To strengthen planning and management strategies for landslide hazard-prone areas in alpine regions, we developed the SCLAM model, which integrates the SNOW-17 snowmelt model, the coupled routing and excess storage (CREST) hydrological model, and a landslide model that combines the infinite slope method with a random forest approach. The SCLAM model was validated in the Upper Garonne River Basin (Pyrenees, Spain), a region that experienced multiple-occurrence landslide events on 18 June 2013 due to intense rainfall and snowmelt. The SCLAM model showed fast performance, with an average accuracy of 75% in identifying landslide initiation areas at a 30-m pixel scale. Furthermore, a key innovation of this study is the use of the baseflow excess variable from the CREST model as an indicator of subsurface hydrological conditions. As a result, we proposed a prototype LEWS capable of representing landslide-prone areas both spatially and temporally. The baseflow excess variable proved to be a reliable temporal indicator of slope instability, enabling the system to identify potential landslide triggers and reduce the number of false </w:t>
      </w:r>
    </w:p>
    <w:p>
      <w:pPr/>
      <w:r>
        <w:rPr>
          <w:b/>
        </w:rPr>
        <w:t>POSSIBLE 2026:</w:t>
      </w:r>
      <w:r>
        <w:t xml:space="preserve"> Continental-scale prediction of hydrologic signatures and processes — https://doi.org/10.5194/hess-30-3647-2026</w:t>
      </w:r>
    </w:p>
    <w:p>
      <w:pPr/>
      <w:r>
        <w:rPr>
          <w:b/>
        </w:rPr>
        <w:t>Shared claim-specific concepts:</w:t>
      </w:r>
      <w:r>
        <w:t xml:space="preserve"> hydrological, climate, water; EU scope not established. This is a provisional connection, not an outcome finding.</w:t>
      </w:r>
    </w:p>
    <w:p>
      <w:pPr>
        <w:pStyle w:val="SourceNote"/>
      </w:pPr>
      <w:r>
        <w:rPr>
          <w:b/>
        </w:rPr>
        <w:t>Available abstract (not full text):</w:t>
      </w:r>
      <w:r>
        <w:t xml:space="preserve"> Abstract. Understanding how dominant hydrologic processes and their drivers vary across diverse continental-scale landscapes is critical for hydrologic modeling and water management applications. Our research addresses this question by synthesizing large-sample watershed datasets, Caravan and GAGES-II, and developing random forest models to identify patterns in hydrologic behavior. We assessed dominant processes by examining hydrologic signatures—summary indicators of watershed behavior derived from hydroclimatic time series and random forest models across 14,146 gauged U.S. watersheds. The results reveal clear continental-scale gradients in hydrologic processes, including baseflow, overland flow, storage, and water balance losses. Our map of dominant processes highlights, for example, the transition from baseflow to fast responses and back to baseflow along the elevation gradient from the Appalachian spine, through the Piedmont, to the Eastern Coastal Plain; a distinct outer ring around the Great Lakes region; and sharp contrasts between coastal and inland processes in the West. Variable importance analysis from random forest models show that processes in the western U.S. are primarily controlled by climate, whereas in the eastern U.S., soil, geology, and topography play larger roles, with distinct human influences apparent in urban areas. Our estimates of dominant processes a</w:t>
      </w:r>
    </w:p>
    <w:p>
      <w:pPr/>
      <w:r>
        <w:rPr>
          <w:b/>
        </w:rPr>
        <w:t>POSSIBLE 2026:</w:t>
      </w:r>
      <w:r>
        <w:t xml:space="preserve"> Correcting Structural Bias in Dynamical Models of Infectious Disease Using a Bayesian State-Space Framework — https://doi.org/10.1007/s11538-026-01730-3</w:t>
      </w:r>
    </w:p>
    <w:p>
      <w:pPr/>
      <w:r>
        <w:rPr>
          <w:b/>
        </w:rPr>
        <w:t>Shared claim-specific concepts:</w:t>
      </w:r>
      <w:r>
        <w:t xml:space="preserve"> use, account, uncertainty; EU scope not established. This is a provisional connection, not an outcome finding.</w:t>
      </w:r>
    </w:p>
    <w:p>
      <w:pPr>
        <w:pStyle w:val="SourceNote"/>
      </w:pPr>
      <w:r>
        <w:rPr>
          <w:b/>
        </w:rPr>
        <w:t>Available abstract (not full text):</w:t>
      </w:r>
      <w:r>
        <w:t xml:space="preserve"> Deterministic dynamical models are widely used in infectious disease modelling, but they often become systematically biased when key drivers such as seasonality and random environmental variation are simplified or omitted. This paper proposes a practical way to account for structural bias while preserving the underlying mechanistic model. We model the observed time series as the sum of (i) a deterministic transmission component given by a reduced Ross malaria model and (ii) a latent stochastic seasonal component that captures unresolved seasonal forcing and other unmodelled variability. The seasonal component is defined as a mean-reverting stochastic differential equation with periodic forcing, which can be interpreted as a seasonally forced Ornstein-Uhlenbeck (OU) process and, at the same time, as a dynamically constrained model-discrepancy term. The combined model forms an additive Bayesian state-space system. A key challenge in additive decompositions is identifiability: many combinations of the deterministic and stochastic components can explain the same observations. We therefore use informative priors to stabilise this decomposition, together with a non-centred parameterisation (a reparameterisation that improves MCMC efficiency by sampling standardised noise terms instead of states directly) of the latent stochastic differential equation (SDE) states that enables efficie</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pStyle w:val="Heading2"/>
      </w:pPr>
      <w:r>
        <w:t>924.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2026:</w:t>
      </w:r>
      <w:r>
        <w:t xml:space="preserve"> European and Turkish Soft Power Geostrategies in Azerbaijan and Turkmenistan — https://doi.org/10.1080/08865655.2026.2724558</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This article examines the European Union’s and Türkiye’s soft power in Azerbaijan and Turkmenistan by combining Joseph Nye’s concept of soft power together with William Walters’ framework of geostrategies. William Walters identifies four geostrategies that the EU employs toward its near border to manage the relationship between its internal and external spheres. Building on this, this article aims at a conceptual synthesis by integrating Joseph Nye’s soft power with William Walters’ geostrategies. Thus, this study suggests the concept of “soft power geostrategies” which uses Walters’ geostrategic categories as an operational tool for classifying soft power practices and, therefore, to identify the practical and spatial characteristics of the soft power policies of the actors. It outlines similarities and differences between these two actors through the method of most similar system design and uses directed qualitative content analysis of official documents, policy frameworks, institutional reports, parliamentary resolutions, political speeches, and strategy papers. The findings indicate that both the EU and Türkiye display outward-oriented forms of soft power policies, but with fundamentally different meanings: the EU dwells on normative principles such as democracy, human rights, and the rule of law, while Türkiye emphasizes cultural identity-based affinity.</w:t>
      </w:r>
    </w:p>
    <w:p>
      <w:pPr/>
      <w:r>
        <w:rPr>
          <w:b/>
        </w:rPr>
        <w:t>POSSIBLE 2026:</w:t>
      </w:r>
      <w:r>
        <w:t xml:space="preserve"> Finalisation of the European Approach to Assess the Fire Performance of Facades—Brief Information on the Outcome of the Project — https://doi.org/10.1002/fam.70042</w:t>
      </w:r>
    </w:p>
    <w:p>
      <w:pPr/>
      <w:r>
        <w:rPr>
          <w:b/>
        </w:rPr>
        <w:t>Shared claim-specific concepts:</w:t>
      </w:r>
      <w:r>
        <w:t xml:space="preserve"> article, assess, four, define; EU scope visible. This is a provisional connection, not an outcome finding.</w:t>
      </w:r>
    </w:p>
    <w:p>
      <w:pPr>
        <w:pStyle w:val="SourceNote"/>
      </w:pPr>
      <w:r>
        <w:rPr>
          <w:b/>
        </w:rPr>
        <w:t>Available abstract (not full text):</w:t>
      </w:r>
      <w:r>
        <w:t xml:space="preserve"> ABSTRACT This research was conducted within the framework of project SI2.825082, funded by the European Commission—DG GROW. The project's objective was to finalise a European approach for assessing the fire performance of façades under medium and large fire exposure conditions. The national standards BS 8414‐1:2020/BS 8414‐2:2020 and DIN 4102‐20:2017 served as the foundation for developing the new assessment method. As part of the project, a theoretical round robin, initial testing activities and a large‐scale experimental round robin were carried out. The theoretical round robin aimed to examine how different laboratories interpreted the preliminary assessment method. Subsequently, the initial testing phase explored the design of the fire source, combustion chamber and secondary opening. The experimental round robin involved testing four façade systems across three laboratories using the assessment method documents, resulting in 12 tests for medium‐scale and 12 for large‐scale exposure—24 tests in total. These tests provided data to develop a calibration scheme and define appropriate performance criteria for classification. In this paper, the representatives of the project consortium summarise the research process and outline the proposed testing and evaluation methodology, which is intended to form the foundation of a future European testing standard for façades. The article </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r>
        <w:rPr>
          <w:b/>
        </w:rPr>
        <w:t>POSSIBLE 2025:</w:t>
      </w:r>
      <w:r>
        <w:t xml:space="preserve"> Methods to assess on-farm biosecurity in Europe and beyond — https://doi.org/10.1016/j.prevetmed.2025.106486</w:t>
      </w:r>
    </w:p>
    <w:p>
      <w:pPr/>
      <w:r>
        <w:rPr>
          <w:b/>
        </w:rPr>
        <w:t>Shared claim-specific concepts:</w:t>
      </w:r>
      <w:r>
        <w:t xml:space="preserve"> aim, assess, four;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pStyle w:val="Heading2"/>
      </w:pPr>
      <w:r>
        <w:t>925.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2026:</w:t>
      </w:r>
      <w:r>
        <w:t xml:space="preserve"> Draghi Plan and Implications for the European Legislative Framework — https://doi.org/10.24818/eblj/2025/4/1.06</w:t>
      </w:r>
    </w:p>
    <w:p>
      <w:pPr/>
      <w:r>
        <w:rPr>
          <w:b/>
        </w:rPr>
        <w:t>Shared claim-specific concepts:</w:t>
      </w:r>
      <w:r>
        <w:t xml:space="preserve"> potential, implications, common;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2025:</w:t>
      </w:r>
      <w:r>
        <w:t xml:space="preserve"> Scientific document determining biodiversity trends, underlying drivers and essential observations for predictive modelling — https://doi.org/10.5281/zenodo.20787353</w:t>
      </w:r>
    </w:p>
    <w:p>
      <w:pPr/>
      <w:r>
        <w:rPr>
          <w:b/>
        </w:rPr>
        <w:t>Shared claim-specific concepts:</w:t>
      </w:r>
      <w:r>
        <w:t xml:space="preserve"> potential, trends, drivers, common, further, work; EU scope visible. This is a provisional connection, not an outcome finding.</w:t>
      </w:r>
    </w:p>
    <w:p>
      <w:pPr>
        <w:pStyle w:val="SourceNote"/>
      </w:pPr>
      <w:r>
        <w:rPr>
          <w:b/>
        </w:rPr>
        <w:t>Available abstract (not full text):</w:t>
      </w:r>
      <w:r>
        <w:t xml:space="preserve"> Grant Agreement: 101082021Project Acronym: MARCO-BOLOProject Title: MARine COastal BiOdiversity Long-term ObservationsDeliverable Number: D5.1Work Package Number: WP5Deliverable Title: Scientific document determining biodiversity trends, underlying drivers and essential observations for predictive modellingDue Date: 30.11.2025Submission Date: 17.11.2025 The main goal of this report is to assess biodiversity trends and their drivers in marine and coastal European ecosystems. To this end, we analysed community-level biodiversity trends and species-level habitat use during the last decades using data from open sources. Biodiversity trends are paired with environmental parameters and projected into the future using Habitat Suitability Models and Random Forest Regressions. Three complementary studies are presented. Study 1 — Time series analysis: European time series for six biotic groups (birds, fish, invertebrates, macroalgae, phytoplankton, zooplankton) were analysed to estimate temporal trends (1956–2022) in richness, diversity, and abundance across regions. A total of 2,359 time series comprising 552,475 observations of 4,718 coastal and marine taxa in 2,246 different sites were assembled from open-access databases (BioTIME, EMODnet, REPHY, FishGlob, Continuous Plankton Recorder Survey). Most communities showed no significant change, suggesting no further widespread biodiversit</w:t>
      </w:r>
    </w:p>
    <w:p>
      <w:pPr>
        <w:pStyle w:val="Heading2"/>
      </w:pPr>
      <w:r>
        <w:t>926.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2024:</w:t>
      </w:r>
      <w:r>
        <w:t xml:space="preserve"> Perceptions of stakeholders on nature-based solutions in urban planning: A thematic analysis in six European cities — https://doi.org/10.1016/j.ufug.2024.128344</w:t>
      </w:r>
    </w:p>
    <w:p>
      <w:pPr/>
      <w:r>
        <w:rPr>
          <w:b/>
        </w:rPr>
        <w:t>Shared claim-specific concepts:</w:t>
      </w:r>
      <w:r>
        <w:t xml:space="preserve"> stakeholders, lack; EU scope visible. This is a provisional connection, not an outcome finding.</w:t>
      </w:r>
    </w:p>
    <w:p>
      <w:pPr>
        <w:pStyle w:val="SourceNote"/>
      </w:pPr>
      <w:r>
        <w:rPr>
          <w:b/>
        </w:rPr>
        <w:t>Available abstract (not full text):</w:t>
      </w:r>
      <w:r>
        <w:t xml:space="preserve"> A commonly addressed aspect of urban planning involves the integration of nature-based solutions (NBS). Before applying NBS, acquiring stakeholders' viewpoints, e.g., city councils, local governments, and academia, contributes to the successful application and thus to mitigation of global challenges such as climate change, loss of biodiversity, water, and food scarcity. The present study explores how stakeholders across Europe view the role of NBS in urban planning. A thematic analysis was conducted to identify patterns, themes, and concepts within interview transcripts gathered through semi-structured interviews held in Budapest, Cordoba, Ljubljana, Reykjavik, Vienna, and Zurich. The study resulted in 107 distinctive codes categorized into NBS benefits, challenges, opportunities, NBS actors, and regulations. The frequency of codes (Fr) mentioned by the interviewees showed that NBS benefit cooperation (Fr=125) between individuals, while the most challenging issue obstructing NBS implementation was the lack of NBS knowledge (Fr=93). The need for green areas (Fr=42) was identified as an opportunity that could give rise to NBS applications. This study also provides practical recommendations to overcome some barriers when implementing NBS.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pStyle w:val="Heading2"/>
      </w:pPr>
      <w:r>
        <w:t>927.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2025:</w:t>
      </w:r>
      <w:r>
        <w:t xml:space="preserve"> The Potential of AI to Create Personalized Exercise Plans — https://doi.org/10.1177/15248399251394695</w:t>
      </w:r>
    </w:p>
    <w:p>
      <w:pPr/>
      <w:r>
        <w:rPr>
          <w:b/>
        </w:rPr>
        <w:t>Shared claim-specific concepts:</w:t>
      </w:r>
      <w:r>
        <w:t xml:space="preserve"> exercise, two, care; EU scope not established. This is a provisional connection, not an outcome finding.</w:t>
      </w:r>
    </w:p>
    <w:p>
      <w:pPr>
        <w:pStyle w:val="SourceNote"/>
      </w:pPr>
      <w:r>
        <w:rPr>
          <w:b/>
        </w:rPr>
        <w:t>Available abstract (not full text):</w:t>
      </w:r>
      <w:r>
        <w:t xml:space="preserve"> Despite the evidence linking moderate intensity exercise with improved health outcomes and disease prevention, health care providers often fail to counsel and guide patients on exercise recommendations. Short visit times, personal exercise practices, and lack of knowledge are all cited as factors for omitting exercise counseling in health care appointments. In the context of these barriers, we investigated the use of GPT-3.5 in generating effective exercise recommendations. Thirty fictional patient cases were entered into GPT-3.5 and provided to two experts in lifestyle medicine. GPT-3.5 and experts were asked to create SMART and realistic goals for these patients, and to advise on when the patients could exercise, and what type of exercise they should complete. Three blinded reviewers graded the recommendations generated by GPT-3.5 and the experts in metrics of how (a) safe, (b) realistic, (c) personalized, (d) accessible (in line with the patient's social determinants of health) the recommendations were, and (e) the quality of the recommendations overall. Differences between experts and GPT-3.5 were assessed using a Mann-Whitney U test. Differences between the three reviewer ratings were assessed using the intra-rater correlation coefficient. BothGPT-3.5 and experts in lifestyle medicine produced highly rated results. Our findings suggest that GPT-3.5 may be able to create sa</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2024:</w:t>
      </w:r>
      <w:r>
        <w:t xml:space="preserve"> Perceived Motivators And Barriers To Facilitate Exercise Among Primary Care Clinic Patients — https://doi.org/10.1249/01.mss.0001058532.55230.b0</w:t>
      </w:r>
    </w:p>
    <w:p>
      <w:pPr/>
      <w:r>
        <w:rPr>
          <w:b/>
        </w:rPr>
        <w:t>Shared claim-specific concepts:</w:t>
      </w:r>
      <w:r>
        <w:t xml:space="preserve"> planning, exercise, four, healthcare, care; EU scope not established. This is a provisional connection, not an outcome finding.</w:t>
      </w:r>
    </w:p>
    <w:p>
      <w:pPr>
        <w:pStyle w:val="SourceNote"/>
      </w:pPr>
      <w:r>
        <w:rPr>
          <w:b/>
        </w:rPr>
        <w:t>Available abstract (not full text):</w:t>
      </w:r>
      <w:r>
        <w:t xml:space="preserve"> PURPOSE: To determine what patients’ needs are to facilitate regular exercise, including what they look for from their healthcare providers as well as their barriers and motivators to exercise. These are essential in implementing an effective intervention. METHODS: 371 patients (&gt;18 years) at four local primary care outpatient clinics completed an online anonymous survey consisting of 24 questions including demographics, medical conditions, IPAQ-short form, questions about exercise education by healthcare providers, and barriers and motivators to regular exercise. 268 complete responses were categorized into with chronic disease conditions (CC; n = 88) and without chronic disease conditions (NCC; n = 180) to compare how the needs and barriers to exercise differ. RESULTS: Survey respondents were mostly female (65%), Caucasian (92%), and with postsecondary education (86%). The most common perceived barriers to exercise were low motivation, low energy, and it takes too long. The most common perceived motivators to exercise were having a support system, planning and preparing for exercising in advance, having a partner to exercise with, tracking progress, and positive verbal affirmations. Most in both groups (98%) agreed exercise will improve their health. While the amount of physical activity and sitting hours were similar between groups, fewer CC (53%) believed they participated </w:t>
      </w:r>
    </w:p>
    <w:p>
      <w:pPr>
        <w:pStyle w:val="Heading2"/>
      </w:pPr>
      <w:r>
        <w:t>928.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2026:</w:t>
      </w:r>
      <w:r>
        <w:t xml:space="preserve"> The Narrative Field Hypothesis: Four Engines of Agency — Choice, Belief, Narrative, and Grounding as Determinants of Individual and Systemic Outcomes — https://doi.org/10.5281/zenodo.20064264</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This interdisciplinary theoretical paper introduces the Narrative Field Hypothesis (NFH), an integrative framework proposing that human agency emerges through the interaction of four interconnected domains: choice, belief, narrative, and grounding. Drawing from cognitive neuroscience, psychology, mindfulness research, narrative identity theory, and network science, the paper argues that these domains function together as reinforcing systems shaping behavioral trajectories, emotional regulation, and systemic resilience.The framework organizes these domains into four functional roles: the Director (choice and executive control), the Architect (belief and expectancy effects), the Author (narrative construction and identity formation), and the Conductor (grounding and attentional regulation). Rather than proposing metaphysical mechanisms, the paper situates each component within established empirical research involving executive function, placebo and expectancy effects, narrative identity, mindfulness, and default mode network regulation.A major focus of the study is the interaction between these systems. The paper argues that decision-making reinforced by expectation, coherent narrative identity, and attentional regulation may create positive feedback loops that stabilize cognition, improve emotional regulation, and increase behavioral coherence over time. The framework emphasizes</w:t>
      </w:r>
    </w:p>
    <w:p>
      <w:pPr/>
      <w:r>
        <w:rPr>
          <w:b/>
        </w:rPr>
        <w:t>POSSIBLE 2026:</w:t>
      </w:r>
      <w:r>
        <w:t xml:space="preserve"> The Ontology of Fiction: From Reality-Preserving Narrative to Reality-Dissolving Imagination — https://doi.org/10.5281/zenodo.19793558</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Fiction has long been treated under a binary that fails it: true or false, real or unreal, factual or invented. This paper argues that fiction is more adequately understood as a graded ontology of reality-disclosure. Drawing on phenomenology, possible-worlds theory, and the disclosure framework developed in earlier work, I propose a five-mode continuum running from reality-preserving narrative through reality-reconstruction, reality-transformation, and reality-suspension to reality-dissolving imagination. The five modes are not asserted as a typology but derived from a single structural principle: the conditions of intelligibility of a lived world can be subjected to graded narrative pressure across four parameters—physical-causal, biological-psychological, socio-institutional, and logico-modal—and the five modes are the characteristic regions of pressure on these parameters. Each mode names a different relation between the narrated world and the lived world, and a different kind of access to reality that fiction makes available to consciousness. The continuum is not a typology of genres but an ontological grammar: a way of asking, of any narrative, what mode of reality it discloses, what conditions of intelligibility it preserves or alters, and what cognitive comportment it solicits from the reader. The paper distinguishes its disclosure-theoretic approach sharply from possibl</w:t>
      </w:r>
    </w:p>
    <w:p>
      <w:pPr/>
      <w:r>
        <w:rPr>
          <w:b/>
        </w:rPr>
        <w:t>POSSIBLE 2026:</w:t>
      </w:r>
      <w:r>
        <w:t xml:space="preserve"> When the Past Cannot Be Narrated Experience, Trace, Memory, and the Emergence of Narrative — https://doi.org/10.5281/zenodo.23126385</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The philosophical study of memory often begins from the assumption that a past event is either remembered or forgotten. This article proposes a more differentiated account of the relation between past experience and its subsequent articulation. A person may have lived through events, retain effects of those events, and remain affected by them while lacking a narratively organized access to the corresponding past. The article develops a four-level conceptual distinction among experience, trace, memory, and narrative. Experience designates the occurrence of something in lived time. A trace designates a modification or remainder produced by that occurrence. Memory designates the recognition or retrieval of something as belonging to the past. Narrative designates the temporal and semantic organization through which remembered elements become intelligibly related. These distinctions establish a further difference between the passage of time and the narratability of time. Chronological succession can occur without producing an accessible autobiographical sequence. The article then examines the figure of the empty diary as a phenomenological model of a past whose events remain inaccessible to narrative organization. The central paradox emerges when the recognition of an inability to narrate becomes itself narratable. The statement “I have nothing to narrate” can therefore in</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pStyle w:val="Heading2"/>
      </w:pPr>
      <w:r>
        <w:t>929.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Surrogate Modelling of Range Shift Dynamics — https://doi.org/10.2139/ssrn.7428748</w:t>
      </w:r>
    </w:p>
    <w:p>
      <w:pPr/>
      <w:r>
        <w:rPr>
          <w:b/>
        </w:rPr>
        <w:t>Shared claim-specific concepts:</w:t>
      </w:r>
      <w:r>
        <w:t xml:space="preserve"> range, shift, dynamics;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Violent competitions over human rights and universalism: Europe and North Africa in the long 19th century — https://doi.org/10.1177/00472441261491842</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Based on cases from the history of North Africa, the main approach here is to consider Europe in the long 19th century – from the second half of the 18th century to the interwar period – as a place that claims not only to be the cradle of universal values and human rights but also as a place that attempts to monopolise what these so-called universal values and rights were by determining to whom these rights applied. The second section of the article aims to demonstrate that this European and, above all, French claim to formulate and embody universal rights, despite originating violent processes of domination, has been contested in various ways across North Africa.</w:t>
      </w:r>
    </w:p>
    <w:p>
      <w:pPr/>
      <w:r>
        <w:rPr>
          <w:b/>
        </w:rPr>
        <w:t>POSSIBLE 2026:</w:t>
      </w:r>
      <w:r>
        <w:t xml:space="preserve"> Habitat-specific trends in taxonomic, functional, and phylogenetic diversity in European plant communities over a century — https://doi.org/10.1038/s41467-026-72112-5</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Despite widespread concern over global biodiversity loss, the balance between gains and losses within local plant communities remains contentious, largely due to a scarcity of integrative, long-term and large-scale analyses across different habitats and multiple facets of biodiversity. Here, we analyse 57,390 vegetation-plot time series of vascular plants across Europe to quantify the average and habitat-specific trends in taxonomic, functional, phylogenetic, and gamma diversity, alongside with changes in threatened Red List, non-native, and specialist versus generalist species. We find that, over the last 100 years, plant communities gained on average 0.7% in vegetation cover and 0.2% in species number per year, associated with gains in functional and phylogenetic diversity, non-native, Red List, and generalist species. Diversity changes are most pronounced in mire and wetland communities. Differences among habitat types and habitat-change trajectory (stable, successional, disturbed), together with the most recent observation year, explain 2.1%-36.6% of the variation in diversity trends. Habitat-specific gamma diversity showed no general trends and only increased in stable grasslands and successional sparsely vegetated habitats. By integrating habitat types and change trajectories, we reconcile some of the conflicting narratives on local biodiversity change in favour of a more</w:t>
      </w:r>
    </w:p>
    <w:p>
      <w:pPr/>
      <w:r>
        <w:rPr>
          <w:b/>
        </w:rPr>
        <w:t>POSSIBLE 2026:</w:t>
      </w:r>
      <w:r>
        <w:t xml:space="preserve"> Spatial Patterns of Soil Properties Affect Potential Range Shifts of Temperate Forest Biodiversity Under Climate Change — https://doi.org/10.1002/gcb4.70048</w:t>
      </w:r>
    </w:p>
    <w:p>
      <w:pPr/>
      <w:r>
        <w:rPr>
          <w:b/>
        </w:rPr>
        <w:t>Shared claim-specific concepts:</w:t>
      </w:r>
      <w:r>
        <w:t xml:space="preserve"> here, range, shift, sdm, migration, climate; EU scope visible. This is a provisional connection, not an outcome finding.</w:t>
      </w:r>
    </w:p>
    <w:p>
      <w:pPr>
        <w:pStyle w:val="SourceNote"/>
      </w:pPr>
      <w:r>
        <w:rPr>
          <w:b/>
        </w:rPr>
        <w:t>Available abstract (not full text):</w:t>
      </w:r>
      <w:r>
        <w:t xml:space="preserve"> ABSTRACT Despite the importance of soil for the distribution of forest organisms, the influence of edaphic properties on species range shifts under climate change remains poorly understood at the regional level. Current biodiversity forecasts frequently rely on climate‐only models, potentially overlooking the edaphic dimension of species niches and overestimating migration potential. Climate‐driven species shifts along elevational and latitudinal gradients may be enhanced or hindered by edaphic properties. Here, we focused on predicting the potential range shifts of 2403 temperate forest species across multiple kingdoms and phyla (grouped as Tracheophytes, Bryophytes, Fungi and Lichens) under rcp 4.5 and 8.5 scenarios, integrating high‐resolution digital soil maps. We employed a hierarchical modelling approach, coupling continental‐scale climate models across Europe with high‐resolution regional models in Switzerland to account for the full climate niche of the species using Nested Species Distribution Models (N‐SDM). Our results demonstrate that edaphic properties are among the most important predictors for regional forest species distributions. The inclusion of soil variables consistently reduced suitable habitat across all taxa. This suggests that soil heterogeneity governs species distributions and range shifts across taxonomic and functional groups in line with their edaph</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pStyle w:val="Heading2"/>
      </w:pPr>
      <w:r>
        <w:t>930. Including the temporal change in PM2.5 concentration in the assessment of human health impact: Illustration with renewable energy scenarios to 2050</w:t>
      </w:r>
    </w:p>
    <w:p>
      <w:pPr>
        <w:pStyle w:val="SourceNote"/>
      </w:pPr>
      <w:r>
        <w:rPr>
          <w:b/>
        </w:rPr>
        <w:t>Original source (2014):</w:t>
      </w:r>
      <w:r>
        <w:t xml:space="preserve"> https://doi.org/10.1016/j.eiar.2014.09.003</w:t>
      </w:r>
    </w:p>
    <w:p>
      <w:pPr/>
      <w:r>
        <w:t>Original wording (abstract; indexed_source_text_not_full_document_verified): Its capabilities are demonstrated for two pathways of European energy system development up to 2050: the Baseline (BL) and the Low Carbon, Maximum Renewable Power (LC-MRP). This article proposes a new method to assess the health impact of populations exposed to fine particles (PM2.5) during their whole lifetime, which is suitable for comparative analysis of energy scenarios.</w:t>
      </w:r>
    </w:p>
    <w:p>
      <w:pPr/>
      <w:r>
        <w:rPr>
          <w:b/>
        </w:rPr>
        <w:t>POSSIBLE 2026:</w:t>
      </w:r>
      <w:r>
        <w:t xml:space="preserve"> ReProv: Extending REANA with WaaS capabilities and data provenance on the European AI-on-Demand Platform — https://doi.org/10.12688/openreseurope.24424.1</w:t>
      </w:r>
    </w:p>
    <w:p>
      <w:pPr/>
      <w:r>
        <w:rPr>
          <w:b/>
        </w:rPr>
        <w:t>Shared claim-specific concepts:</w:t>
      </w:r>
      <w:r>
        <w:t xml:space="preserve"> capabilities, two, system; EU scope visible. This is a provisional connection, not an outcome finding.</w:t>
      </w:r>
    </w:p>
    <w:p>
      <w:pPr>
        <w:pStyle w:val="SourceNote"/>
      </w:pPr>
      <w:r>
        <w:rPr>
          <w:b/>
        </w:rPr>
        <w:t>Available abstract (not full text):</w:t>
      </w:r>
      <w:r>
        <w:t xml:space="preserve"> Reproducibility remains a major challenge in computational research, particularly for workflow-based analyses executed across heterogeneous data, software, and computing environments. While workflow management systems such as REANA support reproducible execution through containerisation and workflow orchestration, they provide limited support for workflow registration, service-oriented reuse, and structured provenance management. This paper presents ReProv, a provenance capture and management layer that extends REANA with Workflows-as-a-Service (WaaS) capabilities and automated provenance capture based on the W3C PROV-O standard. ReProv enables researchers to register, discover, execute, and reuse Common Workflow Language (CWL) workflows while automatically recording the relationships between workflows, executions, data artefacts, and responsible users. Provenance information is stored in a structured form and can be explored through APIs, a Python SDK, and graph-based visualisations. The system has been integrated with the European AI-on-Demand (AIoD) Platform, enabling workflows and datasets to be linked with a broader ecosystem of AI resources. Two use cases demonstrate the approach: a machine-learning workflow based on the MNIST benchmark and a larger-scale climate-data workflow for next-day Mediterranean heatwave prediction. Results show that ReProv captures detailed execu</w:t>
      </w:r>
    </w:p>
    <w:p>
      <w:pPr/>
      <w:r>
        <w:rPr>
          <w:b/>
        </w:rPr>
        <w:t>POSSIBLE 2023:</w:t>
      </w:r>
      <w:r>
        <w:t xml:space="preserve"> Observing Mineral Dust in Northern Africa, the Middle East, and Europe: Current Capabilities and Challenges ahead for the Development of Dust Services — https://doi.org/10.1175/bams-d-23-0005.1</w:t>
      </w:r>
    </w:p>
    <w:p>
      <w:pPr/>
      <w:r>
        <w:rPr>
          <w:b/>
        </w:rPr>
        <w:t>Shared claim-specific concepts:</w:t>
      </w:r>
      <w:r>
        <w:t xml:space="preserve"> capabilities, energy, health; EU scope visible. This is a provisional connection, not an outcome finding.</w:t>
      </w:r>
    </w:p>
    <w:p>
      <w:pPr>
        <w:pStyle w:val="SourceNote"/>
      </w:pPr>
      <w:r>
        <w:rPr>
          <w:b/>
        </w:rPr>
        <w:t>Available abstract (not full text):</w:t>
      </w:r>
      <w:r>
        <w:t xml:space="preserve"> Abstract Mineral dust produced by wind erosion of arid and semiarid surfaces is a major component of atmospheric aerosol that affects climate, weather, ecosystems, and socioeconomic sectors such as human health, transportation, solar energy, and air quality. Understanding these effects and ultimately improving the resilience of affected countries requires a reliable, dense, and diverse set of dust observations, fundamental for the development and the provision of skillful dust-forecast-tailored products. The last decade has seen a notable improvement of dust observational capabilities in terms of considered parameters, geographical coverage, and delivery times, as well as of tailored products of interest to both the scientific community and the various end-users. Given this progress, here we review the current state of observational capabilities, including in situ, ground-based, and satellite remote sensing observations in northern Africa, the Middle East, and Europe for the provision of dust information considering the needs of various users. We also critically discuss observational gaps and related unresolved questions while providing suggestions for overcoming the current limitations. Our review aims to be a milestone for discussing dust observational gaps at a global level to address the needs of users, from research communities to nonscientific stakeholders.</w:t>
      </w:r>
    </w:p>
    <w:p>
      <w:pPr/>
      <w:r>
        <w:rPr>
          <w:b/>
        </w:rPr>
        <w:t>POSSIBLE 2021:</w:t>
      </w:r>
      <w:r>
        <w:t xml:space="preserve"> Capabilities of digital servitization: Evidence from the socio-technical systems theory — https://doi.org/10.1016/j.techfore.2021.121361</w:t>
      </w:r>
    </w:p>
    <w:p>
      <w:pPr/>
      <w:r>
        <w:rPr>
          <w:b/>
        </w:rPr>
        <w:t>Shared claim-specific concepts:</w:t>
      </w:r>
      <w:r>
        <w:t xml:space="preserve"> capabilities, two; EU scope not established. This is a provisional connection, not an outcome finding.</w:t>
      </w:r>
    </w:p>
    <w:p>
      <w:pPr>
        <w:pStyle w:val="SourceNote"/>
      </w:pPr>
      <w:r>
        <w:rPr>
          <w:b/>
        </w:rPr>
        <w:t>Available abstract (not full text):</w:t>
      </w:r>
      <w:r>
        <w:t xml:space="preserve"> Driven by pressures for sustainable development and disruptions such as the COVID-19 pandemic, manufacturing companies in the 21st century are affected by two intertwined trends: Industry 4.0 and servitization. Digital servitization, which represents the transition from providing products to offering smart product-service systems, is currently seen as a black box by companies confronting them with major challenges. Current literature has not yet investigated which capabilities are required for the development and provision of smart PSSs. To address this gap, an exploratory multiple case study was performed using semi-structured interviews with 18 representatives of four manufacturing companies and six representatives of companies in a supporting role. A socio-technical systems perspective was adopted to cover the interconnectedness and complementarity of internal and external elements relevant for providing a smart PSS. The study identified 46 capabilities of digital servitization to offer and perform smart PSSs and systemically classified these within the dimensions of the socio-technical systems theory, thus providing companies with numerous insights into successful digital servitization. The results contribute to the practical and academic understanding of digital servitization by outlining capabilities to offer and perform smart PSSs and providing support for the use of soc</w:t>
      </w:r>
    </w:p>
    <w:p>
      <w:pPr/>
      <w:r>
        <w:rPr>
          <w:b/>
        </w:rPr>
        <w:t>POSSIBLE 2020:</w:t>
      </w:r>
      <w:r>
        <w:t xml:space="preserve"> A Review of Dynamic Capabilities, Innovation Capabilities, Entrepreneurial Capabilities and Their Consequences — https://doi.org/10.13106/jafeb.2020.vol7.no8.485</w:t>
      </w:r>
    </w:p>
    <w:p>
      <w:pPr/>
      <w:r>
        <w:rPr>
          <w:b/>
        </w:rPr>
        <w:t>Shared claim-specific concepts:</w:t>
      </w:r>
      <w:r>
        <w:t xml:space="preserve"> capabilities, proposes; EU scope not established. This is a provisional connection, not an outcome finding.</w:t>
      </w:r>
    </w:p>
    <w:p>
      <w:pPr>
        <w:pStyle w:val="SourceNote"/>
      </w:pPr>
      <w:r>
        <w:rPr>
          <w:b/>
        </w:rPr>
        <w:t>Available abstract (not full text):</w:t>
      </w:r>
      <w:r>
        <w:t xml:space="preserve"> The paper proposes a conceptual model which provides direction for researchers to empirically establish the connections between dynamic capabilities, innovation capabilities, entrepreneurial capabilities and financial and strategic performance. The author uses systematic literature review process to select the articles used in this study. First, the present paper review and discuss some major contributions to the theories of dynamic capabilities, innovation capabilities, entrepreneurial capabilities and their consequences. The author seeks to highlight different understandings of the concepts to clarify the distinctions between them. Second, the conceptual model and propositions for future studies were developed. The proposed model highlights the different measures of dynamic capabilities, innovation capabilities, entrepreneurial capabilities and their consequences. The model with its associated propositions was developed base on limitations and gaps observed from past studies. It is focused on empirically testing the direct impact of dynamic capabilities, innovation capabilities, and entrepreneurial capabilities on the performance of SMEs in Vietnam. Nevertheless, the proposed model can be applied to similar situations in different contexts and countries. Further empirical testing of proposed model would contribute to enriching existing knowledge of dynamic capabilities, innov</w:t>
      </w:r>
    </w:p>
    <w:p>
      <w:pPr/>
      <w:r>
        <w:rPr>
          <w:b/>
        </w:rPr>
        <w:t>POSSIBLE 2020:</w:t>
      </w:r>
      <w:r>
        <w:t xml:space="preserve"> Effects as capabilities: effect handlers and lightweight effect polymorphism — https://doi.org/10.1145/3428194</w:t>
      </w:r>
    </w:p>
    <w:p>
      <w:pPr/>
      <w:r>
        <w:rPr>
          <w:b/>
        </w:rPr>
        <w:t>Shared claim-specific concepts:</w:t>
      </w:r>
      <w:r>
        <w:t xml:space="preserve"> capabilities, system; EU scope not established. This is a provisional connection, not an outcome finding.</w:t>
      </w:r>
    </w:p>
    <w:p>
      <w:pPr>
        <w:pStyle w:val="SourceNote"/>
      </w:pPr>
      <w:r>
        <w:rPr>
          <w:b/>
        </w:rPr>
        <w:t>Available abstract (not full text):</w:t>
      </w:r>
      <w:r>
        <w:t xml:space="preserve"> Effect handlers have recently gained popularity amongst programming language researchers. Existing type- and effect systems for effect handlers are often complicated and potentially hinder a wide-spread adoption. We present the language Effekt with the goal to close the gap between research languages with effect handlers and languages for working programmers. The design of Effekt revolves around a different view of effects and effect types. Traditionally, effect types express which side effects a computation might have. In Effekt, effect types express which capabilities a computation requires from its context. While this new point in the design space of effect systems impedes reasoning about purity, we demonstrate that it simplifies the treatment of effect polymorphism and the related issues of effect parametricity and effect encapsulation. To guarantee effect safety, we separate functions from values and treat all functions as second-class. We define the semantics of Effekt as a translation to System Xi, a calculus in explicit capability-passing style.</w:t>
      </w:r>
    </w:p>
    <w:p>
      <w:pPr/>
      <w:r>
        <w:rPr>
          <w:b/>
        </w:rPr>
        <w:t>POSSIBLE 2018:</w:t>
      </w:r>
      <w:r>
        <w:t xml:space="preserve"> Dynamic Capabilities of Multi-MHz Inductive Power Transfer Systems Demonstrated With Batteryless Drones — https://doi.org/10.1109/tpel.2018.2871188</w:t>
      </w:r>
    </w:p>
    <w:p>
      <w:pPr/>
      <w:r>
        <w:rPr>
          <w:b/>
        </w:rPr>
        <w:t>Shared claim-specific concepts:</w:t>
      </w:r>
      <w:r>
        <w:t xml:space="preserve"> capabilities, demonstrated, system, power; EU scope not established. This is a provisional connection, not an outcome finding.</w:t>
      </w:r>
    </w:p>
    <w:p>
      <w:pPr>
        <w:pStyle w:val="SourceNote"/>
      </w:pPr>
      <w:r>
        <w:rPr>
          <w:b/>
        </w:rPr>
        <w:t>Available abstract (not full text):</w:t>
      </w:r>
      <w:r>
        <w:t xml:space="preserve"> This paper presents the design of a multi-MHz inductive power transfer (IPT) system showcasing lightweight and energy-efficient solutions for non-radiative wireless power transfer. A proof of concept is developed by powering a drone without a battery that can hover freely in proximity to an IPT transmitter. The most challenging aspect, addressed here for the first time, is the complete system-level design to efficiently provide uninterrupted power flow while allowing for variable power demand and highly variable coupling factor. The proposed solution includes the design of lightweight air-core coils that can achieve sufficient coupling without degrading the aerodynamics of the drone, and the design of newly developed resonant power converters at both ends of the system. At the transmitting-end, a load-independent Class EF inverter, which can drive a transmitting-coil with constant current amplitude and achieves zero-voltage switching for the entire range of operation, was developed; and at the receiving-end, a hybrid Class E rectifier, which allows tuning for large changes in coupling and power demand, was used. For the demo, the range of motion of the drone was limited by a 7.5 cm nylon string tether, connected between the center of the transmitting-coil and the bottom of the drone. The design of the IPT system, including all the power conversion stages and the IPT link, is ex</w:t>
      </w:r>
    </w:p>
    <w:p>
      <w:pPr>
        <w:pStyle w:val="Heading2"/>
      </w:pPr>
      <w:r>
        <w:t>931.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2026:</w:t>
      </w:r>
      <w:r>
        <w:t xml:space="preserve"> Immigration, Innovation, and the Geography of Growth — https://doi.org/10.3386/w35392</w:t>
      </w:r>
    </w:p>
    <w:p>
      <w:pPr/>
      <w:r>
        <w:rPr>
          <w:b/>
        </w:rPr>
        <w:t>Shared claim-specific concepts:</w:t>
      </w:r>
      <w:r>
        <w:t xml:space="preserve"> mass, migration, international, between; EU scope not established. This is a provisional connection, not an outcome finding.</w:t>
      </w:r>
    </w:p>
    <w:p>
      <w:pPr>
        <w:pStyle w:val="SourceNote"/>
      </w:pPr>
      <w:r>
        <w:rPr>
          <w:b/>
        </w:rPr>
        <w:t>Available abstract (not full text):</w:t>
      </w:r>
      <w:r>
        <w:t xml:space="preserve"> Between 1880 and 1920, more than 20 million immigrants settled in the United States. We study how this migration wave affected innovation and growth. Using a newly constructed dataset linking individual census records to historical immigration records and the universe of US patents, we highlight a new channel through which immigrants contributed to growth: they disproportionately settled in urban innovation hubs. To quantify the aggregate and regional effects of this mass migration episode, we develop a new spatial growth model in which skilled workers have a comparative advantage in innovation and sort endogenously across space. We find that international arrivals after 1880 raised US income per capita by 8.2% by 1940. Removing the subsequent immigration restrictions of the 1920s would have raised income per capita by a further 1.7% by 2000. Immigrants' skill composition and their concentration in urban hubs are key drivers of these effects. Institutional subscribers to the NBER working paper series, and residents of developing countries may download this paper without additional charge at www.nber.org.</w:t>
      </w:r>
    </w:p>
    <w:p>
      <w:pPr/>
      <w:r>
        <w:rPr>
          <w:b/>
        </w:rPr>
        <w:t>POSSIBLE 2026:</w:t>
      </w:r>
      <w:r>
        <w:t xml:space="preserve"> Sharp Signed Mass and Rigidity for Critical Finsler--Liouville Equations — https://doi.org/10.48550/arxiv.2610.26930</w:t>
      </w:r>
    </w:p>
    <w:p>
      <w:pPr/>
      <w:r>
        <w:rPr>
          <w:b/>
        </w:rPr>
        <w:t>Shared claim-specific concepts:</w:t>
      </w:r>
      <w:r>
        <w:t xml:space="preserve"> mass, estimate; EU scope not established. This is a provisional connection, not an outcome finding.</w:t>
      </w:r>
    </w:p>
    <w:p>
      <w:pPr>
        <w:pStyle w:val="SourceNote"/>
      </w:pPr>
      <w:r>
        <w:rPr>
          <w:b/>
        </w:rPr>
        <w:t>Available abstract (not full text):</w:t>
      </w:r>
      <w:r>
        <w:t xml:space="preserve"> We study bounded-above entire solutions of critical Finsler--Liouville equations with a possibly sign-changing prescribed function and finite absolute mass. Under a lower cone-growth condition, we establish a sharp signed-mass bound without upper growth or monotonicity assumptions. With an additional growth condition, annular compactness for a sequence of dilations yields Pohozaev boundary limits and rigidity for radially nonincreasing prescribed functions. Explicit examples show that the rigidity threshold is optimal. In the Euclidean plane, the mass estimate also gives a sharp obstruction to completeness.</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2025:</w:t>
      </w:r>
      <w:r>
        <w:t xml:space="preserve"> Phenomenon of mass migration during the famine years: existential experiences in the kazakh worldview — https://doi.org/10.31489/2025hph1/321-329</w:t>
      </w:r>
    </w:p>
    <w:p>
      <w:pPr/>
      <w:r>
        <w:rPr>
          <w:b/>
        </w:rPr>
        <w:t>Shared claim-specific concepts:</w:t>
      </w:r>
      <w:r>
        <w:t xml:space="preserve"> mass, migration, purpose; EU scope not established. This is a provisional connection, not an outcome finding.</w:t>
      </w:r>
    </w:p>
    <w:p>
      <w:pPr>
        <w:pStyle w:val="SourceNote"/>
      </w:pPr>
      <w:r>
        <w:rPr>
          <w:b/>
        </w:rPr>
        <w:t>Available abstract (not full text):</w:t>
      </w:r>
      <w:r>
        <w:t xml:space="preserve"> In 1932-1933, as a result of the famine in the USSR, there was a tragic transition from the Kazakh land to near and far countries. As a result of the sedentarization, the Kazakh people not only underwent a transfor-mation of their national identity, traditions, and original spirit, formed over many centuries, but also as a na-tion, they were on the verge of disappearing from the historical scene of humanity. The “Great relocation”who migrated to the countries of the near and far abroad are distinguished by their difficulties. It is necessary to take into account the traditions and customs of other countries, to get used to the language and mentality, to find work in a foreign place, which caused significant contradictions. However, thanks to perseverance and the vast majority of descendants returned to their native land. The article describes the problems of rapid re-location that took place as a result of the struggle of the Kazakh people for existence and the consequences of the famine years. Special attention was also paid to the mass migration of the Kazakh country, which as a na-tion is on the verge of total extinction, especially from the consequences of famine to other countries. Alt-hough the phenomenon of mass migration during the famine years has been studied in the historical field, there is no philosophical discussion. Therefore, the study of the existential nature </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pStyle w:val="Heading2"/>
      </w:pPr>
      <w:r>
        <w:t>932.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2025:</w:t>
      </w:r>
      <w:r>
        <w:t xml:space="preserve"> Improving the performance of concrete for bridge structures — https://doi.org/10.58224/2618-7183-2025-8-6-2</w:t>
      </w:r>
    </w:p>
    <w:p>
      <w:pPr/>
      <w:r>
        <w:rPr>
          <w:b/>
        </w:rPr>
        <w:t>Shared claim-specific concepts:</w:t>
      </w:r>
      <w:r>
        <w:t xml:space="preserve"> concrete, reduction, providing, developed; EU scope not established. This is a provisional connection, not an outcome finding.</w:t>
      </w:r>
    </w:p>
    <w:p>
      <w:pPr>
        <w:pStyle w:val="SourceNote"/>
      </w:pPr>
      <w:r>
        <w:rPr>
          <w:b/>
        </w:rPr>
        <w:t>Available abstract (not full text):</w:t>
      </w:r>
      <w:r>
        <w:t xml:space="preserve"> Concrete for ambitious engineering projects, including bridges, must meet certain requirements related to strength, water resistance, frost resistance and plasticity. The objective of the article is to improve the efficiency of concrete for bridge structures. The compositions of high-strength building composites have been optimized with a reduction in the proportion of the clinker component. The densest packing of filler particles has been achieved, providing a self-compacting effect during hardening. The compositions of building composites have been optimized at the macro-, micro- and nanolevels to obtain a high-density matrix packing and increase the strength of the composite (including taking into account the granulometric analysis of fillers and the choice of superplasticizer). New properties of high-strength building composites (rheology of highly concentrated dispersed systems, shrinkage deformations, workability, setting time, etc.) have been studied. The results of fresh properties of the developed mixtures showed their compliance with the P5 grade, which indicates that they have good transportability to the place of manufacture of bridge structures. The study of the physical and mechanical characteristics of cement composites (average density, porosity, compressive and bending strength, elastic modulus, frost resistance, shrinkage, Poisson's ratio) showed that the obta</w:t>
      </w:r>
    </w:p>
    <w:p>
      <w:pPr/>
      <w:r>
        <w:rPr>
          <w:b/>
        </w:rPr>
        <w:t>POSSIBLE 2025:</w:t>
      </w:r>
      <w:r>
        <w:t xml:space="preserve"> Simulation of the Concrete Containing Palm Oil Fuel Ash and Metakaolin in Terms of Mechanical Properties — https://openalex.org/W7216810618</w:t>
      </w:r>
    </w:p>
    <w:p>
      <w:pPr/>
      <w:r>
        <w:rPr>
          <w:b/>
        </w:rPr>
        <w:t>Shared claim-specific concepts:</w:t>
      </w:r>
      <w:r>
        <w:t xml:space="preserve"> concrete, terms, capacity, assessed, sustainable; EU scope not established. This is a provisional connection, not an outcome finding.</w:t>
      </w:r>
    </w:p>
    <w:p>
      <w:pPr>
        <w:pStyle w:val="SourceNote"/>
      </w:pPr>
      <w:r>
        <w:rPr>
          <w:b/>
        </w:rPr>
        <w:t>Available abstract (not full text):</w:t>
      </w:r>
      <w:r>
        <w:t xml:space="preserve"> This research investigates the compressive and split tensile strength of concrete containing Palm Oil Fuel Ash (POFA) and Metakaolin (MK) by using simulation method and validate with experimental data. This study aims to validate the Abaqus finite element analysis (FEA) results with experimental data, investigates the mechanical behaviour of concrete that contains MK as an additive and POFA as a partial cement substitute and identify the optimal mix design for enhanced strength by replacing cement with specific ratios of POFA and MK. The compressive strength, force-bearing capacity, and stress-strain behaviour of concrete mixes made with POFA and MK in different ratios were assessed. The trustworthiness of the model was confirmed by the results, which indicated that experimental data closely matched FEA predictions made with Abaqus. In contrast to the control mix, moderate replacement levels of concrete mix containing 5% POFA and 10% MK showed improved mechanical properties, however higher POFA concentration resulted in decreased strength and ductility. These results highlight POFA and MK's potential as sustainable concrete substitutes, given that the ratios are properly adjusted. By showing how simulation and experimental approaches can work in tandem to assess performance, this study promotes the development of green building materials.</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2024:</w:t>
      </w:r>
      <w:r>
        <w:t xml:space="preserve"> 3D Mesomechanical Simulation–Based Approach to Determining Representative Volume Element of Asphalt Concrete — https://doi.org/10.1061/jpeodx.pveng-1396</w:t>
      </w:r>
    </w:p>
    <w:p>
      <w:pPr/>
      <w:r>
        <w:rPr>
          <w:b/>
        </w:rPr>
        <w:t>Shared claim-specific concepts:</w:t>
      </w:r>
      <w:r>
        <w:t xml:space="preserve"> concrete, terms, assessed, developed; EU scope not established. This is a provisional connection, not an outcome finding.</w:t>
      </w:r>
    </w:p>
    <w:p>
      <w:pPr>
        <w:pStyle w:val="SourceNote"/>
      </w:pPr>
      <w:r>
        <w:rPr>
          <w:b/>
        </w:rPr>
        <w:t>Available abstract (not full text):</w:t>
      </w:r>
      <w:r>
        <w:t xml:space="preserve"> This study proposes a three-dimensional (3D) mesomechanical simulation–based approach to determining the representative volume element (RVE) of asphalt concrete. In this approach, 3D mesostructures of asphalt concrete were developed by parametrically modeling the morphological characteristics of coarse aggregates and air voids. To define the RVEs, the effects were assessed of several geometrical characteristics, such as the volume fraction, gradation, and spatial distribution of coarse aggregates in the mesostructures. Further, the geometrically defined RVE was verified by performing finite-element simulations and inspecting whether the effective mechanical properties of asphalt concrete, such as the viscoelastic dynamic modulus, were accurately simulated. This approach was applied to a typical dense-graded asphalt concrete with a nominal maximum aggregate size of 13.2 mm. The results indicate that the proposed approach can effectively define the RVE of the asphalt concrete, of which the effective properties can be precisely simulated from the RVEs with a size of 50 mm. In addition, in terms of accurately characterizing the dynamic modulus only, an RVE size of 45 mm can satisfy the requirement. Findings of this paper are consistent with the results of existing RVE studies performed based on the laboratory tests. Therefore, the proposed approach provides a novel simulation-based</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pStyle w:val="Heading2"/>
      </w:pPr>
      <w:r>
        <w:t>933.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2026:</w:t>
      </w:r>
      <w:r>
        <w:t xml:space="preserve"> Developing a new digital vision for rangeland grazing systems — https://doi.org/10.1093/af/vfag009</w:t>
      </w:r>
    </w:p>
    <w:p>
      <w:pPr/>
      <w:r>
        <w:rPr>
          <w:b/>
        </w:rPr>
        <w:t>Shared claim-specific concepts:</w:t>
      </w:r>
      <w:r>
        <w:t xml:space="preserve"> sustainability, develop, economy, there; EU scope visible. This is a provisional connection, not an outcome finding.</w:t>
      </w:r>
    </w:p>
    <w:p>
      <w:pPr>
        <w:pStyle w:val="SourceNote"/>
      </w:pPr>
      <w:r>
        <w:rPr>
          <w:b/>
        </w:rPr>
        <w:t>Available abstract (not full text):</w:t>
      </w:r>
      <w:r>
        <w:t xml:space="preserve"> Identifying appropriate digital technologies is crucial to help address rangeland agricultural challenges A rangeland farm hub can help highlight how best to integrate environmental management into rangeland livestock systems A rangeland farm hub allows the development of approaches and metrics to quantify the benefits of implementing agricultural and environmental solutions A digital vision may increase the socio-ecological viability of rangeland livestock systems and support their resilience to ongoing climate change Globally, rangeland grazing systems account for the majority of grazing lands (Reid et al., 2008) and more than half of the total land, with over 200 million people raising livestock in pastoral and agro-pastoral grazing systems. In Europe, a large proportion (59%) of these lands are classed as less favored areas (LFA—Article 2 of EU Council Directive No. 75/268/EEC) or areas of natural constraints [Article 32 of Regulation (EU) No. 1305/2013]. Although the primary function of many of these areas is to produce food and fiber, they are also rich in natural and semi-natural vegetation and support species and habitats, often with high conservation value, whose persistence is totally or partially dependent on the maintenance of specific low-intensity farming systems (Lomba et al., 2023). Moreover, across Europe, many rangeland areas are currently under pressure from </w:t>
      </w:r>
    </w:p>
    <w:p>
      <w:pPr/>
      <w:r>
        <w:rPr>
          <w:b/>
        </w:rPr>
        <w:t>POSSIBLE 2026:</w:t>
      </w:r>
      <w:r>
        <w:t xml:space="preserve"> Socio-cultural integration of international students in Europe: A systematic review — https://doi.org/10.36366/frontiers.v38i1.1128</w:t>
      </w:r>
    </w:p>
    <w:p>
      <w:pPr/>
      <w:r>
        <w:rPr>
          <w:b/>
        </w:rPr>
        <w:t>Shared claim-specific concepts:</w:t>
      </w:r>
      <w:r>
        <w:t xml:space="preserve"> review, develop, key; EU scope visible. This is a provisional connection, not an outcome finding.</w:t>
      </w:r>
    </w:p>
    <w:p>
      <w:pPr>
        <w:pStyle w:val="SourceNote"/>
      </w:pPr>
      <w:r>
        <w:rPr>
          <w:b/>
        </w:rPr>
        <w:t>Available abstract (not full text):</w:t>
      </w:r>
      <w:r>
        <w:t xml:space="preserve"> International student mobility (ISM) has gained increasing importance in the last decades, while the integration of international students remains a key area of research in the literature. This systematic review aims to provide a comprehensive analysis of the socio-cultural integration of international students in Europe by examining how transnational mobility influences the socialization among students, what factors influence and hinder social and cultural integration during ISM. Following the application of exclusion criteria, a total of 103 articles retrieved from six databases were analysed. Findings reveal that while ISM fosters cross-cultural interactions, various factors, such as institutional support, language proficiency, and social networks, play a crucial role in shaping integration experiences. Challenges such as discrimination, cultural distance, and limited engagement with host communities can hinder effective integration. By synthesizing existing research, this review contributes to a deeper understanding of the dynamics of international student integration, offering insights for future studies and institutional policies. Additionally, the review provides recommendations for higher education institutions to enhance their support systems, promote inclusive campus environments, and develop strategies to facilitate the successful integration of international student</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review, needed, there;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2025:</w:t>
      </w:r>
      <w:r>
        <w:t xml:space="preserve"> Harnessing large vision and language models in agriculture: a review — https://doi.org/10.3389/fpls.2025.1579355</w:t>
      </w:r>
    </w:p>
    <w:p>
      <w:pPr/>
      <w:r>
        <w:rPr>
          <w:b/>
        </w:rPr>
        <w:t>Shared claim-specific concepts:</w:t>
      </w:r>
      <w:r>
        <w:t xml:space="preserve"> review, explore, key; EU scope not established. This is a provisional connection, not an outcome finding.</w:t>
      </w:r>
    </w:p>
    <w:p>
      <w:pPr>
        <w:pStyle w:val="SourceNote"/>
      </w:pPr>
      <w:r>
        <w:rPr>
          <w:b/>
        </w:rPr>
        <w:t>Available abstract (not full text):</w:t>
      </w:r>
      <w:r>
        <w:t xml:space="preserve"> Introduction: Agriculture is a cornerstone of human society but faces significant challenges, including pests, diseases, and the need for increased production efficiency. Large models, encompassing large language models, large vision models, and multimodal large language models, have shown transformative potential in various domains. This review aims to explore the potential applications of these models in agriculture to address existing problems and improve production. Methods: We conduct a systematic review of the development trajectories and key capabilities of large models. A bibliometric analysis of literature from Web of Science and arXiv is performed to quantify the current research focus and identify the gap between the potential and the application of large models in the agricultural sector. Results: Our analysis confirms that agriculture is an emerging but currently underrepresented field for large model research. Nevertheless, we identify and categorize promising applications, including tailored models for agricultural question-answering, robotic automation, and advanced image analysis from remote sensing and spectral data. These applications demonstrate significant potential to solve complex, nuanced agricultural tasks. Discussion: This review culminates in a pragmatic framework to guide the choice between large and traditional models, balancing data availability ag</w:t>
      </w:r>
    </w:p>
    <w:p>
      <w:pPr/>
      <w:r>
        <w:rPr>
          <w:b/>
        </w:rPr>
        <w:t>POSSIBLE 2025:</w:t>
      </w:r>
      <w:r>
        <w:t xml:space="preserve"> Machine vision in manufacturing SMEs: a review — https://doi.org/10.1007/s42452-025-06923-4</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Abstract Automating manufacturing tasks, such as quality control, fault detection, part classification, and inventory management with machine vision systems can significantly improve process efficiency, accuracy, and productivity. As a result, the machine vision technology market is expanding, largely driven by its applications in manufacturing across both hardware and software sectors. Nevertheless, small- and medium-sized enterprises (SMEs) face distinct challenges in the implementation of such systems due to their human, technical, and organizational constraints. An overview of the current state of research and practical insights is essential to address these constraints and guide future developments. Although some surveys and interviews have been conducted, no comprehensive review outlines scientific literature on research methods and initiatives related to the characteristics and challenges of adopting machine vision systems in industrial SMEs. Therefore, we present a systematic literature review to identify applications, challenges and proposed approaches for machine vision and its adoption in industrial SMEs, analyzing 770 articles. The review highlights quality control as the prominent application, while primary challenges for SMEs include limited investment capacity, labor and expertise shortages, and high-variety, low-volume production, which often leads to insufficie</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2023:</w:t>
      </w:r>
      <w:r>
        <w:t xml:space="preserve"> Global and regional prevalence of multimorbidity in the adult population in community settings: a systematic review and meta-analysis — https://doi.org/10.1016/j.eclinm.2023.101860</w:t>
      </w:r>
    </w:p>
    <w:p>
      <w:pPr/>
      <w:r>
        <w:rPr>
          <w:b/>
        </w:rPr>
        <w:t>Shared claim-specific concepts:</w:t>
      </w:r>
      <w:r>
        <w:t xml:space="preserve"> review, recent, needed, there; EU scope visible. This is a provisional connection, not an outcome finding.</w:t>
      </w:r>
    </w:p>
    <w:p>
      <w:pPr>
        <w:pStyle w:val="SourceNote"/>
      </w:pPr>
      <w:r>
        <w:rPr>
          <w:b/>
        </w:rPr>
        <w:t>Available abstract (not full text):</w:t>
      </w:r>
      <w:r>
        <w:t xml:space="preserve"> Background: Knowing the prevalence of multimorbidity among adults across continents is a crucial piece of information for achieving Sustainable Development Goal 3.4, which calls for reducing premature death due to non-communicable diseases. A high prevalence of multimorbidity indicates high mortality and increased healthcare utilization. We aimed to understand the prevalence of multimorbidity across WHO geographic regions among adults. Methods: statistics. We performed subgroup analyses and sensitivity analyses based on continents, age, gender, multimorbidity definition, study periods and sample size. The study protocol was registered with PROSPERO (CRD42020150945). Findings: We analyzed data from 126 peer-reviewed studies that included nearly 15.4 million people (32.1% were male) with a weighted mean age of 56.94 years (standard deviation of 10.84 years) from 54 countries around the world. The overall global prevalence of multimorbidity was 37.2% (95% CI = 34.9-39.4%). South America (45.7%, 95% CI = 39.0-52.5) had the highest prevalence of multimorbidity, followed by North America (43.1%, 95% CI = 32.3-53.8%), Europe (39.2%, 95% CI = 33.2-45.2%), and Asia (35%, 95% CI = 31.4-38.5%). The subgroup study highlights that multimorbidity is more prevalent in females (39.4%, 95% CI = 36.4-42.4%) than males (32.8%, 95% CI = 30.0-35.6%). More than half of the adult population worldwide</w:t>
      </w:r>
    </w:p>
    <w:p>
      <w:pPr>
        <w:pStyle w:val="Heading2"/>
      </w:pPr>
      <w:r>
        <w:t>934.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2024:</w:t>
      </w:r>
      <w:r>
        <w:t xml:space="preserve"> Gap-filling techniques applied to the GOCI-derived daily sea surface salinity product for the Changjiang diluted water front in the East China Sea — https://doi.org/10.5194/essd-16-3193-2024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spatial and temporal resolutions of contemporary microwave-based sea surface salinity (SSS) measurements are insufficient. Thus, we developed gap-free gridded daily SSS product with high spatial and temporal resolutions, which can provide information on short-term variability in the East China Sea (ECS), such as the front changes by Changjiang diluted water (CDW). Specifically, we conducted gap-filling for daily SSS products based on the Geostationary Ocean Color Imager (GOCI) with a spatial resolution of 1 km (0.01°), using a machine learning approach during the summer season from 2015 to 2019. The comparison of the Soil Moisture Active Passive (SMAP), Copernicus Marine Environment Monitoring Service (CMEMS), and Hybrid Coordinate Ocean Model (HYCOM) SSS products with the GOCI-derived SSS over the entire SSS range showed that the SMAP SSS was highly consistent, whereas the HYCOM SSS was the least consistent. In the &lt;31 psu range, the SMAP SSS was still the most consistent with the GOCI-derived SSS (R2 = 0.46; root mean squared error: RMSE = 2.41 psu); in the &gt;31 psu range, the CMEMS and HYCOM SSS products showed similar levels of agreement with that of the SMAP SSS. We trained and tested three machine learning models—the find trees, boosted trees, and bagged trees models—using the daily GOCI-derived SSS as the ground truth, while including the three SSS products,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pStyle w:val="Heading2"/>
      </w:pPr>
      <w:r>
        <w:t>935.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2026:</w:t>
      </w:r>
      <w:r>
        <w:t xml:space="preserve"> Evaluating launcher options for Europe in a world of Starship — https://doi.org/10.1016/j.actaastro.2026.01.018</w:t>
      </w:r>
    </w:p>
    <w:p>
      <w:pPr/>
      <w:r>
        <w:rPr>
          <w:b/>
        </w:rPr>
        <w:t>Shared claim-specific concepts:</w:t>
      </w:r>
      <w:r>
        <w:t xml:space="preserve"> concludes, evaluation; EU scope visible. This is a provisional connection, not an outcome finding.</w:t>
      </w:r>
    </w:p>
    <w:p>
      <w:pPr>
        <w:pStyle w:val="SourceNote"/>
      </w:pPr>
      <w:r>
        <w:rPr>
          <w:b/>
        </w:rPr>
        <w:t>Available abstract (not full text):</w:t>
      </w:r>
      <w:r>
        <w:t xml:space="preserve"> As soon as the SpaceX Starship &amp; SuperHeavy launcher configuration is operationally available it likely will cause a fundamental shift to space transportation. In a first step, the paper provides a thorough technical analysis of Starship's estimated capabilities in its early operational phase, based on independent modeling with openly available data. The main part of the paper is dedicated to the technical evaluation of European options for serving a roughly similar payload class above 20 Mg up to approaching 100 Mg in single launch to LEO. A launcher system analysis looks into Ariane 6 evolution options and explores the technical limits based on the assumption of expendable stages. A significantly better performance perspective can be achieved through a completely new architecture. In case of these new architecture launchers, all first stages are reusable and exclusively liquid cryogenic propellants are chosen. Fully reusable configurations have been addressed in the small ESA-funded PROTEIN-study for which some complementary concepts are summarized. The different launcher options show a broad range in payload performance. As these diverse vehicles come with significantly different cost, the NRC and RC are modeled for reasonable European heavy-lift transportation scenarios. The paper concludes with a comparative evaluation of main technical characteristics of the launch vehicl</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transition, pathway, participation, people, three;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2025:</w:t>
      </w:r>
      <w:r>
        <w:t xml:space="preserve"> A global evaluation of Advanced Practice recognition pathways for diagnostic radiography — https://doi.org/10.1016/j.radi.2025.102923</w:t>
      </w:r>
    </w:p>
    <w:p>
      <w:pPr/>
      <w:r>
        <w:rPr>
          <w:b/>
        </w:rPr>
        <w:t>Shared claim-specific concepts:</w:t>
      </w:r>
      <w:r>
        <w:t xml:space="preserve"> evaluation, pathways, pathway, each; EU scope not established. This is a provisional connection, not an outcome finding.</w:t>
      </w:r>
    </w:p>
    <w:p>
      <w:pPr>
        <w:pStyle w:val="SourceNote"/>
      </w:pPr>
      <w:r>
        <w:rPr>
          <w:b/>
        </w:rPr>
        <w:t>Available abstract (not full text):</w:t>
      </w:r>
      <w:r>
        <w:t xml:space="preserve"> INTRODUCTION: Advanced practice roles in diagnostic radiography are progressively being recognised by various national professional societies on a global scale. The advanced practice workforce is filling in the demands of healthcare settings and a growing population to serve patient care needs. Advanced practice recognition pathways vary with each nation and thus do not follow a uniform approach to progress the advanced practice diagnostic radiographer. The aim of this study is to explore the formal recognition of advanced practice in diagnostic radiography by examining how national professional society pathways are designed, administered, and assessed. METHODS: A qualitative content analysis of advanced practice recognition pathway data was extracted from nine (n = 9) national professional society websites that met the inclusion criteria out of eighty-three (n = 83) registered with the International Society of Radiographers &amp; Radiological Technologists (ISRRT). No formal ethical approval was required for open-source data used. RESULTS: Open-source advanced practice pathway data was extracted from nine national society websites with significant heterogeneity globally. Several themes emerged during data analysis to include overarching rationale, diversity in definition and scope of AP, variation in characteristics and qualification requirements, and the advanced practice assessm</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pStyle w:val="Heading2"/>
      </w:pPr>
      <w:r>
        <w:t>936.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2024:</w:t>
      </w:r>
      <w:r>
        <w:t xml:space="preserve"> Circular transformation of the European steel industry renders scrap metal a strategic resource — https://doi.org/10.48550/arxiv.2406.12098</w:t>
      </w:r>
    </w:p>
    <w:p>
      <w:pPr/>
      <w:r>
        <w:rPr>
          <w:b/>
        </w:rPr>
        <w:t>Shared claim-specific concepts:</w:t>
      </w:r>
      <w:r>
        <w:t xml:space="preserve"> every, additional, recently, estimated; EU scope visible. This is a provisional connection, not an outcome finding.</w:t>
      </w:r>
    </w:p>
    <w:p>
      <w:pPr>
        <w:pStyle w:val="SourceNote"/>
      </w:pPr>
      <w:r>
        <w:rPr>
          <w:b/>
        </w:rPr>
        <w:t>Available abstract (not full text):</w:t>
      </w:r>
      <w:r>
        <w:t xml:space="preserve"> The steel industry is a major contributor to CO2 emissions, accounting for 7% of global emissions. The European steel industry is seeking to reduce its emissions by increasing the use of electric arc furnaces (EAFs), which can produce steel from scrap, marking a major shift towards a circular steel economy. Here, we show by combining trade with business intelligence data that this shift requires a deep restructuring of the global and European scrap trade, as well as a substantial scaling of the underlying business ecosystem. We find that the scrap imports of European countries with major EAF installations have steadily decreased since 2007 while globally scrap trade started to increase recently. Our statistical modelling shows that every 1,000 tonnes of EAF capacity installed is associated with an increase in annual imports of 550 tonnes and a decrease in annual exports of 1,000 tonnes of scrap, suggesting increased competition for scrap metal as countries ramp up their EAF capacity. Furthermore, each scrap company enables an increase of around 79,000 tonnes of EAF-based steel production per year in the EU. Taking these relations as causal and extrapolating to the currently planned EAF capacity, we find that an additional 730 (SD 140) companies might be required, employing about 35,000 people (IQR 29,000-50,000) and generating an additional estimated turnover of USD 35 billion </w:t>
      </w:r>
    </w:p>
    <w:p>
      <w:pPr>
        <w:pStyle w:val="Heading2"/>
      </w:pPr>
      <w:r>
        <w:t>937.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2025:</w:t>
      </w:r>
      <w:r>
        <w:t xml:space="preserve"> International Conventions to Reduce Methane Emissions from Kyoto to Baku — https://doi.org/10.56334/sei/8.2.16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International efforts to reduce methane emissions have evolved significantly from the Kyoto Protocol to recent initiatives like the Global Methane Pledge and discussions in Baku. The Kyoto Protocol (1997) was the first treaty to recognize methane as a greenhouse gas, while the Montreal Protocol indirectly contributed to its reduction. The UNFCCC has facilitated ongoing dialogues about methane, leading to the Global Methane Pledge in 2021, aiming for a 30% reduction by 2030. The Baku Process (2022) further emphasized collaboration and monitoring in the oil and gas sector. Regional initiatives, particularly in the EU and North America, also target methane emissions, reflecting a growing commitment to addressing this potent greenhouse gas in climate strategies</w:t>
      </w:r>
    </w:p>
    <w:p>
      <w:pPr/>
      <w:r>
        <w:rPr>
          <w:b/>
        </w:rPr>
        <w:t>POSSIBLE 2025:</w:t>
      </w:r>
      <w:r>
        <w:t xml:space="preserve"> Enhanced Indian Sign Language Detection — https://doi.org/10.55041/ijsrem49874</w:t>
      </w:r>
    </w:p>
    <w:p>
      <w:pPr/>
      <w:r>
        <w:rPr>
          <w:b/>
        </w:rPr>
        <w:t>Shared claim-specific concepts:</w:t>
      </w:r>
      <w:r>
        <w:t xml:space="preserve"> result, overall; EU scope not established. This is a provisional connection, not an outcome finding.</w:t>
      </w:r>
    </w:p>
    <w:p>
      <w:pPr>
        <w:pStyle w:val="SourceNote"/>
      </w:pPr>
      <w:r>
        <w:rPr>
          <w:b/>
        </w:rPr>
        <w:t>Available abstract (not full text):</w:t>
      </w:r>
      <w:r>
        <w:t xml:space="preserve"> Abstract - The communication problem involving members of society who have speech and hearing impairments is still not fully resolved. In an earlier study, we created a real-time Indian Sign Language (ISL) recognition system which uses LSTM architecture for sequential gesture recognition. The focus of this paper is on further improving this system by changing the architecture from LSTM to CNN to enhance spatial feature extraction and overall system performance. Using a more comprehensive ISL dataset, we trained and tested the model and added new advanced preprocessing techniques such as Gaussian blur and converting the images to grayscale. These modifications improved the accuracy of the model and reduced the processing power needed, allowing for more advanced, rapid, and reliable real-time ISL gesture recognition. The result of this study is in the direction of making available an effective, simple, and easy-to-use technological interface for the deaf and hearing-impaired people in India. Keywords: Indian Sign Language (ISL), Gesture Recognition, Convolutional Neural Networks (CNNs), Real-time Communication, Image Preprocessing, Gaussian Blur, Grayscale Conversion, Sign Language Translation, Computer Vision, Human-Computer Interaction (HCI), Deep Learning</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2024:</w:t>
      </w:r>
      <w:r>
        <w:t xml:space="preserve"> A review of Global Carbon Markets from Kyoto to Paris and beyond: the persistent failure of implementation — https://doi.org/10.3389/fenvs.2024.1368105</w:t>
      </w:r>
    </w:p>
    <w:p>
      <w:pPr/>
      <w:r>
        <w:rPr>
          <w:b/>
        </w:rPr>
        <w:t>Shared claim-specific concepts:</w:t>
      </w:r>
      <w:r>
        <w:t xml:space="preserve"> kyoto, agreement, carbon, different; EU scope not established. This is a provisional connection, not an outcome finding.</w:t>
      </w:r>
    </w:p>
    <w:p>
      <w:pPr>
        <w:pStyle w:val="SourceNote"/>
      </w:pPr>
      <w:r>
        <w:rPr>
          <w:b/>
        </w:rPr>
        <w:t>Available abstract (not full text):</w:t>
      </w:r>
      <w:r>
        <w:t xml:space="preserve"> This review article provides a comprehensive multidisciplinary and in-depth analysis of how the idea of Global Carbon Markets (GCM) has evolved from the Kyoto Protocol to the Paris Agreement and the post-Paris Agreement period (2015–2022) and why no real consensus has been reached after 25 years of negotiations, based on the categorisation of different arguments from different authors. We apply a semi-systematic review to 32 scientific articles, special reports, and relevant websites to analyse the failure in reaching international consensus on GCM. We apply three dichotomies, market vs. non-market-based approaches, top-down vs. bottom-up and national vs. international level. There are two striking findings. First (out of the articles that can easily be placed along all three dichotomies), there is an overwhelming majority of articles combining market-based, top-down, and international level explanations. This is however countered by a second finding, namely, that there is also a clear historical trend which is unlikely to change away from top-down and towards bottom-up approaches since the Paris agreement, combined with a movement towards more non-market-based and national approaches.</w:t>
      </w:r>
    </w:p>
    <w:p>
      <w:pPr/>
      <w:r>
        <w:rPr>
          <w:b/>
        </w:rPr>
        <w:t>POSSIBLE 2024:</w:t>
      </w:r>
      <w:r>
        <w:t xml:space="preserve"> Simple Three-Round Multiparty Schnorr Signing with Full Simulatability — https://doi.org/10.62056/a36c0l5vt</w:t>
      </w:r>
    </w:p>
    <w:p>
      <w:pPr/>
      <w:r>
        <w:rPr>
          <w:b/>
        </w:rPr>
        <w:t>Shared claim-specific concepts:</w:t>
      </w:r>
      <w:r>
        <w:t xml:space="preserve"> result, signing, different; EU scope not established. This is a provisional connection, not an outcome finding.</w:t>
      </w:r>
    </w:p>
    <w:p>
      <w:pPr>
        <w:pStyle w:val="SourceNote"/>
      </w:pPr>
      <w:r>
        <w:rPr>
          <w:b/>
        </w:rPr>
        <w:t>Available abstract (not full text):</w:t>
      </w:r>
      <w:r>
        <w:t xml:space="preserve"> In a multiparty signing protocol, also known as a threshold signature scheme, the private signing key is shared amongst a set of parties and only a quorum of those parties can generate a signature. Research on multiparty signing has been growing in popularity recently due to its application to cryptocurrencies. Most work has focused on reducing the number of rounds to two, and as a result: (a) are not fully simulatable in the sense of MPC real/ideal security definitions, and/or (b) are not secure under concurrent composition, and/or (c) utilize non-standard assumptions of different types in their proofs of security. In this paper, we describe a simple three-round multiparty protocol for Schnorr signatures that is secure for any number of corrupted parties; i.e., in the setting of a dishonest majority. The protocol is fully simulatable, secure under concurrent composition, and proven secure in the standard model or random-oracle model (depending on the instantiations of the commitment and zero-knowledge primitives). The protocol realizes an ideal Schnorr signing functionality with perfect security in the ideal commitment and zero-knowledge hybrid model (and thus the only assumptions needed are for realizing these functionalities). In our presentation, we do not assume that all parties begin with the message to be signed, the identities of the participating parties and a unique c</w:t>
      </w:r>
    </w:p>
    <w:p>
      <w:pPr>
        <w:pStyle w:val="Heading2"/>
      </w:pPr>
      <w:r>
        <w:t>938.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2026:</w:t>
      </w:r>
      <w:r>
        <w:t xml:space="preserve"> The European Commission and Dissensus over Liberal Democracy — https://doi.org/10.1007/978-3-032-22481-1_15</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pStyle w:val="Heading2"/>
      </w:pPr>
      <w:r>
        <w:t>939.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Land Management for Socially Integrative Cities in Europe — https://doi.org/10.3390/books978-3-03936-679-8-4</w:t>
      </w:r>
    </w:p>
    <w:p>
      <w:pPr/>
      <w:r>
        <w:rPr>
          <w:b/>
        </w:rPr>
        <w:t>Shared claim-specific concepts:</w:t>
      </w:r>
      <w:r>
        <w:t xml:space="preserve"> fact, planning; EU scope visible. This is a provisional connection, not an outcome finding.</w:t>
      </w:r>
    </w:p>
    <w:p>
      <w:pPr>
        <w:pStyle w:val="SourceNote"/>
      </w:pPr>
      <w:r>
        <w:rPr>
          <w:b/>
        </w:rPr>
        <w:t>Available abstract (not full text):</w:t>
      </w:r>
      <w:r>
        <w:t xml:space="preserve"> Since the Joint Declaration on "The EU-China Partnership on Urbanisation" in 2012, there has been a rapidly growing number of systematic joint research activities on sustainable urbanisation between European and Chinese partners.The "EU-China Sustainable Urbanisation Flagship Initiative" identified four priority areas of mutual interest for EU-China research and innovation collaboration, i.e., sustainable development and urban planning, nature-based solutions for cities, green urban mobility and sustainable energy solutions for cities.Within this framework, the TRANS-URBAN-EU-CHINA research and innovation action started in 2018 with two parallel objectives.On the one hand, it aimed to support policy makers, urban authorities, real estate developers, public service providers and citizens in China to create socially integrative cities in an environmentally friendly and financially viable way.On the other hand, it aimed to help urban stakeholders in Europe to reflect and eventually reconsider their own approaches towards sustainable urbanisation.Real-world methods, instruments and good practice examples from Europe and China, e.g., in terms of social inclusiveness, cultural dynamics, environmental friendliness and economic viability, constituted a basis for comparative analysis.Fourteen project partners of excellence conducted the project.With eight European and six Chinese expert</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2020:</w:t>
      </w:r>
      <w:r>
        <w:t xml:space="preserve"> Region Attention Networks for Pose and Occlusion Robust Facial Expression Recognition — https://doi.org/10.1109/tip.2019.2956143</w:t>
      </w:r>
    </w:p>
    <w:p>
      <w:pPr/>
      <w:r>
        <w:rPr>
          <w:b/>
        </w:rPr>
        <w:t>Shared claim-specific concepts:</w:t>
      </w:r>
      <w:r>
        <w:t xml:space="preserve"> fact, poses, major; EU scope not established. This is a provisional connection, not an outcome finding.</w:t>
      </w:r>
    </w:p>
    <w:p>
      <w:pPr>
        <w:pStyle w:val="SourceNote"/>
      </w:pPr>
      <w:r>
        <w:rPr>
          <w:b/>
        </w:rPr>
        <w:t>Available abstract (not full text):</w:t>
      </w:r>
      <w:r>
        <w:t xml:space="preserve"> Occlusion and pose variations, which can change facial appearance significantly, are two major obstacles for automatic Facial Expression Recognition (FER). Though automatic FER has made substantial progresses in the past few decades, occlusion-robust and pose-invariant issues of FER have received relatively less attention, especially in real-world scenarios. This paper addresses the real-world pose and occlusion robust FER problem in the following aspects. First, to stimulate the research of FER under real-world occlusions and variant poses, we annotate several in-the-wild FER datasets with pose and occlusion attributes for the community. Second, we propose a novel Region Attention Network (RAN), to adaptively capture the importance of facial regions for occlusion and pose variant FER. The RAN aggregates and embeds varied number of region features produced by a backbone convolutional neural network into a compact fixed-length representation. Last, inspired by the fact that facial expressions are mainly defined by facial action units, we propose a region biased loss to encourage high attention weights for the most important regions. We validate our RAN and region biased loss on both our built test datasets and four popular datasets: FERPlus, AffectNet, RAF-DB, and SFEW. Extensive experiments show that our RAN and region biased loss largely improve the performance of FER with occ</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pStyle w:val="Heading2"/>
      </w:pPr>
      <w:r>
        <w:t>940.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2026:</w:t>
      </w:r>
      <w:r>
        <w:t xml:space="preserve"> Point and Probabilistic Forecasts for Day-Ahead Battery Scheduling — https://doi.org/10.5445/ir/1000189295</w:t>
      </w:r>
    </w:p>
    <w:p>
      <w:pPr/>
      <w:r>
        <w:rPr>
          <w:b/>
        </w:rPr>
        <w:t>Shared claim-specific concepts:</w:t>
      </w:r>
      <w:r>
        <w:t xml:space="preserve"> forecasts, point, system; EU scope not established. This is a provisional connection, not an outcome finding.</w:t>
      </w:r>
    </w:p>
    <w:p>
      <w:pPr>
        <w:pStyle w:val="SourceNote"/>
      </w:pPr>
      <w:r>
        <w:rPr>
          <w:b/>
        </w:rPr>
        <w:t>Available abstract (not full text):</w:t>
      </w:r>
      <w:r>
        <w:t xml:space="preserve"> The global energy transition towards renewable energy sources (RES) poses challenges due to their inherent uncertainty, which reduces the energy system's flexibility and stability. Battery energy storage systems (BESS) offer a solution by increasing flexibility and making aggregated RES and loads dispatchable, enabling them to meet day-ahead dispatch schedules communicated with the grid through effective BESS management. This concept is implemented in a so-called dispatchable feeder (DF), which represents a system consisting of RES generation, loads, and a BESS, working together as a single controllable unit. The operation of the DF is formulated as a stochastic optimisation problem (OP) using forecasts of RES generation and loads as inputs. This thesis focuses on two main aspects affecting the performance of the DF: the forecasts and the mathematical formulation of the OP. In the first half of this thesis, the impact of different point forecasts with different characteristics on the performance of the DF via the so-called forecast value is investigated. Using a dataset of 300 residential buildings, the results show that the forecast characteristics affect the performance of the DF depending on problem-specific parameters. Based on these results, a meta-learning framework is proposed that automates the selection of the value-oriented forecast for the DF. The evaluation shows th</w:t>
      </w:r>
    </w:p>
    <w:p>
      <w:pPr/>
      <w:r>
        <w:rPr>
          <w:b/>
        </w:rPr>
        <w:t>POSSIBLE 2026:</w:t>
      </w:r>
      <w:r>
        <w:t xml:space="preserve"> Essays in financial forecasting — https://doi.org/10.82444/warw.33492655</w:t>
      </w:r>
    </w:p>
    <w:p>
      <w:pPr/>
      <w:r>
        <w:rPr>
          <w:b/>
        </w:rPr>
        <w:t>Shared claim-specific concepts:</w:t>
      </w:r>
      <w:r>
        <w:t xml:space="preserve"> forecasts, point; EU scope not established. This is a provisional connection, not an outcome finding.</w:t>
      </w:r>
    </w:p>
    <w:p>
      <w:pPr>
        <w:pStyle w:val="SourceNote"/>
      </w:pPr>
      <w:r>
        <w:rPr>
          <w:b/>
        </w:rPr>
        <w:t>Available abstract (not full text):</w:t>
      </w:r>
      <w:r>
        <w:t xml:space="preserve"> Forecasting is central to economic and financial decision-making. Government institutions and agents in the private sector often base their decisions on forecasts of financial and economic variables. Forecasting has therefore been a primary concern for practitioners and financial econometricians alike, and the relevant literature has witnessed a renaissance in recent years. This thesis contributes to this literature by investigating three topical issues related to financial and economic forecasting. The first chapter finds its rationale in the large literature suggesting that standard exchange rate models cannot outperform a random walk forecast and that the forward rate is not an optimal predictor of the spot rate. However, there is some evidence that the term structure of forward premia contains valuable information for forecasting future spot exchange rates and that exchange rate dynamics display nonlinearities. This chapter proposes a term-structure forecasting model of exchange rates based on a regime-switching vector equilibrium correction model which is novel in this context. Our model significantly outperforms both a random walk and, to a lesser extent, a linear term-structure vector equilibrium correction model for four major dollar exchange rates across a range of horizons. The second chapter proposes a vector equilibrium correction model of stock returns that exploit</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2025:</w:t>
      </w:r>
      <w:r>
        <w:t xml:space="preserve"> Time Series Forecasting — https://openalex.org/W7112084374</w:t>
      </w:r>
    </w:p>
    <w:p>
      <w:pPr/>
      <w:r>
        <w:rPr>
          <w:b/>
        </w:rPr>
        <w:t>Shared claim-specific concepts:</w:t>
      </w:r>
      <w:r>
        <w:t xml:space="preserve"> forecasts, point, present; EU scope not established. This is a provisional connection, not an outcome finding.</w:t>
      </w:r>
    </w:p>
    <w:p>
      <w:pPr>
        <w:pStyle w:val="SourceNote"/>
      </w:pPr>
      <w:r>
        <w:rPr>
          <w:b/>
        </w:rPr>
        <w:t>Available abstract (not full text):</w:t>
      </w:r>
      <w:r>
        <w:t xml:space="preserve"> The evolving landscape of the energy industry has heightened the demand for precise consumption forecasting tools, traditionally concentrated on electricity. However, the geopolitical significance of natural gas has propelled the need for forecasting tools in the gas sector. This thesis addresses the criticality of accurate forecasting in the natural gas and electricity domains, which helps to overcome logistical and operation optimization challenges. The thesis proposes a methodology focused on multi-step forecasting, which is based on machine and deep learning algorithms tailored for forecasting tasks in the energy domain. The methodology is evaluated on real-world datasets, demonstrating its effectiveness in handling complex forecasting tasks. Comparative experiments between traditional statistical models and machine learning and deep learning approaches reveal the superiority of machine learning models in terms of accuracy for forecasts of natural gas and electricity consumption. Deep learning models present intermediate results between machine learning- and statistical-based models, suggesting their potential as alternatives to traditional machine learning approaches. However, relying on longer input sequences poses a challenge. In contrast, machine learning methods, while requiring less input data, rely more on engineered features, allowing the incorporation of domain kno</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pStyle w:val="Heading2"/>
      </w:pPr>
      <w:r>
        <w:t>941.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Statistical and comparative characteristics of the efficiency of the judicial systems of european countries (based on materials of the European Commission for the efficiency of justice – CEPEJ) — https://doi.org/10.37566/2707-6849-2024-3(48)-2</w:t>
      </w:r>
    </w:p>
    <w:p>
      <w:pPr/>
      <w:r>
        <w:rPr>
          <w:b/>
        </w:rPr>
        <w:t>Shared claim-specific concepts:</w:t>
      </w:r>
      <w:r>
        <w:t xml:space="preserve"> based, general, carried, out, national, different; EU scope visible. This is a provisional connection, not an outcome finding.</w:t>
      </w:r>
    </w:p>
    <w:p>
      <w:pPr>
        <w:pStyle w:val="SourceNote"/>
      </w:pPr>
      <w:r>
        <w:rPr>
          <w:b/>
        </w:rPr>
        <w:t>Available abstract (not full text):</w:t>
      </w:r>
      <w:r>
        <w:t xml:space="preserve"> The article examines individual statistical indicators of the functioning of the judicial systems of European countries and their impact on determining the efficiency of the administration of justice. The analysis is conducted based on materials of the European Commission for the Efficiency of Justice (CEPEJ) obtained during the assessment process as of 2022. The author conducts a comparative analysis of statistical data on the efficiency of the judicial systems of European countries, which will contribute to the further development of systemic changes in the national judicial system of Ukraine. The article emphasizes that there are indicators of the functioning of the judicial system that are objectively measurable (for example, the timeliness of consideration and resolution of court cases), and there are a number of indicators that generally contribute to ensuring the efficiency of justice (specialization and stability of the judicial system, professionalism of judges and court staff) or, in general, are a consequence of the functioning of an effective judicial system (public authority and trust in the court). Despite the full-scale military aggression against Ukraine, the national judicial system has shown signs of resilience and stability, demonstrating indicators corresponding to the average European efficiency of the administration of justice as of 2022. Despite difficult</w:t>
      </w:r>
    </w:p>
    <w:p>
      <w:pPr>
        <w:pStyle w:val="Heading2"/>
      </w:pPr>
      <w:r>
        <w:t>942.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2024:</w:t>
      </w:r>
      <w:r>
        <w:t xml:space="preserve"> Role of Renewable Energy Adoption in Reducing Climate Change Impacts in Europe — https://doi.org/10.47672/ajcs.2336</w:t>
      </w:r>
    </w:p>
    <w:p>
      <w:pPr/>
      <w:r>
        <w:rPr>
          <w:b/>
        </w:rPr>
        <w:t>Shared claim-specific concepts:</w:t>
      </w:r>
      <w:r>
        <w:t xml:space="preserve"> reducing, emissions, all, impacts;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2023:</w:t>
      </w:r>
      <w:r>
        <w:t xml:space="preserve"> Next-generation sequencing-based newborn screening initiatives in Europe: an overview — https://doi.org/10.20517/rdodj.2023.26</w:t>
      </w:r>
    </w:p>
    <w:p>
      <w:pPr/>
      <w:r>
        <w:rPr>
          <w:b/>
        </w:rPr>
        <w:t>Shared claim-specific concepts:</w:t>
      </w:r>
      <w:r>
        <w:t xml:space="preserve"> evaluate, set, all, tested; EU scope visible. This is a provisional connection, not an outcome finding.</w:t>
      </w:r>
    </w:p>
    <w:p>
      <w:pPr>
        <w:pStyle w:val="SourceNote"/>
      </w:pPr>
      <w:r>
        <w:rPr>
          <w:b/>
        </w:rPr>
        <w:t>Available abstract (not full text):</w:t>
      </w:r>
      <w:r>
        <w:t xml:space="preserve"> Aim: This article describes results from a survey targeting healthcare professionals (HCPs) leading newborn screening (NBS) initiatives in Europe. The survey was developed within the framework of a dedicated working group set up by the International Rare Diseases Research Consortium (IRDiRC) to gather collective efforts relating to NBS. The objectives of the survey were to gain a better understanding of approaches being tested for the expansion of NBS and to raise awareness of the significant momentum across Europe to evaluate novel technologies for use in future NBS programs. Methods: A web-based survey including 57 questions was developed to gather information about genomic newborn screening initiatives in Europe that are using next-generation sequencing (NGS) as a first-tier test. Responses were analyzed qualitatively, and aggregated results are presented herein. The identity of some initiatives is not presented to preserve confidentiality. Results: The findings of the survey indicated that most initiatives are in the planning stage and have not yet started. Although all 14 studies are heterogeneous in design, there is broad consensus that NGS approaches to NBS will, in the short term, be implemented in parallel with current screening programs. The results of this survey can be used to inform the design of studies still in the early planning stages. Conclusion: Here, we prov</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pStyle w:val="Heading2"/>
      </w:pPr>
      <w:r>
        <w:t>943.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renewable, energy, technologies, north, africa, both;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Renewable Energy Deployments at Sea — https://doi.org/10.4018/979-8-3373-5881-9.ch005</w:t>
      </w:r>
    </w:p>
    <w:p>
      <w:pPr/>
      <w:r>
        <w:rPr>
          <w:b/>
        </w:rPr>
        <w:t>Shared claim-specific concepts:</w:t>
      </w:r>
      <w:r>
        <w:t xml:space="preserve"> renewable, energy, north, both, regions; EU scope visible. This is a provisional connection, not an outcome finding.</w:t>
      </w:r>
    </w:p>
    <w:p>
      <w:pPr>
        <w:pStyle w:val="SourceNote"/>
      </w:pPr>
      <w:r>
        <w:rPr>
          <w:b/>
        </w:rPr>
        <w:t>Available abstract (not full text):</w:t>
      </w:r>
      <w:r>
        <w:t xml:space="preserve"> This chapter per the authors examines the implementation of renewable energy in the marine environment as a critical dimension of the global energy transition. It highlights the consolidation of offshore wind, both fixed-bottom and floating, as a mature technology, while also addressing the potential of emerging resources such as wave and tidal energy, Ocean Thermal Energy Conversion (OTEC), and salinity gradient power. The chapter reviews recent pilot projects in Europe, North America, and Asia, discussing their technical feasibility, cost challenges, and environmental implications. Particular attention is given to hybrid models that combine marine renewables with solar, aquaculture, desalination, and hydrogen production, as well as to policy instruments, marine spatial planning, and community engagement. Through this integrated perspective, the chapter emphasizes the opportunities and limitations of marine renewable energy, presenting it as a driver of the blue economy and a catalyst for sustainable development in coastal and island regions.</w:t>
      </w:r>
    </w:p>
    <w:p>
      <w:pPr/>
      <w:r>
        <w:rPr>
          <w:b/>
        </w:rPr>
        <w:t>POSSIBLE 2026:</w:t>
      </w:r>
      <w:r>
        <w:t xml:space="preserve"> Achieving the net-zero: the role of renewable energy in reducing carbon emission in Europe — https://doi.org/10.1007/s42108-026-00510-y</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Stock Market Return, Market Capitalization and Financial Stability in the Middle East and North Africa Region: The Moderating Role of Renewable Energy — https://doi.org/10.32479/ijeep.23283</w:t>
      </w:r>
    </w:p>
    <w:p>
      <w:pPr/>
      <w:r>
        <w:rPr>
          <w:b/>
        </w:rPr>
        <w:t>Shared claim-specific concepts:</w:t>
      </w:r>
      <w:r>
        <w:t xml:space="preserve"> renewable, energy, north, africa; EU scope not established. This is a provisional connection, not an outcome finding.</w:t>
      </w:r>
    </w:p>
    <w:p>
      <w:pPr>
        <w:pStyle w:val="SourceNote"/>
      </w:pPr>
      <w:r>
        <w:rPr>
          <w:b/>
        </w:rPr>
        <w:t>Available abstract (not full text):</w:t>
      </w:r>
      <w:r>
        <w:t xml:space="preserve"> This study investigates the relationship between stock market return, stock market capitalization, and financial stability in the Middle East and North Africa (MENA) region, with particular emphasis on the moderating role of renewable energy development. Using an unbalanced panel of 16 MENA countries over the period 2000–2021, the analysis employs the System Generalized Method of Moments (SGMM) to address potential endogeneity, unobserved heterogeneity, and dynamic effects. The results indicate several important results. First, stock market return has a positive and significant effect on financial stability, suggesting that higher equity performance contributes to increased financial stability. In contrast, stock market capitalization shows a positive but statistically insignificant effect. Furthermore, findings also indicate that a higher share of renewable energy significantly enhances financial resilience. Nevertheless, the interactions term between stock market return, stock market capitalization and renewable energy do not exert any significant effect on financial stability. These findings imply that financial stability in the MENA region is primarily driven by market performance and the integration of renewable energy, while the sheer size of the stock market plays a limited role. Policies promoting renewable energy and stronger equity performance could therefore jointly </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pStyle w:val="Heading2"/>
      </w:pPr>
      <w:r>
        <w:t>944.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2023:</w:t>
      </w:r>
      <w:r>
        <w:t xml:space="preserve"> Emergent Molecular Techniques Applied to the Detection of Porcine Viruses — https://doi.org/10.3390/vetsci10100609</w:t>
      </w:r>
    </w:p>
    <w:p>
      <w:pPr/>
      <w:r>
        <w:rPr>
          <w:b/>
        </w:rPr>
        <w:t>Shared claim-specific concepts:</w:t>
      </w:r>
      <w:r>
        <w:t xml:space="preserve"> applied, techniques; EU scope not established. This is a provisional connection, not an outcome finding.</w:t>
      </w:r>
    </w:p>
    <w:p>
      <w:pPr>
        <w:pStyle w:val="SourceNote"/>
      </w:pPr>
      <w:r>
        <w:rPr>
          <w:b/>
        </w:rPr>
        <w:t>Available abstract (not full text):</w:t>
      </w:r>
      <w:r>
        <w:t xml:space="preserve"> Molecular diagnostic tests have evolved very rapidly in the field of human health, especially with the arrival of the recent pandemic caused by the SARS-CoV-2 virus. However, the animal sector is constantly neglected, even though accurate detection by molecular tools could represent economic advantages by preventing the spread of viruses. In this regard, the swine industry is of great interest. The main viruses that affect the swine industry are described in this review, including African swine fever virus (ASFV), porcine reproductive and respiratory syndrome virus (PRRSV), porcine epidemic diarrhea virus (PEDV), and porcine circovirus (PCV), which have been effectively detected by different molecular tools in recent times. Here, we describe the rationale of molecular techniques such as multiplex PCR, isothermal methods (LAMP, NASBA, RPA, and PSR) and novel methods such as CRISPR-Cas and microfluidics platforms. Successful molecular diagnostic developments are presented by highlighting their most important findings. Finally, we describe the barriers that hinder the large-scale development of affordable, accessible, rapid, and easy-to-use molecular diagnostic tests. The evolution of diagnostic techniques is critical to prevent the spread of viruses and the development of viral reservoirs in the swine industry that impact the possible development of future pandemics and the world</w:t>
      </w:r>
    </w:p>
    <w:p>
      <w:pPr/>
      <w:r>
        <w:rPr>
          <w:b/>
        </w:rPr>
        <w:t>POSSIBLE 2023:</w:t>
      </w:r>
      <w:r>
        <w:t xml:space="preserve"> Larger diurnal temperature range undermined later autumn leaf senescence with warming in Europe — https://doi.org/10.1111/geb.13674</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Abstract Aim Climate change regulates autumn leaf senescence date (LSD), exhibiting a strong phenological control of plant carbon uptake. Unlike the delaying effect of daily mean temperature ( T mean ) on LSD, the impact of warming asymmetry in daytime and nighttime, as evidenced by variations of the diurnal temperature range (DTR), remains elusive. The objectives of this study were to investigate physiological and ecological impacts of DTR on LSD using long‐term in situ observations and to predict the future trends of LSD under warming. Location Europe. Time period 1950–2015. Major taxa studied Plant phenology. Methods We used partial correlation analysis, multiple linear regression and ridge regression to explore the impacts of DTR on LSD. To quantify the importance of potential drivers of LSD, we trained random forest models and applied the SHapley Additive exPlanations method to isolate the marginal contributions of each predictor on LSD. For LSD modelling and projection, we first evaluated two temperature‐driven LSD models [i.e., cooling‐degree‐day (CDD, without DTR effect) and day–night‐temperature CDD (DN CDD , with DTR effect)], then applied them to predict future LSDs. Results We found that observational increases in T mean and DTR had contrasting effects on LSD. Increased T mean delayed the LSD, whereas larger DTR overall had an advancing effect. Considering the DTR e</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pStyle w:val="Heading2"/>
      </w:pPr>
      <w:r>
        <w:t>945.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2026:</w:t>
      </w:r>
      <w:r>
        <w:t xml:space="preserve"> Indigenous Water as Life — https://doi.org/10.4018/979-8-3373-7559-5.ch003</w:t>
      </w:r>
    </w:p>
    <w:p>
      <w:pPr/>
      <w:r>
        <w:rPr>
          <w:b/>
        </w:rPr>
        <w:t>Shared claim-specific concepts:</w:t>
      </w:r>
      <w:r>
        <w:t xml:space="preserve"> shows, indigenous, systems, resource; EU scope not established. This is a provisional connection, not an outcome finding.</w:t>
      </w:r>
    </w:p>
    <w:p>
      <w:pPr>
        <w:pStyle w:val="SourceNote"/>
      </w:pPr>
      <w:r>
        <w:rPr>
          <w:b/>
        </w:rPr>
        <w:t>Available abstract (not full text):</w:t>
      </w:r>
      <w:r>
        <w:t xml:space="preserve"> Chapter Three argues that Indigenous water relationships are grounded in ceremonial, spiritual, and ecological responsibilities that position water not as a resource but as a sacred, sentient relative. Through thirteen themes and nineteen subthemes, the chapter demonstrates how water ceremonies function as systems of governance, healing, and intergenerational cultural continuity. Indigenous communities' articulate water as life, emphasize the gendered responsibilities of grandmothers and ceremonial leaders, and describe the spiritual and ecological consequences of industrial contamination, drying springs, and climate disruption. The chapter foregrounds how land-based teachings, daily offerings, advocacy movements, and relational ethics sustain water protection across generations. It also shows how Indigenous water ceremonies integrate spiritual knowledge with environmental observation, creating holistic frameworks for resilience. Ultimately, the chapter reframes water governance as ceremonial, relational, and embodied, offering a decolonial model for ecological stewardship.</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Linking Western Psychological models and Sundanese Indigenous Wisdom in the real world — https://doi.org/10.17576/geo-2025-2103-06</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This study examines the integration of Western Psychological Well-Being (PWB) models with Sundanese indigenous values, specifically Pancawaluya, a local philosophical framework comprising five principles: Cageur (healthy), Bageur (kind), Bener (truthful), Pinter (intelligent), and Singer (resilient). The aim is to understand how these local values interact with global models of well-being and to construct a culturally relevant conceptual framework for the psychological well-being of the Sundanese people. A mixed-methods approach was employed. Quantitative data were gathered from 150 respondents through an online survey using a structured Google Form, while qualitative insights were obtained from in-depth interviews with 80 of the participants. Respondents were purposively selected from the native Sundanese community across various age groups (15 to over 60 years) and professional backgrounds. The analysis combined descriptive statistics with thematic coding to capture both measurable patterns and deeper cultural meanings. The findings reveal that Sundanese well-being emphasizes harmony, simplicity, and interconnectedness, offering a holistic perspective distinct from the individualistic orientation of Western PWB models such as Ryff’s. The Quadrant Coordinates model shows that Sundanese individuals tend to score high in Bageur (kindness) but face challenges in Pinter (intellige</w:t>
      </w:r>
    </w:p>
    <w:p>
      <w:pPr/>
      <w:r>
        <w:rPr>
          <w:b/>
        </w:rPr>
        <w:t>POSSIBLE 2025:</w:t>
      </w:r>
      <w:r>
        <w:t xml:space="preserve"> DEVELOPING A LEGAL CLINICAL EDUCATION MODEL FOR INDIGENOUS COMMUNITIES IN THE REGIONAL AUTONOMY ERA — https://openalex.org/W7220221260</w:t>
      </w:r>
    </w:p>
    <w:p>
      <w:pPr/>
      <w:r>
        <w:rPr>
          <w:b/>
        </w:rPr>
        <w:t>Shared claim-specific concepts:</w:t>
      </w:r>
      <w:r>
        <w:t xml:space="preserve"> indigenous, service, show; EU scope not established. This is a provisional connection, not an outcome finding.</w:t>
      </w:r>
    </w:p>
    <w:p>
      <w:pPr>
        <w:pStyle w:val="SourceNote"/>
      </w:pPr>
      <w:r>
        <w:rPr>
          <w:b/>
        </w:rPr>
        <w:t>Available abstract (not full text):</w:t>
      </w:r>
      <w:r>
        <w:t xml:space="preserve"> Legal clinical education is an approach to legal learning that emphasizes direct practice through social interaction and community service. In the context of indigenous communities, legal clinical education can be an important tool for strengthening community legal capacity and safeguarding their customary rights amidst the dynamics of regional autonomy. This article aims to develop a legal clinical education model relevant to the needs of indigenous communities in the era of regional autonomy, with a focus on a participatory, local wisdom-based, and collaborative approach between legal education institutions, local governments, and customary institutions. This study uses qualitative methods with a descriptive analytical approach. The results show that the indigenous community-based legal clinical education model is able to increase legal awareness, strengthen community bargaining power in dispute resolution, and serve as an instrument of social empowerment at the local level. These findings are expected to serve as a reference in the development of a more inclusive legal curriculum based on social practice and community service in Indonesia.</w:t>
      </w:r>
    </w:p>
    <w:p>
      <w:pPr/>
      <w:r>
        <w:rPr>
          <w:b/>
        </w:rPr>
        <w:t>POSSIBLE 2025:</w:t>
      </w:r>
      <w:r>
        <w:t xml:space="preserve"> Models of care for Indigenous children in rural and remote settings: A global scoping review. — https://doi.org/10.1371/journal.pgph.0004934</w:t>
      </w:r>
    </w:p>
    <w:p>
      <w:pPr/>
      <w:r>
        <w:rPr>
          <w:b/>
        </w:rPr>
        <w:t>Shared claim-specific concepts:</w:t>
      </w:r>
      <w:r>
        <w:t xml:space="preserve"> indigenous, impacting, show, primary; EU scope not established. This is a provisional connection, not an outcome finding.</w:t>
      </w:r>
    </w:p>
    <w:p>
      <w:pPr>
        <w:pStyle w:val="SourceNote"/>
      </w:pPr>
      <w:r>
        <w:rPr>
          <w:b/>
        </w:rPr>
        <w:t>Available abstract (not full text):</w:t>
      </w:r>
      <w:r>
        <w:t xml:space="preserve"> Indigenous communities internationally have demonstrated remarkable strength despite significant challenges. Health disparities among Indigenous peoples persist due to historical injustices and ongoing racial discrimination, not inherent vulnerabilities. Disparities are rooted in a legacy of colonisation, systemic exclusion, and socio-economic inequities impacting access to healthcare, education, and employment. Preliminary searches show limited literature on models of care for remote living Indigenous children. This review aimed to identify internationally, effective models of care for Indigenous children in rural and remote areas. A scoping review was conducted, analysing literature on models of care for remote Indigenous children. This study followed the JBI's Scoping Review Guidance and PRISMA Scoping Review guideline. Inclusion criteria were aged ≤18, rural or remote areas, majority Indigenous, reported health outcomes, described a model of care, in English, and published since 1990. Data were systematically extracted, quality appraised using the 'Aboriginal and Torres Strait Islander Quality Appraisal Tool' then analysed using descriptive-analytical methodology. This review included 16 papers: 8 case series, 3 qualitative studies, and 5 trials. Of these, 7 studies were in Australia, 7 in the USA and 2 in Canada. All studies primary aim was to improve quality of care. Mode</w:t>
      </w:r>
    </w:p>
    <w:p>
      <w:pPr>
        <w:pStyle w:val="Heading2"/>
      </w:pPr>
      <w:r>
        <w:t>946.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2024:</w:t>
      </w:r>
      <w:r>
        <w:t xml:space="preserve"> The Non-Parameter Evaluation of the Quality of Education in European Countries Based on Panel Data — https://doi.org/10.15678/pg.2024.69.3.02</w:t>
      </w:r>
    </w:p>
    <w:p>
      <w:pPr/>
      <w:r>
        <w:rPr>
          <w:b/>
        </w:rPr>
        <w:t>Shared claim-specific concepts:</w:t>
      </w:r>
      <w:r>
        <w:t xml:space="preserve"> panel, important, contribution, level; EU scope visible. This is a provisional connection, not an outcome finding.</w:t>
      </w:r>
    </w:p>
    <w:p>
      <w:pPr>
        <w:pStyle w:val="SourceNote"/>
      </w:pPr>
      <w:r>
        <w:rPr>
          <w:b/>
        </w:rPr>
        <w:t>Available abstract (not full text):</w:t>
      </w:r>
      <w:r>
        <w:t xml:space="preserve"> Objective: The aim of this paper is to evaluate the performance of sustainable development in the education sector through a relative comparison of thirty-five European countries in the period of 2013–2021. Sustainable Development Goal number 4, namely the quality of education, was taken as a benchmark for evaluation. Research Design &amp; Methods: The performance of the countries was evaluated using the combined Slack Based Measure DEA Window model, which has a higher discriminating power than the standard DEA model and a dynamic dimension of observation. Finally, the robustness and sensitivity of the results was tested using bootstrapping methods. Findings: The results showed that the performance of the quality of education, measured in terms of the DEA concept of efficiency, in the period 2013–2021, was at a relatively low but stable level overall. It was shown that, above all, the observed countries that are not members of the EU achieved a far worse level of the quality of education in the observed period, including the United Kingdom. Contribution / Value Added: The obtained results are important in terms of benchmarking public policies related to sustainable development, especially in terms of contributing to discussions regarding the evaluation of countries’ performance, especially in the field of education, as one of the key goals of sustainable development. Also, the resu</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pStyle w:val="Heading2"/>
      </w:pPr>
      <w:r>
        <w:t>947.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finally, energy, also;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Attractiveness of Clean Energy Stocks in Europe: The Importance of Shocks in Oil and Gas Prices — https://doi.org/10.2139/ssrn.4727356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pStyle w:val="Heading2"/>
      </w:pPr>
      <w:r>
        <w:t>948.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Europe as Ideological Resource — https://doi.org/10.1093/oso/9780198892366.001.0001</w:t>
      </w:r>
    </w:p>
    <w:p>
      <w:pPr/>
      <w:r>
        <w:rPr>
          <w:b/>
        </w:rPr>
        <w:t>Shared claim-specific concepts:</w:t>
      </w:r>
      <w:r>
        <w:t xml:space="preserve"> used, create, four, concepts; EU scope visible. This is a provisional connection, not an outcome finding.</w:t>
      </w:r>
    </w:p>
    <w:p>
      <w:pPr>
        <w:pStyle w:val="SourceNote"/>
      </w:pPr>
      <w:r>
        <w:rPr>
          <w:b/>
        </w:rPr>
        <w:t>Available abstract (not full text):</w:t>
      </w:r>
      <w:r>
        <w:t xml:space="preserve"> Abstract How did the far right go from illegitimate fringe to contender for public office, and did Europe have anything to do with it? This book argues that European integration functioned as an ideological resource for far-right parties looking for legitimation because it enabled them to refashion their political message in a more acceptable form, while maintaining the allegiance of their existing supporters. Drawing on the qualitative analysis of over 400 documents produced by the Movimento Sociale Italiano/Alleanza Nazionale in Italy (1978–2009) and the Rassemblement National in France (1978–2019), the book identifies the core concepts and discourses the parties used to talk about Europe, and the legitimation mechanisms associated with them. The book’s narrative is developed through the analysis of four key concepts: the concept of identity, which enabled the parties to transnationalize their message and create a positive association between themselves and Europe; the concept of liberty, which made it possible for them to foster an image of actors holding uncontroversial positions; the concept of threat, which helped them promote the idea that ‘desperate times call for desperate measures’; and the concept of national interest, which helped them stress commitment to core principles in their ideology. Ever since its re-emergence on the European political scene, scholars have s</w:t>
      </w:r>
    </w:p>
    <w:p>
      <w:pPr/>
      <w:r>
        <w:rPr>
          <w:b/>
        </w:rPr>
        <w:t>POSSIBLE 2024:</w:t>
      </w:r>
      <w:r>
        <w:t xml:space="preserve"> Using the Blockchain to Reduce Carbon Emissions in the Visitor Economy — https://doi.org/10.3390/su16104000</w:t>
      </w:r>
    </w:p>
    <w:p>
      <w:pPr/>
      <w:r>
        <w:rPr>
          <w:b/>
        </w:rPr>
        <w:t>Shared claim-specific concepts:</w:t>
      </w:r>
      <w:r>
        <w:t xml:space="preserve"> used, develop, strategies, aim; EU scope not established. This is a provisional connection, not an outcome finding.</w:t>
      </w:r>
    </w:p>
    <w:p>
      <w:pPr>
        <w:pStyle w:val="SourceNote"/>
      </w:pPr>
      <w:r>
        <w:rPr>
          <w:b/>
        </w:rPr>
        <w:t>Available abstract (not full text):</w:t>
      </w:r>
      <w:r>
        <w:t xml:space="preserve"> The visitor economy is responsible for a substantial percentage of the global carbon footprint. The mechanisms used to decarbonize it are insufficient, and the industry is relying on carbon trading with substandard credits that allow businesses to outsource the responsibility to decarbonize. We aim to transform carbon markets, help finance climate investments, and support decarbonization strategies. We identify and define the problem, outline the components and their interactions, and develop a conceptual model to transform carbon markets. The new, blockchain-based Carbon Tokenomics Model rolls out a decentralized database to store, trade, and manage carbon credits, with the goal of enabling sustainable climate finance investment. We outline the criteria needed for an industry-wide carbon calculator. We explain the process needed to increase rigor in climate investments in the visitor economy and introduce a delegated Proof of Commitment consensus mechanism. Our inclusive and transparent model illustrates how to reduce transaction costs and how to build consumer and industry trust, generating much-needed investments for decarbonization.</w:t>
      </w:r>
    </w:p>
    <w:p>
      <w:pPr/>
      <w:r>
        <w:rPr>
          <w:b/>
        </w:rPr>
        <w:t>POSSIBLE 2024:</w:t>
      </w:r>
      <w:r>
        <w:t xml:space="preserve"> BUSINESS TRAVEL MOTIVATIONS AND OBJECTIVES OF TRADE FAIRS VISITORS: EXPERIENCE FROM THE TRADE FAIRS IN THESSALONIKI, GREECE — https://doi.org/10.30892/gtg.53207-1219</w:t>
      </w:r>
    </w:p>
    <w:p>
      <w:pPr/>
      <w:r>
        <w:rPr>
          <w:b/>
        </w:rPr>
        <w:t>Shared claim-specific concepts:</w:t>
      </w:r>
      <w:r>
        <w:t xml:space="preserve"> used, business, aim, visitors; EU scope visible. This is a provisional connection, not an outcome finding.</w:t>
      </w:r>
    </w:p>
    <w:p>
      <w:pPr>
        <w:pStyle w:val="SourceNote"/>
      </w:pPr>
      <w:r>
        <w:rPr>
          <w:b/>
        </w:rPr>
        <w:t>Available abstract (not full text):</w:t>
      </w:r>
      <w:r>
        <w:t xml:space="preserve"> This research investigates the motivations and objectives of visitor participation in trade fairs in Thessaloniki. In particular, the trend of combining professional goals with the entertainment of visitors is investigated. The aim of the research is to determine whether the inclination to blend economic goals with entertainment is a shared characteristic among attendees of all trade fair events, or if it varies in any manner. Mixed methods research was used: quantitative research (1,066 participants) and in-depth interviews (51 participants). In order to comprehensively understand phenomena and ensure validity, the triangulation approach was used. The results showed that the type of trade fair is related to visitors' participation objectives. Specifically, the reason for visiting the trade fairs addressed to the general public is mainly entertainment, while those of the specialized sectoral trade fairs are mainly business-related. However, even in the sectoral trade fairs there is a significant percentage in several cases that mentions fun-entertainment as an objective. These results are of great research importance, but also of managerial importance, both for the trade fair organizers and for the local tourism development agencies.</w:t>
      </w:r>
    </w:p>
    <w:p>
      <w:pPr>
        <w:pStyle w:val="Heading2"/>
      </w:pPr>
      <w:r>
        <w:t>949.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decarbonization, large, carbon; EU scope visible. This is a provisional connection, not an outcome finding.</w:t>
      </w:r>
    </w:p>
    <w:p>
      <w:pPr>
        <w:pStyle w:val="SourceNote"/>
      </w:pPr>
      <w:r>
        <w:rPr>
          <w:b/>
        </w:rPr>
        <w:t>Available abstract (not full text):</w:t>
      </w:r>
      <w:r>
        <w:t xml:space="preserve">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pStyle w:val="Heading2"/>
      </w:pPr>
      <w:r>
        <w:t>950.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2024:</w:t>
      </w:r>
      <w:r>
        <w:t xml:space="preserve"> The opportunities and potential of camelina in marginal land in Europe — https://doi.org/10.1016/j.indcrop.2024.118224</w:t>
      </w:r>
    </w:p>
    <w:p>
      <w:pPr/>
      <w:r>
        <w:rPr>
          <w:b/>
        </w:rPr>
        <w:t>Shared claim-specific concepts:</w:t>
      </w:r>
      <w:r>
        <w:t xml:space="preserve"> build, among, two;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they, build, among;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2022:</w:t>
      </w:r>
      <w:r>
        <w:t xml:space="preserve"> Policies to build research infrastructures in Europe - following traditions or building new momentum? — https://doi.org/10.24406/publica-fhg-296369</w:t>
      </w:r>
    </w:p>
    <w:p>
      <w:pPr/>
      <w:r>
        <w:rPr>
          <w:b/>
        </w:rPr>
        <w:t>Shared claim-specific concepts:</w:t>
      </w:r>
      <w:r>
        <w:t xml:space="preserve"> finally, they, build, main, findings, two; EU scope visible. This is a provisional connection, not an outcome finding.</w:t>
      </w:r>
    </w:p>
    <w:p>
      <w:pPr>
        <w:pStyle w:val="SourceNote"/>
      </w:pPr>
      <w:r>
        <w:rPr>
          <w:b/>
        </w:rPr>
        <w:t>Available abstract (not full text):</w:t>
      </w:r>
      <w:r>
        <w:t xml:space="preserve"> As next to all aspects of research are becoming internationalised at a more and more rapid pace the need for the creation of transnational research infrastructures can no longer be seen as limited to certain fields of natural sciences. Against the background, new policies have been launched with the stated ambition of developing world-class research infrastructures through the creation of critical mass for scientific undertakings across the continent. Thus they seek to contribute to the establishment of a European Research Area in which the fragmentation of scientific resources can be minimised. Against this background, it was the aim of this paper to analyse whether selected policies with the aim to build capacity in this field are likely to contribute to their objective to help foster the emerging European Research Area. Based on a recent representative survey of 598 European research organisations and available data for the 6th and 7th Framework Programmes for Research, evidence was collected to address two main research questions. Firstly, we found that the four largest EU countries (Germany, France, Italy, UK) still dominate both lines of actions aimed at building or extending research infrastructures in Europe (I3 actions and design actions) with a view to budget, project co-ordination and, to a lesser degree, participation. Nonetheless, their dominance seems to subside g</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pStyle w:val="Heading2"/>
      </w:pPr>
      <w:r>
        <w:t>951.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2026:</w:t>
      </w:r>
      <w:r>
        <w:t xml:space="preserve"> Real GDP Forecasts by International Organisations — https://doi.org/10.47688/rdp2026-05</w:t>
      </w:r>
    </w:p>
    <w:p>
      <w:pPr/>
      <w:r>
        <w:rPr>
          <w:b/>
        </w:rPr>
        <w:t>Shared claim-specific concepts:</w:t>
      </w:r>
      <w:r>
        <w:t xml:space="preserve"> four, world, international, influence, present; EU scope visible. This is a provisional connection, not an outcome finding.</w:t>
      </w:r>
    </w:p>
    <w:p>
      <w:pPr>
        <w:pStyle w:val="SourceNote"/>
      </w:pPr>
      <w:r>
        <w:rPr>
          <w:b/>
        </w:rPr>
        <w:t>Available abstract (not full text):</w:t>
      </w:r>
      <w:r>
        <w:t xml:space="preserve"> We study forecasts for real gross domestic product growth by international organisations. These forecasts influence policy decisions by international organisations and national governments, and receive significant attention from the private sector. First, we compare the accuracy of forecasters and test the rationality of forecasts using a large dataset of forecasts by four international organisations (the International Monetary Fund, the World Bank, the European Commission and the Organisation for Economic Co-operation and Development) and private-sector forecasts. Second, we derive a new decomposition of differences in forecast accuracy into contributions from disagreement and the accuracy of the average forecast. Finally, we present theoretical results and empirical evidence on two explanations for the rejection of forecast rationality: the use of conditioning assumptions and the practice of making modal forecasts.</w:t>
      </w:r>
    </w:p>
    <w:p>
      <w:pPr/>
      <w:r>
        <w:rPr>
          <w:b/>
        </w:rPr>
        <w:t>POSSIBLE 2026:</w:t>
      </w:r>
      <w:r>
        <w:t xml:space="preserve"> On European Fragmentation and the Single Currency in an Uncertain World — https://doi.org/10.65644/eiie.079.01.0001</w:t>
      </w:r>
    </w:p>
    <w:p>
      <w:pPr/>
      <w:r>
        <w:rPr>
          <w:b/>
        </w:rPr>
        <w:t>Shared claim-specific concepts:</w:t>
      </w:r>
      <w:r>
        <w:t xml:space="preserve"> world, international, challenges, trade; EU scope visible. This is a provisional connection, not an outcome finding.</w:t>
      </w:r>
    </w:p>
    <w:p>
      <w:pPr>
        <w:pStyle w:val="SourceNote"/>
      </w:pPr>
      <w:r>
        <w:rPr>
          <w:b/>
        </w:rPr>
        <w:t>Available abstract (not full text):</w:t>
      </w:r>
      <w:r>
        <w:t xml:space="preserve"> Europe faces growing strategic and economic challenges arising from the policies of the second Trump administration, extending beyond trade to energy, defence, digital services, and cross-border payments. Heightened uncertainty over US policy has raised concerns about the stability of the international monetary system and the future role of the dollar. In this context, some observers argue that the European Union could strengthen its geopolitical position and that the euro could assume a more prominent role as an international reserve currency. However, market fragmentation, political divisions and heterogenous legal frameworks continue to constrain this prospect. Sustaining Europe’s economic and geopolitical standing in the face of demographic, technological, and market pressures requires a coherent reform agenda aimed at deepening integration, improving policy coordination and communication, preserving economic openness, and managing the social consequences of economic transformation.</w:t>
      </w:r>
    </w:p>
    <w:p>
      <w:pPr/>
      <w:r>
        <w:rPr>
          <w:b/>
        </w:rPr>
        <w:t>POSSIBLE 2026:</w:t>
      </w:r>
      <w:r>
        <w:t xml:space="preserve"> International survey in four European countries on diagnostic reference levels based on clinical indications in computed tomography — https://doi.org/10.1186/s13244-026-02241-4</w:t>
      </w:r>
    </w:p>
    <w:p>
      <w:pPr/>
      <w:r>
        <w:rPr>
          <w:b/>
        </w:rPr>
        <w:t>Shared claim-specific concepts:</w:t>
      </w:r>
      <w:r>
        <w:t xml:space="preserve"> four, international, main; EU scope visible. This is a provisional connection, not an outcome finding.</w:t>
      </w:r>
    </w:p>
    <w:p>
      <w:pPr>
        <w:pStyle w:val="SourceNote"/>
      </w:pPr>
      <w:r>
        <w:rPr>
          <w:b/>
        </w:rPr>
        <w:t>Available abstract (not full text):</w:t>
      </w:r>
      <w:r>
        <w:t xml:space="preserve"> OBJECTIVE: To collect and analyze radiation dose metrics from 23 commonly performed CT procedures, for which no national DRLs have yet been defined, as part of an international cooperation. The body region, the clinical task, and the relevant technical parameters were considered to define clinical diagnostic reference levels (DRLs). MATERIALS AND METHODS: During 2022-2023, a multicenter study was performed in Austria, Germany, Italy, and Switzerland. Healthcare providers supplied processed data from their dose management systems. The 5%-level was used to assess the statistical significance of dose differences between the countries of participants, as well as age and manufacturer of the scanners. RESULTS: Dose metrics from 87 CT systems in academic and non-academic, public and private healthcare facilities were analyzed. Dose values from the same body region but for different clinical tasks and/or using different techniques might differ significantly. For the same procedures, median dose values varied between systems by a factor of up to 39. Approximately a third of the surveyed systems showed doses within the DRLs suggested in this study, while 6% do not fulfill any DRL. No significant dose differences were observed between systems when comparing age, manufacturer or country. CONCLUSIONS: In this international study, clinical DRLs were suggested for the first time for many diff</w:t>
      </w:r>
    </w:p>
    <w:p>
      <w:pPr/>
      <w:r>
        <w:rPr>
          <w:b/>
        </w:rPr>
        <w:t>POSSIBLE 2026:</w:t>
      </w:r>
      <w:r>
        <w:t xml:space="preserve"> Four Worlds, One Dying Earth: The Four Modes of Existence and the War on the Cosmobian World — https://doi.org/10.5281/zenodo.20621277</w:t>
      </w:r>
    </w:p>
    <w:p>
      <w:pPr/>
      <w:r>
        <w:rPr>
          <w:b/>
        </w:rPr>
        <w:t>Shared claim-specific concepts:</w:t>
      </w:r>
      <w:r>
        <w:t xml:space="preserve"> four, world, present; EU scope not established. This is a provisional connection, not an outcome finding.</w:t>
      </w:r>
    </w:p>
    <w:p>
      <w:pPr>
        <w:pStyle w:val="SourceNote"/>
      </w:pPr>
      <w:r>
        <w:rPr>
          <w:b/>
        </w:rPr>
        <w:t>Available abstract (not full text):</w:t>
      </w:r>
      <w:r>
        <w:t xml:space="preserve"> This paper introduces and elaborates the foundational analytical framework of the psycho-cosmocide paradigm: the identification of four broad modes of existence that provide a framework for examining human life across past, present, and speculatively future contexts. These modes are: (I) Civilisational existence, organised through cities, states, institutions, and administered power; (II) cosmobian existence, organised through living relationships with land, ecology, kinship, ancestral memory, and cosmological understanding; (III) Lost and Pre-historical Worlds, whose languages and cosmological systems have largely vanished beyond recovery; and (IV) Transcendent and Metaphysical existence, encompassing dimensions of reality that exceed direct empirical verification. The paper argues that contemporary civilisation has constructed a hierarchy of value in which the symbolic products of Civilisational existence are accorded greater protection, reverence, and moral urgency than the living ecological and cosmobian systems that sustain human existence. This inversion of value—identified by the paradigm as a form of civilisational psychopathology—is not merely an aesthetic or philosophical concern but an urgent practical crisis: the systematic destruction of cosmobian worlds entails the permanent loss of ecological knowledge systems, ontological frameworks, and ways of inhabiting the 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2025:</w:t>
      </w:r>
      <w:r>
        <w:t xml:space="preserve"> Circular Economy Policies in China and Europe: A Systematic Literature Review — https://doi.org/10.1007/s43615-025-00689-y</w:t>
      </w:r>
    </w:p>
    <w:p>
      <w:pPr/>
      <w:r>
        <w:rPr>
          <w:b/>
        </w:rPr>
        <w:t>Shared claim-specific concepts:</w:t>
      </w:r>
      <w:r>
        <w:t xml:space="preserve"> economy, challenges, main; EU scope visible. This is a provisional connection, not an outcome finding.</w:t>
      </w:r>
    </w:p>
    <w:p>
      <w:pPr>
        <w:pStyle w:val="SourceNote"/>
      </w:pPr>
      <w:r>
        <w:rPr>
          <w:b/>
        </w:rPr>
        <w:t>Available abstract (not full text):</w:t>
      </w:r>
      <w:r>
        <w:t xml:space="preserve"> Abstract Many governments have developed policies to drive the much-needed transition to a circular economy (CE). This systematic literature review covers CE policy progress and the state-of-the-art research in China and Europe. Combining content analysis and contingency analysis, we analyze 119 journal articles to identify the main policy interventions in China and Europe, challenges, outcomes, and their interrelationships. Our review shows that China diligently enforces “ cleaner production ” policies through a top-down approach, while Europe focuses more on “sustainable product” policies such as ecodesign and extended producer responsibility , relying more on a bottom-up approach. The two economies face some common challenges in policy development. The most prominent challenges lie in the difficulty in formulating consistent, coherent, and stable policies , difficulty in formulating sector- and region-specific policies , and difficulty in formulating comprehensive policies . Research in policy outcome is scant, especially in the social dimension. Our findings suggest that policymakers must consider integrated policy bundles in policy design, ensure consistency, coherence, and stability in policy development and implementation, incorporate the social dimension into CE policies, and customize CE policies for different contexts. Based on the identified knowledge gaps, we call f</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pStyle w:val="Heading2"/>
      </w:pPr>
      <w:r>
        <w:t>952.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Staging the Semah s: Performing Aleviness in Turkey and Europe — https://doi.org/10.1111/sena.70029</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ABSTRACT The semah , a genre of music and movement practices imbued with values of gender, class, age and ethical egalitarianism, lies at the core of the Alevis' ayn‐i cem rituals. Since the 1970s, processes of urbanisation, migration, folklore production and heritage‐making have facilitated the circulation of semah beyond ritual contexts, particularly within amateur and professional performing arts projects. Focusing on staged and festival performances of the semah , this article examines how embodied learning and theatrical adaptation have contributed to the transnational articulation of Alevi identities. Drawing on long‐term, multisited ethnographic research conducted in Turkey, the United Kingdom and Europe, it analyses theatre and dance productions as well as large‐scale cultural events, revealing distinct layers in the contemporary reimagining and performance of the semah . Adopting a transnational and performance‐based perspective, the discussion explores how Alevi ritual forms have been recovered, preserved and displayed on stage. By foregrounding embodied participation as ethnographic method and by offering a perspective on some of these dramatic adaptations, the article contributes to understanding the contingent and processual dimensions through which Alevi practices are transmitted, reconfigured and publicly negotiated. Particular attention is paid to the politics o</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pStyle w:val="Heading2"/>
      </w:pPr>
      <w:r>
        <w:t>953.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2026:</w:t>
      </w:r>
      <w:r>
        <w:t xml:space="preserve"> Option Pricing Model Comparison between Black Scholes Merton Model and Monte Carlo Simulation — https://doi.org/10.61173/xh544756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The rapid growth of global option markets underscores the importance of accurate option pricing models for effective risk management and trading strategies. This paper focuses on two cornerstone methods: the Black–Scholes–Merton (BSM) model and Monte Carlo simulation. The central question is how the analytical efficiency of the BSM model compares with the flexibility of Monte Carlo simulation when applied to standard and complex options. The paper introduces the theoretical foundations of both models, highlighting the BSM model’s closed-form precision under strict assumptions and Monte Carlo simulation’s ability to handle stochastic, path-dependent payoffs. A case study of a three-month European call option on Apple Inc. illustrates the respective strengths and limitations of the two models. The findings of this paper conclude that the Black Scholes Merton model is still the benchmark for the standard option pricing market. In contrast, the Monte Carlo simulation provides better flexibility in pricing exotic options and adapting to a more volatile market. By combining these two methods, this study provides a more robust basis for valuation and decision-making in modern finance.</w:t>
      </w:r>
    </w:p>
    <w:p>
      <w:pPr/>
      <w:r>
        <w:rPr>
          <w:b/>
        </w:rPr>
        <w:t>POSSIBLE 2026:</w:t>
      </w:r>
      <w:r>
        <w:t xml:space="preserve"> Monte Carlo methods in derivative modelling — https://doi.org/10.82444/warw.33599494</w:t>
      </w:r>
    </w:p>
    <w:p>
      <w:pPr/>
      <w:r>
        <w:rPr>
          <w:b/>
        </w:rPr>
        <w:t>Shared claim-specific concepts:</w:t>
      </w:r>
      <w:r>
        <w:t xml:space="preserve"> monte, carlo, average, over; EU scope not established. This is a provisional connection, not an outcome finding.</w:t>
      </w:r>
    </w:p>
    <w:p>
      <w:pPr>
        <w:pStyle w:val="SourceNote"/>
      </w:pPr>
      <w:r>
        <w:rPr>
          <w:b/>
        </w:rPr>
        <w:t>Available abstract (not full text):</w:t>
      </w:r>
      <w:r>
        <w:t xml:space="preserve"> This thesis addresses issues in discretization and variance reduction methods for Monte Carlo simulation. For the discretization methods, we investigate the convergence properties of various Itˆo-Taylor schemes and the strong Taylor expansion (Siopacha and Teichmann [77]) for the LIBOR market model. We also provide an improvement on the strong Taylor expansion method which produces lower pricing bias. For the variance reduction methods, we have four contributions. Firstly, we formulate a general stochastic volatility model nesting many existing models in the literature. Secondly, we construct a correlation control variate for this model. Thirdly, we apply the model as well as the new control variate to pricing average rate and barrier options. Numerical results demonstrate the improvement over using old control variates alone. Last but not least, with the help of our model and control variate, we explore the variations in barrier option pricing consistent with the implied volatility surface.</w:t>
      </w:r>
    </w:p>
    <w:p>
      <w:pPr/>
      <w:r>
        <w:rPr>
          <w:b/>
        </w:rPr>
        <w:t>POSSIBLE 2026:</w:t>
      </w:r>
      <w:r>
        <w:t xml:space="preserve"> The Effect of Moneyness on the Pricing Accuracy of Monte Carlo Simulation: Evidence from European Call Options — https://doi.org/10.54254/2754-1169/2026.lh33729</w:t>
      </w:r>
    </w:p>
    <w:p>
      <w:pPr/>
      <w:r>
        <w:rPr>
          <w:b/>
        </w:rPr>
        <w:t>Shared claim-specific concepts:</w:t>
      </w:r>
      <w:r>
        <w:t xml:space="preserve"> monte, carlo, used, different; EU scope visible. This is a provisional connection, not an outcome finding.</w:t>
      </w:r>
    </w:p>
    <w:p>
      <w:pPr>
        <w:pStyle w:val="SourceNote"/>
      </w:pPr>
      <w:r>
        <w:rPr>
          <w:b/>
        </w:rPr>
        <w:t>Available abstract (not full text):</w:t>
      </w:r>
      <w:r>
        <w:t xml:space="preserve"> Option pricing is a central issue in financial economics because derivative valuation is essential for risk management, hedging, and investment decision-making. Among pricing methods, Monte Carlo simulation is widely used due to its flexibility and applicability in computational finance. However, for European call options, it is already well proved that Monte Carlo simulation can generate valid prices and that larger simulation sizes generally improve accuracy. Therefore, this study focuses on a more specific question: whether the finite-sample pricing accuracy of Monte Carlo simulation differs across in-the-money (ITM), at-the-money (ATM), and out-of-the-money (OTM) European call options. Using the Black-Scholes model as an analytical benchmark, the study applies an R-based Monte Carlo simulation framework to compare pricing performance under different moneyness scenarios and simulation sizes. The analysis shows that Monte Carlo pricing performance is not same across option states, as differences in payoff structure lead to different levels of pricing error and stability. The study points out that moneyness is an important factor of finite-sample simulation accuracy in European call option pricing.</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pStyle w:val="Heading2"/>
      </w:pPr>
      <w:r>
        <w:t>954.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2026:</w:t>
      </w:r>
      <w:r>
        <w:t xml:space="preserve"> Tightening or Loosening? The Effects of Uncertainty on the Design of Preferential Trade Agreements — https://doi.org/10.1017/s1474745625101419</w:t>
      </w:r>
    </w:p>
    <w:p>
      <w:pPr/>
      <w:r>
        <w:rPr>
          <w:b/>
        </w:rPr>
        <w:t>Shared claim-specific concepts:</w:t>
      </w:r>
      <w:r>
        <w:t xml:space="preserve"> rather, tighten, doing; EU scope not established. This is a provisional connection, not an outcome finding.</w:t>
      </w:r>
    </w:p>
    <w:p>
      <w:pPr>
        <w:pStyle w:val="SourceNote"/>
      </w:pPr>
      <w:r>
        <w:rPr>
          <w:b/>
        </w:rPr>
        <w:t>Available abstract (not full text):</w:t>
      </w:r>
      <w:r>
        <w:t xml:space="preserve"> Abstract To mitigate uncertainty, it is often assumed that governments negotiate ample flexibility provisions when entering new international treaties. Yet, the case of preferential trade agreements (PTAs) suggests that governments prioritize the more stringent commitments when faced with uncertainty. In this paper, we investigate the effects of uncertainty spikes occurring during negotiations on the design of 251 bilateral PTAs. Our theory proposes that sharp increases in uncertainty make governments more prone to signing deeper PTAs to emphasize their commitment to liberalization. In doing so, governments cater to firms’ demands for institutions protecting investment, upholding intellectual property rights, and promoting regulatory harmonization. We find robust evidence that PTAs are deeper when the contracting parties are faced with uncertainty spikes during negotiations. However, we do not find equally consistent evidence that countries also make PTAs more flexible. While much of the rational-design literature has focused on flexibility as a tool to cope with uncertainty, our findings suggest that countries rather tend to tighten their international commitments in turbulent times.</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2024:</w:t>
      </w:r>
      <w:r>
        <w:t xml:space="preserve"> More than Putin: managed pluralism in Russia's foreign policy — https://doi.org/10.1093/ia/iiae005</w:t>
      </w:r>
    </w:p>
    <w:p>
      <w:pPr/>
      <w:r>
        <w:rPr>
          <w:b/>
        </w:rPr>
        <w:t>Shared claim-specific concepts:</w:t>
      </w:r>
      <w:r>
        <w:t xml:space="preserve"> putin, russian, behaviour; EU scope not established. This is a provisional connection, not an outcome finding.</w:t>
      </w:r>
    </w:p>
    <w:p>
      <w:pPr>
        <w:pStyle w:val="SourceNote"/>
      </w:pPr>
      <w:r>
        <w:rPr>
          <w:b/>
        </w:rPr>
        <w:t>Available abstract (not full text):</w:t>
      </w:r>
      <w:r>
        <w:t xml:space="preserve"> Abstract The Russian full-scale invasion of Ukraine took most experts by surprise, but before the war, there were numerous voices in the Russian public debate calling for much tougher policies towards Ukraine and the West than the ones pursued by the government. This article challenges explanations that prioritize external factors or focus solely on President Putin and shows that examining opposition, state media and government discourses is necessary to understand Russia's foreign policy properly. The article contends that the concept of managed pluralism (defined by Harley Balzer in 2003), which has not yet been used in the analysis of Moscow's international behaviour, is a useful tool that can address the gap in the literature and shed light on important mechanisms behind Russia's foreign policy-making. Consequently, the article reveals mechanisms that, by allowing certain voices while eliminating others, steer Russia's foreign policy in a specific direction, which in this case made the invasion of Ukraine possible. Finally, it indicates that observing actors admitted to the public debate and their propositions may be a clue to the direction of Russia's future foreign policy. More broadly, this article points to policy implications and theoretical benefits of managed pluralism for our understanding of other states' foreign policies.</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pStyle w:val="Heading2"/>
      </w:pPr>
      <w:r>
        <w:t>955.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2026:</w:t>
      </w:r>
      <w:r>
        <w:t xml:space="preserve"> Problematising scripted curricula: Stenhouse’s vision of teacher enquiry in new times — https://doi.org/10.1080/09650792.2026.2626541</w:t>
      </w:r>
    </w:p>
    <w:p>
      <w:pPr/>
      <w:r>
        <w:rPr>
          <w:b/>
        </w:rPr>
        <w:t>Shared claim-specific concepts:</w:t>
      </w:r>
      <w:r>
        <w:t xml:space="preserve"> identify, united; EU scope not established. This is a provisional connection, not an outcome finding.</w:t>
      </w:r>
    </w:p>
    <w:p>
      <w:pPr>
        <w:pStyle w:val="SourceNote"/>
      </w:pPr>
      <w:r>
        <w:rPr>
          <w:b/>
        </w:rPr>
        <w:t>Available abstract (not full text):</w:t>
      </w:r>
      <w:r>
        <w:t xml:space="preserve"> This paper critically examines the proliferation of scripted curricula across Anglophone educational systems. Drawing on a prescriptive continuum analytical framework, we identify three distinct but interconnected script typologies: pedagogical, curricular, and behavioural. Through comparative examples from the United States, England, and Australia, we analyse four interrelated problem framings – efficiency, quality assurance, expertise, and consistency – that construct scripted curricula as solutions to perceived educational deficiencies. We interrogate how these framings construct particular conceptions of teaching and teacher development, while marginalising or foreclosing alternative approaches. Stenhouse’s vision of teachers as curriculum researchers serves as a critical counterpoint, highlighting what is at stake across the prescriptive spectrum when professional judgement is subordinated to external direction. Through systematic discursive analysis, this paper advances understanding of how scripted curricula materially affect teacher professionalism, pedagogical autonomy, contextual responsiveness, and educational equity, contributing to ongoing critical debates about teacher expertise and curriculum control in contemporary education systems.</w:t>
      </w:r>
    </w:p>
    <w:p>
      <w:pPr/>
      <w:r>
        <w:rPr>
          <w:b/>
        </w:rPr>
        <w:t>POSSIBLE 2026:</w:t>
      </w:r>
      <w:r>
        <w:t xml:space="preserve"> The architecture of crisis: problematising a global ban on the three-cueing system in reading education — https://doi.org/10.1007/s44020-026-00130-3</w:t>
      </w:r>
    </w:p>
    <w:p>
      <w:pPr/>
      <w:r>
        <w:rPr>
          <w:b/>
        </w:rPr>
        <w:t>Shared claim-specific concepts:</w:t>
      </w:r>
      <w:r>
        <w:t xml:space="preserve"> identify, context, united; EU scope not established. This is a provisional connection, not an outcome finding.</w:t>
      </w:r>
    </w:p>
    <w:p>
      <w:pPr>
        <w:pStyle w:val="SourceNote"/>
      </w:pPr>
      <w:r>
        <w:rPr>
          <w:b/>
        </w:rPr>
        <w:t>Available abstract (not full text):</w:t>
      </w:r>
      <w:r>
        <w:t xml:space="preserve"> Abstract Contemporary literacy policy is increasingly shaped by crisis narratives that position reading achievement as a problem requiring urgent intervention. This paper examines the growing movement to ban or discredit the three-cueing system in reading education through an analysis of contemporary policy discourse in the United States. Drawing on Carol Bacchi’s framework for analysing problem representations in policy, we investigate how legislation and public commentary aligned with the Science of Reading (SoR) construct three-cueing as a harmful instructional practice that should be removed from classrooms. Using an Alabama news report on Alabama Senate Bill 168, we identify the assumptions, silences, and effects embedded within this representation of the problem. The analysis shows that three-cueing is frequently conflated with guessing from pictures or context and positioned as incompatible with scientific evidence, despite ongoing debate about its purpose, interpretation, and role in reading. We argue that this framing relies on selective interpretations of research, simplifies complex questions about reading instruction, and legitimises increased state control over pedagogy. In doing so, it narrows the range of perspectives considered legitimate in literacy policy debates and constrains alternative approaches to reading instruction. More broadly, the case illustrates h</w:t>
      </w:r>
    </w:p>
    <w:p>
      <w:pPr/>
      <w:r>
        <w:rPr>
          <w:b/>
        </w:rPr>
        <w:t>POSSIBLE 2024:</w:t>
      </w:r>
      <w:r>
        <w:t xml:space="preserve"> Access to Work for Those Seeking Asylum: Concerns Arising from British and Swedish Legal Strategies — https://doi.org/10.1093/indlaw/dwae004</w:t>
      </w:r>
    </w:p>
    <w:p>
      <w:pPr/>
      <w:r>
        <w:rPr>
          <w:b/>
        </w:rPr>
        <w:t>Shared claim-specific concepts:</w:t>
      </w:r>
      <w:r>
        <w:t xml:space="preserve"> seeks, identify, perspective, context; EU scope visible. This is a provisional connection, not an outcome finding.</w:t>
      </w:r>
    </w:p>
    <w:p>
      <w:pPr>
        <w:pStyle w:val="SourceNote"/>
      </w:pPr>
      <w:r>
        <w:rPr>
          <w:b/>
        </w:rPr>
        <w:t>Available abstract (not full text):</w:t>
      </w:r>
      <w:r>
        <w:t xml:space="preserve"> ABSTRACT This article seeks to probe the controversial relationship between seeking asylum and the permission (or obligation) to work. In doing so, we recognise the concurrent claims that can be made for asylum and access to the labour market, problematising the concept of ‘work’ and its relationship to freedom and dignity from the perspective of international refugee law and European human rights norms alongside European Union (EU) law. We examine how British and Swedish legal systems have reflected two starkly opposed policy stances. The UK has long denied asylum seekers the financial and psychological benefits that come with work usually until refugee status is formally granted, but the Swedish system has facilitated a complementary pathway for asylum seekers whose labour can make (what is determined politically to be) a sufficient contribution to the economy. We identify the perceived benefits and failings of each strategy. In this context, we observe that the status quo in both countries is changing and even arguably converging around an illiberal consensus regarding the relationship between asylum and work, which will demand further attention and potentially legal challenges in the years to come.</w:t>
      </w:r>
    </w:p>
    <w:p>
      <w:pPr/>
      <w:r>
        <w:rPr>
          <w:b/>
        </w:rPr>
        <w:t>POSSIBLE 2024:</w:t>
      </w:r>
      <w:r>
        <w:t xml:space="preserve"> What is a ‘quality TVET lecturer’? Problematising the concept of quality in vocational education — https://doi.org/10.14426/jovacet.v7i2.421</w:t>
      </w:r>
    </w:p>
    <w:p>
      <w:pPr/>
      <w:r>
        <w:rPr>
          <w:b/>
        </w:rPr>
        <w:t>Shared claim-specific concepts:</w:t>
      </w:r>
      <w:r>
        <w:t xml:space="preserve"> identify, based, challenge; EU scope not established. This is a provisional connection, not an outcome finding.</w:t>
      </w:r>
    </w:p>
    <w:p>
      <w:pPr>
        <w:pStyle w:val="SourceNote"/>
      </w:pPr>
      <w:r>
        <w:rPr>
          <w:b/>
        </w:rPr>
        <w:t>Available abstract (not full text):</w:t>
      </w:r>
      <w:r>
        <w:t xml:space="preserve"> Notions of ‘quality’ in technical and vocational education and training (TVET) and the ‘quality TVET lecturer’ are often referred to in policy and public discourse in South Africa but are rarely defined. This leads to only partial identification of what is necessary for driving up quality. This article reports on a review and survey of how the ‘quality TVET lecturer’ is understood in academic literature and public and policy discourse in South Africa. Through the Bourdieusian lens of fields, we identify the quality TVET lecturer as a player in two fields – education and the economy, which have distinct identities, rules and power dynamics. We argue that knowledge, skills, expertise and qualifications from both the education and the economic fields are important. Therefore, attempts to improve quality by focusing on the competence and commitment of TVET lecturers according to their teaching is likely to have a limited impact on TVET lecturer quality. While the model presented is based on work in South Africa, this framing of quality is relevant to Sustainable Development Goal 4 and the challenge faced by many TVET systems of linking TVET to industry.</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pStyle w:val="Heading2"/>
      </w:pPr>
      <w:r>
        <w:t>956.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2026:</w:t>
      </w:r>
      <w:r>
        <w:t xml:space="preserve"> Critical theory and European labour law : insights from the past — https://openalex.org/W7114825387</w:t>
      </w:r>
    </w:p>
    <w:p>
      <w:pPr/>
      <w:r>
        <w:rPr>
          <w:b/>
        </w:rPr>
        <w:t>Shared claim-specific concepts:</w:t>
      </w:r>
      <w:r>
        <w:t xml:space="preserve"> critical, comparative, different; EU scope visible. This is a provisional connection, not an outcome finding.</w:t>
      </w:r>
    </w:p>
    <w:p>
      <w:pPr>
        <w:pStyle w:val="SourceNote"/>
      </w:pPr>
      <w:r>
        <w:rPr>
          <w:b/>
        </w:rPr>
        <w:t>Available abstract (not full text):</w:t>
      </w:r>
      <w:r>
        <w:t xml:space="preserve"> This chapter employs insights from critical theory to critique the current shape of European labour law and to generate insights into the different political, economic, and social factors which shaped its development. In order to undertake such a critique, this chapter operationalises critical theory through minor literature and comparative law, or the concept of a ‘minor comparativism’. A ‘minor comparativism’ as a legal method aims to reveal something about the legal system that would not reveal itself but through the practice of adopting a ‘foreign’ or ‘minority’ perspective; focusing on those whose views have escaped the legal record. It enables scholars and policymakers both to challenge conventional assumptions and to reimagine the development of the legal system by taking up the reflections of the minority. By adopting such a perspective, the critique of European labour law’s historical development unearths the foundational value of solidarity and considers how this value provides opportunities for scholars and policymakers to develop different starting points for European labour law’s development.</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2025:</w:t>
      </w:r>
      <w:r>
        <w:t xml:space="preserve"> An Overview of Intelligent Transportation Systems in Europe — https://doi.org/10.3390/wevj16070387</w:t>
      </w:r>
    </w:p>
    <w:p>
      <w:pPr/>
      <w:r>
        <w:rPr>
          <w:b/>
        </w:rPr>
        <w:t>Shared claim-specific concepts:</w:t>
      </w:r>
      <w:r>
        <w:t xml:space="preserve"> overview, many; EU scope visible. This is a provisional connection, not an outcome finding.</w:t>
      </w:r>
    </w:p>
    <w:p>
      <w:pPr>
        <w:pStyle w:val="SourceNote"/>
      </w:pPr>
      <w:r>
        <w:rPr>
          <w:b/>
        </w:rPr>
        <w:t>Available abstract (not full text):</w:t>
      </w:r>
      <w:r>
        <w:t xml:space="preserve"> A revolutionary approach to improving the efficiency, safety and sustainability of transport networks across the continent is the deployment of Intelligent Transport Systems (ITS) in Europe. Since the European Commission’s 2010 Directive, the Framework for the Deployment of ITS has made significant progress to address important issues such as traffic congestion, road safety and environmental impact. ITS is considered essential for achieving the EU’s ambitious climate goals and for improving the quality of urban life through innovative mobility solutions.ITS has a vital role in optimizing transportation operations and integrating complex technologies such as vehicle-to-vehicle communication, real-time data analysis, and automated traffic management. This integration has improved the transportation ecosystem, providing both operators and users with better decision-making opportunities. Studies show that ITS initiatives also have many socioeconomic benefits, such as reduced fuel consumption and shorter travel times.In Europe, the development of ITS face obstacles despite progress. These include regulatory issues, technical interoperability issues and the need to increase data sharing between stakeholders. These issues have sparked ongoing discussions about the effectiveness of the current legislative framework and the need for more uniform policies to promote innovation and cooper</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pStyle w:val="Heading2"/>
      </w:pPr>
      <w:r>
        <w:t>957.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security;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Strengthening European Energy Policy — https://doi.org/10.1007/978-3-031-66481-6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This open access book is collaborations between the Social Sciences and Humanities, and Science, Technology, Engineering Mathematics disciplines</w:t>
      </w:r>
    </w:p>
    <w:p>
      <w:pPr/>
      <w:r>
        <w:rPr>
          <w:b/>
        </w:rPr>
        <w:t>POSSIBLE 2024:</w:t>
      </w:r>
      <w:r>
        <w:t xml:space="preserve"> European roadmaps to achieving 2030 renewable energy targets — https://doi.org/10.1016/j.jup.2024.101729</w:t>
      </w:r>
    </w:p>
    <w:p>
      <w:pPr/>
      <w:r>
        <w:rPr>
          <w:b/>
        </w:rPr>
        <w:t>Shared claim-specific concepts:</w:t>
      </w:r>
      <w:r>
        <w:t xml:space="preserve"> energy, effective; EU scope visible. This is a provisional connection, not an outcome finding.</w:t>
      </w:r>
    </w:p>
    <w:p>
      <w:pPr>
        <w:pStyle w:val="SourceNote"/>
      </w:pPr>
      <w:r>
        <w:rPr>
          <w:b/>
        </w:rPr>
        <w:t>Available abstract (not full text):</w:t>
      </w:r>
      <w:r>
        <w:t xml:space="preserve">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pStyle w:val="Heading2"/>
      </w:pPr>
      <w:r>
        <w:t>958.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2026:</w:t>
      </w:r>
      <w:r>
        <w:t xml:space="preserve"> LDL CHOLESTEROL TARGETS IN SECONDARY PREVENTION: HOW TO MEET THIS CHALLENGE? — https://doi.org/10.54033/stebook.978-65-83309-61-7_8</w:t>
      </w:r>
    </w:p>
    <w:p>
      <w:pPr/>
      <w:r>
        <w:rPr>
          <w:b/>
        </w:rPr>
        <w:t>Shared claim-specific concepts:</w:t>
      </w:r>
      <w:r>
        <w:t xml:space="preserve"> meet, challenge, case, present, high; EU scope not established. This is a provisional connection, not an outcome finding.</w:t>
      </w:r>
    </w:p>
    <w:p>
      <w:pPr>
        <w:pStyle w:val="SourceNote"/>
      </w:pPr>
      <w:r>
        <w:rPr>
          <w:b/>
        </w:rPr>
        <w:t>Available abstract (not full text):</w:t>
      </w:r>
      <w:r>
        <w:t xml:space="preserve"> Complex abdominal wall hernias present a significant challenge in general surgery, characterized by high recurrence rates and associated complications.This study aims to identify and analyze the main predictive factors for the development of these hernias, motivated by the need to optimize surgical planning and improve patient outcomes.To this end, an integrative literature review was conducted using the PICO strategy.Five full-text articles in English were selected from the PubMed, SciELO, and Cochrane Library databases, covering the period from 2014 to 2024.Exclusion criteria included studies not available in full, case studies, and experience reports that did not directly address the topic.The findings indicate that factors such as obesity, smoking, previous surgeries, surgical site infections, and certain medical conditions are significant predictors.It is concluded that the identification and management of these predictive factors are essential for reducing the risk of complex hernias and improving surgical outcomes.</w:t>
      </w:r>
    </w:p>
    <w:p>
      <w:pPr/>
      <w:r>
        <w:rPr>
          <w:b/>
        </w:rPr>
        <w:t>POSSIBLE 2026:</w:t>
      </w:r>
      <w:r>
        <w:t xml:space="preserve"> Value-Engineered Design Optimization of a Recycled Plastic Bracket to Meet Natural Frequency Targets in Passenger Vehicles — https://doi.org/10.4271/2026-26-0355</w:t>
      </w:r>
    </w:p>
    <w:p>
      <w:pPr/>
      <w:r>
        <w:rPr>
          <w:b/>
        </w:rPr>
        <w:t>Shared claim-specific concepts:</w:t>
      </w:r>
      <w:r>
        <w:t xml:space="preserve"> order, meet, present; EU scope not established. This is a provisional connection, not an outcome finding.</w:t>
      </w:r>
    </w:p>
    <w:p>
      <w:pPr>
        <w:pStyle w:val="SourceNote"/>
      </w:pPr>
      <w:r>
        <w:rPr>
          <w:b/>
        </w:rPr>
        <w:t>Available abstract (not full text):</w:t>
      </w:r>
      <w:r>
        <w:t xml:space="preserve"> Engine mount brackets are a primary structural components of passenger vehicles that supports the powertrain to the chassis via engine mounts. These brackets are important to control vibrations and the transmission of noise into the cabin as well as vehicle stability. Since they support the engine mounts, these brackets play a role in determining ride comfort and load distribution on the mounts and the engine. While traditionally made from steel, cast iron and aluminum, we are trying to redesign engine mount brackets with recyclable engineering plastics to fit current demands of light-weighting, cost efficiency, and sustainability. The present work is concerned with the design of a plastic engine mount bracket, which aims to hit specified natural frequency targets in order to avoid resonance and fulfill strict NVH (Noise, Vibration, and Harshness) requirements. Because of the superior mechanical strength, thermal stability, and vibration-dampening properties, PPS, glass-fiber reinforced polyamide (PA66-GF50), PEEK (polyether ether ketone), and other high-performance reinforced plastics like polyphenylene sulfide were taken into consideration. These materials can be used in structural automotive applications in place of metals. Through the Finite Element Analysis, modal analysis, CAE based durability simulations and vehicle-level testing the optimized bracket proven to meet stru</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pStyle w:val="Heading2"/>
      </w:pPr>
      <w:r>
        <w:t>959.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Preemptive hospital evacuation during the 2021 European floods: A qualitative study on factors influencing decision-making — https://doi.org/10.1016/j.joclim.2025.100460</w:t>
      </w:r>
    </w:p>
    <w:p>
      <w:pPr/>
      <w:r>
        <w:rPr>
          <w:b/>
        </w:rPr>
        <w:t>Shared claim-specific concepts:</w:t>
      </w:r>
      <w:r>
        <w:t xml:space="preserve"> major, process, methods; EU scope visible. This is a provisional connection, not an outcome finding.</w:t>
      </w:r>
    </w:p>
    <w:p>
      <w:pPr>
        <w:pStyle w:val="SourceNote"/>
      </w:pPr>
      <w:r>
        <w:rPr>
          <w:b/>
        </w:rPr>
        <w:t>Available abstract (not full text):</w:t>
      </w:r>
      <w:r>
        <w:t xml:space="preserve"> Introduction: In July 2021, several European countries were affected by severe floods, with water levels of the river Meuse reaching a record high. It was decided to completely evacuate VieCuri Medical Center (Venlo, The Netherlands), a hospital located directly adjacent to this river. The aim of this study was to explore the decision-making process of this emergency hospital evacuation. Methods: This descriptive qualitative study assessed factors influencing the decision-making process of this hospital evacuation. Data were collected through semi-structured interviews with 11 key stakeholders. Data were analyzed by reflexive thematic analysis. Results: Three themes were constructed from the interviews: risk-assessment and estimation; prior experience; and prerequisites for evacuation. The decision to evacuate was made when there was uncertainty regarding maximum water level forecasts. Therefore, the risks of a hospital evacuation were balanced against the risk of the loss of essential services in case of a dike breach. Prior experiences with crises played a major role, and the use of a national patient coordination center (NPCC), which was established during the COVID-19 pandemic, enabled rapid assessment of the capacity of destination hospitals and facilitated patient transfers. It was determined that prerequisites for evacuation include clear evacuation guidelines, concise c</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Bending the Automation Bias Curve: A Study of Human and AI-Based Decision Making in National Security Contexts — https://doi.org/10.1093/isq/sqae020</w:t>
      </w:r>
    </w:p>
    <w:p>
      <w:pPr/>
      <w:r>
        <w:rPr>
          <w:b/>
        </w:rPr>
        <w:t>Shared claim-specific concepts:</w:t>
      </w:r>
      <w:r>
        <w:t xml:space="preserve"> making, security, context; EU scope not established. This is a provisional connection, not an outcome finding.</w:t>
      </w:r>
    </w:p>
    <w:p>
      <w:pPr>
        <w:pStyle w:val="SourceNote"/>
      </w:pPr>
      <w:r>
        <w:rPr>
          <w:b/>
        </w:rPr>
        <w:t>Available abstract (not full text):</w:t>
      </w:r>
      <w:r>
        <w:t xml:space="preserve"> Abstract Uses of artificial intelligence (AI) are growing around the world. What will influence AI adoption in the international security realm? Research on automation bias suggests that humans can often be overconfident in AI, whereas research on algorithm aversion shows that, as the stakes of a decision rise, humans become more cautious about trusting algorithms. We theorize about the relationship between background knowledge about AI, trust in AI, and how these interact with other factors to influence the probability of automation bias in the international security context. We test these in a preregistered task identification experiment across a representative sample of 9,000 adults in nine countries with varying levels of AI industries. The results strongly support the theory, especially concerning AI background knowledge. A version of the Dunning–Kruger effect appears to be at play, whereby those with the lowest level of experience with AI are slightly more likely to be algorithm-averse, then automation bias occurs at lower levels of knowledge before leveling off as a respondent’s AI background reaches the highest levels. Additional results show effects from the task’s difficulty, overall AI trust, and whether a human or AI decision aid is described as highly competent or less competent.</w:t>
      </w:r>
    </w:p>
    <w:p>
      <w:pPr/>
      <w:r>
        <w:rPr>
          <w:b/>
        </w:rPr>
        <w:t>POSSIBLE 2024:</w:t>
      </w:r>
      <w:r>
        <w:t xml:space="preserve"> Regional food security management based on Data Driven Decision Making — https://doi.org/10.46666/2024-1.2708-9991.02</w:t>
      </w:r>
    </w:p>
    <w:p>
      <w:pPr/>
      <w:r>
        <w:rPr>
          <w:b/>
        </w:rPr>
        <w:t>Shared claim-specific concepts:</w:t>
      </w:r>
      <w:r>
        <w:t xml:space="preserve"> making, decisions, security, methods, used, context; EU scope not established. This is a provisional connection, not an outcome finding.</w:t>
      </w:r>
    </w:p>
    <w:p>
      <w:pPr>
        <w:pStyle w:val="SourceNote"/>
      </w:pPr>
      <w:r>
        <w:rPr>
          <w:b/>
        </w:rPr>
        <w:t>Available abstract (not full text):</w:t>
      </w:r>
      <w:r>
        <w:t xml:space="preserve"> The goal is to study the effectiveness of food security management in the country and regions based on the principles of Data Driven Decision Making (DDDM) for making justified and effective decisions. This research was carried out as part of implementation of the tasks of the project on grant financing of Science Committee of the Ministry of Science and Higher Education of the Republic of Kazakhstan on the topic AP14871923 “Management of regional food security in the context of global challenges based on the concept of Data Driven Decision Making.” Methods - the works of domestic and foreign economists concerning the problems of food supply in the context of globalization and integration of the country's economy were used as theoretical and methodological basis for the study. Scientific research methods: monographic, abstract, logical, systemic and complex analysis, statistical data processing, structural-functional approach. Results - the authors considered the possibility of using DDDM in agricultural sector. Conclusions - implementation of the results allows to obtain a multiplier effect associated with achieving sustainability of agro-industrial system of the country's regions through the implementation of DDDM principles in practical activities of central state and local authorities. It is substantiated that the use of the concept of decision-making based on Data Driven D</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pStyle w:val="Heading2"/>
      </w:pPr>
      <w:r>
        <w:t>960.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2026:</w:t>
      </w:r>
      <w:r>
        <w:t xml:space="preserve"> Epidemiology and Economic Burden of Sleep Disorders in Europe. — https://doi.org/10.48620/94666</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million),</w:t>
      </w:r>
    </w:p>
    <w:p>
      <w:pPr/>
      <w:r>
        <w:rPr>
          <w:b/>
        </w:rPr>
        <w:t>POSSIBLE 2026:</w:t>
      </w:r>
      <w:r>
        <w:t xml:space="preserve"> Direct and indirect genetic effects of birthweight predisposition on child DNA methylation at birth — https://doi.org/10.1080/15592294.2026.2654101</w:t>
      </w:r>
    </w:p>
    <w:p>
      <w:pPr/>
      <w:r>
        <w:rPr>
          <w:b/>
        </w:rPr>
        <w:t>Shared claim-specific concepts:</w:t>
      </w:r>
      <w:r>
        <w:t xml:space="preserve"> investigate, direct, indirect, important, health, associated; EU scope visible. This is a provisional connection, not an outcome finding.</w:t>
      </w:r>
    </w:p>
    <w:p>
      <w:pPr>
        <w:pStyle w:val="SourceNote"/>
      </w:pPr>
      <w:r>
        <w:rPr>
          <w:b/>
        </w:rPr>
        <w:t>Available abstract (not full text):</w:t>
      </w:r>
      <w:r>
        <w:t xml:space="preserve"> Abstract Background Birthweight is heritable and strongly associated with epigenetic differences at birth. It is unclear whether a genetic birthweight score is associated with DNA methylation (DNAm) and, if so, whether through direct genetic effects (i.e., child genotype) or indirect genetic effects (i.e., parental genotype, independent of child genotype), which are suspected to be mediated by the prenatal environment (e.g. metabolic factors). Methods We constructed polygenic scores (PGS) for birthweight predisposition in mothers and children using an existing ‘pre-adjusted’ GWAS assessing maternal indirect effects (maternal genotype on offspring birthweight, correcting for offspring genotype) or fetal effects (offspring genotype on offspring birthweight, correcting for maternal genotype) in 2116 families from the Generation R Study. Offspring DNAm levels at 829 birthweight-related sites were then regressed on both maternal and fetal effect PGS. Additionally, we aggregated 829 DNAm sites into a methylation profile score for birthweight (MPS-BW) and tested which pregnancy health factors (n=13) might mediate genetic effects. Findings We identified six DNAm sites associated with maternal indirect effects and the birthweight MPS revealed indirect genetic associations, as well. Gestational age partly mediated maternal indirect effects on DNAm, but no other mediators were identified.</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health; EU scope visible. This is a provisional connection, not an outcome finding.</w:t>
      </w:r>
    </w:p>
    <w:p>
      <w:pPr>
        <w:pStyle w:val="SourceNote"/>
      </w:pPr>
      <w:r>
        <w:rPr>
          <w:b/>
        </w:rPr>
        <w:t>Available abstract (not full text):</w:t>
      </w:r>
      <w:r>
        <w:t xml:space="preserve"> Translations For the French and Spanish translations of the abstract see Supplementary Materials section.</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2025:</w:t>
      </w:r>
      <w:r>
        <w:t xml:space="preserve"> Direct and Indirect Effects of Cancer Screening Invitations on Participation in Europe: A Quasi-Experimental Analysis — https://doi.org/10.21203/rs.3.rs-7891986/v1</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961.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direct, associated, billion;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Healthcare costs and burden of myasthenia gravis for patients and society: a systematic review — https://doi.org/10.1007/s00415-026-14111-6</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BACKGROUND AND OBJECTIVES: New and costly therapies for myasthenia gravis (MG) have been approved during the last years, and many more are in the pipeline. Cost-benefit analyses are needed as part of defining start and stop criteria for such treatments. In this systematic review, we examine healthcare costs associated with MG: METHODS: A systematic literature search combined the word "myasthenia gravis" with "health resources", and "costs". 1374 records were identified initially, and 44 were included in the final review. RESULTS: Direct costs include treatment and follow-up in the primary and specialist health care. They were estimated to €3 500-12 000 per MG patient per year in the Nordic countries, similar in other European countries, and higher in United States. Indirect costs include productivity loss, welfare payments, time loss due to medical follow-up, and productivity loss for caregivers. They were estimated to €2 500-8 700 per patient per year in the Nordic countries, the highest figures appearing when all indirect costs were accounted for. A marked reduction in working capacity and an increase in welfare payments due to MG have been reported. Intangible costs include value of lost life-years and reduced quality of life, which are rarely assessed, but have been estimated to be half of the total societal MG costs. DISCUSSION: Total costs of MG need to be included togeth</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2025:</w:t>
      </w:r>
      <w:r>
        <w:t xml:space="preserve"> Complex Societal and Economic Impact of Sclerosis Multiplex in Slovakia: Decade-long Burden of Disease Moving Beyond Healthcare — https://doi.org/10.1007/s44411-025-00362-8</w:t>
      </w:r>
    </w:p>
    <w:p>
      <w:pPr/>
      <w:r>
        <w:rPr>
          <w:b/>
        </w:rPr>
        <w:t>Shared claim-specific concepts:</w:t>
      </w:r>
      <w:r>
        <w:t xml:space="preserve"> direct, healthcare, million, over; EU scope visible. This is a provisional connection, not an outcome finding.</w:t>
      </w:r>
    </w:p>
    <w:p>
      <w:pPr>
        <w:pStyle w:val="SourceNote"/>
      </w:pPr>
      <w:r>
        <w:rPr>
          <w:b/>
        </w:rPr>
        <w:t>Available abstract (not full text):</w:t>
      </w:r>
      <w:r>
        <w:t xml:space="preserve"> Abstract Introduction Multiple sclerosis (MS) is a chronic inflammatory and demyelinating disease of the central nervous system predominantly affecting young adults of working age, with significant implications for patients, healthcare systems, and society. Globally, MS prevalence reached 2.8 million in 2020, a 32% increase since 2013, with Europe showing the highest incidence. The economic burden extends beyond direct healthcare costs to include substantial indirect costs such as productivity losses and informal care. In Slovakia, prior studies focused mainly on direct costs, but evolving treatment options and healthcare delivery necessitate a comprehensive assessment of both direct and indirect costs over the last decade. Methods This study conducted a retrospective, prevalence-based analysis of the economic burden of MS in Slovakia from 2013 to 2022, adopting a societal perspective. Data were obtained from national health insurance companies for direct healthcare costs and the Social Insurance Agency for indirect costs related to productivity losses. The human capital approach was used to estimate productivity loss costs. The methodology aligns with European cost-of-illness frameworks, distinguishing direct costs (drugs, therapies, hospitalizations) from indirect costs (work disability, absenteeism, informal care). Results MS prevalence in Slovakia increased by 43.3% between</w:t>
      </w:r>
    </w:p>
    <w:p>
      <w:pPr/>
      <w:r>
        <w:rPr>
          <w:b/>
        </w:rPr>
        <w:t>POSSIBLE 2025:</w:t>
      </w:r>
      <w:r>
        <w:t xml:space="preserve"> Impact of RSV hospitalization on healthcare costs, caregivers’ productivity loss, and quality of life in children ≤ 2 years old in five European countries — https://doi.org/10.1007/s00431-025-06460-7</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Respiratory syncytial virus (RSV) is a leading cause of hospitalizations in young children globally. We evaluated direct medical costs, caregiver work loss, and child quality of life (QoL) impairment associated with RSV hospitalization. Children ≤ 2 years with laboratory-confirmed RSV infection were prospectively identified between October 2020 and May 2023 at ten hospitals in Germany, Spain, Italy, France, and England. Direct costs were calculated based on country-specific unit costs per hospital day. Productivity loss and QoL impairment were ascertained by two validated, caregiver-administered instruments: 1) Work Productivity and Activity Impairment Questionnaire: Child’s Hospitalization for Respiratory Illness (WPAI:CHRI), administered before discharge and 2) TNO AZL Child Quality of Life (TAPQOL), administered at baseline (shortly after admission) and before discharge. Among 382 hospitalized children, 261 (69%) were &lt; 6 months and 306 (80%) were previously healthy. Median length of stay was 6 days (Interquartile Range (IQR) 4–8) and 50 (13%) were admitted to Paediatric Intensive Care Unit (PICU). Median hospital costs/admission were €4,266 (IQR 2,438–8,442), substantially varying by country (range €2,377-€8,541). Productivity loss was substantial with 129/211 (61%) employed caregivers reporting lost work-hours (mean 30.5 ± 18/admission). Child QoL was significantly reduced</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healthcare, population;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Excess healthcare utilization and costs linked to chronic conditions: a comparative study of nine European countries — https://doi.org/10.1093/eurpub/ckaf012</w:t>
      </w:r>
    </w:p>
    <w:p>
      <w:pPr/>
      <w:r>
        <w:rPr>
          <w:b/>
        </w:rPr>
        <w:t>Shared claim-specific concepts:</w:t>
      </w:r>
      <w:r>
        <w:t xml:space="preserve"> healthcare, associated; EU scope visible. This is a provisional connection, not an outcome finding.</w:t>
      </w:r>
    </w:p>
    <w:p>
      <w:pPr>
        <w:pStyle w:val="SourceNote"/>
      </w:pPr>
      <w:r>
        <w:rPr>
          <w:b/>
        </w:rPr>
        <w:t>Available abstract (not full text):</w:t>
      </w:r>
      <w:r>
        <w:t xml:space="preserve"> The increasing prevalence of chronic conditions is a significant challenge for healthcare systems worldwide, not only from a public health perspective but also for the aggregate cost that these represent. This paper estimates the additional use of healthcare services due to chronic health conditions and their associated costs in nine European countries. We analyzed inpatient and outpatient healthcare utilization using longitudinal data (Survey of Health, Ageing and Retirement in Europe [SHARE]). We implemented a difference-in-differences approach across multiple time periods. Monetary estimates were derived using WHO-CHOICE healthcare service costs. To compare countries, we calculated the healthcare cost burden of chronic conditions as a percentage of total health expenditure. People with chronic conditions require significantly more healthcare services than those without such conditions, averaging three additional outpatient visits and one extra overnight inpatient stay annually. These patterns vary across countries. In Germany, outpatient care usage is particularly high, with an average of four additional visits, while Switzerland leads in inpatient care with two extra overnight stays. The associated costs also differ widely, influenced by variations in healthcare demand, service pricing, and the prevalence of chronic conditions in each country. Chronic conditions significant</w:t>
      </w:r>
    </w:p>
    <w:p>
      <w:pPr>
        <w:pStyle w:val="Heading2"/>
      </w:pPr>
      <w:r>
        <w:t>962.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2026:</w:t>
      </w:r>
      <w:r>
        <w:t xml:space="preserve"> Climate change and skin health in Europe and Central Asia — https://doi.org/10.24384/m94t-3428</w:t>
      </w:r>
    </w:p>
    <w:p>
      <w:pPr/>
      <w:r>
        <w:rPr>
          <w:b/>
        </w:rPr>
        <w:t>Shared claim-specific concepts:</w:t>
      </w:r>
      <w:r>
        <w:t xml:space="preserve"> due, climate, patterns, health, conditions, vulnerable; EU scope visible. This is a provisional connection, not an outcome finding.</w:t>
      </w:r>
    </w:p>
    <w:p>
      <w:pPr>
        <w:pStyle w:val="SourceNote"/>
      </w:pPr>
      <w:r>
        <w:rPr>
          <w:b/>
        </w:rPr>
        <w:t>Available abstract (not full text):</w:t>
      </w:r>
      <w:r>
        <w:t xml:space="preserve"> Why this matters now. Climate change is a major and growing public health challenge, with impacts that are already visible and affecting everyday health (WHO, 2023). Rising temperatures, stronger ultraviolet (UV) radiation, and changes in climate-sensitive infections and allergens are increasingly influencing skin health (Haykal et al., 2025). As the body’s first line of contact with the environment, the skin often shows the early health effects of climate change. Skin conditions are common, visible, and costly to manage. They place increasing pressure on GP and dermatology services and contribute to widening health inequalities. The burden is not evenly distributed: outdoor workers, migrants, children, and older adults face higher risks due to greater environmental exposure and barriers to prevention and care (Parker, Mo and Goodman, 2022). What we did. We conducted a systematic review of research published between 2015 and 2025 examining climate-related skin conditions across Europe and Central Asia. What we found. • Higher temperatures and increased ultraviolet (UV) exposure are linked to rising skin cancers and heat-related skin conditions. • Climate change is shifting patterns of skin infection. • Climate pressures worsen common inflammatory skin conditions, including eczema and allergies, particularly among vulnerable and outdoor-exposed groups. • Gaps in surveillance acr</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963.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2025:</w:t>
      </w:r>
      <w:r>
        <w:t xml:space="preserve"> Local Demand for AI Skills: A Multiscale Perspective in Great Britain — https://doi.org/10.1080/24694452.2025.2511939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Discussions about artificial intelligence (AI) tend to ignore local geographies of labor demand for AI skills and adoption of such technologies. A potential explanation is the lack of granular enough data to capture spatial patterns and evolution of AI usage. Here, we employ novel data about online job advertisements (OJAs), which allow us to map and model the spatial pattern of labor demand for AI skills. Specifically, we calculate location quotients of labor demand for AI skills at a very detailed geographical level of lower layer super output areas (LSOAs) in Great Britain between 2017 and 2022. We then model these location quotients using multilevel zero-inflated negative binomial (MZNB) models with offset terms. Specifically, we regress the AI location quotients on local specialization in job categories aggregated at the neighborhood (LSOA) level, and on broader labor market effects measured at the local authority district (LAD) level. Our results illustrate that spatial concentration of labor demand for AI skills is significantly correlated with job specialization in information technology (IT) and scientific industries at the LSOA level. Furthermore, job specialization in IT or scientific industries at the higher LAD level further enhances the significant and positive effect of neighborhood specialization in IT. Research results reveal the presence of self-reinforcing sp</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2024:</w:t>
      </w:r>
      <w:r>
        <w:t xml:space="preserve"> Demand-Driven Challenges to Food Security: A Developing World Perspective — https://openalex.org/W7217394617</w:t>
      </w:r>
    </w:p>
    <w:p>
      <w:pPr/>
      <w:r>
        <w:rPr>
          <w:b/>
        </w:rPr>
        <w:t>Shared claim-specific concepts:</w:t>
      </w:r>
      <w:r>
        <w:t xml:space="preserve"> findings, developing, nations; EU scope not established. This is a provisional connection, not an outcome finding.</w:t>
      </w:r>
    </w:p>
    <w:p>
      <w:pPr>
        <w:pStyle w:val="SourceNote"/>
      </w:pPr>
      <w:r>
        <w:rPr>
          <w:b/>
        </w:rPr>
        <w:t>Available abstract (not full text):</w:t>
      </w:r>
      <w:r>
        <w:t xml:space="preserve"> Objective: This study explores the impact of short-run and long-run demand-side drivers on the food security in developing countries. Research Gap: The paper utilizes a rich dataset consisting on 89 nations spanning from the years 1990 to 2020. A research gap exists in the collective exploration of all four dimensions of food security. Prior to the present study, there was a scanty literature addressing this comprehensive approach. Methodology: The present study employs Method of Moments Quantile Regression (MMQR). The application of the MMQR technique to analyze the interconnections among food security, agricultural exports, income inequality, economic growth and demand-driven forces of food security has limited in previous literature. This underscores the need for a more nuanced understanding of the relationships between these variables. The Main Findings: The results reveal that overall population growth (PG) as well as urban population growth (UPG) serves as the persistent impediment towards the achievement of sustainable food security. However, official development assistance (ODA) shows a positive impact on availability and utilization dimensions. As well as, ODA can reduce undernourishment leading to improved access to nutritious food in developing countries. Implications of Findings: The study recommends promoting family planning to address population pressures and emph</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2023:</w:t>
      </w:r>
      <w:r>
        <w:t xml:space="preserve"> An on-demand bioresorbable neurostimulator — https://doi.org/10.1038/s41467-023-42791-5</w:t>
      </w:r>
    </w:p>
    <w:p>
      <w:pPr/>
      <w:r>
        <w:rPr>
          <w:b/>
        </w:rPr>
        <w:t>Shared claim-specific concepts:</w:t>
      </w:r>
      <w:r>
        <w:t xml:space="preserve"> here, significant, energy; EU scope not established. This is a provisional connection, not an outcome finding.</w:t>
      </w:r>
    </w:p>
    <w:p>
      <w:pPr>
        <w:pStyle w:val="SourceNote"/>
      </w:pPr>
      <w:r>
        <w:rPr>
          <w:b/>
        </w:rPr>
        <w:t>Available abstract (not full text):</w:t>
      </w:r>
      <w:r>
        <w:t xml:space="preserve"> Abstract Bioresorbable bioelectronics, with their natural degradation properties, hold significant potential to eliminate the need for surgical removal. Despite notable achievements, two major challenges hinder their practical application in medical settings. First, they necessitate sustainable energy solutions with biodegradable components via biosafe powering mechanisms. More importantly, reliability in their function is undermined by unpredictable device lifetimes due to the complex polymer degradation kinetics. Here, we propose an on-demand bioresorbable neurostimulator to address these issues, thus allowing for clinical operations to be manipulated using biosafe ultrasound sources. Our ultrasound-mediated transient mechanism enables (1) electrical stimulation through transcutaneous ultrasound-driven triboelectricity and (2) rapid device elimination using high-intensity ultrasound without adverse health effects. Furthermore, we perform neurophysiological analyses to show that our neurostimulator provides therapeutic benefits for both compression peripheral nerve injury and hereditary peripheral neuropathy. We anticipate that the on-demand bioresorbable neurostimulator will prove useful in the development of medical implants to treat peripheral neuropathy.</w:t>
      </w:r>
    </w:p>
    <w:p>
      <w:pPr>
        <w:pStyle w:val="Heading2"/>
      </w:pPr>
      <w:r>
        <w:t>964.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2025:</w:t>
      </w:r>
      <w:r>
        <w:t xml:space="preserve"> Vehicle Ramming as a Form of Terrorist Attack Threatening Public Safety — https://doi.org/10.35808/ersj/3931</w:t>
      </w:r>
    </w:p>
    <w:p>
      <w:pPr/>
      <w:r>
        <w:rPr>
          <w:b/>
        </w:rPr>
        <w:t>Shared claim-specific concepts:</w:t>
      </w:r>
      <w:r>
        <w:t xml:space="preserve"> terrorist, attacks, approach, low; EU scope visible. This is a provisional connection, not an outcome finding.</w:t>
      </w:r>
    </w:p>
    <w:p>
      <w:pPr>
        <w:pStyle w:val="SourceNote"/>
      </w:pPr>
      <w:r>
        <w:rPr>
          <w:b/>
        </w:rPr>
        <w:t>Available abstract (not full text):</w:t>
      </w:r>
      <w:r>
        <w:t xml:space="preserve"> Purpose: This article examines terrorism on a global scale, focusing on the challenges of defining the phenomenon and the increasing threat posed by vehicle ramming attacks.The purpose of the study is to explore how vehicle ramming impacts public safety and to identify effective safeguards against such tactics.Design/Methodology/Approach: Employing a mixed-method approach, the research combines quantitative analysis of terrorist attack data from 1970 to 2019 with qualitative assessments of definitional issues and the operational characteristics of vehicle ramming.Methodologies include analogical reasoning, cause-and-effect analysis, and both de-ductive and inductive approaches to synthesize insights from a variety of sources.Findings: The findings indicate that despite numerous attempts by international institutions and scholars to establish a universal definition of terrorism, significant ambiguities remain.Furthermore, the analysis reveals a marked increase in both the frequency and lethality of vehicle ramming attacks, with particularly severe incidents observed in Europe during 2016-2017, thereby supporting the hypothesis that these attacks are effective due to their low preparation requirements and minimal risk of detection.Practical Implications: In practical terms, the study underscores the urgent need for enhanced urban security measures, such as physical barriers and i</w:t>
      </w:r>
    </w:p>
    <w:p>
      <w:pPr/>
      <w:r>
        <w:rPr>
          <w:b/>
        </w:rPr>
        <w:t>POSSIBLE 2025:</w:t>
      </w:r>
      <w:r>
        <w:t xml:space="preserve"> TERRORIST ATTACKS AGAINST THE EUROPEAN BANKING INDUSTRY SINCE 2001 — https://doi.org/10.53477/1842-9904-24-17</w:t>
      </w:r>
    </w:p>
    <w:p>
      <w:pPr/>
      <w:r>
        <w:rPr>
          <w:b/>
        </w:rPr>
        <w:t>Shared claim-specific concepts:</w:t>
      </w:r>
      <w:r>
        <w:t xml:space="preserve"> terrorist, attacks, resilience, critical, infrastructure, attention; EU scope visible. This is a provisional connection, not an outcome finding.</w:t>
      </w:r>
    </w:p>
    <w:p>
      <w:pPr>
        <w:pStyle w:val="SourceNote"/>
      </w:pPr>
      <w:r>
        <w:rPr>
          <w:b/>
        </w:rPr>
        <w:t>Available abstract (not full text):</w:t>
      </w:r>
      <w:r>
        <w:t xml:space="preserve"> There is a growing body of literature that recognises the importance of counter-terrorism and security, especially after the events of 9/11. Studies of terrorism and critical infrastructure protection agree on the essential nature of financial services and mention many cases when banks were attacked. However, the threat of terrorism to the banking industry received scant attention. This is the first study set out to investigate the terrorist attacks against banks in Europe since 2001. Research data were collected from the Global Terrorism Database.The aim of this quantitative research is to i) examine the terrorist attacks against European banks over the last two decades, ii) identify trends and patterns, and iii) provide some recommendations to increase the level of resilience.Our findings and recommendations can bring important contributions to the field of counter-terrorism and security. The study may hold relevance for researchers, operators of essential services, law enforcement agencies and policy-makers.</w:t>
      </w:r>
    </w:p>
    <w:p>
      <w:pPr/>
      <w:r>
        <w:rPr>
          <w:b/>
        </w:rPr>
        <w:t>POSSIBLE 2025:</w:t>
      </w:r>
      <w:r>
        <w:t xml:space="preserve"> Terrorist and sabotage attacks on selected critical infrastructure systems – a historical perspective — https://doi.org/10.4467/27204383ter.25.015.21518</w:t>
      </w:r>
    </w:p>
    <w:p>
      <w:pPr/>
      <w:r>
        <w:rPr>
          <w:b/>
        </w:rPr>
        <w:t>Shared claim-specific concepts:</w:t>
      </w:r>
      <w:r>
        <w:t xml:space="preserve"> terrorist, attacks, critical, infrastructure; EU scope not established. This is a provisional connection, not an outcome finding.</w:t>
      </w:r>
    </w:p>
    <w:p>
      <w:pPr>
        <w:pStyle w:val="SourceNote"/>
      </w:pPr>
      <w:r>
        <w:rPr>
          <w:b/>
        </w:rPr>
        <w:t>Available abstract (not full text):</w:t>
      </w:r>
      <w:r>
        <w:t xml:space="preserve"> The article describes terrorist and sabotage attacks carried out worldwide against two major critical infrastructure (CI) systems: energy supply and public transport. The selection of the events described in the article was subjective. In the section on attacks on the energy sector, the author adopted a geographical division – Middle East, Africa and South America. In the section on attacks on public transport, the division includes land transport and air transport. In the case of terrorist attacks on rail infrastructure, the author mainly used Anneli Botha’s study covering data from 2000 to 2017 and the work of Brian M. Jenkins and Bruce R. Butterworth, and for air transport, the work of Jacques Duchesneau. Not all data on attacks on CI systems has been updated due to the fact that the information contained in the sources is partial. The author draws the conclusion that with the development of modern technology and the escalation of tensions in international relations, the level of threat to CI will increase.</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pStyle w:val="Heading2"/>
      </w:pPr>
      <w:r>
        <w:t>965.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2026:</w:t>
      </w:r>
      <w:r>
        <w:t xml:space="preserve"> Seasonal leachate organic carbon and total nitrogen in an organic integrated crop–livestock rotation system — https://doi.org/10.1002/ael2.70095</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Abstract Integrated crop–livestock systems (ICLS) can reduce nutrient losses relative to annual cropping, yet seasonal dynamics of dissolved organic carbon (DOC) and nitrogen in organic systems remain poorly understood. We evaluated non‐purgeable organic carbon (NPOC), total nitrogen (TN), and C:N ratios during the sixth and seventh years of a certified organic ICLS in Kentucky. Subsurface soil water samples were collected at 1‐meter depth across seven treatments, including three rotational goat‐grazed pasture phases, two cropped phases, ungrazed perennial pasture (PP), and a continuous corn–soybean system (CNP). NPOC showed strong seasonality, with low spring concentrations and pronounced autumn increases, indicating dominant hydrologic control over DOC exports. In contrast, TN varied with season and management, with elevated concentrations during crop‐to‐pasture transitions and in CNP. Mature grazed pasture phases and PP generally maintained lower TN and higher C:N ratios, indicating enhanced nitrogen retention. Rotational transitions represent critical periods of nitrogen leaching risk. Core Ideas Soil water non–purgeable organic carbon was driven mainly by sampling season. Total nitrogen varied more with rotation phase and management. Early pasture estlablishment increased nitrogen leaching risk. Continuous corn–soybean cropping had greater nitrogen leaching risk. Mature pa</w:t>
      </w:r>
    </w:p>
    <w:p>
      <w:pPr/>
      <w:r>
        <w:rPr>
          <w:b/>
        </w:rPr>
        <w:t>POSSIBLE 2026:</w:t>
      </w:r>
      <w:r>
        <w:t xml:space="preserve"> The Critical Role of Wetland Conservation and Restoration in Mitigating Nitrogen Pollution Across European River Basins — https://doi.org/10.5194/egusphere-egu26-23188</w:t>
      </w:r>
    </w:p>
    <w:p>
      <w:pPr/>
      <w:r>
        <w:rPr>
          <w:b/>
        </w:rPr>
        <w:t>Shared claim-specific concepts:</w:t>
      </w:r>
      <w:r>
        <w:t xml:space="preserve"> total, nitrogen, land-use, area, management, higher; EU scope visible. This is a provisional connection, not an outcome finding.</w:t>
      </w:r>
    </w:p>
    <w:p>
      <w:pPr>
        <w:pStyle w:val="SourceNote"/>
      </w:pPr>
      <w:r>
        <w:rPr>
          <w:b/>
        </w:rPr>
        <w:t>Available abstract (not full text):</w:t>
      </w:r>
      <w:r>
        <w:t xml:space="preserve"> Excessive nitrogen (N) inputs from agricultural intensification, wastewater, and atmospheric deposition pose a severe threat to European ecosystems and public health, with N levels in over 57% of freshwater monitoring stations exceeding thresholds for good ecological status. While traditional management practices focus on reducing inputs, nature-based solutions (NBSs) like wetlands offer powerful, cost-effective filtration by facilitating denitrification in their carbon-rich, anoxic soils. This study presents a novel, pan-European modeling framework that combines high-resolution N surplus data, historical wetland distribution, and projected land-use changes to quantify the current and potential N-removal capacity of wetlands across the EU27 and neighboring countries.The analysis estimates that existing European wetlands currently remove approximately 1,000 kt of nitrogen per year, a service that prevents riverine N loads to the sea from being 25% higher than they are today. Despite this contribution, Europe remains a hotspot for wetland loss, having drained roughly 70% (~78 Mha) of its historical wetland area, primarily for agricultural expansion.To address current pollution gaps, the study evaluates three restoration scenarios designed to meet water quality targets while balancing agricultural productivity. The most ambitious Restoration scenario - restoring 27% of wetlands hi</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2025:</w:t>
      </w:r>
      <w:r>
        <w:t xml:space="preserve"> Total Nitrogen Shapes Diversity of Bloom-Forming Dinoflagellates in the Baltic Coastal Waters — https://doi.org/10.3390/biology15010048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The impact of nitrogen on harmful algal blooms (HABs) and functions of biota in marine ecosystems under eutrophication is a topical issue of growing importance. The article aimed at describing the diversity of planktonic bloom-forming dinoflagellates in the SW Baltic Sea coastal waters under variable eutrophication. The analysis of 44 year-long database revealed 82 dinoflagellate species and demonstrated diversity patterns of ten common bloom-forming species, including seven mixotrophs from the genera Prorocentrum, Dinophysis, and Ceratium, under variable eutrophication evaluated using total nitrogen (TN) content in water. Based on the Intermediate Disturbance Hypothesis (IDH), we presumed those coastal waters with total nitrogen concentrations that are optimal to dinoflagellates to host greater taxonomic diversity compared to areas with non-optimum TN content. The results showed that the highest dinoflagellate species richness was associated with much lower TN concentrations than the optimum values for these species. Thus, our findings disagreed with the IDH. We suggested and discussed possible reasons of this inconsistency, including algal growth rates and disturbance frequency. We also updated the classification of eutrophication levels in the Baltic Sea based on the distribution of TN content and diversity of HAB-forming dinoflagellates. The results can contribute to predic</w:t>
      </w:r>
    </w:p>
    <w:p>
      <w:pPr>
        <w:pStyle w:val="Heading2"/>
      </w:pPr>
      <w:r>
        <w:t>966.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2025:</w:t>
      </w:r>
      <w:r>
        <w:t xml:space="preserve"> Enhancing anthropogenic NMVOC emission speciation for European air quality modelling — https://doi.org/10.1016/j.envpol.2025.126510</w:t>
      </w:r>
    </w:p>
    <w:p>
      <w:pPr/>
      <w:r>
        <w:rPr>
          <w:b/>
        </w:rPr>
        <w:t>Shared claim-specific concepts:</w:t>
      </w:r>
      <w:r>
        <w:t xml:space="preserve"> air, modelling; EU scope visible. This is a provisional connection, not an outcome finding.</w:t>
      </w:r>
    </w:p>
    <w:p>
      <w:pPr>
        <w:pStyle w:val="SourceNote"/>
      </w:pPr>
      <w:r>
        <w:rPr>
          <w:b/>
        </w:rPr>
        <w:t>Available abstract (not full text):</w:t>
      </w:r>
      <w:r>
        <w:t xml:space="preserve"> Non-Methane Volatile Organic Compounds (NMVOCs) impact health and air quality, contributing to ozone and secondary organic aerosols (SOA). With stricter pollutant limits and a growing emphasis on modelling under the new European Ambient Air Quality Directive, improving NMVOC representation—particularly in terms of speciation—is essential. Current state-of-the-art European inventories rely on outdated data, potentially limiting accuracy. This study assesses for the first time the CAMS-REGv7.1 NMVOC emission inventory across Europe and evaluates the impact of replacing its default speciation with a more recent alternative using the MONARCH chemical transport model, comparing results with benzene, toluene and xylene observations for 2019. The impact of changing the speciation on modelled O 3 is also quantified. The updated speciation shows significant changes in emissions across NMVOC species, with all species showing changes greater than ±15 %, significantly affecting their spatial distribution and sector contributions. Air quality modelling results show notable improvements for benzene (average NMB from -46.1 % to -27.7 %), primarily driven by a better split of residential wood combustion NMVOC proposed in this work. For toluene and xylenes, major overestimations previously observed in capital cities are largely reduced by improving the characterization of solvent activities wit</w:t>
      </w:r>
    </w:p>
    <w:p>
      <w:pPr/>
      <w:r>
        <w:rPr>
          <w:b/>
        </w:rPr>
        <w:t>POSSIBLE 2025:</w:t>
      </w:r>
      <w:r>
        <w:t xml:space="preserve"> Collaboration patterns in circular economy innovation ecosystems: evidence from the Horizon Europe programme — https://doi.org/10.1108/sampj-03-2025-0437</w:t>
      </w:r>
    </w:p>
    <w:p>
      <w:pPr/>
      <w:r>
        <w:rPr>
          <w:b/>
        </w:rPr>
        <w:t>Shared claim-specific concepts:</w:t>
      </w:r>
      <w:r>
        <w:t xml:space="preserve"> horizon, diverse, policies; EU scope visible. This is a provisional connection, not an outcome finding.</w:t>
      </w:r>
    </w:p>
    <w:p>
      <w:pPr>
        <w:pStyle w:val="SourceNote"/>
      </w:pPr>
      <w:r>
        <w:rPr>
          <w:b/>
        </w:rPr>
        <w:t>Available abstract (not full text):</w:t>
      </w:r>
      <w:r>
        <w:t xml:space="preserve"> Purpose The transition to circular economy (CE) models requires robust innovation ecosystems (IEs) that foster collaboration among diverse actors. This paper aims to map collaboration patterns within IEs for the CE (IECEs) and to explain how different actors contribute to CE development and why structural bottlenecks emerge. Design/methodology/approach The authors conduct a multilevel, directed network analysis of 276 Horizon Europe projects involving 2,364 organisations across 31 countries, examining macro (country) and micro (organisation/type-of-agent) structures. The authors compute centrality, modularity and density and assess dynamic robustness via targeted node-removal simulations. Findings Countries that are advanced in CE are not always the ones at the centre of collaboration. Coordination tends to sit with a small group of countries. At the organisational level, firms mainly secure and use funding and deliver projects, while universities and research centres connect partners and often lead coordination. The public bodies are less well integrated. The network holds together, but it leans heavily on a few highly connected players and leaves smaller clusters at the edges. If the key players step back, collaboration and the spread of CE solutions could slow. Practical implications The findings provide actionable insights for policymakers and funding bodies to refine colla</w:t>
      </w:r>
    </w:p>
    <w:p>
      <w:pPr>
        <w:pStyle w:val="Heading2"/>
      </w:pPr>
      <w:r>
        <w:t>967.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2026:</w:t>
      </w:r>
      <w:r>
        <w:t xml:space="preserve"> Between trauma and resistance: Pride, pleasure, and purpose in the lives of trans and gender diverse activists in Brazil. — https://doi.org/10.1037/tra0002117</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OBJECTIVE: This study explored how community resilience and resistance manifest in the experiences of trans and gender diverse (TGD) people engaging in activism in a medium-sized Brazilian town. It aimed to understand how TGD activists navigate political violence and identify elements of community resilience and resistance within their activist work. METHOD: We employed a qualitative participatory approach, centering the lived experiences of TGD activists. We collaborated and conducted semistructured interviews with six TGD activists. The study was theoretically informed by Liberation Psychology and the multisystemic resilience framework. Data were analyzed using a reflexive thematic analysis, enriched by an intersectional lens. RESULTS: The analysis generated three interrelated themes, each encompassing multiple strengths and relational resources. Pride captured expressions of identity pride, community connectedness, and aesthetic audacity. Pleasure combined accounts of gender euphoria, cultural engagement, and experiencing trans bodies as sources of political resistance. Purpose illuminated how meaning-making practices were shaped by serving future generations and awareness of intersecting oppressions. CONCLUSIONS: Activism is often incorporated by activists as a meaning-making framework. It can contribute to addressing psychosocial trauma by fostering the development of psyc</w:t>
      </w:r>
    </w:p>
    <w:p>
      <w:pPr/>
      <w:r>
        <w:rPr>
          <w:b/>
        </w:rPr>
        <w:t>POSSIBLE 2026:</w:t>
      </w:r>
      <w:r>
        <w:t xml:space="preserve"> Networks for Knowledge Mobilization: A Framework to Understand Support-Seeking Behaviors of Knowledge Brokers — https://doi.org/10.1177/01614681261489004</w:t>
      </w:r>
    </w:p>
    <w:p>
      <w:pPr/>
      <w:r>
        <w:rPr>
          <w:b/>
        </w:rPr>
        <w:t>Shared claim-specific concepts:</w:t>
      </w:r>
      <w:r>
        <w:t xml:space="preserve"> purpose, used, understand, identified, challenges; EU scope not established. This is a provisional connection, not an outcome finding.</w:t>
      </w:r>
    </w:p>
    <w:p>
      <w:pPr>
        <w:pStyle w:val="SourceNote"/>
      </w:pPr>
      <w:r>
        <w:rPr>
          <w:b/>
        </w:rPr>
        <w:t>Available abstract (not full text):</w:t>
      </w:r>
      <w:r>
        <w:t xml:space="preserve"> Background: Knowledge brokers are increasingly influential in education. They cultivate relationships between research, policy, and practice; make knowledge accessible and usable; and support evidence-informed change in education. Still, their support-seeking behaviors within their relational ecosystems are not well studied and understood. Purpose: The purpose of this exploratory study is to expand upon existing research by: (1) developing profiles of knowledge brokers based on their support-seeking behaviors within their relational ecosystems, and (2) understanding the tensions knowledge brokers navigate while building and maintaining their relational ecosystems for support. Research Design: This mixed-methods study draws on data from 12 equity-focused, evidence-based knowledge broker organizations in the United States. For this paper, we draw on data from egocentric network surveys and interviews, which we first qualitatively coded for forms of support, underlying strategic priorities, and tensions. Next, we transformed the data, quantifying the qualitative findings. Finally, we used hierarchical clustering to determine different knowledge broker profiles of support-seeking behaviors. Findings: Participating knowledge brokers differed in their support-seeking behaviors, suggesting that not all knowledge brokers had the same support needs or access. We identified seven profile</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2025:</w:t>
      </w:r>
      <w:r>
        <w:t xml:space="preserve"> Contexts, purposes, and problems — https://doi.org/10.4324/9781003288695-4</w:t>
      </w:r>
    </w:p>
    <w:p>
      <w:pPr/>
      <w:r>
        <w:rPr>
          <w:b/>
        </w:rPr>
        <w:t>Shared claim-specific concepts:</w:t>
      </w:r>
      <w:r>
        <w:t xml:space="preserve"> seeks, used, understand; EU scope not established. This is a provisional connection, not an outcome finding.</w:t>
      </w:r>
    </w:p>
    <w:p>
      <w:pPr>
        <w:pStyle w:val="SourceNote"/>
      </w:pPr>
      <w:r>
        <w:rPr>
          <w:b/>
        </w:rPr>
        <w:t>Available abstract (not full text):</w:t>
      </w:r>
      <w:r>
        <w:t xml:space="preserve"> This chapter provides an overview of the main purposes for which Visitor Studies is used across different heritage contexts, including the types of questions and problems it seeks to address, from decision-making and monitoring performance, to growing and diversifying audiences, generating revenue, attracting funding, improving experiences, encouraging repeat visits, increasing relevance and resilience, demonstrating impact and advocacy, and theory building. It begins with research that has sought to better understand visitors and visiting, including counting visits, profiling, and categorising visitors, and investigating their behaviour, thoughts, and feelings. The final sections cover evaluation, managing and designing visitor experiences, and value and impacts.</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pStyle w:val="Heading2"/>
      </w:pPr>
      <w:r>
        <w:t>968.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2024:</w:t>
      </w:r>
      <w:r>
        <w:t xml:space="preserve"> INVITED SYMPOSIUM — https://doi.org/10.1002/ijop.13198</w:t>
      </w:r>
    </w:p>
    <w:p>
      <w:pPr/>
      <w:r>
        <w:rPr>
          <w:b/>
        </w:rPr>
        <w:t>Shared claim-specific concepts:</w:t>
      </w:r>
      <w:r>
        <w:t xml:space="preserve"> invited, three, international, disorder, provide, scientific; EU scope not established. This is a provisional connection, not an outcome finding.</w:t>
      </w:r>
    </w:p>
    <w:p>
      <w:pPr>
        <w:pStyle w:val="SourceNote"/>
      </w:pPr>
      <w:r>
        <w:rPr>
          <w:b/>
        </w:rPr>
        <w:t>Available abstract (not full text):</w:t>
      </w:r>
      <w:r>
        <w:t xml:space="preserve"> The 11th Revision of the International Classification of Diseases (ICD-11) was approved by the World Health Assembly in May 2019.Reporting of health statistics by World Health Organization (WHO) member states began in January 2022.We are currently in a period of transition as countries implement the ICD-11 in their health information and clinical systems.Implementing a new diagnostic system creates substantial needs for workforce development and training initiatives.WHO has recently published Clinical Descriptions and Diagnostic Requirements for ICD-11 Mental, Behavioural and Neurodevelopmental Disorders (CDDR) (https://www.who.int/publications/i/item/9789 240077263), which provide detailed guidance for implementation of the new classification in clinical settings by mental health professionals.Moreover, the International Union of Psychological Science and the American Psychological Science have recently published A Psychological Approach to Diagnosis Using the ICD-11 as a Framework.This symposium will provide a deeper exploration of models for training psychology students, interns, residents and practicing clinicians in diagnostic practice based on the ICD-11, using three areas as examples.The categories in the grouping of anxiety and fear-related disorders are generally unchanged, but the ICD-11 CDDR takes a much more psychological approach to their conceptualization and phen</w:t>
      </w:r>
    </w:p>
    <w:p>
      <w:pPr>
        <w:pStyle w:val="Heading2"/>
      </w:pPr>
      <w:r>
        <w:t>969.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Socio-ecological dynamics shaping the future of wetlands: A foresight analysis — https://doi.org/10.1016/j.cacint.2026.100469</w:t>
      </w:r>
    </w:p>
    <w:p>
      <w:pPr/>
      <w:r>
        <w:rPr>
          <w:b/>
        </w:rPr>
        <w:t>Shared claim-specific concepts:</w:t>
      </w:r>
      <w:r>
        <w:t xml:space="preserve"> purpose, foresight, qualitative; EU scope not established. This is a provisional connection, not an outcome finding.</w:t>
      </w:r>
    </w:p>
    <w:p>
      <w:pPr>
        <w:pStyle w:val="SourceNote"/>
      </w:pPr>
      <w:r>
        <w:rPr>
          <w:b/>
        </w:rPr>
        <w:t>Available abstract (not full text):</w:t>
      </w:r>
      <w:r>
        <w:t xml:space="preserve"> The purpose of this study is to determine and examine the main factors affecting the wetlands' future condition in Poldokhtar County, Lorestan Province, Iran. To address the lack of comprehensive foresight studies on wetland ecosystems in semi-arid regions, this study employs a foresight approach. By combining cross-impact matrix analysis with the MICMAC software, a mixed-method approach incorporating quantitative and qualitative methodologies was used in this study. Expert interviews revealed a total of 14 significant variables. Through two rounds of Delphi surveys and structured interviews, the views of eleven academic and executive experts in the domains of water resources and environmental management selected on the basis of pertinent experience and expertise were obtained. Complete stability (100%) in the cross-impact matrix was attained following two iterations. The findings showed that the main factors affecting these wetlands' future are population increase and rising water demand, poor inter-organizational coordination, climate change, and water resource management (which received a score of 29 in direct influence and dependence). The results showed that the wetland system was moderately unstable, indicating a significant possibility of future vulnerabilities and alterations. The management of water resources was shown to be the most important and dependent component, </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central, national;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The Impact of Climate Change and Floods in Pakistan: Challenges and Way Forward — https://doi.org/10.70670/sra.v4i1.1681</w:t>
      </w:r>
    </w:p>
    <w:p>
      <w:pPr/>
      <w:r>
        <w:rPr>
          <w:b/>
        </w:rPr>
        <w:t>Shared claim-specific concepts:</w:t>
      </w:r>
      <w:r>
        <w:t xml:space="preserve"> government, national, qualitative; EU scope not established. This is a provisional connection, not an outcome finding.</w:t>
      </w:r>
    </w:p>
    <w:p>
      <w:pPr>
        <w:pStyle w:val="SourceNote"/>
      </w:pPr>
      <w:r>
        <w:rPr>
          <w:b/>
        </w:rPr>
        <w:t>Available abstract (not full text):</w:t>
      </w:r>
      <w:r>
        <w:t xml:space="preserve"> The study delivers a deep analysis to scrutinise essential notions regarding causes, impacts, and challenges of climate change. Pakistan is considered one of the top five countries vulnerable to climate-related problems. Climate change has become one of the major reasons worldwide. The worse metrological conditions include various natural disasters such as abrupt increases in temperature, deteriorating precipitation patterns, and rapid glacier melting. One of the greatest dilemmas is that climate-induced floods have escalated in regularity and intensity, paving the way for massive complications to the social, governmental, and economic systems of Pakistan. Frequent torrents led to loss of human lives and grievous harm to infrastructure. The qualitative research is used to conduct this research. In conclusion, floods are unrestrained, but their effects can be overcome through resilient planning and strategies, good infrastructure, and reforms. The government of Pakistan must associate national advancement with meteorological dimensions and mitigate the impact of climate change.</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pStyle w:val="Heading2"/>
      </w:pPr>
      <w:r>
        <w:t>970.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2025:</w:t>
      </w:r>
      <w:r>
        <w:t xml:space="preserve"> The Evolution of Gender Monitoring and its Challenges: the Case of Research and Innovation in Europe — https://doi.org/10.1007/s11205-025-03698-4</w:t>
      </w:r>
    </w:p>
    <w:p>
      <w:pPr/>
      <w:r>
        <w:rPr>
          <w:b/>
        </w:rPr>
        <w:t>Shared claim-specific concepts:</w:t>
      </w:r>
      <w:r>
        <w:t xml:space="preserve"> she, responsible, governance; EU scope visible. This is a provisional connection, not an outcome finding.</w:t>
      </w:r>
    </w:p>
    <w:p>
      <w:pPr>
        <w:pStyle w:val="SourceNote"/>
      </w:pPr>
      <w:r>
        <w:rPr>
          <w:b/>
        </w:rPr>
        <w:t>Available abstract (not full text):</w:t>
      </w:r>
      <w:r>
        <w:t xml:space="preserve"> This article examines the European Commission’s flagship initiative on gender monitoring in science and innovation, offering a responsible metrics perspective informed by equality policy literature. We qualitatively analyse all She Figures reports since their inception in 2003, exploring how gender monitoring has evolved and in which directions. Our analytical framework addresses the why (justifications and purposes), what (concepts, translations, topics, policy focus), and how (policy process, gendered framing, contextualisation) of monitoring practices. We assess the challenges inherent in using monitoring as a governance instrument within the European Union, and propose improvements. Over two decades, the initiative has shifted from competitiveness-oriented justifications towards more transformative objectives linked to gender equality and policy evaluation. The focus of measurement has expanded—from merely tracking presence to also including institutional processes, albeit still marginally. Despite notable progress in data availability and contextualisation, the analysis highlights the persistence of a superficial gender perspective in the conceptualisation, framing, and selection of indicators. We argue that the policy process could better incorporate the voices of those affected. To that end, the article offers concrete proposals grounded in multidimensional perspectives </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2020:</w:t>
      </w:r>
      <w:r>
        <w:t xml:space="preserve"> Immigrants as Settlement Workers: An Inquiry into their Experiences of Work and Workplace Learning at Immigrant Service Agencies in Canada — https://doi.org/10.11575/prism/37712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My research investigates the transition to work and workplace learning experiences of immigrant settlement workers (ISWs) at immigrant service agencies (ISAs) in Canada. Informed by intersectionality and institutional ethnography (IE), I investigate how ISWs’ labour market integration and learning at work are constructed in institutional relations, organizing and shaping the coordination of individuals’ standpoint at local sites. In examining ISWs’ transition to work, I first trace the trajectory of immigrants becoming ISWs and then analyze how race, gender, and class intersect and shape their experiences of seeking employment in institutional complexes between governmental organizations, employment institutions, and ISAs. In exploring ISWs’ workplace learning in ISAs, I analyze ISWs’ emerging learning opportunities in formal and non-formal settings and how their learning can be situated in cultural and relational contexts. More importantly, my research scrutinizes how textual ruling power is translocally developed and distributed to mould ISWs’ daily practices in the workplace. Eighteen ISWs were interviewed from three different ISAs in Western Canada. Based on findings from life history interviews and analysis of various governmental and organizational documents, my investigation reveals three major components of ISWs’ transition to work and workplace learning experiences. Fi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2018:</w:t>
      </w:r>
      <w:r>
        <w:t xml:space="preserve"> Integrating black immigrants — https://doi.org/10.7765/9781526137791.00012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This chapter takes up the issue of black immigration and establishes the party's dilemma, given both its commitment to integration and its need to retain the support of prejudiced white voters. Many Labour members thought the growing presence of black immigrants in Britain's towns and cities was problematic. Moreover, the presumed dire electoral implications of rising numbers of black people encouraged party leaders to support controls to appease prejudice. However, consistent with Labour's commitment to equality, ministers also promoted measures that challenged white opinion, while some activists and officials enthusiastically advanced the policy of integration. Overall, however, black immigration was an issue Labour was ill prepared to address and one many wished would disappear as quickly as possible.</w:t>
      </w:r>
    </w:p>
    <w:p>
      <w:pPr>
        <w:pStyle w:val="Heading2"/>
      </w:pPr>
      <w:r>
        <w:t>971.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2025:</w:t>
      </w:r>
      <w:r>
        <w:t xml:space="preserve"> 445Between nation and association of states: historical discourses on Europe and the crises of the early twenty-first century — https://doi.org/10.1515/9783111588551-024</w:t>
      </w:r>
    </w:p>
    <w:p>
      <w:pPr/>
      <w:r>
        <w:rPr>
          <w:b/>
        </w:rPr>
        <w:t>Shared claim-specific concepts:</w:t>
      </w:r>
      <w:r>
        <w:t xml:space="preserve"> so-called, context, different, but; EU scope visible. This is a provisional connection, not an outcome finding.</w:t>
      </w:r>
    </w:p>
    <w:p>
      <w:pPr>
        <w:pStyle w:val="SourceNote"/>
      </w:pPr>
      <w:r>
        <w:rPr>
          <w:b/>
        </w:rPr>
        <w:t>Available abstract (not full text):</w:t>
      </w:r>
      <w:r>
        <w:t xml:space="preserve"> Between nation and association of states: historical discourses on Europe and the crises of the early twenty-first centuryEurope is a difficult concept.Ideas about what Europe actually is, what it should look like in future and how it ought to develop are as diverse as the national contexts in which such issues are discussed.Views concerning Europe's role in a given national context, with regard among other things to the historical development of the continent and its individual countries, play an important role here.The debate on European identities, then, is one that is played out differently in each nation state.The experience of Europe in the so-called West 1 is fundamentally different from that in post-Cold War Eastern Europe. 2 The concept of Europe outside the continent is equally varied, a fact that repeatedly leads to conflicts, especially when this external perception calls into question Europeans' own imagined Europe.When political speeches underscore that "the EU [. ..] was founded to anchor democracy and the rule of law in Europe," then this emphasis fulfils a political purpose, but is, according to political scientist Jan-Werner Müller, merely the "misrepresentation of history." 3 In fact, today's Europe is highly diverse and has many faces: a young, optimistic one, as embodied by posters advertising the Erasmus programme; a serious, busy one, as represented by he</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pStyle w:val="Heading2"/>
      </w:pPr>
      <w:r>
        <w:t>972.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Who bears the indirect costs of flood risk? An economy-wide assessment of different insurance systems in Europe under climate change — https://doi.org/10.1080/09535314.2023.2272211</w:t>
      </w:r>
    </w:p>
    <w:p>
      <w:pPr/>
      <w:r>
        <w:rPr>
          <w:b/>
        </w:rPr>
        <w:t>Shared claim-specific concepts:</w:t>
      </w:r>
      <w:r>
        <w:t xml:space="preserve"> different, against; EU scope visible. This is a provisional connection, not an outcome finding.</w:t>
      </w:r>
    </w:p>
    <w:p>
      <w:pPr>
        <w:pStyle w:val="SourceNote"/>
      </w:pPr>
      <w:r>
        <w:rPr>
          <w:b/>
        </w:rPr>
        <w:t>Available abstract (not full text):</w:t>
      </w:r>
      <w:r>
        <w:t xml:space="preserve"> Anticipated increase in future river flood risk highlights the need for effective flood insurance, as it enables hedging against this risk. However, its design varies significantly across countries. This study contributes to the debate on designing flood insurance mechanisms from an economy-wide perspective, considering both socioeconomic and climate changes. We apply a multi-regional computable general equilibrium (CGE) model for 2050 and find that, under current insurance market systems, flood risk causes regional GDP losses of up to −0.5%, societal welfare losses of up to −1%, and private and public consumption losses of up to −0.5% and −2.4%, respectively. These estimates are all relative to a scenario without flood risk. Our results indicate that flood risk intensifies pressure on public budgets. We find that insurance market reforms, including a higher degree of risk-sharing, mandatory purchase requirements, and public reinsurance, can alleviate adverse welfare effects and the burden on public budgets.</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2022:</w:t>
      </w:r>
      <w:r>
        <w:t xml:space="preserve"> Revisiting party system structuration in Latin America and Europe: Economic and socio-cultural dimensions — https://doi.org/10.1177/13540688221090604</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The degree to which party systems are ideologically and programmatically structured is central to democracy. This article analyzes differences in the extent and nature of programmatic structuration in Latin America and Europe, using a new original data source, the Chapel Hill Expert Survey-Latin America (CHES-LA), in combination with the long-standing CHES-Europe. First, we demonstrate the reliability of CHES-LA in relation to CHES-Europe, and substantiate its validity by comparing it to other expert, elite and party manifesto surveys in Latin America. Using confirmatory factor analysis, we then show that while party system structuration in Latin America is somewhat lower than in Europe, it is also of a decisively different nature. In Latin America economic and socio-cultural policy positions are largely captured in a single overlapping dimension; in Europe, by contrast, competition occurs overwhelmingly along two dimensions, each with distinct clusters of policy positions.</w:t>
      </w:r>
    </w:p>
    <w:p>
      <w:pPr/>
      <w:r>
        <w:rPr>
          <w:b/>
        </w:rPr>
        <w:t>POSSIBLE 2022:</w:t>
      </w:r>
      <w:r>
        <w:t xml:space="preserve"> Cohort-specific disability trajectories among older women and men in Europe 2004–2017 — https://doi.org/10.1007/s10433-022-00684-4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As the population of Europe grows older, one crucial issue is how the incidence and prevalence of disabilities are developing over time in the older population. In this study, we compare cohort-specific disability trajectories in old age across subsequent birth cohorts in Europe, during the period 2004-2017.We used data from seven waves of data from the Survey of Health, Ageing and Retirement in Europe (SHARE). Mixed effects logistic regression models were used to model trajectories of accumulation of ADL limitations for subsequent birth cohorts of older women and men in different European regions. The results showed that there were sex differences in ADL and IADL limitations in all regions for most cohorts. Women reported more limitations than men, particularly in Eastern and Southern rather than Northern and Western Europe. Among men in Eastern, Northern and Western Europe, later born cohorts reported more disabilities than did earlier born birth cohorts at the same ages. Similar patterns were observed for women in Northern and Western Europe. In contrast, the risk of disabilities was lower in later born cohorts than in earlier born birth cohorts among women in Eastern Europe. Overall, results from this study suggest that disability trajectories in different cohorts of men and women were by and large similar across Europe. The trajectories varied more depending on sex, age an</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pStyle w:val="Heading2"/>
      </w:pPr>
      <w:r>
        <w:t>973.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2025:</w:t>
      </w:r>
      <w:r>
        <w:t xml:space="preserve"> Power consumption of emerging cybersecurity technologies on network devices — https://openalex.org/W7114938213</w:t>
      </w:r>
    </w:p>
    <w:p>
      <w:pPr/>
      <w:r>
        <w:rPr>
          <w:b/>
        </w:rPr>
        <w:t>Shared claim-specific concepts:</w:t>
      </w:r>
      <w:r>
        <w:t xml:space="preserve"> power, consumption, current; EU scope not established. This is a provisional connection, not an outcome finding.</w:t>
      </w:r>
    </w:p>
    <w:p>
      <w:pPr>
        <w:pStyle w:val="SourceNote"/>
      </w:pPr>
      <w:r>
        <w:rPr>
          <w:b/>
        </w:rPr>
        <w:t>Available abstract (not full text):</w:t>
      </w:r>
      <w:r>
        <w:t xml:space="preserve"> This thesis investigated the current matureness of IT systems in relation to flexibility support through application level controls with the aim of determining the future direction for emerging cybersecurity features. The research was driven by interest in investigating how flexibility principle could affect cybersecurity. This was accomplished through literature review of the current knowledge on IT systems and available controls and three power consumption experiments with each of them focusing on different solution. In literature review part it was found that flexibility is not commonly available and enabling support for it may require moving workloads from dedicated hardware to virtualized environment. Comparatively in experiment portion it was found that the throughput penalty of cybersecurity complexity at the highest can be 50 percent in active network devices. This indicated that for organizations with known throughput needs at least one model above the matching throughput should be selected if maximum cybersecurity feature set is to be used. Through literature review and experimentation, a grounded theory was established and assessed. Thesis concludes that current cybersecurity solutions do not support flexibility to the level flexibility principle needs to and as such there is clear need for adaptive cybersecurity solution that could automatically either downscale fea</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pStyle w:val="Heading2"/>
      </w:pPr>
      <w:r>
        <w:t>974.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2026:</w:t>
      </w:r>
      <w:r>
        <w:t xml:space="preserve"> Aboveground Tree Carbon Stock and Biomass Potential of Mixed Plantation Forests in Luot Mountain, Vietnam — https://doi.org/10.21203/rs.3.rs-8823691/v1</w:t>
      </w:r>
    </w:p>
    <w:p>
      <w:pPr/>
      <w:r>
        <w:rPr>
          <w:b/>
        </w:rPr>
        <w:t>Shared claim-specific concepts:</w:t>
      </w:r>
      <w:r>
        <w:t xml:space="preserve"> biomass, stock, forests;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2025:</w:t>
      </w:r>
      <w:r>
        <w:t xml:space="preserve"> Tree Biomass and Carbon Stock Variations between Riparian and Terrestrial Forests in Central Himalaya — https://doi.org/10.12944/cwe.20.2.23</w:t>
      </w:r>
    </w:p>
    <w:p>
      <w:pPr/>
      <w:r>
        <w:rPr>
          <w:b/>
        </w:rPr>
        <w:t>Shared claim-specific concepts:</w:t>
      </w:r>
      <w:r>
        <w:t xml:space="preserve"> biomass, stock, climate, forests; EU scope not established. This is a provisional connection, not an outcome finding.</w:t>
      </w:r>
    </w:p>
    <w:p>
      <w:pPr>
        <w:pStyle w:val="SourceNote"/>
      </w:pPr>
      <w:r>
        <w:rPr>
          <w:b/>
        </w:rPr>
        <w:t>Available abstract (not full text):</w:t>
      </w:r>
      <w:r>
        <w:t xml:space="preserve"> Riparian and terrestrial forests are vital components of tropical ecosystems, playing a key role in carbon sequestration and biodiversity conservation. This study assessed and compared tree biomass and carbon stock between riparian and adjacent terrestrial forests along the Sharda River in the Central Himalaya to understand structural and functional differences. Field surveys were conducted during 2023–2024 across three sites in each forest type using ten randomly placed 10 × 10 m quadrats per site. Vegetation parameters—frequency, abundance, density, and Importance Value Index (IVI)—were calculated utilizing standard ecological approaches. Tree basal area was derived from circumference at breast height (CBH), and biomass was estimated non-destructively for trees with CBH &gt; 30 cm using species-specific and generalized allometric equations. Results showed higher tree density (350 ± 34.64 ind/ha), basal area (13.99 ± 0.51 m²/ha), species diversity (2.47 ± 0.11), biomass (95.81 ± 65.58 Mg/ha), and carbon stock (45.51 ± 3.13 Mg C/ha) in terrestrial forests compared to riparian forests. Riparian forests had 286.66 ± 50.33 ind/ha density, 6.31 ± 2.71 m²/ha basal area, 2.14 ± 0.06 diversity, 53.5 ± 25.14 Mg/ha biomass, and 23.79 ± 13.05 Mg C/ha carbon stock. These variations reflect differences in species composition and disturbance regimes. The findings offer valuable insights into t</w:t>
      </w:r>
    </w:p>
    <w:p>
      <w:pPr/>
      <w:r>
        <w:rPr>
          <w:b/>
        </w:rPr>
        <w:t>POSSIBLE 2025:</w:t>
      </w:r>
      <w:r>
        <w:t xml:space="preserve"> Green Hydrogen from Biomass in Kenya: Geospatial Feed-stock Mapping and Decentralized Energy Integration — https://doi.org/10.31223/x57m8t</w:t>
      </w:r>
    </w:p>
    <w:p>
      <w:pPr/>
      <w:r>
        <w:rPr>
          <w:b/>
        </w:rPr>
        <w:t>Shared claim-specific concepts:</w:t>
      </w:r>
      <w:r>
        <w:t xml:space="preserve"> biomass, stock, high, forests; EU scope not established. This is a provisional connection, not an outcome finding.</w:t>
      </w:r>
    </w:p>
    <w:p>
      <w:pPr>
        <w:pStyle w:val="SourceNote"/>
      </w:pPr>
      <w:r>
        <w:rPr>
          <w:b/>
        </w:rPr>
        <w:t>Available abstract (not full text):</w:t>
      </w:r>
      <w:r>
        <w:t xml:space="preserve"> As countries race to decarbonize, green hydrogen has emerged as a crucial clean energy transformation vehicle. In Sub-Saharan Africa, sufficient biomass resource potential exists to become an actual feedstock for decentralised hydrogen production, but under-explored are the spatial mismatches between resource occurrences and infrastructure systems. The paper conducts a geospatial assessment of forestry biomass, crop residues, and livestock waste for green hydrogen production as feed stocks in Kenya's 47 counties. From high-resolution land cover and productivity maps, we developed feed stock distribution maps, estimated hydrogen yield potentials from thermochemical conversion models, and contrasted regional conversion efficiencies by Sankey flow analysis. Our findings indicate that although shrublands cover the majority of Kenya (~283,000 km²), forests and agricultural land are of higher quality feed-stocks with up to 400,000 tonnes/year hydrogen potentials at technical maximum scenarios. Gasification was the best conversion pathway, with high efficiency (up to 70%) and confluence with Kenya's decentralized energy needs. Scenario modeling highlighted drastic logistical constraints: in the rosy 20% utilization case, ~70,000 tonnes of hydrogen would be economically produced by 2035. Environmental co-benefits of 0.9 MtCO₂e per annum in net emission reductions and biochar-enhanced s</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pStyle w:val="Heading2"/>
      </w:pPr>
      <w:r>
        <w:t>975.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BLUE DB: A Local-Level Election Database for 31 European Countries (2001–2025) — https://doi.org/10.31235/osf.io/qp836_v1</w:t>
      </w:r>
    </w:p>
    <w:p>
      <w:pPr/>
      <w:r>
        <w:rPr>
          <w:b/>
        </w:rPr>
        <w:t>Shared claim-specific concepts:</w:t>
      </w:r>
      <w:r>
        <w:t xml:space="preserve"> use, blue, yet; EU scope visible. This is a provisional connection, not an outcome finding.</w:t>
      </w:r>
    </w:p>
    <w:p>
      <w:pPr>
        <w:pStyle w:val="SourceNote"/>
      </w:pPr>
      <w:r>
        <w:rPr>
          <w:b/>
        </w:rPr>
        <w:t>Available abstract (not full text):</w:t>
      </w:r>
      <w:r>
        <w:t xml:space="preserve"> Local-level voting data is crucial to both electoral geography and political sociology. Yet, comparative election data is often unavailable below the regional tier, hindering fine-grained transnational analyses. To address this gap, we present the Basic Local Units Election Database (BLUE_DB). Our dataset covers 334 national and European Parliament elections across 31 European countries between 2001 and 2025, leveraging a new typology of over 150,000 local administrative units and nearly 3,900 parties, coalitions, and individual candidates.BLUE_DB is publicly available, comes with a dedicated web interface, and is accessible programmatically via dedicated Python bindings. It can be seamlessly joined with official European geodata through Local Administrative Unit (LAU) codes and to prominent party-politics datasets through Party Facts identifiers. In this paper, we describe the construction of BLUE_DB from authoritative national sources, validate it by comparison to existing regional-level datasets, and discuss its use in political science research.</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2025:</w:t>
      </w:r>
      <w:r>
        <w:t xml:space="preserve"> The potential of the Blue Economy to promote the generation of sustainable employment in the European Union — https://doi.org/10.1108/jbsed-06-2025-0221</w:t>
      </w:r>
    </w:p>
    <w:p>
      <w:pPr/>
      <w:r>
        <w:rPr>
          <w:b/>
        </w:rPr>
        <w:t>Shared claim-specific concepts:</w:t>
      </w:r>
      <w:r>
        <w:t xml:space="preserve"> blue, maritime, dimension; EU scope visible. This is a provisional connection, not an outcome finding.</w:t>
      </w:r>
    </w:p>
    <w:p>
      <w:pPr>
        <w:pStyle w:val="SourceNote"/>
      </w:pPr>
      <w:r>
        <w:rPr>
          <w:b/>
        </w:rPr>
        <w:t>Available abstract (not full text):</w:t>
      </w:r>
      <w:r>
        <w:t xml:space="preserve"> Purpose This study explores the contribution of the Blue Economy to employment generation across the European Union from 2009 to 2017. It seeks to identify the most influential sectors in the development of blue jobs and examine their geographical distribution across EU sea basins. Design/methodology/approach A panel data regression model was applied to a balanced dataset covering 27 EU member states. The model identifies sectoral impacts on employment, highlighting both positive and negative contributors within the Blue Economy. The analysis is disaggregated by the eight EU sea basins. Findings Results indicate that coastal tourism remains the most influential sector in generating blue jobs, followed by Maritime Transport and the exploitation of non-renewable marine resources. Conversely, fisheries and aquaculture show a negative relationship with job creation, likely due to climate change and restrictive EU quota policies. Research limitations/implications The study focuses on the 2009–2017 period and does not consider recent disruptions such as COVID-19 or geopolitical conflicts. Future research should extend the analysis to more recent data. Practical implications Findings support the design of targeted public policies that strengthen tourism and transport sectors as engines of sustainable maritime employment. Social implications The Blue Economy can promote inclusive job c</w:t>
      </w:r>
    </w:p>
    <w:p>
      <w:pPr/>
      <w:r>
        <w:rPr>
          <w:b/>
        </w:rPr>
        <w:t>POSSIBLE 2025:</w:t>
      </w:r>
      <w:r>
        <w:t xml:space="preserve"> Field Study of FRMCS Use Cases in the 5GRAIL Project — https://doi.org/10.1007/978-3-032-06763-0_78</w:t>
      </w:r>
    </w:p>
    <w:p>
      <w:pPr/>
      <w:r>
        <w:rPr>
          <w:b/>
        </w:rPr>
        <w:t>Shared claim-specific concepts:</w:t>
      </w:r>
      <w:r>
        <w:t xml:space="preserve"> use, project, horizon; EU scope visible. This is a provisional connection, not an outcome finding.</w:t>
      </w:r>
    </w:p>
    <w:p>
      <w:pPr>
        <w:pStyle w:val="SourceNote"/>
      </w:pPr>
      <w:r>
        <w:rPr>
          <w:b/>
        </w:rPr>
        <w:t>Available abstract (not full text):</w:t>
      </w:r>
      <w:r>
        <w:t xml:space="preserve"> Abstract Railways currently use the Global System Mobile for Railways (GSM-R) for train operation across the world. The GSM-R is used for voice communication between train driver and control centres, including but not limited to, the Railway Emergency Call (REC) as well as for signalling and control messages of the European Train Control System (ETCS). Based on the fifth generation (5G) of mobile networks and in particular, 3rd Generation Partnership Project (3GPP) releases 17 and 18, the Future Railway Mobile Communication System (FRMCS) is envisioned to replace GSM-R. This modernization step does not only address administrative constraints, e.g., the upcoming 2G equipment obsolescence, but also provides an opportunity for transforming the current train operation through introduction of digitalization and automation technologies in an aim of increasing capacity and efficiency for a sustainable transport. In this paper, we present some highlights of first FRMCS Fields trials that have been realized within the 5GRAIL project which is funded by the EU Horizon 2020 program. These trials were co-led by DB Netz AG in Germany and SNCF RESEAU in France. The aim was to accomplish functional and performance testing in addition to multi-access and cross-border like scenarios. We discuss some results on the testing of the different applications before concluding with lessons-learned and o</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2024:</w:t>
      </w:r>
      <w:r>
        <w:t xml:space="preserve"> Our First Experience of Using Blue Light Laser for Endoscopic Endonasal Removal of Juvenile Angiofibromas — https://doi.org/10.59315/orlhnp.2023-2-4.67-73</w:t>
      </w:r>
    </w:p>
    <w:p>
      <w:pPr/>
      <w:r>
        <w:rPr>
          <w:b/>
        </w:rPr>
        <w:t>Shared claim-specific concepts:</w:t>
      </w:r>
      <w:r>
        <w:t xml:space="preserve"> use, blue, yet; EU scope visible. This is a provisional connection, not an outcome finding.</w:t>
      </w:r>
    </w:p>
    <w:p>
      <w:pPr>
        <w:pStyle w:val="SourceNote"/>
      </w:pPr>
      <w:r>
        <w:rPr>
          <w:b/>
        </w:rPr>
        <w:t>Available abstract (not full text):</w:t>
      </w:r>
      <w:r>
        <w:t xml:space="preserve"> Background. Juvenile nasal angiofibroma (JNA) is a very rare benign lesion originating from the pterygopalatine fossa with distinctive epidemiologic features and growth patterns. The typical patient is an adolescent male with a clinical history of recurrent severe nasal bleedings and blockage the nose. Currently, even though surgery often caused severe operative bleeding, it is considered the ideal treatment for JNA. Refinement in preoperative embolization, which provides significant reduction of intraoperative bleeding. In spite of breakthrough of Endoscopic techniques which minimize the risk of residual disease, the search of new devises which can help to management of JNA is still continue in order to minimize the surgical complications. Laser methods as surgical treatment have been actively used in rhinology during the past decades. We purposed to summarize information about current lasers and their use in rhinology. Aim. The purpose of the study is the literature review and to describe our experience of using new blue laser during JNA removal. Evaluation of advantages and disadvantages, determination of indications and limits of its use in rhinosurgery Methods- A literature review from 2000 to 2022 using the PubMed database was employed. Keywords used included “laser surgery”, “blue light laser”, “photoangiolytic laser”, “laser in rhinosurgery”. The most up to date studies</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pStyle w:val="Heading2"/>
      </w:pPr>
      <w:r>
        <w:t>976.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challenges, chemical, made;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r>
        <w:rPr>
          <w:b/>
        </w:rPr>
        <w:t>POSSIBLE 2025:</w:t>
      </w:r>
      <w:r>
        <w:t xml:space="preserve"> Insect Pest Control from Chemical to Biotechnological Approach: Constrains and Challenges — https://doi.org/10.3390/insects16050528</w:t>
      </w:r>
    </w:p>
    <w:p>
      <w:pPr/>
      <w:r>
        <w:rPr>
          <w:b/>
        </w:rPr>
        <w:t>Shared claim-specific concepts:</w:t>
      </w:r>
      <w:r>
        <w:t xml:space="preserve"> challenges, chemical, based; EU scope visible. This is a provisional connection, not an outcome finding.</w:t>
      </w:r>
    </w:p>
    <w:p>
      <w:pPr>
        <w:pStyle w:val="SourceNote"/>
      </w:pPr>
      <w:r>
        <w:rPr>
          <w:b/>
        </w:rPr>
        <w:t>Available abstract (not full text):</w:t>
      </w:r>
      <w:r>
        <w:t xml:space="preserve"> The large growth in the global population requires new solutions for the control of harmful insects that compete for our food. Changing regulatory requirements and public perception, together with the continuous evolution of resistance to conventional insecticides, also require, in addition to innovative molecules with different modes of action, new non-chemical control strategies that can help maintain efficient integrated pest management programs. The last 30 years have inaugurated a new era characterised by the discovery of new mechanisms of action and new chemical families. Although European programs also promote a green deal in the crop protection sector, the existing thorough regulations slow down its spread and the adoption of new products. In light of these changes, this review will describe in more detail the dynamics of discovery and registration of new conventional insecticides and the difficulties that the agrochemical industries encounter. Subsequently, the different innovative control strategies alternative to conventional insecticides based on natural substances of different origin, entomopathogenic microorganisms, semiochemical and semiophysical compounds, and classical and augmentative biological control will be described. The advantages of these green strategies will be illustrated and also the constrains to their diffusion and commercialisation. Finally, the </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2023:</w:t>
      </w:r>
      <w:r>
        <w:t xml:space="preserve"> A review of chemical looping reforming technologies for hydrogen production: recent advances and future challenges — https://doi.org/10.1088/2515-7655/acc4e8</w:t>
      </w:r>
    </w:p>
    <w:p>
      <w:pPr/>
      <w:r>
        <w:rPr>
          <w:b/>
        </w:rPr>
        <w:t>Shared claim-specific concepts:</w:t>
      </w:r>
      <w:r>
        <w:t xml:space="preserve"> studied, challenges, chemical; EU scope not established. This is a provisional connection, not an outcome finding.</w:t>
      </w:r>
    </w:p>
    <w:p>
      <w:pPr>
        <w:pStyle w:val="SourceNote"/>
      </w:pPr>
      <w:r>
        <w:rPr>
          <w:b/>
        </w:rPr>
        <w:t>Available abstract (not full text):</w:t>
      </w:r>
      <w:r>
        <w:t xml:space="preserve"> Abstract Faced with increasingly serious energy and global warming, it is critical to put forward an alternative non-carbonaceous fuel. In this regard, hydrogen appears as the ultimate clean fuel for power and heat generation, and as an important feedstock for various chemical and petrochemical industries. The chemical looping reforming (CLR) concept, is an emerging technique for the conversion of hydrocarbon fuels into high-quality hydrogen via the circulation of oxygen carriers which allows a decrease in CO2 emissions. In this review, a comprehensive evaluation and recent progress in glycerol, ethanol and methane reforming for hydrogen production are presented. The key elements for a successful CLR process are studied and the technical challenges to achieve high-purity hydrogen along with the possible solutions are also assessed. As product quality, cost and the overall efficiency of the process can be influenced by the oxygen carrier materials used, noteworthy attention is given to the most recent development in this field. The use of Ni, Fe, Cu, Ce, Mn and Co-based material as potential oxygen carriers under different experimental conditions for hydrogen generation from different feedstock by CLR is discussed. Furthermore, the recent research conducted on the sorption-enhanced reforming process is reviewed and the performance of the various type of CO2 sorbents such as CaO,</w:t>
      </w:r>
    </w:p>
    <w:p>
      <w:pPr/>
      <w:r>
        <w:rPr>
          <w:b/>
        </w:rPr>
        <w:t>POSSIBLE 2023:</w:t>
      </w:r>
      <w:r>
        <w:t xml:space="preserve"> Plastic Waste Utilization via Chemical Recycling: Approaches, Limitations, and the Challenges Ahead — https://doi.org/10.1002/cite.202300042</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Abstract Chemical recycling offers the opportunity to foster the transition towards a circular economy for plastics as a complementary strategy for mechanical recycling. For the implementation of chemical recycling technologies, there are still significant challenges ahead that – besides the definition of binding legal frameworks – need for intensified research: knowledge‐based methods for both the identification of suitable process technologies considering decentralized waste conditions and the design of conversion steps and downstream processing are strongly needed for process development and process evaluation.</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2022:</w:t>
      </w:r>
      <w:r>
        <w:t xml:space="preserve"> Analysis of Waste Minimization Challenges to European Food Production Enterprises — https://doi.org/10.28991/esj-2022-06-03-08</w:t>
      </w:r>
    </w:p>
    <w:p>
      <w:pPr/>
      <w:r>
        <w:rPr>
          <w:b/>
        </w:rPr>
        <w:t>Shared claim-specific concepts:</w:t>
      </w:r>
      <w:r>
        <w:t xml:space="preserve"> studied, challenges, industry, qualitative; EU scope visible. This is a provisional connection, not an outcome finding.</w:t>
      </w:r>
    </w:p>
    <w:p>
      <w:pPr>
        <w:pStyle w:val="SourceNote"/>
      </w:pPr>
      <w:r>
        <w:rPr>
          <w:b/>
        </w:rPr>
        <w:t>Available abstract (not full text):</w:t>
      </w:r>
      <w:r>
        <w:t xml:space="preserve"> Economic growth increases the pressure on environmental issues, thus highlighting the importance of waste minimization processes. The waste management approaches in most European countries have so far been relatively little studied and compared at the micro level. The main objective of the current research is to analyze the challenges of waste minimization in European food industry enterprises and identify good practices in the selected countries. The research used a mixed-method methodology, combining both qualitative and quantitative methods, thus providing an in-depth insight into food enterprises’ efforts to reduce their production waste and use their resources more efficiently. The main data collection methods used for the study were secondary data research, discourse analysis, case studies, and focus group interviews. The analysis of the food waste management applications in the European countries’ food sub-sectors leads to the conclusion that since the national initiatives and success factors vary between the countries, it is important to invent such national food waste management systems that are economically justified and technically available for all enterprises regardless of their food waste production volumes. It is also necessary to raise awareness of the strategies that food industry employers, employees, and consumers can use to reduce their waste and thus promot</w:t>
      </w:r>
    </w:p>
    <w:p>
      <w:pPr/>
      <w:r>
        <w:rPr>
          <w:b/>
        </w:rPr>
        <w:t>POSSIBLE 2022:</w:t>
      </w:r>
      <w:r>
        <w:t xml:space="preserve"> Challenges and opportunities of Solar thermal energy towards a sustainable chemical industry — https://doi.org/10.1016/j.compchemeng.2022.107926</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The most abundant energy on Earth is solar and it is a versatile resource that is to be used to improve the sustainability of the chemical and process industry. Two main pillars support these industries, the raw materials and energy. Energy in the chemical industry is to be provided in the form of utilities such as steam, thermal energy and power. All of them can be provided by transforming solar thermal energy. This work presents the perspectives on the process integration of solar thermal plants and/or solar thermal energy within the chemical industry, describing the state of the art and the technology readiness level of units and facilities as well as the challenges and opportunities that the integration of solar thermal energy in the chemical industry generate for the process system engineering community, aiming at reaching the goals of the agenda 2030.</w:t>
      </w:r>
    </w:p>
    <w:p>
      <w:pPr/>
      <w:r>
        <w:rPr>
          <w:b/>
        </w:rPr>
        <w:t>POSSIBLE 2022:</w:t>
      </w:r>
      <w:r>
        <w:t xml:space="preserve"> Opportunities and challenges for harvest weed seed control in European cropping systems — https://doi.org/10.1016/j.eja.2022.126639</w:t>
      </w:r>
    </w:p>
    <w:p>
      <w:pPr/>
      <w:r>
        <w:rPr>
          <w:b/>
        </w:rPr>
        <w:t>Shared claim-specific concepts:</w:t>
      </w:r>
      <w:r>
        <w:t xml:space="preserve"> challenges, until, based; EU scope visible. This is a provisional connection, not an outcome finding.</w:t>
      </w:r>
    </w:p>
    <w:p>
      <w:pPr>
        <w:pStyle w:val="SourceNote"/>
      </w:pPr>
      <w:r>
        <w:rPr>
          <w:b/>
        </w:rPr>
        <w:t>Available abstract (not full text):</w:t>
      </w:r>
      <w:r>
        <w:t xml:space="preserve"> The rapid increase of herbicide resistance in some of the most problematic annual weeds, and potential negative impacts of herbicides on human health and the environment have led growers to look for alternative non-chemical weed control. Harvest weed seed control (HWSC) is a non-chemical weed control tactic based on reduction of seed return of primarily annual weed species to the soil seed bank that has been successfully adopted by farmers in Australia. The strategy is to collect and/or destroy the weed seeds in the chaff material during harvest using chaff carts, bale direct system, integrated impact mills, windrow burning, chaff tramlining and chaff lining or other methods of targeting the chaff material containing the weed seeds. Two biological characteristics are exploited with successful HWSC: the level of weed seed retention at crop harvest above crop canopy height and coincidence of weed and crop maturity. Initial research efforts in Europe have found that there are several candidates for HWSC among weed species with a high importance in European cropping systems. The highest potential has been found for weeds such as Galium aparine, Lolium rigidum and Silene noctiflora . However, there are several challenges for the adoption of these systems under European conditions compared to e.g., Australia. The challenges include that crop and weed maturity are not concomitant whic</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pStyle w:val="Heading2"/>
      </w:pPr>
      <w:r>
        <w:t>977.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2018:</w:t>
      </w:r>
      <w:r>
        <w:t xml:space="preserve"> “Japanese Ants (Tenebrio Molitor) Stabilize Blood Sugar Levels For Diabetics”: The Current Issue OF Herbal Medicine In Indonesia" — https://doi.org/10.29082/ijnms/2018/vol2.iss02.141</w:t>
      </w:r>
    </w:p>
    <w:p>
      <w:pPr/>
      <w:r>
        <w:rPr>
          <w:b/>
        </w:rPr>
        <w:t>Shared claim-specific concepts:</w:t>
      </w:r>
      <w:r>
        <w:t xml:space="preserve"> want, stabilize, levels, all; EU scope not established. This is a provisional connection, not an outcome finding.</w:t>
      </w:r>
    </w:p>
    <w:p>
      <w:pPr>
        <w:pStyle w:val="SourceNote"/>
      </w:pPr>
      <w:r>
        <w:rPr>
          <w:b/>
        </w:rPr>
        <w:t>Available abstract (not full text):</w:t>
      </w:r>
      <w:r>
        <w:t xml:space="preserve"> There are still many of our people who have never heard or even seen the shape of the Japanese ants, so sometimes people consume Japanese ants with different doses between people with each other and even some who consume Japanese ants are not appropriate doses because they want to get well soon. The purpose of research to know the relationship between consumption patterns of Japanese ants and blood sugar levels of people with diabetes mellitus. The design of this study is correlational analytic with crossectional approach. Variables of this research there are two that is the pattern of consumption of Japanese ants as an independent variable and blood sugar levels as the dependent variable. The population of this study was all patients with diabetes Mellitus who had suffered &gt; 5 years who consumed Japanese ants in Grinting Village Karangjeruk Village Jatirejo Subdistrict Mojokerto regency as many as 10 respondents. in the sampling of researchers using total sampling technique. Data collection with an observation sheet of Japanese ant consumption and blood sugar level. The result of the research showed that most of the respondents consume Japanese ants regularly as much as 6 respondents (60%) and most respondents have blood sugar level in the normal category that is between 100-125 mg/dl as many as 6 respondents (60%). Consumption Japanese ants can routinely lower blood sugar lev</w:t>
      </w:r>
    </w:p>
    <w:p>
      <w:pPr/>
      <w:r>
        <w:rPr>
          <w:b/>
        </w:rPr>
        <w:t>POSSIBLE 2018:</w:t>
      </w:r>
      <w:r>
        <w:t xml:space="preserve"> A Natural Deep Eutectic Solvent Formulated to Stabilize β-Lactam Antibiotics — https://doi.org/10.1038/s41598-018-33148-w</w:t>
      </w:r>
    </w:p>
    <w:p>
      <w:pPr/>
      <w:r>
        <w:rPr>
          <w:b/>
        </w:rPr>
        <w:t>Shared claim-specific concepts:</w:t>
      </w:r>
      <w:r>
        <w:t xml:space="preserve"> stabilize, levels, forms; EU scope not established. This is a provisional connection, not an outcome finding.</w:t>
      </w:r>
    </w:p>
    <w:p>
      <w:pPr>
        <w:pStyle w:val="SourceNote"/>
      </w:pPr>
      <w:r>
        <w:rPr>
          <w:b/>
        </w:rPr>
        <w:t>Available abstract (not full text):</w:t>
      </w:r>
      <w:r>
        <w:t xml:space="preserve"> β-lactam antibiotics, such as penicillin share a very unstable chemical structure. In water-based solutions, such as those used for clinical applications, the β-lactam ring is readily opened due to a nucleophilic or electrophilic attack, leading to the loss of antimicrobial activity. Since the achievement and maintenance of optimum therapeutic levels of β-lactam antibiotics is critical for the resolution of many infectious clinical situations, and to avoid antibiotic resistance generation, the design of new non-aqueous dosage forms is urgent. Recently, natural deep eutectic solvents (NADES) have emerged as alternative non-toxic and non-aqueous solvents for different biomedical applications. In this work, we formulated and characterized a NADES composed by betaine and urea (BU). Using this solvent, we evaluated the stability of clavulanic acid (CLV) and imipenem (IMP) and characterized their antimicrobial activities calculating the minimal inhibitory concentration. Characterization of BU solvent by infrared spectroscopy (IR) and nuclear magnetic resonance spectroscopy (NMR) indicated that the obtained solvent has a microstructure mainly based on hydrogen bonding interactions and water addition strongly affects its dynamic. The stability of β-lactam antibiotic IMP and CLV using this solvent was increased by 7 fold and 2.5 fold respectively compared to water when analysed seven da</w:t>
      </w:r>
    </w:p>
    <w:p>
      <w:pPr/>
      <w:r>
        <w:rPr>
          <w:b/>
        </w:rPr>
        <w:t>POSSIBLE 2017:</w:t>
      </w:r>
      <w:r>
        <w:t xml:space="preserve"> Construction and Stabilization of Coastal Foredunes With Vegetation: Padre Island, Texas — https://doi.org/10.5962/bhl.title.46474</w:t>
      </w:r>
    </w:p>
    <w:p>
      <w:pPr/>
      <w:r>
        <w:rPr>
          <w:b/>
        </w:rPr>
        <w:t>Shared claim-specific concepts:</w:t>
      </w:r>
      <w:r>
        <w:t xml:space="preserve"> stabilize, all; EU scope not established. This is a provisional connection, not an outcome finding.</w:t>
      </w:r>
    </w:p>
    <w:p>
      <w:pPr>
        <w:pStyle w:val="SourceNote"/>
      </w:pPr>
      <w:r>
        <w:rPr>
          <w:b/>
        </w:rPr>
        <w:t>Available abstract (not full text):</w:t>
      </w:r>
      <w:r>
        <w:t xml:space="preserve"> Abstract : Experiments were conducted from 1969 to 1974 on Padre Island, Texas, to establish technical specifications and methodologies for the use of beach grasses to construct and stabilize foredunes as storm surge barriers along the gulf coast. Conclusions are based on 2.5 linear miles of experimental plots, consisting of beach plantings and fence-built dunes. Additional experiments on the effects of nutrients and salinity on beach grass growth were conducted in a greenhouse. Bitter panicum and sea oats were the best adapted species for beach plantings. The most successful method of establishing a vegetated dune ridge was transplanting these grasses on the backshore, where they trapped, grew through, and stabilized accumulating sand. Barren dunes built with sand fencing were stabilized with grasses, but the process was more difficult and costly. Most beach plantings were made with a tobacco transplanter, with single culms spaced on 2-foot centers and planted or seated 8 inches deep. A 50-foot-wide planting trapped all available blowing sand. Time-costs for establishing a 1-mile-long, 50-foot-wide beach planting (2-foot centers) of sea oats and bitter panicum were 500 and 287 man-hours, respectively. Both grasses were successfully transplanted year round, but winter through spring was the most favorable period. Transplant survival was influenced by many factors, but mostly by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2015:</w:t>
      </w:r>
      <w:r>
        <w:t xml:space="preserve"> Dietary Vitamin D and Its Metabolites Non-Genomically Stabilize the Endothelium — https://doi.org/10.1371/journal.pone.0140370</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Vitamin D is a known modulator of inflammation. Native dietary vitamin D3 is thought to be bio-inactive, and beneficial vitamin D3 effects are thought to be largely mediated by the metabolite 1,25(OH)2D3. Reduced serum levels of the most commonly measured precursor metabolite, 25(OH)D3, is linked to an increased risk of multiple inflammatory diseases, including: cardiovascular disease, arthritis, multiple sclerosis, and sepsis. Common to all of these diseases is the disruption of endothelial stability and an enhancement of vascular leak. We previously performed an unbiased chemical suppressor screen on a genetic model of vascular instability, and identified cholecalciferol (D3, dietary Vitamin D3) as a factor that had profound and immediate stabilizing and therapeutic effects in that model. In this manuscript we show that the presumed inactive sterol, D3, is actually a potent and general mediator of endothelial stability at physiologically relevant concentrations. We further demonstrate that this phenomenon is apparent in vitamin D3 metabolites 25(OH)D3 and 1,25(OH)2D3, and that the effects are independent of the canonical transcription-mediated vitamin D pathway. Our data suggests the presence of an alternative signaling modality by which D3 acts directly on endothelial cells to prevent vascular leak. The finding that D3 and its metabolites modulate endothelial stability may h</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978.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2026:</w:t>
      </w:r>
      <w:r>
        <w:t xml:space="preserve"> The making of a funding call text: How funding professionals craft interdisciplinary research opportunities for Social Sciences and Humanities — https://doi.org/10.1016/j.respol.2026.105418</w:t>
      </w:r>
    </w:p>
    <w:p>
      <w:pPr/>
      <w:r>
        <w:rPr>
          <w:b/>
        </w:rPr>
        <w:t>Shared claim-specific concepts:</w:t>
      </w:r>
      <w:r>
        <w:t xml:space="preserve"> funded, national, within, project, aim; EU scope visible. This is a provisional connection, not an outcome finding.</w:t>
      </w:r>
    </w:p>
    <w:p>
      <w:pPr>
        <w:pStyle w:val="SourceNote"/>
      </w:pPr>
      <w:r>
        <w:rPr>
          <w:b/>
        </w:rPr>
        <w:t>Available abstract (not full text):</w:t>
      </w:r>
      <w:r>
        <w:t xml:space="preserve"> Whilst it is well-known that research funding significantly shapes research landscapes, there is too little known about the processes that sit behind the funding opportunities — and specifically the publicly-shared funding call texts. The aim of this paper is therefore to investigate the processes experienced by EU funding professionals in authoring and operationalising funding call texts, to surface the different ways in which interdisciplinarity is understood. In seeing these texts as artefacts of situated practices, we conducted a case study on the European Union (EU) Cluster 5 Work Programmes (on climate, energy, mobility) as part of Horizon Europe, including its predecessor calls in Horizon2020. From our analysis of 15 semi-structured interviews, we identified 10 roles that funding professionals adopt, across three stages of a funding call text lifetime: within the Call Creation stage (led by European Commission Policy Officers), there was Steering, Feedback Integration, Quality Control, and Disruption; the Call Dissemination stage (led by EU National Contact Points) involved Awareness-raising, Matchmaking, and Gap-spotting; and the Proposal Selection stage (led by Commission Project Officers overseeing evaluations) involved Expertise Cultivation, Consensus-building, and being a Critical Friend. This study provides empirically-driven insights into the dynamic social proces</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2025:</w:t>
      </w:r>
      <w:r>
        <w:t xml:space="preserve"> Geological risk assessment on rock cultural monuments on the territory of the Eastern Rhodopes, Bulgaria: National Science Fund project — https://doi.org/10.52321/igh.39.1.27</w:t>
      </w:r>
    </w:p>
    <w:p>
      <w:pPr/>
      <w:r>
        <w:rPr>
          <w:b/>
        </w:rPr>
        <w:t>Shared claim-specific concepts:</w:t>
      </w:r>
      <w:r>
        <w:t xml:space="preserve"> national, science, project; EU scope visible. This is a provisional connection, not an outcome finding.</w:t>
      </w:r>
    </w:p>
    <w:p>
      <w:pPr>
        <w:pStyle w:val="SourceNote"/>
      </w:pPr>
      <w:r>
        <w:rPr>
          <w:b/>
        </w:rPr>
        <w:t>Available abstract (not full text):</w:t>
      </w:r>
      <w:r>
        <w:t xml:space="preserve"> With this study, we are launching a project "Geological risk assessment on rock cultural monuments on the territory of the Eastern Rhodopes" supported by the Bulgarian National Science Fund (2025–2027). The project aims to develop a methodology for assessing the geological risks threatening the rock cultural monuments in the Eastern Rhodopes, Bulgaria. The region was chosen due to its rich archaeological and historical heritage, featuring monuments from various eras, and the need to protect them from destructive geological processes. The research team's task is to further develop the heuristic risk assessment methods applied in Europe and provide a more detailed assessment of the risk and its economic aspects.</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pStyle w:val="Heading2"/>
      </w:pPr>
      <w:r>
        <w:t>979.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2026:</w:t>
      </w:r>
      <w:r>
        <w:t xml:space="preserve"> Financing the European Union's Progressive Industrial Policies — https://doi.org/10.4324/9781003745563-13</w:t>
      </w:r>
    </w:p>
    <w:p>
      <w:pPr/>
      <w:r>
        <w:rPr>
          <w:b/>
        </w:rPr>
        <w:t>Shared claim-specific concepts:</w:t>
      </w:r>
      <w:r>
        <w:t xml:space="preserve"> include, decarbonisation; EU scope visible. This is a provisional connection, not an outcome finding.</w:t>
      </w:r>
    </w:p>
    <w:p>
      <w:pPr>
        <w:pStyle w:val="SourceNote"/>
      </w:pPr>
      <w:r>
        <w:rPr>
          <w:b/>
        </w:rPr>
        <w:t>Available abstract (not full text):</w:t>
      </w:r>
      <w:r>
        <w:t xml:space="preserve"> As the EU's annual green investment gap amounts to approximately 2.3–3.2% of gross domestic product (GDP), this chapter discusses financing alternatives for the expanded EU-level industrial policies addressed in this volume. Proposed options to increase the EU budget from 2028 onwards include enhanced EU-level taxation, particularly on financial transactions, wealth, and capital gains; permanent issuance of EU bonds; the creation of a permanent EU investment fund; and the continued leveraging of development banks to scale up credit allocation and public equity funding. Many of these financing options are rather mutually supportive than exclusive on a technical level. Amid fiscal restraint (financial) derisking, intended to “escort” private finance to green but unprofitable investments, has become central to European policymakers' strategy for accelerating the green transition. However, such derisking measures have largely failed to generate the level of investment required to meet the EU's decarbonisation goals. The chapter therefore elaborates on the concept of “progressive derisking”, i.e., designing derisking mechanisms to align with progressive approaches to European industrial policy. Targeting European public goods is essential for enhancing the political feasibility of increased supranational public funding.</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2025:</w:t>
      </w:r>
      <w:r>
        <w:t xml:space="preserve"> European Climate Policy and the Global Context — https://doi.org/10.1007/978-3-031-84483-6_4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2024:</w:t>
      </w:r>
      <w:r>
        <w:t xml:space="preserve"> European Climate Policy and the Global Context — https://doi.org/10.1007/978-1-4614-6431-0_4-4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Clean Industry in China: A Techno-Economic Comparison of Electrified Heat Technologies, Barriers, and Policy Options — https://doi.org/10.20357/b70894</w:t>
      </w:r>
    </w:p>
    <w:p>
      <w:pPr/>
      <w:r>
        <w:rPr>
          <w:b/>
        </w:rPr>
        <w:t>Shared claim-specific concepts:</w:t>
      </w:r>
      <w:r>
        <w:t xml:space="preserve"> option, clean, there, emissions, out; EU scope not established. This is a provisional connection, not an outcome finding.</w:t>
      </w:r>
    </w:p>
    <w:p>
      <w:pPr>
        <w:pStyle w:val="SourceNote"/>
      </w:pPr>
      <w:r>
        <w:rPr>
          <w:b/>
        </w:rPr>
        <w:t>Available abstract (not full text):</w:t>
      </w:r>
      <w:r>
        <w:t xml:space="preserve"> China’s manufacturing sector generates 61% of the country’s CO2 emissions, nearly three-quarters of which is related to industrial process heating. To meet China’s climate targets and attain a zero-carbon industrial sector, decarbonizing these industrial heating processes is a necessity. If China’s electricity grid is similarly decarbonized, direct electrification is the most practical means of supplying this heat efficiently at the required scale. In addition to reducing greenhouse gas emissions, industrial electrification would help reduce conventional pollution that was responsible for 1.85 million premature deaths in China in 2019, and it would improve China’s energy security, as the country imported 85% of its petroleum products and crude oil as well as 46% of its natural gas in 2021. Direct electrification would also help Chinese firms avoid volatile fossil fuel prices and future carbon pricing costs, and ensure competitiveness when selling products to environmentally-conscious buyers and governments that may use carbon border adjustment mechanisms or similar efforts to encourage the procurement of cleaner materials. Two electrified technologies stand out as means for China to decarbonize its industrial process heating: industrial heat pumps and thermal batteries. Heat pumps can be the most efficient and cost-effective method to supply clean, low-temperature heat for indu</w:t>
      </w:r>
    </w:p>
    <w:p>
      <w:pPr/>
      <w:r>
        <w:rPr>
          <w:b/>
        </w:rPr>
        <w:t>POSSIBLE 2024:</w:t>
      </w:r>
      <w:r>
        <w:t xml:space="preserve"> Climate Policy Reform Options in 2025 — https://doi.org/10.3386/w32168</w:t>
      </w:r>
    </w:p>
    <w:p>
      <w:pPr/>
      <w:r>
        <w:rPr>
          <w:b/>
        </w:rPr>
        <w:t>Shared claim-specific concepts:</w:t>
      </w:r>
      <w:r>
        <w:t xml:space="preserve"> include, clean, emissions; EU scope not established. This is a provisional connection, not an outcome finding.</w:t>
      </w:r>
    </w:p>
    <w:p>
      <w:pPr>
        <w:pStyle w:val="SourceNote"/>
      </w:pPr>
      <w:r>
        <w:rPr>
          <w:b/>
        </w:rPr>
        <w:t>Available abstract (not full text):</w:t>
      </w:r>
      <w:r>
        <w:t xml:space="preserve"> With the expiration of many tax cuts and unmet climate targets, 2025 could be a crucial year for climate policy in the United States.Using an integrated model of energy supply and demand, this paper aims to assess climate policies that the U.S. federal government may consider in 2025 and to evaluate emissions reductions, abatement costs, fiscal impacts, and household energy expenditures across a range of policy scenarios.The model results show several key findings.First, the emissions reductions of the Inflation Reduction Act are significantly augmented under scenarios that add a modest carbon fee or, to a lesser extent, that implement a clean electricity standard in the power sector.Second, net fiscal costs can be substantially reduced in scenarios that include a carbon fee, especially if fossil fuel exports are taxed.Third, expanding the IRA tax credits yields modest additional emissions reductions with higher fiscal costs.Finally, although none of the policy combinations across these scenarios achieve the U.S. target of a 50-52% economy-wide emissions reduction by 2030 from 2005 levels, the carbon fee and clean electricity standard scenarios achieve these levels between 2030 and 2035.</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pStyle w:val="Heading2"/>
      </w:pPr>
      <w:r>
        <w:t>980.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2024:</w:t>
      </w:r>
      <w:r>
        <w:t xml:space="preserve"> Helping the climate by replacing liquefied natural gas with liquefied hydrogen or ammonia? — https://doi.org/10.1088/1748-9326/ad376f</w:t>
      </w:r>
    </w:p>
    <w:p>
      <w:pPr/>
      <w:r>
        <w:rPr>
          <w:b/>
        </w:rPr>
        <w:t>Shared claim-specific concepts:</w:t>
      </w:r>
      <w:r>
        <w:t xml:space="preserve"> gas, about, countries; EU scope visible. This is a provisional connection, not an outcome finding.</w:t>
      </w:r>
    </w:p>
    <w:p>
      <w:pPr>
        <w:pStyle w:val="SourceNote"/>
      </w:pPr>
      <w:r>
        <w:rPr>
          <w:b/>
        </w:rPr>
        <w:t>Available abstract (not full text):</w:t>
      </w:r>
      <w:r>
        <w:t xml:space="preserve"> Abstract The war in Ukraine caused Europe to more than double its imports of liquefied natural gas (LNG) in only one year. In addition, imported LNG remains a crucial source of energy for resource-poor countries, such as Japan, where LNG imports satisfy about a quarter of the country’s primary energy demand. However, an increasing number of countries are formulating stringent decarbonization plans. Liquefied hydrogen and liquefied ammonia coupled with carbon capture and storage (LH2-CCS, LNH3-CCS) are emerging as the front runners in the search for low-carbon alternatives to LNG. Yet, little is currently known about the full environmental profile of LH2-CCS and LNH3-CCS because several characteristics of the two alternatives have only been analyzed in isolation in previous work. Here we show that the potential of these fuels to reduce greenhouse gas (GHG) emissions throughout the supply chain is highly uncertain. Our best estimate is that LH2-CCS and LNH3-CCS can reduce GHG emissions by 25%–61% relative to LNG assuming a 100 year global warming potential. However, directly coupling LNG with CCS would lead to substantial GHG reductions on the order of 74%. Further, under certain conditions, emissions from LH2-CCS and LNH3-CCS could exceed those of LNG, by up to 44%. These results question the suitability of LH2-CCS and LNH3-CCS for stringent decarbonization purposes.</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current, about, especially;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Estimating hepatitis B virus prevalence among key population groups for European Union and European Economic Area countries and the United Kingdom: a modelling study — https://doi.org/10.1186/s12879-023-08433-3</w:t>
      </w:r>
    </w:p>
    <w:p>
      <w:pPr/>
      <w:r>
        <w:rPr>
          <w:b/>
        </w:rPr>
        <w:t>Shared claim-specific concepts:</w:t>
      </w:r>
      <w:r>
        <w:t xml:space="preserve"> estimates, predict, there, eastern, countries; EU scope visible. This is a provisional connection, not an outcome finding.</w:t>
      </w:r>
    </w:p>
    <w:p>
      <w:pPr>
        <w:pStyle w:val="SourceNote"/>
      </w:pPr>
      <w:r>
        <w:rPr>
          <w:b/>
        </w:rPr>
        <w:t>Available abstract (not full text):</w:t>
      </w:r>
      <w:r>
        <w:t xml:space="preserve"> BACKGROUND: Hepatitis B virus (HBV) epidemiology in Europe differs by region and population risk group, and data are often incomplete. We estimated chronic HBV prevalence as measured by surface antigen (HBsAg) among general and key population groups for each country in the European Union, European Economic Area and the United Kingdom (EU/EEA/UK), including where data are currently unavailable. METHODS: We combined data from a 2018 systematic review (updated in 2021), data gathered directly by the European Centre for Disease Control (ECDC) from EU/EEA countries and the UK and further country-level data. We included data on adults from the general population, pregnant women, first time blood donors (FTBD), men who have sex with men (MSM), prisoners, people who inject drugs (PWID), and migrants from 2001 to 2021, with three exceptions made for pre-2001 estimates. Finite Mixture Models (FMM) and Beta regression were used to predict country and population group HBsAg prevalence. A separate multiplier method was used to estimate HBsAg prevalence among the migrant populations within each country, due to biases in the data available. RESULTS: There were 595 included studies from 31 countries (N = 41,955,969 people): 66 were among the general population (mean prevalence ([Formula: see text]) 1.3% [range: 0.0-7.6%]), 52 among pregnant women ([Formula: see text]1.1% [0.1-5.3%]), 315 among</w:t>
      </w:r>
    </w:p>
    <w:p>
      <w:pPr/>
      <w:r>
        <w:rPr>
          <w:b/>
        </w:rPr>
        <w:t>POSSIBLE 2023:</w:t>
      </w:r>
      <w:r>
        <w:t xml:space="preserve"> Emissions intensity: do we need a CBAM for oil and gas imports? — https://doi.org/10.1093/jwelb/jwad036</w:t>
      </w:r>
    </w:p>
    <w:p>
      <w:pPr/>
      <w:r>
        <w:rPr>
          <w:b/>
        </w:rPr>
        <w:t>Shared claim-specific concepts:</w:t>
      </w:r>
      <w:r>
        <w:t xml:space="preserve"> need, gas, countries; EU scope not established. This is a provisional connection, not an outcome finding.</w:t>
      </w:r>
    </w:p>
    <w:p>
      <w:pPr>
        <w:pStyle w:val="SourceNote"/>
      </w:pPr>
      <w:r>
        <w:rPr>
          <w:b/>
        </w:rPr>
        <w:t>Available abstract (not full text):</w:t>
      </w:r>
      <w:r>
        <w:t xml:space="preserve"> Abstract The UK has seen significant recent attention being paid to the issue of the ‘emissions intensity’ of oil and gas operations, with the oil and gas industry and the Government using this as a climate justification for domestic North Sea production over imported oil and gas. This commentary explores these arguments in the context of the Rosebank decision and examines why emission intensity matters for lawyers. One key reason identified involves trade: without a carbon border adjustment mechanism (tax) or equivalent on imports of oil and gas from countries with poor records on electrification, flaring and vented emissions, domestic oil and gas production faces unfair climate competition.</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current, predict, there;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pStyle w:val="Heading2"/>
      </w:pPr>
      <w:r>
        <w:t>981.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2026:</w:t>
      </w:r>
      <w:r>
        <w:t xml:space="preserve"> Application of a Systematic Approach for Monitoring Between Foresight and PEP in the C2CBridge Project — https://doi.org/10.46254/ap07.20260187</w:t>
      </w:r>
    </w:p>
    <w:p>
      <w:pPr/>
      <w:r>
        <w:rPr>
          <w:b/>
        </w:rPr>
        <w:t>Shared claim-specific concepts:</w:t>
      </w:r>
      <w:r>
        <w:t xml:space="preserve"> foresight, process, implemented; EU scope not established. This is a provisional connection, not an outcome finding.</w:t>
      </w:r>
    </w:p>
    <w:p>
      <w:pPr>
        <w:pStyle w:val="SourceNote"/>
      </w:pPr>
      <w:r>
        <w:rPr>
          <w:b/>
        </w:rPr>
        <w:t>Available abstract (not full text):</w:t>
      </w:r>
      <w:r>
        <w:t xml:space="preserve"> In product engineering processes, foresight analyses are typically conducted only at early project stages, while their underlying assumptions remain largely unchallenged as development progresses. This can lead to late design changes and increased correction costs when environmental conditions, technologies, or market requirements evolve. To address this gap, this paper applies a systematic approach for continuous monitoring and validation of product properties throughout the product engineering process. The approach integrates strategic foresight, environmental scanning, and indicator-based monitoring into a continuous feedback loop that enables early identification of relevant deviations from expected developments. The approach is demonstrated using a case study from the project Country to City Bridge (C2CBridge), a research initiative focused on developing user-centered, intermodal mobility solutions. The application is deliberately limited to the vehicle concept to ensure methodological clarity. The results show that systematically linking trends, prognoses, indicators, and product characteristics allows the identification of sensitive product properties and key indicators that are critical for long-term product robustness. Furthermore, the case study reveals methodological refinement needs, particularly regarding evaluation schemes, normalization of assessment scales, and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across, regional, tools;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982.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2026:</w:t>
      </w:r>
      <w:r>
        <w:t xml:space="preserve"> Energy policy and economic security: a comparison of Europe and Asia — https://doi.org/10.33223/epj/207199</w:t>
      </w:r>
    </w:p>
    <w:p>
      <w:pPr/>
      <w:r>
        <w:rPr>
          <w:b/>
        </w:rPr>
        <w:t>Shared claim-specific concepts:</w:t>
      </w:r>
      <w:r>
        <w:t xml:space="preserve"> approaches, security, long-term, environment;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Emerging research security approaches: organisational arrangements at three European universities — https://doi.org/10.1080/23322969.2026.2751120</w:t>
      </w:r>
    </w:p>
    <w:p>
      <w:pPr/>
      <w:r>
        <w:rPr>
          <w:b/>
        </w:rPr>
        <w:t>Shared claim-specific concepts:</w:t>
      </w:r>
      <w:r>
        <w:t xml:space="preserve"> approaches, security, further, framework; EU scope visible. This is a provisional connection, not an outcome finding.</w:t>
      </w:r>
    </w:p>
    <w:p>
      <w:pPr>
        <w:pStyle w:val="SourceNote"/>
      </w:pPr>
      <w:r>
        <w:rPr>
          <w:b/>
        </w:rPr>
        <w:t>Available abstract (not full text):</w:t>
      </w:r>
      <w:r>
        <w:t xml:space="preserve"> European and national policymakers have, in recent years, introduced new expectations regarding the safeguarding of research and innovation. However, the extant literature has paid limited attention to how universities interpret and operationalise these emerging research security agendas. This paper examines how research security is operationalised within universities through the interaction of policy framing, organisational structures, and local governance practices. Drawing on a comparative case study of three European universities, the KTH Royal Institute of Technology (Sweden), the University of Barcelona (Spain), and the University of Liège (Belgium), the study investigates how research security policies are translated into organisational arrangements and everyday practices. The findings demonstrate that research security does not develop through a single governance model but is shaped by institution-specific interpretations of broader policy narratives. While common European concerns have encouraged convergence around issues such as risk management, awareness-raising, due diligence, and compliance, significant differences remain in how universities define challenges, assign responsibilities, and organise responses. The analysis further shows that export control compliance frequently serves as an entry point for broader research security initiatives. It concludes that rese</w:t>
      </w:r>
    </w:p>
    <w:p>
      <w:pPr/>
      <w:r>
        <w:rPr>
          <w:b/>
        </w:rPr>
        <w:t>POSSIBLE 2026:</w:t>
      </w:r>
      <w:r>
        <w:t xml:space="preserve"> CRIMEA, UKRAINE, IRAN. THE EUROPEAN DIMENSION OF AVIATION SECURITY — https://doi.org/10.61846/cuji-ssh.2026.3.09</w:t>
      </w:r>
    </w:p>
    <w:p>
      <w:pPr/>
      <w:r>
        <w:rPr>
          <w:b/>
        </w:rPr>
        <w:t>Shared claim-specific concepts:</w:t>
      </w:r>
      <w:r>
        <w:t xml:space="preserve"> planning, security, support, they, long-term; EU scope visible. This is a provisional connection, not an outcome finding.</w:t>
      </w:r>
    </w:p>
    <w:p>
      <w:pPr>
        <w:pStyle w:val="SourceNote"/>
      </w:pPr>
      <w:r>
        <w:rPr>
          <w:b/>
        </w:rPr>
        <w:t>Available abstract (not full text):</w:t>
      </w:r>
      <w:r>
        <w:t xml:space="preserve"> The need to make progress, improve security policies, and enhance global aviation security has been a priority for this sector, spanning industry, economic development, mobility, and scientific research. The constant evolution of public policies, involving the assessment of existing ones and the emergence of a need for new, modern policies capable of responding to changing inputs, has prompted nations and international organisations to collaborate with industry specialists on their development. The growing interdependence among nations and the technical nature of certain fields have necessitated the identification and establishment of coordinated, harmonized actions at both global and regional levels. The states comprising these intergovernmental international organizations have played and continue to play a significant role, both in drafting constituent instruments and in adopting documents issued within the organization; such documents become operational only after ratification by a specific proportion of member states. By accepting and ratifying the constituent instruments of intergovernmental international organizations, member states enable these organizations to "act" as legal entities under domestic law. Addressing this subject is relevant for highlighting the influence civil aviation currently has on diplomatic and military affairs, given its potential to play a n very </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Queering European Union Foreign and Security Policy: Invisibility, Heteronormativity and Binaries in the EU's Approach to Women, Peace and Security — https://doi.org/10.1111/jcms.13750</w:t>
      </w:r>
    </w:p>
    <w:p>
      <w:pPr/>
      <w:r>
        <w:rPr>
          <w:b/>
        </w:rPr>
        <w:t>Shared claim-specific concepts:</w:t>
      </w:r>
      <w:r>
        <w:t xml:space="preserve"> focus, security, framework; EU scope visible. This is a provisional connection, not an outcome finding.</w:t>
      </w:r>
    </w:p>
    <w:p>
      <w:pPr>
        <w:pStyle w:val="SourceNote"/>
      </w:pPr>
      <w:r>
        <w:rPr>
          <w:b/>
        </w:rPr>
        <w:t>Available abstract (not full text):</w:t>
      </w:r>
      <w:r>
        <w:t xml:space="preserve"> Abstract Queer scholarship highlights and analyses how international politics are produced through sexuality and gender norms. Doing so, queer perspectives question and unpack binaries and the assumptions underlying dominant concepts in international politics such as sovereignty. Although there is some vibrant research on the European Union (EU) and the promotion of lesbian, gay, bisexual, transgender, queer/questioning, intersex and asexual (LGBTQIA+) human and citizenship rights, a systematic framework that adopts a queer perspective on the EU's role as a global actor and its foreign and security policy is lacking. To start tackling this gap, we study the EU's implementation of the United Nations Women, Peace and Security (WPS) agenda through a queer lens. We suggest that the focus on WPS allows us to open up a broader queer research agenda to study the EU's foreign and security policy by unpacking the dominant invisibilities, heteronormativity and binaries.</w:t>
      </w:r>
    </w:p>
    <w:p>
      <w:pPr/>
      <w:r>
        <w:rPr>
          <w:b/>
        </w:rPr>
        <w:t>POSSIBLE 2025:</w:t>
      </w:r>
      <w:r>
        <w:t xml:space="preserve"> Implementing the systems-based breeding approach: Lessons learned from the European Union LIVESEED project — https://doi.org/10.5304/jafscd.2025.144.004</w:t>
      </w:r>
    </w:p>
    <w:p>
      <w:pPr/>
      <w:r>
        <w:rPr>
          <w:b/>
        </w:rPr>
        <w:t>Shared claim-specific concepts:</w:t>
      </w:r>
      <w:r>
        <w:t xml:space="preserve"> approaches, focus, project, security; EU scope visible. This is a provisional connection, not an outcome finding.</w:t>
      </w:r>
    </w:p>
    <w:p>
      <w:pPr>
        <w:pStyle w:val="SourceNote"/>
      </w:pPr>
      <w:r>
        <w:rPr>
          <w:b/>
        </w:rPr>
        <w:t>Available abstract (not full text):</w:t>
      </w:r>
      <w:r>
        <w:t xml:space="preserve"> Organic breeders must meet many requirements when developing cultivars to satisfy demand for high yield, good quality, resource efficiency and climate robustness, cultural and ethical accepta­bil­ity, and the provision of ecosystem services. Given the current and future climatic, agronomic, eco­nomic, and socio-cultural challenges, resilience can only be efficiently achieved through concerted actions. The concept of systems-based breeding integrates the strengths of different breeding orientations and provides a perspective where breeders can initiate developments toward ecologi­cally and societally resilient crop production that address six sustainability targets, including (1) food security, safety and quality; (2) food and seed sov­ereignty; (3) social justice; (4) agrobiodiversity; (5) ecosystem services; and (6) climate robustness. In this paper we present five supportive pillars for implementing the concept of systems-based breed­ing, based on experiences obtained during the European Union (EU) project LIVESEED from 2017 to 2021, and including results from prior related projects and literature on innovation sys­tems and systems change. The five supportive pil­lars we have identified are (1) increasing social awareness and reflection, (2) developing alternative financing approaches, (3) promoting the develop­ment of appropriate breeding methodologies and methods, (4) apply</w:t>
      </w:r>
    </w:p>
    <w:p>
      <w:pPr>
        <w:pStyle w:val="Heading2"/>
      </w:pPr>
      <w:r>
        <w:t>983.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2026:</w:t>
      </w:r>
      <w:r>
        <w:t xml:space="preserve"> Virome analysis reveals ORF7 sequences of type 2 porcine respiratory and reproductive syndrome virus (PRRSV) for the first time in a rodent host (Microtus pennsylvanicus) — https://doi.org/10.1016/j.onehlt.2026.101345</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The lung virome of meadow vole ( Microtus pennsylvanicus) from six neighbouring locations in New York State, USA was investigated using metagenomics to determine the circulation of potentially zoonotic viruses in a common wild rodent. This study provides the first evidence of the occurrence of Type 2 Porcine Respiratory and Reproductive Syndrome Virus (PRRSV2) in a rodent, or indeed in any species apart from wild and domestic pigs ( Sus scrofa ). PRRSV has the highest economic impact on the pig husbandry industry of any pathogen, but up to now, farm-to-farm transmission of this virus has been assumed to be associated with movement of and contact with infected pigs and fomites. Our results showing the natural occurrence of this virus in potential transmission hosts other than wild or domestic pigs challenge this scenario. Phylogenetic analysis of assembled partial genomes from four of our pooled samples and all other nucleocapsid protein (ORF7) sequences available in Genbank showed that the sequences recovered from meadow voles unambiguously clustered within the PRRSV2 clade together with sequences derived from wild and domestic pigs . Historical research suggests that spillover from voles to domestic pigs may be the most parsimonious explanation for these results; however, we cannot rule out the reverse: that the source of PRRSV2 in these wild voles derives from pigs. From a On</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2025:</w:t>
      </w:r>
      <w:r>
        <w:t xml:space="preserve"> Figure 2 in Bioassay tests reveal for the first time pyrethroid resistance in Aedes mosquitoes from Franceville, southeast Gabon, Central Africa — https://doi.org/10.5281/zenodo.20217709</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Figure 2. Mortality of adult females 24 h after 1-hour exposure to insecticides and pre-exposure to PBO. The red dotted line indicates 90% mortality, and the green one 98% mortality.</w:t>
      </w:r>
    </w:p>
    <w:p>
      <w:pPr/>
      <w:r>
        <w:rPr>
          <w:b/>
        </w:rPr>
        <w:t>POSSIBLE 2025:</w:t>
      </w:r>
      <w:r>
        <w:t xml:space="preserve"> Amplified warming and marine heatwaves in the North Sea under a warming climate and their impacts — https://doi.org/10.5194/os-21-2505-2025</w:t>
      </w:r>
    </w:p>
    <w:p>
      <w:pPr/>
      <w:r>
        <w:rPr>
          <w:b/>
        </w:rPr>
        <w:t>Shared claim-specific concepts:</w:t>
      </w:r>
      <w:r>
        <w:t xml:space="preserve"> impacts, warming, atmospheric; EU scope visible. This is a provisional connection, not an outcome finding.</w:t>
      </w:r>
    </w:p>
    <w:p>
      <w:pPr>
        <w:pStyle w:val="SourceNote"/>
      </w:pPr>
      <w:r>
        <w:rPr>
          <w:b/>
        </w:rPr>
        <w:t>Available abstract (not full text):</w:t>
      </w:r>
      <w:r>
        <w:t xml:space="preserve"> Abstract. The Northeast Atlantic and adjacent regions, such as the North Sea, are among the fastest-warming areas in the world. However, the role of climate change and internal variability on marine heatwaves (MHWs) in this region remains poorly understood. This study aims to quantify the relevant changes in sea surface temperature (SST) and MHWs in the North Sea, as well as to identify the leading patterns of interannual MHW variability over more than four decades (1982–2024). Our results indicate a new regime shift in the annual mean SST in the North Sea since 2013. Therefore, we examine the relationships between MHW trends and long-term SST warming trends to quantify the role of climate change in the intensification of MHWs. We found that the increase in MHWs is related to the significant decadal change in SST over the North Sea, and we have revealed that large-scale climate modes, such as the Atlantic Multidecadal Oscillation and the East Atlantic Pattern, play a crucial role in this decadal change in SST. In particular, the SST trend has doubled in recent years (post-2013) compared to the previous period (1982–2012: pre-2013), leading to more intense and frequent MHWs. The SST and MHW frequencies have significantly increased by 0.38 °C/decade and 1.04 events/decade, respectively, over the entire study period. After removing the long-term SST warming trend before MHW detect</w:t>
      </w:r>
    </w:p>
    <w:p>
      <w:pPr/>
      <w:r>
        <w:rPr>
          <w:b/>
        </w:rPr>
        <w:t>POSSIBLE 2025:</w:t>
      </w:r>
      <w:r>
        <w:t xml:space="preserve"> Exploring Global Warming Impact on the Economy: The Nexus of Global Warming and the Economy in Perspective — https://doi.org/10.22610/jsds.v15i1(s).4383</w:t>
      </w:r>
    </w:p>
    <w:p>
      <w:pPr/>
      <w:r>
        <w:rPr>
          <w:b/>
        </w:rPr>
        <w:t>Shared claim-specific concepts:</w:t>
      </w:r>
      <w:r>
        <w:t xml:space="preserve"> reveal, time, warming, productivity; EU scope not established. This is a provisional connection, not an outcome finding.</w:t>
      </w:r>
    </w:p>
    <w:p>
      <w:pPr>
        <w:pStyle w:val="SourceNote"/>
      </w:pPr>
      <w:r>
        <w:rPr>
          <w:b/>
        </w:rPr>
        <w:t>Available abstract (not full text):</w:t>
      </w:r>
      <w:r>
        <w:t xml:space="preserve"> This study explores global warming’s impact on the economy, recommending solutions to reduce poverty. Its most important implications are for policy economists who present global warming’s effects as impacting intergenerational equity. Grounded in production theory, the specific emphasis of this study is public-goods investment and agricultural productivity’s dependency on nature. A focus on these two areas is what sets this study apart from similar research. After conducting a meta-study of the relevant qualitative information on these areas, my findings reveal that global warming’s effects are always a trade-off between present and future generations’ consumption of resources. Since the global population increases while resources are limited, historical inequalities are likely to persist if concerted interventions are not widely adopted. I argue that if global warming’s effects are economic problems, the over-exploitation of limited resources needs to be addressed directly and that economic solutions without follow-through cannot fix the problem. Ultimately, the study recommends that reducing greenhouse gas (GHG) emissions, despite negative economic outcomes in the short term, will be beneficial over time. As a result, the present generation needs to invest wisely in environmentally sustainable technologies, rather than short-term goods, so that future generations will enjoy </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pStyle w:val="Heading2"/>
      </w:pPr>
      <w:r>
        <w:t>984.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Enhancing Robustness of Federated Learning via Server Learning — https://doi.org/10.48550/arxiv.2604.03226</w:t>
      </w:r>
    </w:p>
    <w:p>
      <w:pPr/>
      <w:r>
        <w:rPr>
          <w:b/>
        </w:rPr>
        <w:t>Shared claim-specific concepts:</w:t>
      </w:r>
      <w:r>
        <w:t xml:space="preserve"> robustness, learning, not; EU scope not established. This is a provisional connection, not an outcome finding.</w:t>
      </w:r>
    </w:p>
    <w:p>
      <w:pPr>
        <w:pStyle w:val="SourceNote"/>
      </w:pPr>
      <w:r>
        <w:rPr>
          <w:b/>
        </w:rPr>
        <w:t>Available abstract (not full text):</w:t>
      </w:r>
      <w:r>
        <w:t xml:space="preserve"> This paper explores the use of server learning for enhancing the robustness of federated learning against malicious attacks even when clients' training data are not independent and identically distributed. We propose a heuristic algorithm that uses server learning and client update filtering in combination with geometric median aggregation. We demonstrate via experiments that this approach can achieve significant improvement in model accuracy even when the fraction of malicious clients is high, even more than $50\%$ in some cases, and the dataset utilized by the server is small and could be synthetic with its distribution not necessarily close to that of the clients' aggregated data.</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pStyle w:val="Heading2"/>
      </w:pPr>
      <w:r>
        <w:t>985.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2026:</w:t>
      </w:r>
      <w:r>
        <w:t xml:space="preserve"> Assessment of the 5-year evaluation for 1st call members of the European Reference Network on Rare Endocrine Conditions (Endo-ERN) — https://doi.org/10.1530/ec-25-0619</w:t>
      </w:r>
    </w:p>
    <w:p>
      <w:pPr/>
      <w:r>
        <w:rPr>
          <w:b/>
        </w:rPr>
        <w:t>Shared claim-specific concepts:</w:t>
      </w:r>
      <w:r>
        <w:t xml:space="preserve"> reference, not, one; EU scope visible. This is a provisional connection, not an outcome finding.</w:t>
      </w:r>
    </w:p>
    <w:p>
      <w:pPr>
        <w:pStyle w:val="SourceNote"/>
      </w:pPr>
      <w:r>
        <w:rPr>
          <w:b/>
        </w:rPr>
        <w:t>Available abstract (not full text):</w:t>
      </w:r>
      <w:r>
        <w:t xml:space="preserve"> Background: The European Reference Networks on Rare Endocrine Diseases (Endo-ERN) and member healthcare providers (HCPs) both are mandated to undergo periodical evaluation of their performance every 5 years. This evaluation is to ensure the continued high standards of ERN HCPs and gauges network progress. The first 5-year evaluation took place in 2022 for healthcare providers that joined Endo-ERN as full members in 2017. As the first implementation of this methodology, it must be reviewed and refined before the next 5-year evaluation. Aim: To investigate how the evaluation process could have impacted the changes in scores beyond merit of the HCP. Methods: This mixed-methods retrospective study and content analysis (CA) was used to examine the self-evaluation results from HCPs, comparing the draft and final scores earned. Results: Fifty-eight HCPs that were subjected to the 5-year evaluation were included, with 14 receiving on-site audit. Final scores of HCPs who received an on-site audit were significantly higher than draft scores in only one area, concerning 'quality and safety' (W = 105, P &lt; 0.0001). CA found five different concepts potentially causing this difference. HCPs with on-site audit commented 'No evidence is provided' online frequently. In follow-up, 61% of HCPs who received the on-site audit felt the on-site visit added value; however, in parallel, 55% felt that th</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2025:</w:t>
      </w:r>
      <w:r>
        <w:t xml:space="preserve"> Design Policy Mapping in Europe — https://openalex.org/W7215223829</w:t>
      </w:r>
    </w:p>
    <w:p>
      <w:pPr/>
      <w:r>
        <w:rPr>
          <w:b/>
        </w:rPr>
        <w:t>Shared claim-specific concepts:</w:t>
      </w:r>
      <w:r>
        <w:t xml:space="preserve"> built, policies, one;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Perceptions of the European Green Deal: Understanding Public Sentiment — https://doi.org/10.1177/20563051251337404</w:t>
      </w:r>
    </w:p>
    <w:p>
      <w:pPr/>
      <w:r>
        <w:rPr>
          <w:b/>
        </w:rPr>
        <w:t>Shared claim-specific concepts:</w:t>
      </w:r>
      <w:r>
        <w:t xml:space="preserve"> trends, way, compared; EU scope visible. This is a provisional connection, not an outcome finding.</w:t>
      </w:r>
    </w:p>
    <w:p>
      <w:pPr>
        <w:pStyle w:val="SourceNote"/>
      </w:pPr>
      <w:r>
        <w:rPr>
          <w:b/>
        </w:rPr>
        <w:t>Available abstract (not full text):</w:t>
      </w:r>
      <w:r>
        <w:t xml:space="preserve"> Launched in December 2019, the European Green Deal (EGD) represents the European Union’s (EU) ambitious policy framework to achieve climate neutrality by 2050. This study employs a sentiment analysis of 582,156 tweets from the beginning of 2020 to April 2024 to understand the evolution of public sentiment toward the EGD. Grounded in Social Representations Theory and Framing Theory, we analyze sentiment trends, topic distributions, and the impact of key policy and external events (e.g. COVID-19 spread) on public sentiment. The results reveal predominantly neutral sentiment (61.68%), with more positive (28.26%) than negative (10.06%) sentiment overall and a substantially stable trend over time. EU-affiliated accounts showed higher positive sentiment compared to non-EU-affiliated accounts. Sentiment trends were correlated with key policy announcements and global events, demonstrating the intricate relationship between policy communication and the formation of public opinion. The study identified key themes and specific initiatives driving positive sentiment, including those linked to the first EU climate law and climate targets, Farm to Fork, and New European Bauhaus. Conversely, economic concerns, challenges in policy implementation challenges, ecosystem conservation status, and food system, and energy security issues appeared as associated with negative sentiment. The findings h</w:t>
      </w:r>
    </w:p>
    <w:p>
      <w:pPr/>
      <w:r>
        <w:rPr>
          <w:b/>
        </w:rPr>
        <w:t>POSSIBLE 2025:</w:t>
      </w:r>
      <w:r>
        <w:t xml:space="preserve"> Towards a Regenerative and Climate-Resilient Built Environment: Greening Lessons from European Cities — https://doi.org/10.3390/buildings15111878</w:t>
      </w:r>
    </w:p>
    <w:p>
      <w:pPr/>
      <w:r>
        <w:rPr>
          <w:b/>
        </w:rPr>
        <w:t>Shared claim-specific concepts:</w:t>
      </w:r>
      <w:r>
        <w:t xml:space="preserve"> built, but, policies, not; EU scope visible. This is a provisional connection, not an outcome finding.</w:t>
      </w:r>
    </w:p>
    <w:p>
      <w:pPr>
        <w:pStyle w:val="SourceNote"/>
      </w:pPr>
      <w:r>
        <w:rPr>
          <w:b/>
        </w:rPr>
        <w:t>Available abstract (not full text):</w:t>
      </w:r>
      <w:r>
        <w:t xml:space="preserve"> Nature-Based Solutions offer a concrete opportunity to integrate nature into cities and strengthen their resilience, in response to global challenges related to climate change, biodiversity loss, and water management, which are exacerbated by urban expansion and its impacts on the built environment. This study aims to analyze various European policies and urban greening practices, considering not only some European Union member states but also other cities geographically located in Europe. The main goal is to explore how these solutions are used in various European cities to address environmental challenges and improve urban quality of life. The study highlights the growing role of greening strategies in EU urban policies as key tools to tackle global challenges. It finds that green interventions—such as green roofs, façades, and green urban spaces—offer multifunctional benefits, but their effectiveness relies on integrated planning, strong public–private cooperation, and active community involvement. Key challenges include the limited scalability of these solutions in dense or economically constrained areas and the need for long-term financial and institutional support. Overall, the study highlights that greening is not merely aesthetic but central to building regenerative and climate-resilient cities.</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pStyle w:val="Heading2"/>
      </w:pPr>
      <w:r>
        <w:t>986.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2024:</w:t>
      </w:r>
      <w:r>
        <w:t xml:space="preserve"> Synergy‐as‐principle in global climate regulation — https://doi.org/10.1111/1758-5899.13425</w:t>
      </w:r>
    </w:p>
    <w:p>
      <w:pPr/>
      <w:r>
        <w:rPr>
          <w:b/>
        </w:rPr>
        <w:t>Shared claim-specific concepts:</w:t>
      </w:r>
      <w:r>
        <w:t xml:space="preserve"> synergies, climate; EU scope not established. This is a provisional connection, not an outcome finding.</w:t>
      </w:r>
    </w:p>
    <w:p>
      <w:pPr>
        <w:pStyle w:val="SourceNote"/>
      </w:pPr>
      <w:r>
        <w:rPr>
          <w:b/>
        </w:rPr>
        <w:t>Available abstract (not full text):</w:t>
      </w:r>
      <w:r>
        <w:t xml:space="preserve"> Abstract Isolated policy interventions are unlikely to effectively address a highly complex and cross‐cutting issue such as climate change. Such issues require more integrated or holistic approaches. The concept of searching for synergy across multiple objectives could then achieve better outcomes than a default position of trade‐off and collision. This contribution construes a novel principle of synergy to structure integrated decision‐making in global climate regulation through law. This article grounds its argument theoretically in the analysis of global regulation. It first develops the rationale of a regulatory principle justifying synergetic choices in rule‐design and rule‐application. It then sets out a typology of regulatory synergies – reinforcing, functional, and dormant or connecting – which can be arranged on a sliding scale and delivered with appropriate policy tools. It also suggests pathways for synergy‐as‐principle to advance beyond an effective strategy to acquiring legal bindingness within global regulation through law. Finally, this article tests the workability of this principle in four scenarios where climate protection and adjacent objectives intersect. Beyond this analysis of global climate regulation, this article points to the deeper normative foundations capable of supporting a non‐exclusionary global community.</w:t>
      </w:r>
    </w:p>
    <w:p>
      <w:pPr/>
      <w:r>
        <w:rPr>
          <w:b/>
        </w:rPr>
        <w:t>POSSIBLE 2024:</w:t>
      </w:r>
      <w:r>
        <w:t xml:space="preserve"> Time Horizons and Biosemiotic Adaptation — https://doi.org/10.1002/9781119865667.ch22</w:t>
      </w:r>
    </w:p>
    <w:p>
      <w:pPr/>
      <w:r>
        <w:rPr>
          <w:b/>
        </w:rPr>
        <w:t>Shared claim-specific concepts:</w:t>
      </w:r>
      <w:r>
        <w:t xml:space="preserve"> adaptation, conditions; EU scope not established. This is a provisional connection, not an outcome finding.</w:t>
      </w:r>
    </w:p>
    <w:p>
      <w:pPr>
        <w:pStyle w:val="SourceNote"/>
      </w:pPr>
      <w:r>
        <w:rPr>
          <w:b/>
        </w:rPr>
        <w:t>Available abstract (not full text):</w:t>
      </w:r>
      <w:r>
        <w:t xml:space="preserve"> Semiotics occurs beyond our planet; that we can be sure of. Astrobiology requires astrosemiotics; and as life on this planet may well have arrived from an extraterrestrial source, rather than (only) endogenously, we must consider the basis for extraterrestrial semiosis. This extraterrestrial semiosis suggests that the adaptability of life is far greater than conventionally considered. Similarly, the role variable temporalities have in adapting to divergent astroecological conditions also requires reassessing Einstein's taking for granted the universality of time in the ontological extension of relativity theory. Following Bergson and Whitehead's rejection of temporal universality we focus attention on the importance of variable temporal Umwelten to understanding astrobiological but also terrestrial contexts. Especially in terms of the massive die-offs in the current anthropogenic Sixth Great Extinction, now involving aided adaptation moving plants and animals around to viable habitats to perpetuate their species, a better conception of time horizons in semiosis, adaptation, and fitting deserves investigation. If lifeforms in theory are infinitely adaptable (even across different planets), but in practice require different timespans to adapt to changing environmental conditions, then time-appropriate semiosis offers a route towards ethical space exploration, decelerating the unr</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2023:</w:t>
      </w:r>
      <w:r>
        <w:t xml:space="preserve"> Spinning in circles? A systematic review on the role of theory in social vulnerability, resilience and adaptation research — https://doi.org/10.1016/j.gloenvcha.2023.102672</w:t>
      </w:r>
    </w:p>
    <w:p>
      <w:pPr/>
      <w:r>
        <w:rPr>
          <w:b/>
        </w:rPr>
        <w:t>Shared claim-specific concepts:</w:t>
      </w:r>
      <w:r>
        <w:t xml:space="preserve"> adaptation, flood, climate; EU scope not established. This is a provisional connection, not an outcome finding.</w:t>
      </w:r>
    </w:p>
    <w:p>
      <w:pPr>
        <w:pStyle w:val="SourceNote"/>
      </w:pPr>
      <w:r>
        <w:rPr>
          <w:b/>
        </w:rPr>
        <w:t>Available abstract (not full text):</w:t>
      </w:r>
      <w:r>
        <w:t xml:space="preserve"> An increasing number of publications focus on social vulnerability, resilience, and adaptation (SVRA) towards natural hazards and climate change. Despite this proliferation of research, a systematic understanding of how these studies are theoretically grounded is lacking. Here, we systematically reviewed 4432 articles that address SVRA in various disciplinary fields (e.g. psychology, sociology, geography, mathematics) for various hazards, including floods, droughts, landslides, storm surges, wildfires, tsunamis, earthquakes, and volcano eruptions. We focus on the extent to which these studies explicate the frameworks, theoretical constructs or theories they rely on. Surprisingly, we found that about 90% of the reviewed studies do not explicitly refer to a theoretical un-derpinning. Overall, theories focusing on individuals' SVRA were more frequently used than those focusing on systems, society, groups, and networks. Moreover, the uptake of theories varied according to the hazard investigated and field of knowledge, being more frequent in wildfire and flood studies and articles published in social science journals. Based on our analysis, we propose a reflexive handling of theories to foster more transparent, comparable, and robust empirical research on SVRA.</w:t>
      </w:r>
    </w:p>
    <w:p>
      <w:pPr/>
      <w:r>
        <w:rPr>
          <w:b/>
        </w:rPr>
        <w:t>POSSIBLE 2023:</w:t>
      </w:r>
      <w:r>
        <w:t xml:space="preserve"> Jobs and skills for adaptation and resilience in Scotland — https://doi.org/10.31235/osf.io/fhgm5</w:t>
      </w:r>
    </w:p>
    <w:p>
      <w:pPr/>
      <w:r>
        <w:rPr>
          <w:b/>
        </w:rPr>
        <w:t>Shared claim-specific concepts:</w:t>
      </w:r>
      <w:r>
        <w:t xml:space="preserve"> therefore, likely, adaptation, climate; EU scope not established. This is a provisional connection, not an outcome finding.</w:t>
      </w:r>
    </w:p>
    <w:p>
      <w:pPr>
        <w:pStyle w:val="SourceNote"/>
      </w:pPr>
      <w:r>
        <w:rPr>
          <w:b/>
        </w:rPr>
        <w:t>Available abstract (not full text):</w:t>
      </w:r>
      <w:r>
        <w:t xml:space="preserve"> Although there is awareness of the ‘green jobs’ opportunity associated with climate mitigation and especially energy efficiency in the built environment, understanding of the potential for jobs associated with adaptation and resilience is more limited. The purpose of this report is therefore to assess awareness of adaptation and resilience within existing policy literature on skills and jobs associated with Scotland’s climate change response, and to link this with international peer-reviewed scholarly literature to identify job and skill areas. The Clyde Corridor area of Glasgow City Region is taken as a focal point, as the launch of the Glasgow City Region Climate Adaptation Strategy and the initiation of the Scottish Government’s Clyde Mission have in recent years given dual impetus towards a just transition towards resilience for the Clyde Corridor and for the Glasgow City Region more widely.Key job areas and workforce/skills requirements that are identified across the literature include jobs in construction, land-based sectors, civil engineering and cross-cutting sectors to support societal transformation. Regional Skills Assessments from Skills Development Scotland and statistics from the Scottish Government were also used to identify opportunities for particular localities or sections of the workforce to be able to benefit from training or upskilling, so that adaptation j</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2022:</w:t>
      </w:r>
      <w:r>
        <w:t xml:space="preserve"> International Students' Psychological and Sociocultural Adaptation in the United States — https://doi.org/10.57709/1061378</w:t>
      </w:r>
    </w:p>
    <w:p>
      <w:pPr/>
      <w:r>
        <w:rPr>
          <w:b/>
        </w:rPr>
        <w:t>Shared claim-specific concepts:</w:t>
      </w:r>
      <w:r>
        <w:t xml:space="preserve"> therefore, likely, adaptation, between, services; EU scope not established. This is a provisional connection, not an outcome finding.</w:t>
      </w:r>
    </w:p>
    <w:p>
      <w:pPr>
        <w:pStyle w:val="SourceNote"/>
      </w:pPr>
      <w:r>
        <w:rPr>
          <w:b/>
        </w:rPr>
        <w:t>Available abstract (not full text):</w:t>
      </w:r>
      <w:r>
        <w:t xml:space="preserve"> International students constitute an important cohort in the United States (U.S.) colleges and universities. In order for the U.S. colleges and universities to better accommodate the significant number of international students and to recruit them in the future, it is critical to identify factors that influence these students? acculturation and adjustment processes and provide professionals with guidelines for creating culturally appropriate services and programs for them. Therefore the current study examined international students? adaptation to the U.S. in relation to their acculturation levels, coping processes, and intent to stay in the U.S. after their graduation. Center for Epidemiologic Studies - Depression scale was used as a measure of psychological adaptation. In addition, Sociocultural Adaptation Scale, Acculturation Index, and Ways of Coping Questionnaire, were used to measure sociocultural adaptation, acculturation dimensions, and coping processes, respectively. A total of 204 F1 visa holding international students participated in the current study. This project was a cross-sectional, exploratory study that measured depression and sociocultural adaptation among international students. Cronbach?s alpha for each instrument was calculated to determine the internal reliability for the current sample. Pearson product moment correlational analyses were performed to exami</w:t>
      </w:r>
    </w:p>
    <w:p>
      <w:pPr/>
      <w:r>
        <w:rPr>
          <w:b/>
        </w:rPr>
        <w:t>POSSIBLE 2022:</w:t>
      </w:r>
      <w:r>
        <w:t xml:space="preserve"> Tradeoffs and synergies in wetland multifunctionality: A scaling issue — https://doi.org/10.1016/j.scitotenv.2022.160746</w:t>
      </w:r>
    </w:p>
    <w:p>
      <w:pPr/>
      <w:r>
        <w:rPr>
          <w:b/>
        </w:rPr>
        <w:t>Shared claim-specific concepts:</w:t>
      </w:r>
      <w:r>
        <w:t xml:space="preserve"> therefore, synergies, range, services, climate; EU scope not established. This is a provisional connection, not an outcome finding.</w:t>
      </w:r>
    </w:p>
    <w:p>
      <w:pPr>
        <w:pStyle w:val="SourceNote"/>
      </w:pPr>
      <w:r>
        <w:rPr>
          <w:b/>
        </w:rPr>
        <w:t>Available abstract (not full text):</w:t>
      </w:r>
      <w:r>
        <w:t xml:space="preserve"> 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w:t>
      </w:r>
    </w:p>
    <w:p>
      <w:pPr/>
      <w:r>
        <w:rPr>
          <w:b/>
        </w:rPr>
        <w:t>POSSIBLE 2022:</w:t>
      </w:r>
      <w:r>
        <w:t xml:space="preserve"> Connecting climate justice and adaptation planning: An adaptation justice index — https://doi.org/10.1016/j.envsci.2022.07.024</w:t>
      </w:r>
    </w:p>
    <w:p>
      <w:pPr/>
      <w:r>
        <w:rPr>
          <w:b/>
        </w:rPr>
        <w:t>Shared claim-specific concepts:</w:t>
      </w:r>
      <w:r>
        <w:t xml:space="preserve"> adaptation, climate; EU scope not established. This is a provisional connection, not an outcome finding.</w:t>
      </w:r>
    </w:p>
    <w:p>
      <w:pPr>
        <w:pStyle w:val="SourceNote"/>
      </w:pPr>
      <w:r>
        <w:rPr>
          <w:b/>
        </w:rPr>
        <w:t>Available abstract (not full text):</w:t>
      </w:r>
      <w:r>
        <w:t xml:space="preserve"> Considerations of justice with regards to climate change adaptation are increasingly called for in the academic literature, but little attention has been paid to the dimensions of justice regarding the development of adaptation policy and instruments used. Thus, there is a gap when it comes to connecting the dimensions of justice to different types of adaptation strategies and plans. Here, we synthesise the findings of previous studies to create an adaptation justice index for the four dimensions of climate justice in the context of adaptation: recognitional, distributive, procedural and restorative justice. This index can be used ex ante to analyse and compare climate adaptation strategies and plans in different societal contexts as well as at different levels of governance, and we illustrate this by analysing four national and four city-level strategies. As adaptation planning is still a relatively new area of climate governance, the results offer potential for justice informed evaluation of adaptation plans and strategies.</w:t>
      </w:r>
    </w:p>
    <w:p>
      <w:pPr>
        <w:pStyle w:val="Heading2"/>
      </w:pPr>
      <w:r>
        <w:t>987.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2025:</w:t>
      </w:r>
      <w:r>
        <w:t xml:space="preserve"> Note on carbon sequestration policies in the European Union — https://doi.org/10.36253/rea-15795</w:t>
      </w:r>
    </w:p>
    <w:p>
      <w:pPr/>
      <w:r>
        <w:rPr>
          <w:b/>
        </w:rPr>
        <w:t>Shared claim-specific concepts:</w:t>
      </w:r>
      <w:r>
        <w:t xml:space="preserve"> note; EU scope visible. This is a provisional connection, not an outcome finding.</w:t>
      </w:r>
    </w:p>
    <w:p>
      <w:pPr>
        <w:pStyle w:val="SourceNote"/>
      </w:pPr>
      <w:r>
        <w:rPr>
          <w:b/>
        </w:rPr>
        <w:t>Available abstract (not full text):</w:t>
      </w:r>
      <w:r>
        <w:t xml:space="preserve"> This note examines the state of carbon farming (CF) policies in the European Union (EU), highlighting their potential to deliver significant public benefits, such as improved soil health, air quality, and climate mitigation. The existing mechanisms for encouraging carbon sequestration and evaluating alternative support scenarios are assessed, starting from analysing the regulation on carbon sequestration certification adopted by the European Parliament and the Council following a proposal from the European Commission. This note analyses the integration of CF into the EU’s Common Agricultural Policy (CAP) through cross-compliance measures, eco-schemes, and Rural Development programmes. Additionally, it explores potential CF support frameworks, including exclusive reliance on the first CAP pillar, the voluntary carbon market, and mixed approaches. The analysis highlights several trade-offs: balancing CAP budget limitations with the need for stronger environmental measures, mitigating market uncertainty in the voluntary carbon market, and ensuring that certification costs do not deter farmer participation. Despite these challenges, the findings suggest that including CF within CAP, either as an alternative or complement to the voluntary carbon credit market, could enhance carbon sequestration and align EU agriculture with climate neutrality goals, particularly when supported by a </w:t>
      </w:r>
    </w:p>
    <w:p>
      <w:pPr/>
      <w:r>
        <w:rPr>
          <w:b/>
        </w:rPr>
        <w:t>POSSIBLE 2025:</w:t>
      </w:r>
      <w:r>
        <w:t xml:space="preserve"> Impacts on and damage to European forests from the 2018–2022 heat and drought events — https://doi.org/10.5194/nhess-25-77-2025</w:t>
      </w:r>
    </w:p>
    <w:p>
      <w:pPr/>
      <w:r>
        <w:rPr>
          <w:b/>
        </w:rPr>
        <w:t>Shared claim-specific concepts:</w:t>
      </w:r>
      <w:r>
        <w:t xml:space="preserve"> important, note, however; EU scope visible. This is a provisional connection, not an outcome finding.</w:t>
      </w:r>
    </w:p>
    <w:p>
      <w:pPr>
        <w:pStyle w:val="SourceNote"/>
      </w:pPr>
      <w:r>
        <w:rPr>
          <w:b/>
        </w:rPr>
        <w:t>Available abstract (not full text):</w:t>
      </w:r>
      <w:r>
        <w:t xml:space="preserve"> Abstract. Drought and heat events are becoming more frequent in Europe due to human-induced climate change, affecting many aspects of human well-being and ecosystem functioning. However, the intensity of these drought and heat events is not spatially and temporally uniform. Understanding the spatial variability of drought impacts is important information for decision makers, supporting both planning and preparations to cope with the changing climatic conditions. Currently, data relating to the damage caused by extended drought episodes is scattered across languages and sources such as scientific publications, governmental reports and the media. In this review paper, we compiled data of damages caused by the drought and heat of 2018 until 2022 in forest ecosystems and relate it to large European data sets, providing support for decision making both on the regional and European levels. We partitioned data from 16 European countries to the following regions: Northern, Central, Alpine, and South. We focused on drought and heat damage to forests, and categorized them as (1) physiological (2) pest, and (3) fire damage. We were able to identify the following key trends: (1) Relative defoliation rates of broadleaves is higher than of conifers in every country with the exception of Czech Republic (2) the incidence of wood destroyed by insects is extremely high in Central Europe and Swed</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How Important is European Integration for Pro-European Voters in Times of Politicization? — https://doi.org/10.1007/s11615-024-00545-y</w:t>
      </w:r>
    </w:p>
    <w:p>
      <w:pPr/>
      <w:r>
        <w:rPr>
          <w:b/>
        </w:rPr>
        <w:t>Shared claim-specific concepts:</w:t>
      </w:r>
      <w:r>
        <w:t xml:space="preserve"> important, however, only; EU scope visible. This is a provisional connection, not an outcome finding.</w:t>
      </w:r>
    </w:p>
    <w:p>
      <w:pPr>
        <w:pStyle w:val="SourceNote"/>
      </w:pPr>
      <w:r>
        <w:rPr>
          <w:b/>
        </w:rPr>
        <w:t>Available abstract (not full text):</w:t>
      </w:r>
      <w:r>
        <w:t xml:space="preserve"> Abstract The increasing success of Eurosceptic parties and multiple European crises have fostered the politicization of European integration. However, we know little about how pro-European voters behave in this politicized environment. How important is European integration for pro-European voters? Do they care more about European integration when their vision of Europe is increasingly contested? The past 15 years have been characterized by persistent politicization of Eurosceptic parties and an increasing willingness of Europhile parties to engage with European topics. Moreover, European crises illustrated potential consequences of political disintegration. I expect these developments to be reflected in an increasing salience of European integration among pro-European voters. I derive salience estimates from spatial vote models encompassing four issue dimensions to track the development of salience. I use data from the European Social Survey, the European Election Studies, and the Chapel Hill Expert Survey, which cover many EU member states between 2008 and 2019. The results show that the salience of the European integration issue is most pronounced among Eurosceptic voters, while it is less pronounced among pro-European voters. However, in countries with a successful Eurosceptic party, it is more likely that the European integration issue also matters to pro-European voters. M</w:t>
      </w:r>
    </w:p>
    <w:p>
      <w:pPr/>
      <w:r>
        <w:rPr>
          <w:b/>
        </w:rPr>
        <w:t>POSSIBLE 2024:</w:t>
      </w:r>
      <w:r>
        <w:t xml:space="preserve"> Petitions and Petitioning in Europe and North America — https://doi.org/10.5871/bacad/9780197267721.001.0001</w:t>
      </w:r>
    </w:p>
    <w:p>
      <w:pPr/>
      <w:r>
        <w:rPr>
          <w:b/>
        </w:rPr>
        <w:t>Shared claim-specific concepts:</w:t>
      </w:r>
      <w:r>
        <w:t xml:space="preserve"> important, present; EU scope visible. This is a provisional connection, not an outcome finding.</w:t>
      </w:r>
    </w:p>
    <w:p>
      <w:pPr>
        <w:pStyle w:val="SourceNote"/>
      </w:pPr>
      <w:r>
        <w:rPr>
          <w:b/>
        </w:rPr>
        <w:t>Available abstract (not full text):</w:t>
      </w:r>
      <w:r>
        <w:t xml:space="preserve"> Abstract Throughout history, across very different types of state and society, petitions and petitioning have been ubiquitous practices. The interaction between petitioners and authority has been a crucial dynamic in exercising and contesting power. Consolidating and advancing a rapidly expanding field of research across history, law, and the social sciences, this book is the first study of these venerable practices from their development in the late medieval period to the emergence of e-petitions in the 21st century. With a broad focus on Europe and North America, this volume breaks new ground by examining the concept, history, and practice of petitions and petitioning across chronological and geographical boundaries, opening up this important topic to a wider audience across the humanities and social sciences. The book is organised in three parts: the first section defines petitions with greater clarity than before; the second examines cycles of continuity and transformation over long periods of time; while the final section zooms in to analyse examples that reveal why petitions and petitioning have mattered for both petitioners and authority. The chapters emphasise why petitionary practices have been crucial forms of collective action and representation, and a ubiquitous presence in political culture, both past and present.</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2023:</w:t>
      </w:r>
      <w:r>
        <w:t xml:space="preserve"> PERSPECTIVEs on supervised exercise programs in people with metastatic breast cancer- a qualitative study in four European countries — https://doi.org/10.1007/s00520-023-07739-x</w:t>
      </w:r>
    </w:p>
    <w:p>
      <w:pPr/>
      <w:r>
        <w:rPr>
          <w:b/>
        </w:rPr>
        <w:t>Shared claim-specific concepts:</w:t>
      </w:r>
      <w:r>
        <w:t xml:space="preserve"> important, exercise, qualitative, purpose; EU scope visible. This is a provisional connection, not an outcome finding.</w:t>
      </w:r>
    </w:p>
    <w:p>
      <w:pPr>
        <w:pStyle w:val="SourceNote"/>
      </w:pPr>
      <w:r>
        <w:rPr>
          <w:b/>
        </w:rPr>
        <w:t>Available abstract (not full text):</w:t>
      </w:r>
      <w:r>
        <w:t xml:space="preserve"> PURPOSE: Supervised exercise is a potentially promising supportive care intervention for people with metastatic breast cancer (MBC), but research on the patients' perspective is limited. The aim of the current focus group study was to gain an in-depth understanding of MBC patients' perceived barriers, facilitators, and preferences for supervised exercise programs. METHODS: Eleven online focus groups with, in total, 44 MBC patients were conducted in four European countries (Germany, Poland, Spain, Sweden). Main topics of the semi-structured discussions covered attitudes towards participation in supervised exercise programs, perceived facilitators, experienced barriers, and exercise preferences. Interviews were transcribed verbatim, translated into English, and coded based on a preliminary coding framework, supplemented by themes emerging during the sessions. The codes were subsequently examined for interrelations and re-organized into overarching clusters. RESULTS: Participants had positive attitudes towards exercise, but experienced physical limitations and insecurities that inhibited their participation. They expressed a strong desire for exercise tailored to their needs, and supervision by an exercise professional. Participants also highlighted the social nature of group training as an important facilitator. They had no clear preference for exercise type, but rather favored a</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pStyle w:val="Heading2"/>
      </w:pPr>
      <w:r>
        <w:t>988.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989.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2026:</w:t>
      </w:r>
      <w:r>
        <w:t xml:space="preserve"> Horizon Scanning report 2016-2025 update — https://openalex.org/W7212410651</w:t>
      </w:r>
    </w:p>
    <w:p>
      <w:pPr/>
      <w:r>
        <w:rPr>
          <w:b/>
        </w:rPr>
        <w:t>Shared claim-specific concepts:</w:t>
      </w:r>
      <w:r>
        <w:t xml:space="preserve"> horizon, scanning, systemic;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pStyle w:val="Heading2"/>
      </w:pPr>
      <w:r>
        <w:t>990.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2026:</w:t>
      </w:r>
      <w:r>
        <w:t xml:space="preserve"> A Segmentation Analysis of Air Passengers in European Countries — https://doi.org/10.3390/futuretransp6010027</w:t>
      </w:r>
    </w:p>
    <w:p>
      <w:pPr/>
      <w:r>
        <w:rPr>
          <w:b/>
        </w:rPr>
        <w:t>Shared claim-specific concepts:</w:t>
      </w:r>
      <w:r>
        <w:t xml:space="preserve"> air, both, factors; EU scope visible. This is a provisional connection, not an outcome finding.</w:t>
      </w:r>
    </w:p>
    <w:p>
      <w:pPr>
        <w:pStyle w:val="SourceNote"/>
      </w:pPr>
      <w:r>
        <w:rPr>
          <w:b/>
        </w:rPr>
        <w:t>Available abstract (not full text):</w:t>
      </w:r>
      <w:r>
        <w:t xml:space="preserve"> Fully integrated airport access requires managing many aspects from both the passengers’ and the operational point of view. It is noted that air passenger preferences, influenced by distance, time, and other travel-related factors, are one of the fundamentals for understanding airport choice within multi-region airport systems. Therefore, an online survey was conducted in Europe, collecting more than two thousand responses, from which passengers’ attitudes and motives for selecting airport access travel modes were obtained. On the basis of the mobility profile of respondents, Fuzzy C-means (FCM) clustering analysis was performed to identify segments with similar travel attributes. The outcomes of clustering were validated through the comparison between the FCM and K-means clustering algorithms. The results of the study showed that (i) the car was the most preferred mode of transport across different age groups, and (ii) waiting time, travel costs, and travel time were rated as important, with reliability identified as the most important factor when making travel mode choices. These findings may serve as a reference for improving multimodal airport access services and encouraging a shift from private to public transportation modes.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2024:</w:t>
      </w:r>
      <w:r>
        <w:t xml:space="preserve"> Air pollution and rhinitis — https://doi.org/10.3389/falgy.2024.1387525</w:t>
      </w:r>
    </w:p>
    <w:p>
      <w:pPr/>
      <w:r>
        <w:rPr>
          <w:b/>
        </w:rPr>
        <w:t>Shared claim-specific concepts:</w:t>
      </w:r>
      <w:r>
        <w:t xml:space="preserve"> air, pollution, climate; EU scope not established. This is a provisional connection, not an outcome finding.</w:t>
      </w:r>
    </w:p>
    <w:p>
      <w:pPr>
        <w:pStyle w:val="SourceNote"/>
      </w:pPr>
      <w:r>
        <w:rPr>
          <w:b/>
        </w:rPr>
        <w:t>Available abstract (not full text):</w:t>
      </w:r>
      <w:r>
        <w:t xml:space="preserve"> Rhinitis arises from either allergic or non-allergic inflammation of the nasal mucosa, characterized by the infiltration of inflammatory cells into the tissue and nasal secretions, along with structural alterations in the nasal mucosa. The pathways through which air pollution affects rhinitis may diverge from those affecting asthma. This article aims to review the effects of diverse air pollutants on the nose, the correlation of climate change and pollution, and how they aggravate the symptoms of patients with rhinitis.</w:t>
      </w:r>
    </w:p>
    <w:p>
      <w:pPr/>
      <w:r>
        <w:rPr>
          <w:b/>
        </w:rPr>
        <w:t>POSSIBLE 2024:</w:t>
      </w:r>
      <w:r>
        <w:t xml:space="preserve"> Urban challenges and air quality in selected european cities — https://doi.org/10.37190/epe240304</w:t>
      </w:r>
    </w:p>
    <w:p>
      <w:pPr/>
      <w:r>
        <w:rPr>
          <w:b/>
        </w:rPr>
        <w:t>Shared claim-specific concepts:</w:t>
      </w:r>
      <w:r>
        <w:t xml:space="preserve"> air, pollution, improvement, climate, quality; EU scope visible. This is a provisional connection, not an outcome finding.</w:t>
      </w:r>
    </w:p>
    <w:p>
      <w:pPr>
        <w:pStyle w:val="SourceNote"/>
      </w:pPr>
      <w:r>
        <w:rPr>
          <w:b/>
        </w:rPr>
        <w:t>Available abstract (not full text):</w:t>
      </w:r>
      <w:r>
        <w:t xml:space="preserve"> More than half of the world's population currently resides in urban areas. Therefore, cities must be part of the solution if the increasingly urbanized world is to successfully address environmental challenges such as climate change. Air pollution poses a significant health risk to Europeans. Due to urbanization, population growth, traffic congestion, industrial activities, energy generation, and inadequate urban planning connected to environmental solutions modern cities confront a range of complex challenges concerning air quality. Achieving the zero-pollution vision for 2050 demands further endeavors to diminish air pollution to levels deemed safe for health. This article examines the multifaceted obstacles that modern cities encounter, with a particular emphasis on the critical issue of air quality. The study aims to analyze low-emission solutions aimed at improving the state of air quality in selected European cities. The study assessed changes in the concentrations of NO2, O3, PM10, PM2.5 and benzo(a)pyrene in chosen European cities between 2013–2022 offering a comparative analysis of air quality challenges and solutions across selected cities. The value of the analysis lies in its ability to draw conclusions from current European urban trends related to air quality improvement and to develop a comprehensive set of recommendations tailored for policymakers.</w:t>
      </w:r>
    </w:p>
    <w:p>
      <w:pPr/>
      <w:r>
        <w:rPr>
          <w:b/>
        </w:rPr>
        <w:t>POSSIBLE 2024:</w:t>
      </w:r>
      <w:r>
        <w:t xml:space="preserve"> Air Pollution and Health — https://doi.org/10.1039/9781837672790-00134</w:t>
      </w:r>
    </w:p>
    <w:p>
      <w:pPr/>
      <w:r>
        <w:rPr>
          <w:b/>
        </w:rPr>
        <w:t>Shared claim-specific concepts:</w:t>
      </w:r>
      <w:r>
        <w:t xml:space="preserve"> air, pollution, but, about, quality; EU scope not established. This is a provisional connection, not an outcome finding.</w:t>
      </w:r>
    </w:p>
    <w:p>
      <w:pPr>
        <w:pStyle w:val="SourceNote"/>
      </w:pPr>
      <w:r>
        <w:rPr>
          <w:b/>
        </w:rPr>
        <w:t>Available abstract (not full text):</w:t>
      </w:r>
      <w:r>
        <w:t xml:space="preserve"> OBJECTIVE: To review the effects of air pollution on health, with special reference to data obtained locally in Hong Kong. DATA SOURCES: Medline literature search (1960-1999), websites of the World Health Organization and Environmental Protection Department, Hong Kong, and a report from the Sub-Working Group on the Review of Hong Kong's Air Quality Objectives, 1999. STUDY SELECTION: Key words for the literature search were 'air pollution' and 'health'. DATA EXTRACTION: The author reviewed relevant information and data. DATA SYNTHESIS: In many parts of the world and in Hong Kong, air pollution is associated with increased mortality and morbidity rates, as reflected by increased hospital admissions and doctor visits, not only for respiratory illnesses but also for cardiovascular illnesses. Some studies have found that air pollution is also associated with an increase in respiratory symptoms in lower lung function in children. In Hong Kong, air pollution is mostly because of traffic emissions. During the past decade, the annual mean levels of respirable suspended particulates and oxides of nitrogen and ozone have increased and exceeded the air quality objectives set by the Environmental Protection Department of Hong Kong. CONCLUSION: The medical profession should be concerned about the health effects of air pollution and should call for action to reduce the current levels of air p</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pStyle w:val="Heading2"/>
      </w:pPr>
      <w:r>
        <w:t>991.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Extreme high temperatures and heatwave events across Europe in 2023 — https://doi.org/10.1088/2515-7620/adae60</w:t>
      </w:r>
    </w:p>
    <w:p>
      <w:pPr/>
      <w:r>
        <w:rPr>
          <w:b/>
        </w:rPr>
        <w:t>Shared claim-specific concepts:</w:t>
      </w:r>
      <w:r>
        <w:t xml:space="preserve"> baseline, period, much; EU scope visible. This is a provisional connection, not an outcome finding.</w:t>
      </w:r>
    </w:p>
    <w:p>
      <w:pPr>
        <w:pStyle w:val="SourceNote"/>
      </w:pPr>
      <w:r>
        <w:rPr>
          <w:b/>
        </w:rPr>
        <w:t>Available abstract (not full text):</w:t>
      </w:r>
      <w:r>
        <w:t xml:space="preserve"> Abstract With global mean temperatures reaching record highs in 2023, many regions experienced successive heatwaves, causing negative impacts on human health, social economy, and ecosystems. Europe is among the continents that experienced a series of extreme heatwaves over large areas in the year. However, there is a lack of quantitative analysis of spatial and temporal features of such record high heatwaves. Here, we investigated the spatial patterns and seasonal evolution of heatwaves over Europe in 2023. Overall, Europe was unusually warm with prolonged seasons and expanded spatial extent of heatwaves in 2023 compared to the baseline period (1991–2020). The earliest heatwave occurred in the Iberian Peninsula in late April, with the heatwave intensity up to 30 °C. Then, heatwaves were observed in the British Isles and Scandinavia in mid-June successively, with duration above 10 days and the highest intensity in some areas since 1991. Extreme heatwaves extended through the autumn primarily in the Mediterranean areas and western Europe, with some areas experiencing maximum temperature up to 32 °C and duration exceeding 12 days. The heatwave number, duration, frequency, and intensity in areas affected by extreme heatwaves in all seasons were much higher than the average in the baseline period. Especially in the autumn, the frequency and seasonal cumulative heat anomalies were up</w:t>
      </w:r>
    </w:p>
    <w:p>
      <w:pPr/>
      <w:r>
        <w:rPr>
          <w:b/>
        </w:rPr>
        <w:t>POSSIBLE 2024:</w:t>
      </w:r>
      <w:r>
        <w:t xml:space="preserve"> Recovery and resilience of European temperate forests after large and severe disturbances — https://doi.org/10.1111/gcb.17159</w:t>
      </w:r>
    </w:p>
    <w:p>
      <w:pPr/>
      <w:r>
        <w:rPr>
          <w:b/>
        </w:rPr>
        <w:t>Shared claim-specific concepts:</w:t>
      </w:r>
      <w:r>
        <w:t xml:space="preserve"> baseline, larger, climate; EU scope visible. This is a provisional connection, not an outcome finding.</w:t>
      </w:r>
    </w:p>
    <w:p>
      <w:pPr>
        <w:pStyle w:val="SourceNote"/>
      </w:pPr>
      <w:r>
        <w:rPr>
          <w:b/>
        </w:rPr>
        <w:t>Available abstract (not full text):</w:t>
      </w:r>
      <w:r>
        <w:t xml:space="preserve"> Abstract Recent observations of tree regeneration failures following large and severe disturbances, particularly under warm and dry conditions, have raised concerns about the resilience of forest ecosystems and their recovery dynamics in the face of climate change. We investigated the recovery of temperate forests in Europe after large and severe disturbance events (i.e., resulting in more than 70% canopy loss in patches larger than 1 ha), with a range of one to five decades since the disturbance occurred. The study included 143 sites of different forest types and management practices that had experienced 28 disturbance events, including windthrow (132 sites), fire (six sites), and bark beetle outbreaks (five sites). We focused on assessing post‐disturbance tree density, structure, and composition as key indicators of forest resilience. We compared post‐disturbance height‐weighted densities with site‐specific pre‐disturbance densities to qualitatively assess the potential for structural and compositional recovery, overall and for dominant tree species, respectively. Additionally, we analyzed the ecological drivers of post‐windthrow tree density, such as forest management, topography, and post‐disturbance aridity, using a series of generalized additive models. The descriptive results show that European temperate forests have been resilient to past large and severe disturbances a</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comparing, baseline, increases;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pStyle w:val="Heading2"/>
      </w:pPr>
      <w:r>
        <w:t>992.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2026:</w:t>
      </w:r>
      <w:r>
        <w:t xml:space="preserve"> Oxybenzone in Sunscreen: Examining Human Health Implications — https://openalex.org/W7202418639</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Objective: The purpose of this paper is to evaluate the current evidence regarding the human health effects associated with exposure to oxybenzone (benzophenone-3) containing sunscreen in individuals using sunscreen products. This review examined outcomes, including systemic absorption, endocrine function, and reproductive health, while considering established benefits of sunscreen for skin cancer prevention. Methods: A comprehensive literature review was conducted using peer-reviewed publications identified through PubMed, Google Scholar, and the Valparaiso University library database. Selected studies included systematic reviews, meta-analyses, pharmacokinetic studies, observational studies, and toxicological research. Literature evaluating systemic absorption, endocrine disruption, reproductive health effects, biomonitoring data, and regulatory safety assessments was critically appraised and synthesized to identify current evidence and clinical implications. Results: The reviewed literature consistently demonstrated that oxybenzone is systemically absorbed following topical sunscreen application, with plasma concentrations frequently exceeding the U.S. Food and Drug Administration threshold, warranting additional safety evaluation. While experimental and animal studies suggest endocrine-disrupting activity, human studies have produced inconsistent findings regarding clinical</w:t>
      </w:r>
    </w:p>
    <w:p>
      <w:pPr/>
      <w:r>
        <w:rPr>
          <w:b/>
        </w:rPr>
        <w:t>POSSIBLE 2026:</w:t>
      </w:r>
      <w:r>
        <w:t xml:space="preserve"> Examining E-Learning System Success in Jordanian Higher Education: Extending the Information Systems Success Model with Monitoring Quality — https://doi.org/10.3390/info17080738</w:t>
      </w:r>
    </w:p>
    <w:p>
      <w:pPr/>
      <w:r>
        <w:rPr>
          <w:b/>
        </w:rPr>
        <w:t>Shared claim-specific concepts:</w:t>
      </w:r>
      <w:r>
        <w:t xml:space="preserve"> systems, but, not, significantly; EU scope not established. This is a provisional connection, not an outcome finding.</w:t>
      </w:r>
    </w:p>
    <w:p>
      <w:pPr>
        <w:pStyle w:val="SourceNote"/>
      </w:pPr>
      <w:r>
        <w:rPr>
          <w:b/>
        </w:rPr>
        <w:t>Available abstract (not full text):</w:t>
      </w:r>
      <w:r>
        <w:t xml:space="preserve"> Higher education is increasingly digitalized, resulting in increased reliance on e-learning systems, and thus, e-learning system success should be sufficiently evaluated. However, students worldwide have shown unproductive e-learning use. Hence, the e-learning systems success model after the outbreak needs revision. To validate the e-learning systems success, the role of monitoring quality was examined in this study using current e-learning and information systems success models. Data from 600 students were analyzed with structural equation modelling (SEM) run by SMARTPLS 4. Results showed that user satisfaction was positively impacted by information quality, system quality and service quality but not by monitoring quality. Results further showed positive impact of user system use on student satisfaction, subsequently impacting student loyalty. Also, results showed user satisfaction significantly impacting learning effectiveness. This study enhances the information systems literature through the inclusion of monitoring quality into the DeLone and McLean information systems success model and through examining its impact on user satisfaction, loyalty intention, and learning effectiveness in e-learning environments.</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2025:</w:t>
      </w:r>
      <w:r>
        <w:t xml:space="preserve"> Examining the Possibility of Transition from the Accusatorial to Inquisitorial Model of Trial in the Present Criminal Justice System — https://doi.org/10.36128/priw.vi54.865</w:t>
      </w:r>
    </w:p>
    <w:p>
      <w:pPr/>
      <w:r>
        <w:rPr>
          <w:b/>
        </w:rPr>
        <w:t>Shared claim-specific concepts:</w:t>
      </w:r>
      <w:r>
        <w:t xml:space="preserve"> examines, but; EU scope visible. This is a provisional connection, not an outcome finding.</w:t>
      </w:r>
    </w:p>
    <w:p>
      <w:pPr>
        <w:pStyle w:val="SourceNote"/>
      </w:pPr>
      <w:r>
        <w:rPr>
          <w:b/>
        </w:rPr>
        <w:t>Available abstract (not full text):</w:t>
      </w:r>
      <w:r>
        <w:t xml:space="preserve"> The criminal justice system plays an important role in any society governed by the rule of law. It basically emphasises on the safety and security of an individual and the society as a whole. Two models of criminal justice system i.e., an accusatorial and inquisitional model are followed across the globe. The inquisitional system has its origin in continental law countries such as Italy, France, Germany etc. while the accusatorial system has its roots in England and other common law countries. India, being a common law country, generally follows the accusatorial model of criminal justice system but in exceptional cases some elements of the inquisitional model have also been adopted through the process of legislation and judicial rulings. The present paper examines the applicability of both models in the exiting criminal justice system. Considering the present scenario and the challenges faced by our country, the author would also like to examine the possibility of tilting towards the inquisitional system to overcome such challenges.</w:t>
      </w:r>
    </w:p>
    <w:p>
      <w:pPr/>
      <w:r>
        <w:rPr>
          <w:b/>
        </w:rPr>
        <w:t>POSSIBLE 2025:</w:t>
      </w:r>
      <w:r>
        <w:t xml:space="preserve"> Examining the Development of a Geographic Information System Georeferencing Algorithm for Building Informaiton Modeling — https://doi.org/10.18494/sam5381</w:t>
      </w:r>
    </w:p>
    <w:p>
      <w:pPr/>
      <w:r>
        <w:rPr>
          <w:b/>
        </w:rPr>
        <w:t>Shared claim-specific concepts:</w:t>
      </w:r>
      <w:r>
        <w:t xml:space="preserve"> systems, but, not; EU scope not established. This is a provisional connection, not an outcome finding.</w:t>
      </w:r>
    </w:p>
    <w:p>
      <w:pPr>
        <w:pStyle w:val="SourceNote"/>
      </w:pPr>
      <w:r>
        <w:rPr>
          <w:b/>
        </w:rPr>
        <w:t>Available abstract (not full text):</w:t>
      </w:r>
      <w:r>
        <w:t xml:space="preserve"> Digital twins are rapidly expanding in the market as an important foundation for industrial revitalization.Among these, building information modeling (BIM) plays a critical role in the digital twin field, and its integration with the Geographic Information System (GIS) enables applications in various areas, including urban planning and digital twin development.However, BIM and GIS were developed for different purposes, resulting in distinct data structures and characteristics, which makes integration challenging.In particular, the integration process requires positional correction owing to differences in coordinate systems, but in practice, location information is not prioritized during BIM model creation, making coordinate matching difficult.To address the discrepancies in location information between BIM and GIS, in this study, we propose an automatic algorithm for coordinate transformation to align Local Coordinate System (LCS)-based data with Reference Coordinate System (RCS)-based GIS digital maps.The algorithm goes through a five-step process: measuring location information levels, extracting outermost polygon vectors, polygon-based model matching, extracting coordinate transformation coefficients, and BIM model georeferencing.Owing to the limited availability of BIM data, the proposed method was only applied experimentally in this study.However, future research should in</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pStyle w:val="Heading2"/>
      </w:pPr>
      <w:r>
        <w:t>993.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Exploring Key Factors of Idle Land as Food Estate Area using Delphi Method — https://openalex.org/W7217048500</w:t>
      </w:r>
    </w:p>
    <w:p>
      <w:pPr/>
      <w:r>
        <w:rPr>
          <w:b/>
        </w:rPr>
        <w:t>Shared claim-specific concepts:</w:t>
      </w:r>
      <w:r>
        <w:t xml:space="preserve"> used, delphi, method, food; EU scope not established. This is a provisional connection, not an outcome finding.</w:t>
      </w:r>
    </w:p>
    <w:p>
      <w:pPr>
        <w:pStyle w:val="SourceNote"/>
      </w:pPr>
      <w:r>
        <w:rPr>
          <w:b/>
        </w:rPr>
        <w:t>Available abstract (not full text):</w:t>
      </w:r>
      <w:r>
        <w:t xml:space="preserve"> In the context of globalization and climate change, research on determining the location of utilization of Indonesian Navy idle land is becoming increasingly relevant to face new challenges in agriculture and the environment. The efforts to optimize the utilization of idle land through quality research will provide long-term benefits for the sustainability of natural resources and food resilience. In addition, the sustainability of the logistical aspects of idle land production can support the ability to carry out the Navy's operational tasks. This research aims to identify key factors in empowering Indonesian Navy idle land as a food estate area to support national food resilience. Land Use Planning Theory, and resilience theory support this research. Qualitative analysis is used as a research method supported by the Delphi method. The Lantamal III working area was used as the research locus, because in this area there are still several areas as idle land. The results of the identification of factors using the delphi method approach, obtained six related factors namely 1) Soil Fertility; 2) Risk of Natural Disaster; 3) Labor; 4) Agricultural Technology; 5) Infrastructure Access; 6) Financial. Utilization of Indonesian Navy idle land is driven by soil fertility, manageable risk of natural disasters, abundant labor supply, understanding of agricultural technology, good infrastru</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2025:</w:t>
      </w:r>
      <w:r>
        <w:t xml:space="preserve"> Consensus on high-priority outcomes to be used in the evaluation of services for autistic adults: Results from a “CBPR-Nested Delphi Process” — https://doi.org/10.1177/13623613251322082</w:t>
      </w:r>
    </w:p>
    <w:p>
      <w:pPr/>
      <w:r>
        <w:rPr>
          <w:b/>
        </w:rPr>
        <w:t>Shared claim-specific concepts:</w:t>
      </w:r>
      <w:r>
        <w:t xml:space="preserve"> used, delphi, method, within; EU scope not established. This is a provisional connection, not an outcome finding.</w:t>
      </w:r>
    </w:p>
    <w:p>
      <w:pPr>
        <w:pStyle w:val="SourceNote"/>
      </w:pPr>
      <w:r>
        <w:rPr>
          <w:b/>
        </w:rPr>
        <w:t>Available abstract (not full text):</w:t>
      </w:r>
      <w:r>
        <w:t xml:space="preserve"> People are increasingly recognizing the need for service interventions to improve the lives of autistic adults. However, less is known about how to best evaluate such services. We aimed to identify (1) which self-reported outcomes are most important to measure when evaluating the effectiveness of services for autistic adults and (2) what survey instruments would be needed to measure them. We nested a traditional researcher-driven “Delphi process” within our community-based participatory research approach in what we are calling a “CBPR-Nested Delphi Process.” The process allowed us to reach a full consensus among 53 experts with professional and lived experience as autistic adults, family members, health and disability service providers, autism community leaders, and researchers. The final list of outcomes included quality of life, overall health, emotional wellbeing, anxiety, depression, suicidality, autistic burnout, social support, employment satisfaction, community participation, self-determination, access to communication, activities of daily living, satisfaction with social services, and satisfaction with healthcare services. Experts felt almost all available instruments to measure these outcomes would need adaptations to be used with autistic adults (or proxies). Researchers and service providers should consider targeting interventions to these measurable outcomes and eva</w:t>
      </w:r>
    </w:p>
    <w:p>
      <w:pPr/>
      <w:r>
        <w:rPr>
          <w:b/>
        </w:rPr>
        <w:t>POSSIBLE 2025:</w:t>
      </w:r>
      <w:r>
        <w:t xml:space="preserve"> A collective review on some potential negative impacts of smartphone and social media use on adolescent mental health: Results from a Delphi process — https://doi.org/10.31234/osf.io/b94dy_v1</w:t>
      </w:r>
    </w:p>
    <w:p>
      <w:pPr/>
      <w:r>
        <w:rPr>
          <w:b/>
        </w:rPr>
        <w:t>Shared claim-specific concepts:</w:t>
      </w:r>
      <w:r>
        <w:t xml:space="preserve"> delphi, synthesize, perspectives; EU scope not established. This is a provisional connection, not an outcome finding.</w:t>
      </w:r>
    </w:p>
    <w:p>
      <w:pPr>
        <w:pStyle w:val="SourceNote"/>
      </w:pPr>
      <w:r>
        <w:rPr>
          <w:b/>
        </w:rPr>
        <w:t>Available abstract (not full text):</w:t>
      </w:r>
      <w:r>
        <w:t xml:space="preserve"> The literature on how smartphone and social media use affects adolescent mental health is highly fragmented. To synthesize the evidence, we convened over 120 researchers with diverse perspectives to evaluate 26 commonly cited claims using a Delphi process. A large majority agree that: Adolescent mental health has declined in several Western countries; heavy smartphone and social media use can cause sleep problems; such use correlates with attention problems and behavioural addiction; among girls, social media use may be associated with body dissatisfaction, perfectionism, exposure to mental disorders, harassment and predation. Most other claims were judged to have insufficient evidence due to limited, inconsistent, or non-causal data. Researchers also raised broader concerns, including challenges in measuring mental health and establishing causality, geographic bias in existing evidence, and the need for policies that account for diverse risks and avoid unintended harms. This collective review offers a foundation for future research and policy.</w:t>
      </w:r>
    </w:p>
    <w:p>
      <w:pPr>
        <w:pStyle w:val="Heading2"/>
      </w:pPr>
      <w:r>
        <w:t>994.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2026:</w:t>
      </w:r>
      <w:r>
        <w:t xml:space="preserve"> Evaluating AI Vs Human Generated Results Framework Quality for Projects in International Development — https://doi.org/10.17605/osf.io/6sw9h</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Every MDB (Multilateral Development Bank) lending project is built around a Results Framework — a structured document that defines what the project aims to achieve, how progress will be tracked, and what success looks like. These frameworks guide investment decisions and shape how development outcomes are measured in countries around the world. Writing them well requires deducated time and deep expertise in monitoring and evaluation, and the quality of these documents directly affects whether a project can demonstrate its impact. Recent advances in artificial intelligence have made it possible to generate draft Results Frameworks automatically. A natural question arises: how does the quality of AI-generated frameworks compare to those written by experienced human practitioners? If AI drafts are comparable in quality, the technology could save significant time and help teams produce stronger initial drafts for subsequent expert review. If they fall short, understanding where and why matters for guiding future development of these tools. This study is a blinded randomized experiment designed to answer that question. We recruit development professionals — staff and consultants with experience in project design, monitoring and evaluation, or operations — and ask them to evaluate pairs of Results Frameworks side by side. In each pair, one framework was written by a human project tea</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2025:</w:t>
      </w:r>
      <w:r>
        <w:t xml:space="preserve"> Monitoring for results: An evaluation of City Engineering Project Monitoring System (CEPMS) in Quezon City — https://doi.org/10.63498/etcor515</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Aim: This study evaluated the City Engineering Project Monitoring System (CEPMS) as a digital monitoring platform used by the Quezon City Department of Engineering.Specifically, it assessed users' evaluation of CEPMS in terms of outcome achievement, efficiency, service delivery quality, and trust and legitimacy, examined its observed strengths and weaknesses across the project monitoring process, and assessed the extent of challenges encountered in its implementation and utilization.Methodology: A descriptive-quantitative research design was employed involving 148 respondents composed of internal personnel and external contractors.Data were collected using a validated survey questionnaire grounded in public value dimensions.Descriptive statistical tools, including frequency, percentage, and weighted mean, were used to analyze respondents' profiles, evaluations of CEPMS performance indicators, observed strengths and weaknesses, and implementation challenges.Results: Findings revealed that CEPMS was evaluated positively across all four public value dimensions by both internal and external respondents, with internal users consistently reporting stronger agreement.The system was particularly rated high in supporting timely project tracking, improving documentation workflows, enhancing information accessibility, and promoting transparency and accountability in infrastructure monitor</w:t>
      </w:r>
    </w:p>
    <w:p>
      <w:pPr/>
      <w:r>
        <w:rPr>
          <w:b/>
        </w:rPr>
        <w:t>POSSIBLE 2025:</w:t>
      </w:r>
      <w:r>
        <w:t xml:space="preserve"> The Urban-PLUMBER multi-site model evaluation project: Phase 2 initial results — https://doi.org/10.5194/icuc12-981</w:t>
      </w:r>
    </w:p>
    <w:p>
      <w:pPr/>
      <w:r>
        <w:rPr>
          <w:b/>
        </w:rPr>
        <w:t>Shared claim-specific concepts:</w:t>
      </w:r>
      <w:r>
        <w:t xml:space="preserve"> projects, evaluation, methods, data; EU scope not established. This is a provisional connection, not an outcome finding.</w:t>
      </w:r>
    </w:p>
    <w:p>
      <w:pPr>
        <w:pStyle w:val="SourceNote"/>
      </w:pPr>
      <w:r>
        <w:rPr>
          <w:b/>
        </w:rPr>
        <w:t>Available abstract (not full text):</w:t>
      </w:r>
      <w:r>
        <w:t xml:space="preserve"> We present results from Phase 2 of the Urban-PLUMBER project, where we assess the ability to represent the surface energy balance across 30 land surface models at 20 sites, ranging from highly urbanised to highly vegetated. Our findings broadly support those of Phase 1, that community efforts have led to better representation of sensible and latent heat fluxes. However, at sites with higher impervious fractions (i.e. areas with little vegetation or bare soil), urbanised models tend to underestimate, and non-urbanised models overestimate the magnitude of observed latent heat fluxes, with urbanised models performing better overall. We find the performance of models without urban representation diverges at approximately 30% impervious fraction.Our comparison with simple empirically based benchmark models indicates capacity for improvement in longwave radiation and momentum flux representation. Through this benchmarking methodology, we find this study’s group of models perform better than those in the original PLUMBER projects, which tested non-urban land surface models at non-urban sites.The Urban-PLUMBER project has involved more than 60 contributing scientists, including those providing flux tower and meteorological data, undertaking simulations, developing models and evaluation methods. This presentation focuses on the modelling results for Phase 2. The observational forcing an</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pStyle w:val="Heading2"/>
      </w:pPr>
      <w:r>
        <w:t>995.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provides, quantitative,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2026:</w:t>
      </w:r>
      <w:r>
        <w:t xml:space="preserve"> Sector-specific adoption patterns of AI in Europe: a quantitative analysis using Eurostat and OECD Data — https://doi.org/10.1080/09537325.2026.2632912</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This study analyses sector-specific AI adoption across 25 European countries and 11 industries from 2020-2024 using harmonized Eurostat and OECD panel data. We develop and test the Sectoral AI Adoption Model (SAAM), proposing five drivers of adoption: technological readiness, innovation intensity, human capital, regulatory environment, and competitive pressure. Fixed-effects panel regressions show that all five factors positively and significantly predict AI adoption, with human capital and technological readiness the strongest predictors. The model explains substantial variation in sectoral adoption (adjusted R2 = 0.62). Interaction results indicate that innovation intensity strengthens the effect of human capital, suggesting complementarity between skills and innovation capacity. Robustness checks confirm results across alternative specifications. Adoption is uneven across sectors, with information and communication technologies leading and construction lagging. The study advances technology adoption research by offering a sector-level framework for AI diffusion and provides actionable guidance for managers and policymakers seeking to accelerate responsible AI integration through workforce development, infrastructure investment, and balanced regulation.</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2025:</w:t>
      </w:r>
      <w:r>
        <w:t xml:space="preserve"> A quantitative solar ultraviolet radiation job-exposure matrix for Europe — https://doi.org/10.1093/annweh/wxaf011</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INTRODUCTION: Outdoor workers are exposed to high levels of solar ultraviolet radiation (UVR). UVR causes skin cancer and is a risk factor for cataract and other short- and long-term health effects, but there are significant knowledge gaps regarding the exposure-response relations based on quantitative measures of UVR exposure. We developed a quantitative UVR job-exposure matrix (JEM) for the general working population of Europe. METHODS: Three experts from each of Northern, Central, and Southern Europe rated duration of outdoor work for all 372 occupations defined by the International Standard Classification of Occupations from 1988 (ISCO-88(COM)). A systematic literature search identified 12 studies providing 223 sets of summary workday UVR exposure for 49 ISCO-88(COM) occupations based on 75,711 personal workday measurements obtained from 2,645 participants and reported as arithmetic mean standard erythemal dose (SED). We combined the expert ratings with the measured occupational UVR exposure data and estimated harmonized workday UVR exposures for all 372 occupations in a linear mixed effects model. RESULTS: Monotonically increasing workday UVR exposure of 0.68, 1.57, 1.80, and 2.49 SED were seen by increasing expert ratings of 0, 1 to 2, 3 to 4, and ≥5 h of daily outdoor work. The UVR exposure showed a 6-fold increase from lowest to highest exposed occupation. Farm hands, r</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2024:</w:t>
      </w:r>
      <w:r>
        <w:t xml:space="preserve"> Constraining long-term NO x emissions over the United States and Europe using nitrate wet deposition monitoring networks — https://doi.org/10.5194/acp-24-4569-2024</w:t>
      </w:r>
    </w:p>
    <w:p>
      <w:pPr/>
      <w:r>
        <w:rPr>
          <w:b/>
        </w:rPr>
        <w:t>Shared claim-specific concepts:</w:t>
      </w:r>
      <w:r>
        <w:t xml:space="preserve"> long-term, emission; EU scope visible. This is a provisional connection, not an outcome finding.</w:t>
      </w:r>
    </w:p>
    <w:p>
      <w:pPr>
        <w:pStyle w:val="SourceNote"/>
      </w:pPr>
      <w:r>
        <w:rPr>
          <w:b/>
        </w:rPr>
        <w:t>Available abstract (not full text):</w:t>
      </w:r>
      <w:r>
        <w:t xml:space="preserve"> Abstract. Nitrogen oxides (NOx = NO + NO2) play a critical role in regulating tropospheric chemistry, yet NOx emission estimates are subject to large uncertainties, casting doubt on our ability to accurately model secondary pollutants such as ozone. Bottom-up emissions inventories are subject to a number of uncertainties related to estimates of emission activities, scaling factors, and fuel sources. Here, we provide an additional constraint on NOx emissions and trends using nitrate wet deposition (NWD) fluxes from the United States National Atmospheric Deposition Program (NADP) and the European Monitoring and Evaluation Programme (EMEP). We use these NWD measurements to evaluate anthropogenic and total NOx trends and magnitudes in the global Community Emissions Data System (CEDS) emissions inventory and the GEOS-Chem chemical transport model from 1980–2020. Over both the United States and Europe, observed NWD trends track well with anthropogenic NOx emissions from the CEDS inventory until 2010, after which NWD trends level out in contrast to continued decreases in CEDS. After 2010, NWD trends are able to reproduce total NOx emissions trends when the influences of both anthropogenic and background sources are considered. Observed NWD fluxes are also able to capture NOx emissions decreases over the 2020 COVID-19 lockdown period and are consistent with satellite and surface measur</w:t>
      </w:r>
    </w:p>
    <w:p>
      <w:pPr>
        <w:pStyle w:val="Heading2"/>
      </w:pPr>
      <w:r>
        <w:t>996.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997.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2026:</w:t>
      </w:r>
      <w:r>
        <w:t xml:space="preserve"> Severe Convective Storms in a Changing Climate: Uncertainties in risk views across North America and Europe — https://doi.org/10.63024/dkee-9w5q</w:t>
      </w:r>
    </w:p>
    <w:p>
      <w:pPr/>
      <w:r>
        <w:rPr>
          <w:b/>
        </w:rPr>
        <w:t>Shared claim-specific concepts:</w:t>
      </w:r>
      <w:r>
        <w:t xml:space="preserve"> trends, likely, distribution, north; EU scope visible. This is a provisional connection, not an outcome finding.</w:t>
      </w:r>
    </w:p>
    <w:p>
      <w:pPr>
        <w:pStyle w:val="SourceNote"/>
      </w:pPr>
      <w:r>
        <w:rPr>
          <w:b/>
        </w:rPr>
        <w:t>Available abstract (not full text):</w:t>
      </w:r>
      <w:r>
        <w:t xml:space="preserve"> Severe convective storms (SCS) have become a major, recurrent source of insured catastrophe loss, particularly in North America and, increasingly, Europe. Observed loss growth is driven primarily by socio-economic trends, including growth and concentration of insured exposure, changes in vulnerability and loss-cost inflation; a distinct climate-change signal has not yet been robustly isolated in historical insured-loss records. At the same time, anthropogenic warming is altering the physical ingredients that support SCS, including atmospheric moisture, instability, heavy precipitation intensity and, in some regions, environments favourable to organised convection. Robust assessment remains constrained by short and inhomogeneous hazard records, reporting and detection biases, changes in observing systems and claims practices, and limited event-level observations of hail, tornadoes and damaging convective winds. We synthesise current evidence on historical trends and future changes in the principal SCS sub-perils relevant for catastrophe modelling: hail, tornadoes, damaging straight-line winds including derechos, and SCS-related extreme precipitation. In addition to observed hazard and loss records, we evaluate reanalysis-derived environmental proxies and convection-permitting simulations commonly used to infer climate-conditioned SCS risk. Proxy metrics are useful for identifyin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similar, trends, increased;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Diverging trends in large floods across Europe in a warming climate — https://doi.org/10.1038/s43247-025-02734-y</w:t>
      </w:r>
    </w:p>
    <w:p>
      <w:pPr/>
      <w:r>
        <w:rPr>
          <w:b/>
        </w:rPr>
        <w:t>Shared claim-specific concepts:</w:t>
      </w:r>
      <w:r>
        <w:t xml:space="preserve"> trends, increased, northern, shifts, warmer;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Regional variations and trends in liver transplantation practices across Europe — https://doi.org/10.1016/j.jhepr.2025.101424</w:t>
      </w:r>
    </w:p>
    <w:p>
      <w:pPr/>
      <w:r>
        <w:rPr>
          <w:b/>
        </w:rPr>
        <w:t>Shared claim-specific concepts:</w:t>
      </w:r>
      <w:r>
        <w:t xml:space="preserve"> trends, increased, northern, decreased; EU scope visible. This is a provisional connection, not an outcome finding.</w:t>
      </w:r>
    </w:p>
    <w:p>
      <w:pPr>
        <w:pStyle w:val="SourceNote"/>
      </w:pPr>
      <w:r>
        <w:rPr>
          <w:b/>
        </w:rPr>
        <w:t>Available abstract (not full text):</w:t>
      </w:r>
      <w:r>
        <w:t xml:space="preserve"> Background &amp; Aims Liver transplantation (LT) is a live-saving therapy for patients with end-stage liver disease, but demand exceeds supply, leading to waiting list (WL) mortality. This study reviews LT practices and trends in Europe to identify potential policies for improving outcomes. Methods Data were extracted from the European Liver Transplant Registry and the Global Observatory on Donation and Transplantation. Countries were categorized into Eastern (EEC), Mediterranean (MEC), and Northern European (NEC). We analyzed LT indications, recipient and donor age, transplant type, and WL outcomes from 2012 to 2022. Results Etiology of LT differed across regions: HBV cirrhosis predominated in EEC (37.3%), whereas alcohol-related liver disease was more frequent in NEC (41.8%) and MEC (49.1%). Metabolic-dysfunction associated steatotic liver disease increased across Europe, particularly in NEC. Recipient age has risen, with 40% aged ≥60 years in MEC vs. 20% in EEC. Donor age and type also varied: EEC relies on younger donors (&lt;50 years, 70%), whereas MEC expanded criteria to include donors ≥60 years (50%). Donation after circulatory determination of death increased by 30%, particularly in NEC and MEC, but remains rare in EEC. Model for end-stage liver disease scores at LT decreased, with 30% scoring &gt;21 in 2021 vs. 50% in 2012. WL mortality declined by 10% since 2015, although larg</w:t>
      </w:r>
    </w:p>
    <w:p>
      <w:pPr/>
      <w:r>
        <w:rPr>
          <w:b/>
        </w:rPr>
        <w:t>POSSIBLE 2025:</w:t>
      </w:r>
      <w:r>
        <w:t xml:space="preserve"> Spatiotemporal analysis of the FWI over Europe and North Africa: Historical trends and climate projections under RCP4.5 and RCP8.5 — https://doi.org/10.1016/j.gsf.2025.102178</w:t>
      </w:r>
    </w:p>
    <w:p>
      <w:pPr/>
      <w:r>
        <w:rPr>
          <w:b/>
        </w:rPr>
        <w:t>Shared claim-specific concepts:</w:t>
      </w:r>
      <w:r>
        <w:t xml:space="preserve"> trends, over, northern, southern, shifts, conditions; EU scope visible. This is a provisional connection, not an outcome finding.</w:t>
      </w:r>
    </w:p>
    <w:p>
      <w:pPr>
        <w:pStyle w:val="SourceNote"/>
      </w:pPr>
      <w:r>
        <w:rPr>
          <w:b/>
        </w:rPr>
        <w:t>Available abstract (not full text):</w:t>
      </w:r>
      <w:r>
        <w:t xml:space="preserve"> • FWI trends analyzed over Europe &amp; N. Africa from 1979 to 2098. • Extreme fire danger increases under both RCP4.5 and RCP8.5 scenarios. • Strong agreement (r &gt; 0.8) between reanalysis and GCMs in fire-prone areas. • Southern regions show significant increasing trends in FWI. Wildfires represent an escalating environmental threat across Europe and North Africa, increasingly exacerbated by climate-driven shifts in temperature, precipitation, and drought patterns. However, there is still limited large-scale, methodologically consistent research that simultaneously assesses historical patterns and future projections of fire danger across these regions, particularly in terms of both frequency and duration of risk under different climate scenarios. This study addresses this gap by providing a high-resolution, spatiotemporal assessment of fire weather conditions, with the aim of offering critical insights to support climate-adaptive fire management strategies, extended preparedness frameworks, and the integration of future fire weather projections into land-use and risk governance policies. To achieve this, we investigate historical (1979–2021) and projected (2000–2098) trends in fire danger using the Canadian Fire Weather Index (FWI), based on ERA5 reanalysis data and outputs from five Global Climate Models (GCMs) under RCP4.5 and RCP8.5 scenarios. Over 50,000 land grid cells were a</w:t>
      </w:r>
    </w:p>
    <w:p>
      <w:pPr/>
      <w:r>
        <w:rPr>
          <w:b/>
        </w:rPr>
        <w:t>POSSIBLE 2025:</w:t>
      </w:r>
      <w:r>
        <w:t xml:space="preserve"> Cancer mortality in Europe in 2020, and an overview of trends since 1990 — https://doi.org/10.1097/cej.0000000000000981</w:t>
      </w:r>
    </w:p>
    <w:p>
      <w:pPr/>
      <w:r>
        <w:rPr>
          <w:b/>
        </w:rPr>
        <w:t>Shared claim-specific concepts:</w:t>
      </w:r>
      <w:r>
        <w:t xml:space="preserve"> trends, increased, over; EU scope visible. This is a provisional connection, not an outcome finding.</w:t>
      </w:r>
    </w:p>
    <w:p>
      <w:pPr>
        <w:pStyle w:val="SourceNote"/>
      </w:pPr>
      <w:r>
        <w:rPr>
          <w:b/>
        </w:rPr>
        <w:t>Available abstract (not full text):</w:t>
      </w:r>
      <w:r>
        <w:t xml:space="preserve"> INTRODUCTION: Cancer remains a leading cause of death in Europe, with over 1.2 million deaths recorded in the EU-27 in 2020. METHODS: Using WHO death certification data for 33 European countries from 1990 to 2020, we analyzed mortality trends for all neoplasms and 24 cancer sites, stratified by sex and age. We computed age-standardized mortality rates (ASMR) and applied joinpoint regression models to evaluate temporal trends. RESULTS: In 2020, the leading causes of cancer death in the EU-27 were lung (ASMR: 30.1/100 000), colorectal (14.6/100 000), and prostate (9.8/100 000) cancer in males and breast (13.8/100 000), lung (13.2/100 000), and colorectal (8.6/100 000) cancer in females. Pancreatic cancer was the fourth most common cause of cancer death in both sexes (ASMR: 8.2/100 000 males and 5.8/100 000 females). Most Central and Eastern European countries reported rates over two-fold higher compared to Western Europe. While overall cancer mortality declined since 1990 (average annual percent change: -1.3% in males and -0.8% in females in the EU-27), mortality from pancreatic (+0.2% in males and +0.8% in females) and female lung cancer (+1.9%) increased. CONCLUSION: Declines in cancer mortality are attributable to reduced tobacco use, and improvements in organized screening programs and treatment. Pancreatic cancer mortality remains stable, while female lung cancer mortality c</w:t>
      </w:r>
    </w:p>
    <w:p>
      <w:pPr/>
      <w:r>
        <w:rPr>
          <w:b/>
        </w:rPr>
        <w:t>POSSIBLE 2025:</w:t>
      </w:r>
      <w:r>
        <w:t xml:space="preserve"> Divergent Trends in Insect Disturbance Across Europe's Temperate and Boreal Forests — https://doi.org/10.1111/gcb.70580</w:t>
      </w:r>
    </w:p>
    <w:p>
      <w:pPr/>
      <w:r>
        <w:rPr>
          <w:b/>
        </w:rPr>
        <w:t>Shared claim-specific concepts:</w:t>
      </w:r>
      <w:r>
        <w:t xml:space="preserve"> trends, increased, decreased, shifts, warmer, conditions; EU scope visible. This is a provisional connection, not an outcome finding.</w:t>
      </w:r>
    </w:p>
    <w:p>
      <w:pPr>
        <w:pStyle w:val="SourceNote"/>
      </w:pPr>
      <w:r>
        <w:rPr>
          <w:b/>
        </w:rPr>
        <w:t>Available abstract (not full text):</w:t>
      </w:r>
      <w:r>
        <w:t xml:space="preserve"> Ongoing shifts in climate and land use have altered interactions between trees and insect herbivores, changing biotic disturbance regimes. However, as these changes are complex and vary across host species, insect taxa, and feeding guilds, they remain poorly understood. We compiled annual records of forest insect disturbance from 15 countries in temperate and boreal Europe, spanning the period from 2000 to 2022. The dataset comprises 1361 time series characterizing the dynamics of 50 herbivorous insects. We used this dataset to test whether insect disturbance has systematically changed during the 23-year period across host trees and feeding guilds, whether it varies along latitudinal and climatic gradients, and whether synchrony exists among species in the same guild or among species sharing the same host. Since 2000, borer disturbance was predominantly concentrated on gymnosperms, while defoliators impacted gymnosperms and angiosperms more evenly. While 85.8% of gymnosperm disturbance was inflicted by a single species, Ips typographus, the majority of disturbances to angiosperms were caused by six different species. Borer impact on gymnosperms has increased in the 21st century, while defoliator impact has decreased across both clades. In contrast to diverging temporal trends, disturbance was consistently greater in warmer and drier conditions across feeding guilds and host typ</w:t>
      </w:r>
    </w:p>
    <w:p>
      <w:pPr/>
      <w:r>
        <w:rPr>
          <w:b/>
        </w:rPr>
        <w:t>POSSIBLE 2025:</w:t>
      </w:r>
      <w:r>
        <w:t xml:space="preserve"> Trends in stroke prevalence caused by an elevated BMI in the European population — https://doi.org/10.5114/aoms/199362</w:t>
      </w:r>
    </w:p>
    <w:p>
      <w:pPr/>
      <w:r>
        <w:rPr>
          <w:b/>
        </w:rPr>
        <w:t>Shared claim-specific concepts:</w:t>
      </w:r>
      <w:r>
        <w:t xml:space="preserve"> trends, increased, over, decreased, related;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pStyle w:val="Heading2"/>
      </w:pPr>
      <w:r>
        <w:t>998.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2021:</w:t>
      </w:r>
      <w:r>
        <w:t xml:space="preserve"> A Comparison of Land Use Classifications in Urbanized Areas in Selected European Countries — https://doi.org/10.7494/geom.2021.15.2.59</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real estate cadastre is the primary source of information on land use. It records information related to the division of land into types based on the actual way of land use or development. The distinguished types of land use depend on many geographical factors, as well as historical and economic conditions. The study presents a comparison of the detail of land use classification registered in the real estate cadastre in areas functionally related to the urban areas of 9 European countries: Austria, Bulgaria, the Czech Republic, Estonia, Spain, Lithuania, Luxembourg, Germany and Poland. The research concerned the determination of the degree to which the classification of land use in urbanized areas is detailed, whether the studied European countries are characterized by the same number of distinguished classes of objects at different levels of detail, and what percentage are the distinguished classes of land use objects in urbanized areas in relation to all of the distinguished classes of objects land use at different levels of detail of classification. The study used legal acts regulating land use issues which have been made available in national languages by government institutions.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2017:</w:t>
      </w:r>
      <w:r>
        <w:t xml:space="preserve"> A European-wide 222Radon and 222Radon progeny comparison study [Dataset] — https://doi.org/10.11588/data/10098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Although atmospheric 222Radon (222Rn) activity concentration measurements are currently performed world-wide, they are being made by many different laboratories and with fundamentally different measurement principles, so compatibility issues can limit their utility for regional-to-global applications. Consequently, we conducted a European‐wide 222Rn/222Rn progeny comparison study in order to evaluate the different measurement systems in use, determine potential systematic biases between them, and estimate correction factors that could be applied to harmonize data for their use as a tracer in atmospheric applications. Two compact portable Heidelberg Radon Monitors (HRM) were moved around to run for at least one month at each of the nine European measurement stations included in this comparison. Linear regressions between parallel data sets were calculated, yielding correction factors rela tive to the HRM ranging from 0.68 to 1.45. A calibration bias between ANSTO (Australian Nuclear Science and Technology Organisation) two‐filter radon monitors and the HRM of ANSTO/HRM = 1.11±0.05 was found. Moreover, for the continental stations using one‐filter systems that derive atmospheric 222Rn activity concentrations from measured atmospheric progeny activity concentrations, preliminary 214Po/222Rn disequilibrium values were also estimated. Mean station-specific disequilibrium values betw</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2014:</w:t>
      </w:r>
      <w:r>
        <w:t xml:space="preserve"> Family and Welfare in Early Modern Europe: a North–South Comparison — https://doi.org/10.1017/9781782043935.005</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relationship between family and welfare in Europe has long been and continues to be a central theme for historians, anthropologists, sociologists and demographers. Its importance has been given added weight in recent decades by policy debates on the future of welfare provision in many European countries, including Britain. Both current debates and the historiography of the last two decades or so have tended to characterise family forms and welfare regimes in Europe in terms of a north–south (perhaps more accurately a north-west/south-east) divide. Put simply, northern Europe tends to be associated with nuclear family forms, ‘weaker’ family ties, and relatively generous provision of poor relief, both overall but also, and particularly in the case of England, in rural areas. By contrast, southern Europe, and also often eastern Europe, are associated with extended family forms, ‘stronger’ family ties and less generous poor relief provision, restricted in the main to urban areas. The relationships between these variables are complex, yet have serious implications both for our understanding of economic development in Europe and for social policy, both past and present. This chapter aims to offer a critical reflection on the current state of historiography and some of the claims made for different welfare regimes across Europe. It addresses the interrelationship between welfare r</w:t>
      </w:r>
    </w:p>
    <w:p>
      <w:pPr>
        <w:pStyle w:val="Heading2"/>
      </w:pPr>
      <w:r>
        <w:t>999.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2026:</w:t>
      </w:r>
      <w:r>
        <w:t xml:space="preserve"> Design and Performance Research of a Spindle-Integrated Rotational Piezoelectric Testing System for Upset Force Measurement During Welding Processes — https://doi.org/10.1109/jsen.2026.3671729</w:t>
      </w:r>
    </w:p>
    <w:p>
      <w:pPr/>
      <w:r>
        <w:rPr>
          <w:b/>
        </w:rPr>
        <w:t>Shared claim-specific concepts:</w:t>
      </w:r>
      <w:r>
        <w:t xml:space="preserve"> during, first, simulation; EU scope not established. This is a provisional connection, not an outcome finding.</w:t>
      </w:r>
    </w:p>
    <w:p>
      <w:pPr>
        <w:pStyle w:val="SourceNote"/>
      </w:pPr>
      <w:r>
        <w:rPr>
          <w:b/>
        </w:rPr>
        <w:t>Available abstract (not full text):</w:t>
      </w:r>
      <w:r>
        <w:t xml:space="preserve"> Accurate monitoring of high-frequency upset force during friction stir welding (FSW) is a critical step for optimizing welding process parameters and ensuring joint quality. However, traditional platform-type force gauges cannot measure the upset force in the bobbin tool friction stir welding (BT-FSW) process, which poses a technical challenge. To resolve this issue, a high-frequency spindle-integrated rotational piezoelectric testing system (SIR-PTS) mounted on the equipment spindle was designed. This system uses piezoelectric sensors as measuring elements and comprises a force gauge, a built-in signal conditioning circuit, and monitoring software. First, a theoretical mechanical model under rotational conditions was established to determine the dimensional parameters of the piezoelectric quartz wafers. Subsequently, ANSYS finite element simulation was utilized to analyze the static structural characteristics and dynamic response of the testing system. Meanwhile, a modular hardware circuit integrating charge conversion, filtering, and wireless transmission functions was developed. A series of verification experiments were conducted to evaluate the system performance. The experimental results demonstrate that the system exhibits a static linearity error of 0.64% and a repeatability error of 0.34%. Its main-direction natural frequency is 2082.52 Hz, which meets the requirements </w:t>
      </w:r>
    </w:p>
    <w:p>
      <w:pPr/>
      <w:r>
        <w:rPr>
          <w:b/>
        </w:rPr>
        <w:t>POSSIBLE 2026:</w:t>
      </w:r>
      <w:r>
        <w:t xml:space="preserve"> Development of an integrated computational-experimental framework for predicting grinding force and safety in ultrasonic bone scalpels operations — https://doi.org/10.1038/s41598-026-39710-1</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This study aims to develop a high-precision predictive model for grinding forces generated by ultrasonic bone scalpels during spinal surgery, to enhance safety by establishing quantitative operational boundaries. Existing predictive models often rely on simplified 2D simulations or theoretical decompositions, which may limit accuracy in capturing the complex three-dimensional kinematics and tool–bone interactions. To address this, an integrated framework combining three-dimensional explicit dynamic finite element analysis (FEA) with a Box-Behnken experimental design and response surface methodology was developed. The FEA model realistically simulates tool–bone interaction, while the RSM systematically investigates the coupling effects of bone density (480–800–1640 kg/m 3 ), ultrasonic amplitude (60–100 μm), and feed rate (1–4 mm/s). A second-order polynomial model was derived, revealing that the grinding force increased with bone density (coefficient: + 3.10) and feed rate (coefficient: + 2.55), but decreased with ultrasonic amplitude (coefficient: − 2.52). Rigorous validation via analysis of variance residual diagnostics, and robotic-assisted physical experiments confirmed a maximum prediction error of 7.10%, demonstrating higher accuracy than existing models. Based on a 20 N safety threshold, clinically actionable safety boundaries were visualized as heatmaps, offering clear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2025:</w:t>
      </w:r>
      <w:r>
        <w:t xml:space="preserve"> New Insolation Forcing for Paleoclimate Models — https://doi.org/10.5194/egusphere-egu25-14317</w:t>
      </w:r>
    </w:p>
    <w:p>
      <w:pPr/>
      <w:r>
        <w:rPr>
          <w:b/>
        </w:rPr>
        <w:t>Shared claim-specific concepts:</w:t>
      </w:r>
      <w:r>
        <w:t xml:space="preserve"> during, period, climate, show; EU scope not established. This is a provisional connection, not an outcome finding.</w:t>
      </w:r>
    </w:p>
    <w:p>
      <w:pPr>
        <w:pStyle w:val="SourceNote"/>
      </w:pPr>
      <w:r>
        <w:rPr>
          <w:b/>
        </w:rPr>
        <w:t>Available abstract (not full text):</w:t>
      </w:r>
      <w:r>
        <w:t xml:space="preserve"> In paleoclimate simulations, the insolation forcing at the top of the atmosphere needs to be altered to reflect Earth's orbital history during the time interval of interest. General Circulation Models (GCMs) often rely on either a modern orbital configuration to allow for direct comparison to modern and near-future climate simulations—sometimes with snapshot sensitivity experiments (DeepMIP, PlioMIP, etc.)—or they use the Berger (1978) (Ber78) routines to compute the orbital parameters. For snapshot simulations targeting older time periods such as the Eocene, using the modern orbital configuration is inappropriate, because the obliquity amplitude, for example, was much smaller than in the recent past. Our astronomical solutions ZB18a and ZB20a have been shown to produce the best match with geologic data to 58 Ma and 71 Ma, respectively (Zeebe &amp; Lourens 2019, Kocken &amp; Zeebe 2024). The eccentricity of the Ber78 solution diverges from these astronomical solutions already at ~33 ka, shows a different amplitude throughout, and drifts out of phase at ~1.6 Ma. It has been noted in the literature as well as code that the Ber78 routines are not appropriate for an analysis of time periods older than ~1 Myr. However, even recent transient simulations of the past 3 Myr sometimes fall back to using these outdated routines for the full time period. This is likely because of their ease of use</w:t>
      </w:r>
    </w:p>
    <w:p>
      <w:pPr/>
      <w:r>
        <w:rPr>
          <w:b/>
        </w:rPr>
        <w:t>POSSIBLE 2025:</w:t>
      </w:r>
      <w:r>
        <w:t xml:space="preserve"> Guidelines for producing integrated 210Pb and 14C age-models — https://doi.org/10.1016/j.earscirev.2025.105301</w:t>
      </w:r>
    </w:p>
    <w:p>
      <w:pPr/>
      <w:r>
        <w:rPr>
          <w:b/>
        </w:rPr>
        <w:t>Shared claim-specific concepts:</w:t>
      </w:r>
      <w:r>
        <w:t xml:space="preserve"> integrated, forcings, during, climate, special; EU scope not established. This is a provisional connection, not an outcome finding.</w:t>
      </w:r>
    </w:p>
    <w:p>
      <w:pPr>
        <w:pStyle w:val="SourceNote"/>
      </w:pPr>
      <w:r>
        <w:rPr>
          <w:b/>
        </w:rPr>
        <w:t>Available abstract (not full text):</w:t>
      </w:r>
      <w:r>
        <w:t xml:space="preserve"> Accurate reconstructions of past environmental changes are crucial in paleoecological research and require reliable chronologies of sedimentary archives. Establishing robust age-models and obtaining the most appropriate proxies for analysis is a complex scientific endeavor, requiring extensive resources and collaboration among specialists, including radiochronologists. Radiometric dating methods, such as 210 Pb and radiocarbon ( 14 C), are frequently employed to establish chronologies in aquatic sedimentary deposits and peat bogs. In this study, we review key aspects of sampling, analysis, and the principles underlying 210 Pb and 14 C age-models, focusing on methods for developing robust joint chronologies for paleoenvironmental research. Drawing largely from the authors' experiences and group discussions during and after a scientific workshop in 2022, we discuss important considerations for site selection, sampling strategies, and radiometric dating to construct integrated 210 Pb − 14 C age-models. Using expert consensus, this group – called Paleostats – aims to provide a set of best practices for other geochronologists with this methods paper. Among our conclusions, we emphasize the importance of accounting for site-specific factors such as prior information on sedimentation rates to establish appropriate sampling and analytical strategies. The use of appropriate coring devic</w:t>
      </w:r>
    </w:p>
    <w:p>
      <w:pPr/>
      <w:r>
        <w:rPr>
          <w:b/>
        </w:rPr>
        <w:t>POSSIBLE 2025:</w:t>
      </w:r>
      <w:r>
        <w:t xml:space="preserve"> Integrated Population Pharmacokinetic Model of Bemnifosbuvir and Metabolites — https://doi.org/10.70534/shuv4538</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Objectives: Bemnifosbuvir (BEM: hemisulfate salt, AT-527; free base, AT-511) is an orally administered guanosine nucleotide prodrug under clinical development for the treatment of coronavirus disease 2019 (COVID-19) and chronic hepatitis C virus (HCV). An integrated population PK model was developed to simultaneously characterize the PK of BEM free base AT-511 and its metabolites: the L-alanyl intermediate AT-551, N6-modified nucleoside metabolite AT-229, and the guanosine nucleoside metabolite AT-273 considered the plasma surrogate of the active intracellular triphosphate metabolite.Methods: Models for each analyte were first developed sequentially using rich data from healthy volunteers, starting with AT-511 and adding on the metabolites incrementally. Estimates of the fraction of the dose that reaches the systemic circulation as AT-511, AT-551, AT-229 and AT-273 due to first-pass metabolism were estimated. Food and formulation effects on the relative bioavailability and absorption of AT-511 were incorporated into the structural model. After the individual structural models were established, the models were combined into a single integrated model that simultaneously estimated model parameters for all analytes with data from COVID-19 and HCV patients added. In the integrated model, the first-pass metabolism estimates were fixed to avoid unidentifiability. Model development uti</w:t>
      </w:r>
    </w:p>
    <w:p>
      <w:pPr>
        <w:pStyle w:val="Heading2"/>
      </w:pPr>
      <w:r>
        <w:t>1000.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2026:</w:t>
      </w:r>
      <w:r>
        <w:t xml:space="preserve"> The Revolution Inside Wells’s War — https://doi.org/10.1093/9780191993800.003.0015</w:t>
      </w:r>
    </w:p>
    <w:p>
      <w:pPr/>
      <w:r>
        <w:rPr>
          <w:b/>
        </w:rPr>
        <w:t>Shared claim-specific concepts:</w:t>
      </w:r>
      <w:r>
        <w:t xml:space="preserve"> radically, different, understandings, but, also; EU scope not established. This is a provisional connection, not an outcome finding.</w:t>
      </w:r>
    </w:p>
    <w:p>
      <w:pPr>
        <w:pStyle w:val="SourceNote"/>
      </w:pPr>
      <w:r>
        <w:rPr>
          <w:b/>
        </w:rPr>
        <w:t>Available abstract (not full text):</w:t>
      </w:r>
      <w:r>
        <w:t xml:space="preserve"> Abstract This chapter examines three of the major texts Wells produced around the time of the First World War—The World Set Free, The War That Will End War, and Mr. Britling Sees It Through—and discovers fresh understandings of what the war meant for Wells. Using the critical idea of the historical novel sequence, this chapter joins writings ostensibly and even radically different—a fantastical futurist vision, a polemical set of editorials, and an historical novel on the war already underway—and connects them under an idea graspable in fragments in each but as a totality in the threesome. This is the idea of a revolution that the war originally configured and, in longer course for many authors, already in shorter course for Wells, also radically disappointed. Wells reveals his singularity in this regard.</w:t>
      </w:r>
    </w:p>
    <w:p>
      <w:pPr/>
      <w:r>
        <w:rPr>
          <w:b/>
        </w:rPr>
        <w:t>POSSIBLE 2026:</w:t>
      </w:r>
      <w:r>
        <w:t xml:space="preserve"> Is all decolonialism metaphorical? On the aesthetics of decolonizing humanitarian futures — https://doi.org/10.1017/s0260210526102113</w:t>
      </w:r>
    </w:p>
    <w:p>
      <w:pPr/>
      <w:r>
        <w:rPr>
          <w:b/>
        </w:rPr>
        <w:t>Shared claim-specific concepts:</w:t>
      </w:r>
      <w:r>
        <w:t xml:space="preserve"> radically, different, ways, political; EU scope not established. This is a provisional connection, not an outcome finding.</w:t>
      </w:r>
    </w:p>
    <w:p>
      <w:pPr>
        <w:pStyle w:val="SourceNote"/>
      </w:pPr>
      <w:r>
        <w:rPr>
          <w:b/>
        </w:rPr>
        <w:t>Available abstract (not full text):</w:t>
      </w:r>
      <w:r>
        <w:t xml:space="preserve"> Abstract Decolonialism generates a different kind of expertise. Against disembodied, technocratic, and purportedly neutral notions of objectivity as producing expertise, decolonial theory, practice, and politics instead situates expertise as a matter of contextual embeddedness, autonomous agency outside Eurocentric systems of thought, and a futurist imaginary that promises radical global change. Increasingly – moreover – this idea of decolonial expertise is being promoted at the heart of global governance institutions, and particularly humanitarian organizations. In this article, I explore how this has occurred, and its political tensions, in three main ways. First, I tease out how this decolonial challenge to expertise is an aesthetic one – grounded in critiques of how traditional and power-inflected notions of objectivity are themselves aesthetically produced. Second, and drawing on the analysis of the rise of decolonial discourse in humanitarianism, I unpack how decolonialism has mobilized a counter-aesthetic that challenges the appropriateness of that purportedly neutral aesthetic. Finally, I explore the implications of this aesthetic generation of (decolonial) expertise for decolonial politics more broadly, suggesting that – pace critics of ‘metaphorical’ forms of decolonialism – the aesthetic generation of expertise has the potential to radically advance decolonial object</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2025:</w:t>
      </w:r>
      <w:r>
        <w:t xml:space="preserve"> The roots of reactionary tech oligarchy and the need for radical democratic alternatives — https://doi.org/10.1093/ccc/tcaf011</w:t>
      </w:r>
    </w:p>
    <w:p>
      <w:pPr/>
      <w:r>
        <w:rPr>
          <w:b/>
        </w:rPr>
        <w:t>Shared claim-specific concepts:</w:t>
      </w:r>
      <w:r>
        <w:t xml:space="preserve"> not, only, but, also, political; EU scope not established. This is a provisional connection, not an outcome finding.</w:t>
      </w:r>
    </w:p>
    <w:p>
      <w:pPr>
        <w:pStyle w:val="SourceNote"/>
      </w:pPr>
      <w:r>
        <w:rPr>
          <w:b/>
        </w:rPr>
        <w:t>Available abstract (not full text):</w:t>
      </w:r>
      <w:r>
        <w:t xml:space="preserve"> Abstract The aim for this commentary is two-fold: first, we seek to outline how decades of liberal “post-democratic” hegemony—prevalent across liberal democratic parliaments, journalism, and academia—have enabled the rise of reactionary tech oligarchy. Second, we call for cross-disciplinary and cross-societal alliances that not only reject depoliticized euphemisms such as “polarization,” “populism,” and “post-truth,” but also actively commit to building radical democratic alternatives to both the failed liberal democratic status quo and its authoritarian outgrowth. Departing from the growing overt involvements of tech billionaires in authoritarian movements—financially, politically, discursively—we build on emergent scholarship to highlight failures in understanding the rise of reactionary tech, through its historical roots, financial and political power, and discursive reach.</w:t>
      </w:r>
    </w:p>
    <w:p>
      <w:pPr/>
      <w:r>
        <w:rPr>
          <w:b/>
        </w:rPr>
        <w:t>POSSIBLE 2024:</w:t>
      </w:r>
      <w:r>
        <w:t xml:space="preserve"> A pluriversal definition of Futures Studies: critical futures studies from margin to centre — https://doi.org/10.4337/9781035301607.00013</w:t>
      </w:r>
    </w:p>
    <w:p>
      <w:pPr/>
      <w:r>
        <w:rPr>
          <w:b/>
        </w:rPr>
        <w:t>Shared claim-specific concepts:</w:t>
      </w:r>
      <w:r>
        <w:t xml:space="preserve"> futurists, different, but, also, ways; EU scope not established. This is a provisional connection, not an outcome finding.</w:t>
      </w:r>
    </w:p>
    <w:p>
      <w:pPr>
        <w:pStyle w:val="SourceNote"/>
      </w:pPr>
      <w:r>
        <w:rPr>
          <w:b/>
        </w:rPr>
        <w:t>Available abstract (not full text):</w:t>
      </w:r>
      <w:r>
        <w:t xml:space="preserve"> Decolonial futures, African futurity, Afrofuturism, and feminist futures are currently framed in futures studies, at best as important ‘critical’ or alternative add-ons, at worst, marginal futures pursued by particular voices. I aspire to demonstrate why these ‘critical’ or ‘radical futures’ approaches should be read as essential in a pluriversal approach to futures studies. If our field is truly interdisciplinary, its centre(s) should reflect the pluriversality of its past, present, and future. By doing so, I claim that the aforementioned approaches, also known as critical futures, are the ones helping futurists today articulate the most fundamental questions for the definition of futures studies. They are therefore everything but peripheral. These key questions are structured around the importance of agency in a broader understanding of futures studies. They articulate imagination, rest, empathy, engaged participation, and the admission of ignorance as central pillars of the work of futurists. First describing the central questions from these four ‘schools of thought’ and their centrality for futures studies, the chapter finds in their misclassification one of the explanations for their erasure and proposes five ways to prevent its perpetuation. A pluriversal definition of futures studies as the documentation, implementation, and assessment of the instrumentalisation of the f</w:t>
      </w:r>
    </w:p>
    <w:p>
      <w:pPr/>
      <w:r>
        <w:rPr>
          <w:b/>
        </w:rPr>
        <w:t>POSSIBLE 2024:</w:t>
      </w:r>
      <w:r>
        <w:t xml:space="preserve"> THE IMPORTANCE OF FUTURISM FOR THE NEW AESTHETICS OF FASHION — https://doi.org/10.22405/2304-4772-2024-1-2-46-55</w:t>
      </w:r>
    </w:p>
    <w:p>
      <w:pPr/>
      <w:r>
        <w:rPr>
          <w:b/>
        </w:rPr>
        <w:t>Shared claim-specific concepts:</w:t>
      </w:r>
      <w:r>
        <w:t xml:space="preserve"> futurists, different, not, only, but, also; EU scope not established. This is a provisional connection, not an outcome finding.</w:t>
      </w:r>
    </w:p>
    <w:p>
      <w:pPr>
        <w:pStyle w:val="SourceNote"/>
      </w:pPr>
      <w:r>
        <w:rPr>
          <w:b/>
        </w:rPr>
        <w:t>Available abstract (not full text):</w:t>
      </w:r>
      <w:r>
        <w:t xml:space="preserve"> The purpose of the article is to identify the significance of futurism for the developmentof a new aesthetic view on contemporary fashion. Futurism, originating within the avant-garde artof the twentieth century, appeared as an integral artistic and aesthetic movement that left a tracenot only in art, but also influenced the aesthetics of fashion.Scientific novelty. The theory and practice of avant-garde movements are analyzed bymost researchers within the framework of literary and pictorial creativity, while the sphere ofcostume creation as an object of fashion remains third-rate for the researchers of futurism.Understanding the origins of the costume transformation initiated by the Futurists is not given dueattention, while the idea of destroying the boundaries between separate types of art has been mostembodied in this movement in the innovative artistic and aesthetic trend of vestimentary fashion.Thanks to the search for a new aesthetic image of a person, developed methods of working withartistic and expressive means, the Futurists gave a powerful impetus to changes in fashion ideals,which further affected the development of fashion aesthetics. The results of the study. The futuristic trend is relevant in our time, having resumed itsdevelopment in the 1960s on the basis of utopian images of the future, marking the beginning ofthe space age, the artistic and aesthetic phenom</w:t>
      </w:r>
    </w:p>
    <w:p>
      <w:pPr/>
      <w:r>
        <w:rPr>
          <w:b/>
        </w:rPr>
        <w:t>POSSIBLE 2024:</w:t>
      </w:r>
      <w:r>
        <w:t xml:space="preserve"> Radical Left Culture and Heritage, the Politics of Preservation and Memorialisation, and the Promise of the Metaverse — https://doi.org/10.3390/heritage7020026</w:t>
      </w:r>
    </w:p>
    <w:p>
      <w:pPr/>
      <w:r>
        <w:rPr>
          <w:b/>
        </w:rPr>
        <w:t>Shared claim-specific concepts:</w:t>
      </w:r>
      <w:r>
        <w:t xml:space="preserve"> but, project, political; EU scope not established. This is a provisional connection, not an outcome finding.</w:t>
      </w:r>
    </w:p>
    <w:p>
      <w:pPr>
        <w:pStyle w:val="SourceNote"/>
      </w:pPr>
      <w:r>
        <w:rPr>
          <w:b/>
        </w:rPr>
        <w:t>Available abstract (not full text):</w:t>
      </w:r>
      <w:r>
        <w:t xml:space="preserve"> Radical left culture and heritage—understood as incarnations of leftist artefacts and praxis both past and present—have taken risks in challenging hegemonic machinations often when it is unpopular to do so. To the ire of hegemons, leftist projects across the globe have marshalled places, spaces, and technologies into sites of empowerment and struggle utilising ‘small’ and ‘big’ acts of resistance and critical interventions to champion social justice—sometimes successfully, and at other times, less so. However, the preservation of projects’ artefacts, praxis, and memory work has been anything but straightforward, owing primarily to institutional politics and infrastructural and resourcing issues. Taking The Freedom Archives (FA) as a case study, this article explores how FA is preserving the distinctive political education programme that underpinned the iconic liberation struggle in Guinea-Bissau that kickstarted the seismic, global decolonisation project in the late 1950s. The article argues that FA could substantially enhance the preservation and memorialisation of that programme in the Metaverse—if this materialises as a fully open, interoperable, and highly immersive space (1) unfettered by hegemonic regulation, and (2) characterised by ‘strategic witnessing’, ‘radical recordkeeping’, and user agency. In doing so, FA would serve as an exemplar for leftist projects globally.</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pStyle w:val="Heading2"/>
      </w:pPr>
      <w:r>
        <w:t>1001.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2022:</w:t>
      </w:r>
      <w:r>
        <w:t xml:space="preserve"> Emergence of current European thinking and policies on doctoral education — https://doi.org/10.1111/ejed.12515</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Abstract In today's age of knowledge and technology, societies are changing fast, on both macro and micro levels. Hardly anyone could have predicted several years ago such an acceleration of change and its impact on society, and in particular, on higher education. In Europe as well as globally, higher education has been undergoing many changes for more than two decades. In many countries, the number of higher education institutions has increased, mass education has replaced more elite systems, universities have adopted different agenda, and research has become more competitive. In this new context, doctoral education has also needed to be redefined in order to better respond to societal and academic challenges. Doctoral education—a crucial segment of higher education and the main link between the European Higher Education Area and the European Research Area—has been receiving continuous attention for more than 15 years. This paper provides an overall view on changes in doctoral education in Europe, the background of this change process, and the context that led to these major changes. The main analysis will be presented from a European academic context perspective, but it will also reflect a global perspective. It will provide an analysis of all the milestones and consider the relevant policies and recommendations on the supranational level and their reflection on the national </w:t>
      </w:r>
    </w:p>
    <w:p>
      <w:pPr>
        <w:pStyle w:val="Heading2"/>
      </w:pPr>
      <w:r>
        <w:t>1002.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2024:</w:t>
      </w:r>
      <w:r>
        <w:t xml:space="preserve"> Warm regards: Influence of thermal haptic feedback during social interactions in VR — https://doi.org/10.1109/ismar62088.2024.00138</w:t>
      </w:r>
    </w:p>
    <w:p>
      <w:pPr/>
      <w:r>
        <w:rPr>
          <w:b/>
        </w:rPr>
        <w:t>Shared claim-specific concepts:</w:t>
      </w:r>
      <w:r>
        <w:t xml:space="preserve"> regards, second, potential; EU scope not established. This is a provisional connection, not an outcome finding.</w:t>
      </w:r>
    </w:p>
    <w:p>
      <w:pPr>
        <w:pStyle w:val="SourceNote"/>
      </w:pPr>
      <w:r>
        <w:rPr>
          <w:b/>
        </w:rPr>
        <w:t>Available abstract (not full text):</w:t>
      </w:r>
      <w:r>
        <w:t xml:space="preserve"> In this paper, we study how thermal haptic feedback can influence social interactions in virtual environments, with an emphasis on persuasion, focus, co-presence, and friendliness. Physical and social warmth have been repeatedly linked in psychological literature, which allows for speculations on the effect of thermal haptics on virtual social interactions. To that effect, we conducted a study on thermal feedback during simulated social interactions with a virtual agent. We tested three conditions: warm, cool, and neutral. Results showed that warm feedback positively influenced users’ perception of the agent and significantly enhanced persuasion and thermal comfort. Multiple users reported the agent feeling less ‘robotic’ and more ‘human’ during the warm condition. Moreover, multiple studies have previously shown the potential of vibrotactile feedback for social interactions. A second study thus evaluated the combination of warmth and vibrations for social interactions. The study included the same protocol and three similar conditions: warmth, vibrations, and warm vibrations. Warmth was perceived as more friendly, while warm vibrations heightened the agent’s virtual presence and persuasion. These results encourage the study of thermal haptics to support positive social interactions. Moreover, they suggest that some haptic feedback are more suited to certain types of social inte</w:t>
      </w:r>
    </w:p>
    <w:p>
      <w:pPr>
        <w:pStyle w:val="Heading2"/>
      </w:pPr>
      <w:r>
        <w:t>1003.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2024:</w:t>
      </w:r>
      <w:r>
        <w:t xml:space="preserve"> Cladodes of Opuntia ficus-indica (L.) Mill. Possess Important Beneficial Properties Dependent on Their Different Stages of Maturity — https://doi.org/10.3390/plants13101365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Opuntia ficus-indica (L.) Mill. belongs to the Cactaceae family and the genus Opuntia; it is a succulent plant that adapts to extreme climatic conditions. The aerial part of the plant consists of the cladodes, morphological changes of branches that appear green, are covered with thorns, and are essential to reduce excessive perspiration of water. The composition of cladodes is very varied, and the main constituents are water, fibers, polysaccharides, proteins, fatty acids, vitamins, sterols, minerals, and polyphenols. Polyphenols are responsible for many beneficial activities for human health, such as antioxidant, anti-inflammatory, antitumor, and nutritional properties. The purpose of this manuscript was to compare the properties of cladodes belonging to the same plant but with different stages of maturity. Relative extracts were tested both in vitro and on a cell line and antioxidant and anti-apoptotic properties were found. The antioxidant activity was tested by the ORAC test, the DPPH test, and the measurement of cellular accumulation of ROS. Anti-apoptotic activity was evaluated by the annexin/PI assay and measurement of caspases 9 and 3 expression. The results obtained have shown that the extracts considered possess antioxidant and anti-apoptotic properties. However, the different stages of maturity of cladodes are essential for the performance of both functions. In addit</w:t>
      </w:r>
    </w:p>
    <w:p>
      <w:pPr/>
      <w:r>
        <w:rPr>
          <w:b/>
        </w:rPr>
        <w:t>POSSIBLE 2024:</w:t>
      </w:r>
      <w:r>
        <w:t xml:space="preserve"> Different drying methods alter the quality parameters of ethnobotanically important Curcuma caesia Roxb. rhizomes — https://doi.org/10.14719/pst.3635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Curcuma caesia Roxb. of the Zingiberaceae family, is an ethnobotanically important rhizomatous perennial herb and is commonly known as “Black turmeric”. Like in other species of Curcuma, the pharmacologically important polyphenol curcumin is also found in C. caesia. In traditional medicine, C. caesia has been used to treat piles, leprosy, asthma, cancer, diabetes, fertility, toothache, vomiting, allergies, etc. Drying is considered the simplest and most cost-effective means of preserving raw plant materials, safeguarding the integrity of nearly all biologically active substances. Medicinal plant materials are primarily utilized in their dried forms in pharmaceutical industries. However, it has been observed that there is a lack of comprehensive information on the effects of different drying methods on quality parameters, and other pharmaceutically important aspects of C. caesia. Hence, here, we investigated the impact of various drying methods, such as direct sunlight exposure, solar drying, shade drying, and conventional oven drying with or without previous boiling, on the quality parameters of C. caesia rhizome, such as moisture, ash, and curcumin content. The results suggest that oven drying at 100 ?C, despite possessing favorable criteria for drug designing like the smallest particle sizes and the lowest moisture content, did not restore the maximum level of ash, curcumin, </w:t>
      </w:r>
    </w:p>
    <w:p>
      <w:pPr/>
      <w:r>
        <w:rPr>
          <w:b/>
        </w:rPr>
        <w:t>POSSIBLE 2024:</w:t>
      </w:r>
      <w:r>
        <w:t xml:space="preserve"> Gels/Hydrogels in Different Devices/Instruments—A Review — https://doi.org/10.3390/gels10090548</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Owing to their physical and chemical properties and stimuli-responsive nature, gels and hydrogels play vital roles in diverse application fields. The three-dimensional polymeric network structure of hydrogels is considered an alternative to many materials, such as conductors, ordinary films, constituent components of machines and robots, etc. The most recent applications of gels are in different devices like sensors, actuators, flexible screens, touch panels, flexible storage, solar cells, batteries, and electronic skin. This review article addresses the devices where gels are used, the progress of research, the working mechanisms of hydrogels in those devices, and future prospects. Preparation methods are also important for obtaining a suitable hydrogel. This review discusses different methods of hydrogel preparation from the respective raw materials. Moreover, the mechanism by which gels act as a part of electronic devices is described.</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pStyle w:val="Heading2"/>
      </w:pPr>
      <w:r>
        <w:t>1004.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2026:</w:t>
      </w:r>
      <w:r>
        <w:t xml:space="preserve"> EUROPE'S DILEMMA: CONTINUE THE PROXY WAR IN UKRAINE OR START EU REFORM — https://doi.org/10.5281/zenodo.18899368</w:t>
      </w:r>
    </w:p>
    <w:p>
      <w:pPr/>
      <w:r>
        <w:rPr>
          <w:b/>
        </w:rPr>
        <w:t>Shared claim-specific concepts:</w:t>
      </w:r>
      <w:r>
        <w:t xml:space="preserve"> reforms, article, possible; EU scope visible. This is a provisional connection, not an outcome finding.</w:t>
      </w:r>
    </w:p>
    <w:p>
      <w:pPr>
        <w:pStyle w:val="SourceNote"/>
      </w:pPr>
      <w:r>
        <w:rPr>
          <w:b/>
        </w:rPr>
        <w:t>Available abstract (not full text):</w:t>
      </w:r>
      <w:r>
        <w:t xml:space="preserve"> Abstract: This research article aims to present the European Union's declining position in the world economy and geopolitics and to examine its development options in light of the new American national security strategy and the Russo-Ukrainian war. As for the latter, the author, after presenting the changes in the geopolitical situation, examines the development of the Russo-Ukrainian war, presenting little-known justifications for it, and widely unknown facts about characteristics of the special military operation (SMO), the reasons for its initial failure, its transformation (into a war of attrition and proxy warfare), the results achieved, and possible escalation. Then, he analyzes one of the most important elements of the peace treaty under preparation - security guarantees - with special attention to the planned deployment of European deterrent forces in Ukraine, presenting arguments that this deployment does not serve to establish peace. The author concludes that the decline of the United States' role in Europe should convince the EU that if it wants to remain an influential player in the world, it must urgently introduce reforms to increase organizational and operational efficiency and competitiveness and to build a European military force without US participation. The resources needed for this can be secured, in significant part, by promoting the closure of the Russo-Uk</w:t>
      </w:r>
    </w:p>
    <w:p>
      <w:pPr/>
      <w:r>
        <w:rPr>
          <w:b/>
        </w:rPr>
        <w:t>POSSIBLE 2026:</w:t>
      </w:r>
      <w:r>
        <w:t xml:space="preserve"> 25. The Reformed Mode of Spelling — https://doi.org/10.11647/obp.0537.25</w:t>
      </w:r>
    </w:p>
    <w:p>
      <w:pPr/>
      <w:r>
        <w:rPr>
          <w:b/>
        </w:rPr>
        <w:t>Shared claim-specific concepts:</w:t>
      </w:r>
      <w:r>
        <w:t xml:space="preserve"> article, three; EU scope not established. This is a provisional connection, not an outcome finding.</w:t>
      </w:r>
    </w:p>
    <w:p>
      <w:pPr>
        <w:pStyle w:val="SourceNote"/>
      </w:pPr>
      <w:r>
        <w:rPr>
          <w:b/>
        </w:rPr>
        <w:t>Available abstract (not full text):</w:t>
      </w:r>
      <w:r>
        <w:t xml:space="preserve"> The objective of Chapter 25 is to provide contextualization for Franklin’s Reformed Mode of Spelling. The chapter is divided into three main sections. The first section provides background on Franklin’s editor, friend, and fellow Whig, Benjamin Vaughan (1751–1835), as well as his motivations for compiling and publishing Franklin’s writings under the title Political, Miscellaneous, and Philosophical Pieces written by Benjamin Franklin. The RMS composes the final chapter of this volume.While Franklin’s many other accomplishments far outweigh his contributions to orthography, both he and Vaughan evidently regarded the RMS as sufficiently important to include in the publication, and this despite the fact that it never went beyond a draft proposal. The second section reviews all previous linguistic studies dedicated to Franklin’s RMS. These extend from the eighteenth century to 2025. That being said, Charles Wise’s 1948 article was the single most significant contribution of the 20th century. Here, I outline the input these scholars have made to our understanding of Franklin’s alphabet and the phonological system it reflects. However, virtually all prior scholars have assumed that Franklin’s RMS reflected his native colonial accent. From this assumption, many concluded that Franklin’s English—and, by extension, colonial American English—was close to educated 18th century London Engl</w:t>
      </w:r>
    </w:p>
    <w:p>
      <w:pPr/>
      <w:r>
        <w:rPr>
          <w:b/>
        </w:rPr>
        <w:t>POSSIBLE 2023:</w:t>
      </w:r>
      <w:r>
        <w:t xml:space="preserve"> Which managerial reforms facilitate public sector innovation? — https://doi.org/10.1111/padm.12951</w:t>
      </w:r>
    </w:p>
    <w:p>
      <w:pPr/>
      <w:r>
        <w:rPr>
          <w:b/>
        </w:rPr>
        <w:t>Shared claim-specific concepts:</w:t>
      </w:r>
      <w:r>
        <w:t xml:space="preserve"> reforms, governance; EU scope visible. This is a provisional connection, not an outcome finding.</w:t>
      </w:r>
    </w:p>
    <w:p>
      <w:pPr>
        <w:pStyle w:val="SourceNote"/>
      </w:pPr>
      <w:r>
        <w:rPr>
          <w:b/>
        </w:rPr>
        <w:t>Available abstract (not full text):</w:t>
      </w:r>
      <w:r>
        <w:t xml:space="preserve"> Abstract A key question of public sector innovation (PSI) scholarship is: which factors influence innovation? This paper focuses on managerial practices as drivers of PSI and addresses two research questions. First, how have the main types of managerial reforms—pertaining to marketization, results‐orientation, and collaboration—influenced PSI? Second, how have different features of public sector reform strategies influenced PSI? Using survey data from 19 European countries, we show that reforms focusing on collaboration and results‐orientation facilitate PSI, while marketization‐type reforms have no significant impact. Our study indicates that reforms initiated by public administration (rather than politicians) are more conducive to PSI. We also show that reforms that are crisis‐driven and reforms oriented toward cost cutting have negative impacts on PSI. Overall, our findings demonstrate that New Public Governance‐type reforms exert more positive influence on PSI than NPM‐type reforms.</w:t>
      </w:r>
    </w:p>
    <w:p>
      <w:pPr/>
      <w:r>
        <w:rPr>
          <w:b/>
        </w:rPr>
        <w:t>POSSIBLE 2022:</w:t>
      </w:r>
      <w:r>
        <w:t xml:space="preserve"> The Partisan Politics of Family and Labor Market Policy Reforms in Southern Europe — https://doi.org/10.1093/oso/9780197601457.003.0004</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Abstract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paints a bleak picture for the further development of social investment in Southern Europe. Once fiscal constraints can eventually be overcome, a core question remains as to what extent an inclusive social investment coalition can be formed in an ever more fragmented political landscape.</w:t>
      </w:r>
    </w:p>
    <w:p>
      <w:pPr/>
      <w:r>
        <w:rPr>
          <w:b/>
        </w:rPr>
        <w:t>POSSIBLE 2022:</w:t>
      </w:r>
      <w:r>
        <w:t xml:space="preserve"> The Pharmaceutical Policy Reforms in Greece during the Economic Crisis, 2010-2015 — https://doi.org/10.9734/jpri/2022/v34i22b35859</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In the decade 2000-2009 Greece had the higher rate of public pharmaceutical expenditures as a percentage out of the total public health expenditure and the bigger per capita consumption of public pharmaceutical expenditure among the EU countries. At the end of this decade, Greek governments confronted with this “paradox” and tried to reduce it unsuccessfully. In order to finance its debt, Greece took a financial package of 110 billion € from Troika of the European Commission (EC), European Central Bank (ECB), and International Monetary Fund (IMF) under strict conditions and adopted austere policies designed by Troika all over the public finance sector in order to reduce its debts. Our aim is to provide an overview of new legislation starting from the first memorandum until the first quarter of 2014 and to record the impact of pharmaceutical reforms in all over the pharmaceutical chain. The legislation of this period had the reduction in public pharmaceutical expenditures as a primary endpoint. The new laws focus on new drug pricing policies, profit control regulations, and demand regulations. The economic targets in order to decrease public pharmaceutical expenditures were achieved but not without cost, all the parts in the pharmaceutical chain were affected, especially the last link the patients.</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2020:</w:t>
      </w:r>
      <w:r>
        <w:t xml:space="preserve"> Improving Economic Security through European Integration Reforms in Ukraine’s Social Sector — https://doi.org/10.12958/1817-3772-2020-4(62)-180-189</w:t>
      </w:r>
    </w:p>
    <w:p>
      <w:pPr/>
      <w:r>
        <w:rPr>
          <w:b/>
        </w:rPr>
        <w:t>Shared claim-specific concepts:</w:t>
      </w:r>
      <w:r>
        <w:t xml:space="preserve"> reforms, article; EU scope visible. This is a provisional connection, not an outcome finding.</w:t>
      </w:r>
    </w:p>
    <w:p>
      <w:pPr>
        <w:pStyle w:val="SourceNote"/>
      </w:pPr>
      <w:r>
        <w:rPr>
          <w:b/>
        </w:rPr>
        <w:t>Available abstract (not full text):</w:t>
      </w:r>
      <w:r>
        <w:t xml:space="preserve"> According to the Constitution of Ukraine (Article 1), Ukraine is a democratic, social and rule of law state. Developing a highly developed welfare state in Ukraine requires shaping its concept model and mechanisms of its functioning. Active and efficient social policy should become a solid foundation for comprehensive innovative, social development, integration into the European Union, the basis for developing a welfare state with a competitive socially oriented market economy capable of ensuring human development, decent standards and quality of life. This article substantiates the problem of ensuring the economic security of the state and suggests the ways to achieve European standards in the national social sphere. Ukraine has chosen the strategic course of the European integration as a priority of its domestic and foreign policy. This course provides for modernization of all spheres of life at the state and local levels in accordance with the broad context of the development strategy of the EU member states. Modern ideology, which is based on the principles of protection of citizens from major social risks (disability, impoverishment, etc.) and, partially, social paternalism, should be reconsidered in the context of principled of social inclusion. Improvement of existing approaches to social programming should start with a focus on the development and implementation of fund</w:t>
      </w:r>
    </w:p>
    <w:p>
      <w:pPr/>
      <w:r>
        <w:rPr>
          <w:b/>
        </w:rPr>
        <w:t>POSSIBLE 2020:</w:t>
      </w:r>
      <w:r>
        <w:t xml:space="preserve"> Under pressure. Economic constraints, electoral politics and labour market reforms in Southern Europe in the decade of the Great Recession — https://doi.org/10.1111/1475-6765.12414</w:t>
      </w:r>
    </w:p>
    <w:p>
      <w:pPr/>
      <w:r>
        <w:rPr>
          <w:b/>
        </w:rPr>
        <w:t>Shared claim-specific concepts:</w:t>
      </w:r>
      <w:r>
        <w:t xml:space="preserve"> reforms, eurozone; EU scope visible. This is a provisional connection, not an outcome finding.</w:t>
      </w:r>
    </w:p>
    <w:p>
      <w:pPr>
        <w:pStyle w:val="SourceNote"/>
      </w:pPr>
      <w:r>
        <w:rPr>
          <w:b/>
        </w:rPr>
        <w:t>Available abstract (not full text):</w:t>
      </w:r>
      <w:r>
        <w:t xml:space="preserve"> Abstract Even when subject to comparable exogenous constraints during the Eurozone crisis and in its immediate aftermath, governments in Southern Europe have pursued distinct labour market reform agendas. What room for manoeuvre did governments of crisis‐struck peripheral countries really have in shaping their labour market reform strategies, and how can we account for the observed variation? We address these questions by making a twofold contribution to the debate on the political economy of austerity in the Eurozone periphery. First, through the first systematic analysis of all labour market and collective bargaining (CB) reforms implemented in Portugal, Spain, Italy and Greece over 2009–2019, we identify those elements of core labour market deregulation common across Southern European countries (namely, the loosening of employment protection for workers on open‐ended contracts and the decentralisation of CB to the firm level); and those elements of variation, both cross‐country and cross‐party, in the content of corollary labour market interventions that accompanied this core deregulation. Second, we explain these similarities and variations in reform outcomes as the product of the interaction of two factors: economic constraints and electoral dynamics. We argue that the implementation of the common core of deregulation is linked to the exogenous pressure to improve export c</w:t>
      </w:r>
    </w:p>
    <w:p>
      <w:pPr/>
      <w:r>
        <w:rPr>
          <w:b/>
        </w:rPr>
        <w:t>POSSIBLE 2020:</w:t>
      </w:r>
      <w:r>
        <w:t xml:space="preserve"> Socio-economic viability of public management in the context of European integration processes — https://doi.org/10.24818/amp/2020.35-09</w:t>
      </w:r>
    </w:p>
    <w:p>
      <w:pPr/>
      <w:r>
        <w:rPr>
          <w:b/>
        </w:rPr>
        <w:t>Shared claim-specific concepts:</w:t>
      </w:r>
      <w:r>
        <w:t xml:space="preserve"> starting, reforms, article; EU scope visible. This is a provisional connection, not an outcome finding.</w:t>
      </w:r>
    </w:p>
    <w:p>
      <w:pPr>
        <w:pStyle w:val="SourceNote"/>
      </w:pPr>
      <w:r>
        <w:rPr>
          <w:b/>
        </w:rPr>
        <w:t>Available abstract (not full text):</w:t>
      </w:r>
      <w:r>
        <w:t xml:space="preserve"> The European Union forms new requirements for the efficiency of public institutions and the gradual transformation of public management. The relationship between the viability of public management to solve internal problems and the dynamics of socio-economic development is obvious. So, the evaluation of the viability of public institutions’ actions related to the socio-economic processes in any country has theoretical and practical significance. The purpose of our study is to assess the socio-economic viability of public management in the context of European integration processes. Within the article, a comprehensive study of the public management viability in EU countries is presented. The specificity of the study is to assess the socio-economic viability of public management on the basis of economic and social indicators of EU countries. According to the overview of scientific works it is a need to use a comprehensive indicator of public management viability evaluation. So, the considerable attention is paid to the deepening of methodical aspects of public management effectiveness on the basis of multicriteria methods. The result of the study is the calculation of the Socio-Economic Viability Index of Public Management. The obtained results prove the relationship between the SocioEconomic Viability Index of Public Management and the progress of economic reforms in the EU, with</w:t>
      </w:r>
    </w:p>
    <w:p>
      <w:pPr/>
      <w:r>
        <w:rPr>
          <w:b/>
        </w:rPr>
        <w:t>POSSIBLE 2020:</w:t>
      </w:r>
      <w:r>
        <w:t xml:space="preserve"> The Partisan Politics of Family and Labor Market Policy Reforms in Southern Europe — https://doi.org/10.31235/osf.io/md5zb</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 a bleak picture for the further development of social investment in Southern Europe. Once fiscal constraints can eventually be overcome, a core question remains to what extent an inclusive social investment coalition can be formed in an ever more fragmented political landscape.</w:t>
      </w:r>
    </w:p>
    <w:p>
      <w:pPr>
        <w:pStyle w:val="Heading2"/>
      </w:pPr>
      <w:r>
        <w:t>1005.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2026:</w:t>
      </w:r>
      <w:r>
        <w:t xml:space="preserve"> Fifty years of research have deepened uncertainties in global irrigation water withdrawals — https://doi.org/10.1038/s44221-026-00710-0</w:t>
      </w:r>
    </w:p>
    <w:p>
      <w:pPr/>
      <w:r>
        <w:rPr>
          <w:b/>
        </w:rPr>
        <w:t>Shared claim-specific concepts:</w:t>
      </w:r>
      <w:r>
        <w:t xml:space="preserve"> water, withdrawals, increase, between, indicate; EU scope not established. This is a provisional connection, not an outcome finding.</w:t>
      </w:r>
    </w:p>
    <w:p>
      <w:pPr>
        <w:pStyle w:val="SourceNote"/>
      </w:pPr>
      <w:r>
        <w:rPr>
          <w:b/>
        </w:rPr>
        <w:t>Available abstract (not full text):</w:t>
      </w:r>
      <w:r>
        <w:t xml:space="preserve"> Abstract For five decades, refining models and datasets has been regarded as central to reducing uncertainty in global irrigation water withdrawal estimates. However, whether these efforts have succeeded remains unclear. Here we compile 1,621 global estimates from 65 studies published between 1974 and 2025 and evaluate them across 360 analytical pathways, spanning a comprehensive range of plausible statistical designs. Our results indicate that uncertainty in global irrigation water withdrawals has not declined: only 18% of pathways show any reduction over time, falling to 10% once projections to 2100 are excluded. Paths split between an unstable trend (42%) and an increase in uncertainty (35%), and where a net direction exists, it is an increase by more than two to one. Progress may therefore require the field to renounce the goal of reducing uncertainty and instead double down on what it has historically done best: expanding it, until uncertainty reaches the boundary of what current knowledge of global irrigation cannot exclude.</w:t>
      </w:r>
    </w:p>
    <w:p>
      <w:pPr/>
      <w:r>
        <w:rPr>
          <w:b/>
        </w:rPr>
        <w:t>POSSIBLE 2026:</w:t>
      </w:r>
      <w:r>
        <w:t xml:space="preserve"> Modeling Incentive‐Driven Cooperation in Agricultural Water Use Under Unequal Withdrawal Condition — https://doi.org/10.1029/2025wr042236</w:t>
      </w:r>
    </w:p>
    <w:p>
      <w:pPr/>
      <w:r>
        <w:rPr>
          <w:b/>
        </w:rPr>
        <w:t>Shared claim-specific concepts:</w:t>
      </w:r>
      <w:r>
        <w:t xml:space="preserve"> water, withdrawals, between; EU scope not established. This is a provisional connection, not an outcome finding.</w:t>
      </w:r>
    </w:p>
    <w:p>
      <w:pPr>
        <w:pStyle w:val="SourceNote"/>
      </w:pPr>
      <w:r>
        <w:rPr>
          <w:b/>
        </w:rPr>
        <w:t>Available abstract (not full text):</w:t>
      </w:r>
      <w:r>
        <w:t xml:space="preserve"> Abstract Water allocation has long been framed as a general optimization problem in which users compete for a finite resource, leading much of the existing literature to adopt a top‐down perspective on how water should be distributed among users. However, in practice, water withdrawals may also be influenced by physical access and operational arrangements, such as direct abstraction from river channels through intake facilities for agricultural and industrial use. In such systems, disparities may arise between institutional allocation principles and effective access to water during shortage conditions, potentially creating asymmetric impacts among upstream, midstream, and downstream stakeholders. This study quantifies these impact asymmetries across river locations and evaluates stage‐based intake restriction strategies designed to mitigate inequitable outcomes during droughts. The proposed framework is applied to the Yeongsan River Basin in southwestern Korea through computational experiments to demonstrate how drought‐stage‐based intake regulations can improve both net profit and equity among stakeholders. A game‐theoretic approach is further employed to assess the potential for compensation across Pareto‐optimal solutions by examining whether the additional gains generated under cooperation are sufficient to offset stakeholder losses relative to the non‐cooperative baseline.</w:t>
      </w:r>
    </w:p>
    <w:p>
      <w:pPr/>
      <w:r>
        <w:rPr>
          <w:b/>
        </w:rPr>
        <w:t>POSSIBLE 2026:</w:t>
      </w:r>
      <w:r>
        <w:t xml:space="preserve"> Integration of unreported irrigation withdrawals in time-series models of groundwater levels (Seewinkel, Austria) — https://doi.org/10.5194/egusphere-egu26-13119</w:t>
      </w:r>
    </w:p>
    <w:p>
      <w:pPr/>
      <w:r>
        <w:rPr>
          <w:b/>
        </w:rPr>
        <w:t>Shared claim-specific concepts:</w:t>
      </w:r>
      <w:r>
        <w:t xml:space="preserve"> depending, water, withdrawals, resources; EU scope visible. This is a provisional connection, not an outcome finding.</w:t>
      </w:r>
    </w:p>
    <w:p>
      <w:pPr>
        <w:pStyle w:val="SourceNote"/>
      </w:pPr>
      <w:r>
        <w:rPr>
          <w:b/>
        </w:rPr>
        <w:t>Available abstract (not full text):</w:t>
      </w:r>
      <w:r>
        <w:t xml:space="preserve"> Groundwater monitoring networks are often particularly well established in areas where groundwater resources are exploited. Groundwater withdrawals in such areas potentially affect the observed groundwater levels. Models that are aimed at simulating groundwater levels therefore need to account for temporarily varying groundwater abstraction rates. Unfortunately, such information is rarely available, particularly in agricultural areas where multiple users extract groundwater for irrigation, depending on the seasonally varying crop water requirements. The objective of this work is to develop and test an approach for incorporating unreported irrigation withdrawals into data-driven time-series models of groundwater levels. To this end, irrigation is integrated into a lumped-parameter model coupling a root-zone model to a linear storage representing the groundwater body. While the irrigation demand is determined from the root-zone model, the groundwater abstraction needed to meet this demand is considered in the linear storage. The model is tested for the case of the shallow Seewinkel aquifer (Austria), which is almost exclusively used for irrigation. The model calibration yields a time-varying rate of groundwater abstraction. When compared with available irrigation estimates, the average groundwater abstraction obtained from the model is reasonable. The model suggests that the depl</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pStyle w:val="Heading2"/>
      </w:pPr>
      <w:r>
        <w:t>1006.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2026:</w:t>
      </w:r>
      <w:r>
        <w:t xml:space="preserve"> Assembly of the most massive Black Holes in the Universe — https://doi.org/10.7488/era/7378</w:t>
      </w:r>
    </w:p>
    <w:p>
      <w:pPr/>
      <w:r>
        <w:rPr>
          <w:b/>
        </w:rPr>
        <w:t>Shared claim-specific concepts:</w:t>
      </w:r>
      <w:r>
        <w:t xml:space="preserve"> critical, question, whether, massive, construct; EU scope not established. This is a provisional connection, not an outcome finding.</w:t>
      </w:r>
    </w:p>
    <w:p>
      <w:pPr>
        <w:pStyle w:val="SourceNote"/>
      </w:pPr>
      <w:r>
        <w:rPr>
          <w:b/>
        </w:rPr>
        <w:t>Available abstract (not full text):</w:t>
      </w:r>
      <w:r>
        <w:t xml:space="preserve"> Supermassive Black Holes (BHs) are nested at the centre of most galaxies, and are the most massive compact objects in the Universe. To this day, we still struggle to explain how these extremely massive objects have assembled and grown over time. Particularly puzzling is that the most massive BHs were thought to have assembled gradually over cosmic time, reaching their high masses only in the local Universe, but BHs already with very large masses in place have been identified at very early cosmic times. This discovery of an early, high-redshift massive BH population sparks the question of how these massive objects formed this quickly in the history of the Universe, and how could this mass build-up happen in such a surprisingly short amount of time. This thesis investigates the growth and assembly of the most massive BHs, emphasising their connection to host galaxies. Specifically, I investigate the active BH population, called Active Galactic Nuclei (AGN), selected through their X-ray emission. AGN represent a critical phase in BH evolution, during which in-falling gas forms an accretion disc, producing powerful radiation across the electromagnetic spectrum. X-ray selection provides a robust method to probe these accretion processes and construct an almost complete census of AGN across a broad range of the galaxy population. In Chapter 3, I study a rare subset of AGN called red </w:t>
      </w:r>
    </w:p>
    <w:p>
      <w:pPr/>
      <w:r>
        <w:rPr>
          <w:b/>
        </w:rPr>
        <w:t>POSSIBLE 2026:</w:t>
      </w:r>
      <w:r>
        <w:t xml:space="preserve"> Hubble as a Unique Discovery Engine of the Fate of Massive Stars and Black Hole Formation — https://doi.org/10.48550/arxiv.2606.10710</w:t>
      </w:r>
    </w:p>
    <w:p>
      <w:pPr/>
      <w:r>
        <w:rPr>
          <w:b/>
        </w:rPr>
        <w:t>Shared claim-specific concepts:</w:t>
      </w:r>
      <w:r>
        <w:t xml:space="preserve"> critical, question, whether, massive; EU scope not established. This is a provisional connection, not an outcome finding.</w:t>
      </w:r>
    </w:p>
    <w:p>
      <w:pPr>
        <w:pStyle w:val="SourceNote"/>
      </w:pPr>
      <w:r>
        <w:rPr>
          <w:b/>
        </w:rPr>
        <w:t>Available abstract (not full text):</w:t>
      </w:r>
      <w:r>
        <w:t xml:space="preserve"> How stellar-mass black holes are formed is an open question in astrophysics, with very limited observational constraints. It is not known which types of stars are more likely to produce black holes, and whether the formation process is accompanied by strong or weak electromagnetic transients - or none at all - and this issue remains a critical missing piece in the puzzle of the fate of massive stars. Recent theoretical work predicts that many stellar-mass black holes form from hot, UV-luminous massive stars, including Wolf-Rayet-like progenitors, and searches focused primarily on luminous cool supergiants may therefore miss a substantial fraction of black-hole formation events. While the coming decade will bring major advances in time-domain astronomy through Rubin/LSST, Roman, JWST, and wide-field transient surveys, none of these combines UV sensitivity, sub-arcsecond imaging, and decade-long continuity. HST uniquely enables direct searches for disappearing hot massive stars associated with black-hole formation. We outline a roadmap for extending HST's role in this area into the 2030s through a dedicated, large program to re-image nearby galaxies in the UV and identify candidate disappearing stars and unusual low-luminosity transients identified by complementary surveys. Theoretical event rates imply that the nearby galaxy population accessible to HST should yield of order one</w:t>
      </w:r>
    </w:p>
    <w:p>
      <w:pPr/>
      <w:r>
        <w:rPr>
          <w:b/>
        </w:rPr>
        <w:t>POSSIBLE 2025:</w:t>
      </w:r>
      <w:r>
        <w:t xml:space="preserve"> Selecting Injected Viscosity in Polymer Flood Projects: A Controversial and Critical Question — https://doi.org/10.3997/2214-4609.202531011</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Summary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its cost which can reach tens of dollars for large expansions. This paper will explain why the question still remains without a clear answer using case studies. The paper reviews the theoretical and practical arguments based on real field experience to help future project designers select the right viscosity for their polymer project. This is a critical issue as this can have an impact on injectivity and economics. Theoretical methods can be conservative and may lead to over-design. Reservoir simulations have also been used in several cases to justify extremely high polymer viscosities but in some cases field results do not bear out these expectations. The conclusions of this work show that several factors need to be considered when selecting polymer viscosity; beyond injectivity and mobility control which are obvious ones, another important</w:t>
      </w:r>
    </w:p>
    <w:p>
      <w:pPr/>
      <w:r>
        <w:rPr>
          <w:b/>
        </w:rPr>
        <w:t>POSSIBLE 2025:</w:t>
      </w:r>
      <w:r>
        <w:t xml:space="preserve"> Can Critical Thinking Be Learned? Critical Examination of Critical Thinking — https://doi.org/10.18690/um.ff.11.2025.10</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goal of this paper is to analyse the phenomenon of critical thinking and to examine the question of acquiring knowledge or the possibility to learn critical thinking. In particular, we want to examine which aspect(s) or element(s) of this phenomenon are subject to teaching and learning and which can at best be only slightly improved. In contrast to the unspecific and indiscriminate general view that critical thinking can be learned by nearly everyone, we argue that the answer depends on what is considered to be the nature and structure of critical thinking. In contrast to a more elaborate view that distinguishes two general parts of good reasoning, logical skills understood as the core of critical thinking, and intellectual virtues, and argues that only the former but not the latter can be subject to pedagogical teaching, we argue for the exact opposite.</w:t>
      </w:r>
    </w:p>
    <w:p>
      <w:pPr/>
      <w:r>
        <w:rPr>
          <w:b/>
        </w:rPr>
        <w:t>POSSIBLE 2025:</w:t>
      </w:r>
      <w:r>
        <w:t xml:space="preserve"> Psychopathy in children and adolescents: from current aspects of research to critical questions on conceptualisation — https://doi.org/10.15557/pipk.2024.0031</w:t>
      </w:r>
    </w:p>
    <w:p>
      <w:pPr/>
      <w:r>
        <w:rPr>
          <w:b/>
        </w:rPr>
        <w:t>Shared claim-specific concepts:</w:t>
      </w:r>
      <w:r>
        <w:t xml:space="preserve"> critical, considered, article, whether, construct; EU scope not established. This is a provisional connection, not an outcome finding.</w:t>
      </w:r>
    </w:p>
    <w:p>
      <w:pPr>
        <w:pStyle w:val="SourceNote"/>
      </w:pPr>
      <w:r>
        <w:rPr>
          <w:b/>
        </w:rPr>
        <w:t>Available abstract (not full text):</w:t>
      </w:r>
      <w:r>
        <w:t xml:space="preserve"> The conceptualisation and diagnosis of psychopathy in children and adolescents continue to generate many theoretical, methodological, and ethical controversies. Literature analysis reveals that growing interest among scientists, clinicians, and therapists in developmental psychopathy raises numerous questions, with one of the most critical being whether psychopathic traits can be identified at developmental stages earlier than adulthood. Psychopathy is a complex, multifaceted issue, which unfortunately often leads to misconceptions about its aetiology, diagnosis, and treatment. These misunderstandings are frequently shaped by common beliefs held by some scientists, clinicians, and the general public. This article aims to highlight the areas in which researchers are looking for early predictors of the aetiology and development of psychopathic personality disorder. Considering the historical context and contemporary research on psychopathy in children and adolescents, it can be stated that, despite the controversies surrounding it, psychopathy has become the focus of numerous analyses, leading to its recognition as a significant construct in understanding the development of personality disorders. However, the limitations of applying this term to children and adolescents have also been noted. Theoretical and empirical analysis of the individual variables that describe or constitut</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2024:</w:t>
      </w:r>
      <w:r>
        <w:t xml:space="preserve"> Critical Questions Generation: Motivation and Challenges — https://doi.org/10.18653/v1/2024.conll-1.9</w:t>
      </w:r>
    </w:p>
    <w:p>
      <w:pPr/>
      <w:r>
        <w:rPr>
          <w:b/>
        </w:rPr>
        <w:t>Shared claim-specific concepts:</w:t>
      </w:r>
      <w:r>
        <w:t xml:space="preserve"> critical, question, use; EU scope not established. This is a provisional connection, not an outcome finding.</w:t>
      </w:r>
    </w:p>
    <w:p>
      <w:pPr>
        <w:pStyle w:val="SourceNote"/>
      </w:pPr>
      <w:r>
        <w:rPr>
          <w:b/>
        </w:rPr>
        <w:t>Available abstract (not full text):</w:t>
      </w:r>
      <w:r>
        <w:t xml:space="preserve"> The development of Large Language Models (LLMs) has brought impressive performances on mitigation strategies against misinformation, such as counterargument generation.However, LLMs are still seriously hindered by outdated knowledge and by their tendency to generate hallucinated content.In order to circumvent these issues, we propose a new task, namely, Critical Questions Generation, consisting of processing an argumentative text to generate the critical questions (CQs) raised by it.In argumentation theory CQs are tools designed to lay bare the blind spots of an argument by pointing at the information it could be missing.Thus, instead of trying to deploy LLMs to produce knowledgeable and relevant counterarguments, we use them to question arguments, without requiring any external knowledge.Research on CQs Generation using LLMs requires a reference dataset for large scale experimentation.Thus, in this work we investigate two complementary methods to create such a resource: (i) instantiating CQs templates as defined by Walton's argumentation theory and (ii), using LLMs as CQs generators.By doing so, we contribute with a procedure to establish what is a valid CQ and conclude that, while LLMs are reasonable CQ generators, they still have a wide margin for improvement in this task.(a) Scheme -Argument from Cause to Effect Premise: Generally, if people pour into the USA, then American</w:t>
      </w:r>
    </w:p>
    <w:p>
      <w:pPr>
        <w:pStyle w:val="Heading2"/>
      </w:pPr>
      <w:r>
        <w:t>1007.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2026:</w:t>
      </w:r>
      <w:r>
        <w:t xml:space="preserve"> Critical iridium demands arising from global expansion of proton exchange membrane electrolysis — https://doi.org/10.1007/s44498-026-00088-y</w:t>
      </w:r>
    </w:p>
    <w:p>
      <w:pPr/>
      <w:r>
        <w:rPr>
          <w:b/>
        </w:rPr>
        <w:t>Shared claim-specific concepts:</w:t>
      </w:r>
      <w:r>
        <w:t xml:space="preserve"> expansion, production; EU scope not established. This is a provisional connection, not an outcome finding.</w:t>
      </w:r>
    </w:p>
    <w:p>
      <w:pPr>
        <w:pStyle w:val="SourceNote"/>
      </w:pPr>
      <w:r>
        <w:rPr>
          <w:b/>
        </w:rPr>
        <w:t>Available abstract (not full text):</w:t>
      </w:r>
      <w:r>
        <w:t xml:space="preserve"> Proton exchange membrane electrolysis (PEMEL) is a key technology for producing green hydrogen, but its scalability is limited by the use of scarce materials, particularly iridium. Iridium oxide, the preferred anode catalyst in PEMEL, offers exceptional stability but is produced only as a by-product of platinum mining, with annual output around 7.5 tons. This study estimates future iridium demand for PEMEL under various global deployment scenarios and technological advances. Results show that meeting net zero targets will require both significant improvements in catalyst efficiency and access to roughly 30% of global iridium production annually. Supply shortages could arise as early as 2030, earlier than previously anticipated. The analysis also reveals that long-term iridium needs beyond 2040 are significantly underestimated. These findings underscore the urgent need for innovation in material efficiency and recycling, and the importance of integrating resource constraints into energy policy and technology planning to ensure a sustainable hydrogen transition. Supplementary Information: The online version contains supplementary material available at 10.1007/s44498-026-00088-y.</w:t>
      </w:r>
    </w:p>
    <w:p>
      <w:pPr/>
      <w:r>
        <w:rPr>
          <w:b/>
        </w:rPr>
        <w:t>POSSIBLE 2026:</w:t>
      </w:r>
      <w:r>
        <w:t xml:space="preserve"> Economic incentives for conifers may limit broadleaf expansion in climate-adaptive European forests — https://doi.org/10.1038/s43247-026-04087-6</w:t>
      </w:r>
    </w:p>
    <w:p>
      <w:pPr/>
      <w:r>
        <w:rPr>
          <w:b/>
        </w:rPr>
        <w:t>Shared claim-specific concepts:</w:t>
      </w:r>
      <w:r>
        <w:t xml:space="preserve"> expansion, increasing, between; EU scope visible. This is a provisional connection, not an outcome finding.</w:t>
      </w:r>
    </w:p>
    <w:p>
      <w:pPr>
        <w:pStyle w:val="SourceNote"/>
      </w:pPr>
      <w:r>
        <w:rPr>
          <w:b/>
        </w:rPr>
        <w:t>Available abstract (not full text):</w:t>
      </w:r>
      <w:r>
        <w:t xml:space="preserve"> Abstract Forests are increasingly affected by climate change, highlighting the necessity of adaptive management to sustain ecosystem services. Yet adaptation is complicated by the interplay between ecological and socioeconomic considerations. We used an informed questionnaire to survey a selected group of forest professionals across different European sites, focusing on how perceptions of climate and socioeconomic change drive adaptive management choices. Here we show that professionals broadly agree on the negative impacts of climate change, with drought emerging as the dominant high-risk factor, while perceived socioeconomic change reflects rising timber demand and prices alongside higher operational costs. Professionals rank species diversity, mixing broadleaf and conifer species, and assisted natural regeneration as the priority adaptive measures, yet anticipated timber price increases lead a quarter of respondents to favor maintaining or increasing conifer shares. Economic expectations can change adaptation choices, highlighting a tension between ecological resilience and socioeconomic priorities that forest policy needs to address.</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2025:</w:t>
      </w:r>
      <w:r>
        <w:t xml:space="preserve"> Change in Household Demand in the Context of Concerns Regarding the Transition to a Healthy Diet — https://doi.org/10.24818/ea/2025/69/384</w:t>
      </w:r>
    </w:p>
    <w:p>
      <w:pPr/>
      <w:r>
        <w:rPr>
          <w:b/>
        </w:rPr>
        <w:t>Shared claim-specific concepts:</w:t>
      </w:r>
      <w:r>
        <w:t xml:space="preserve"> likely, food; EU scope visible. This is a provisional connection, not an outcome finding.</w:t>
      </w:r>
    </w:p>
    <w:p>
      <w:pPr>
        <w:pStyle w:val="SourceNote"/>
      </w:pPr>
      <w:r>
        <w:rPr>
          <w:b/>
        </w:rPr>
        <w:t>Available abstract (not full text):</w:t>
      </w:r>
      <w:r>
        <w:t xml:space="preserve"> This article investigates household consumption in 2011 and 2021, to see if there is evidence of changes in household demands of food.The European policy from Farm to Fork aims at providing sustainable, healthy food for all consumers, through an increase in vegetable consumption at the expense of meat consumption.We estimated demand functions for 8 groups of commodities, estimating expenditure and cross-price elasticities.Our finding suggests that Romanian households still view meat as an important dietary requirement, and since its demand is one of the most elastic, the intake will further increase.The quantity and expenditure share of vegetables decreased in the interval.The expenditure elasticity shows that urban households value vegetable consumption more than rural ones.The demand for fruits is elastic, in some cases more so than the one for meat, so it is likely that the fruits demand will continue to grow.From the analysis we can conclude that Romanian households diet preferences are not fulfilling the European aim of achieving "food consumption and healthy diets", since the demand for meat continues to grow, while the demand for vegetables is at best stationary.</w:t>
      </w:r>
    </w:p>
    <w:p>
      <w:pPr/>
      <w:r>
        <w:rPr>
          <w:b/>
        </w:rPr>
        <w:t>POSSIBLE 2025:</w:t>
      </w:r>
      <w:r>
        <w:t xml:space="preserve"> Minimum-Regret Hydrogen and Carbon Supply Chains to Decarbonize European Industrial Hydrogen Demands — https://doi.org/10.1021/acs.est.4c13659</w:t>
      </w:r>
    </w:p>
    <w:p>
      <w:pPr/>
      <w:r>
        <w:rPr>
          <w:b/>
        </w:rPr>
        <w:t>Shared claim-specific concepts:</w:t>
      </w:r>
      <w:r>
        <w:t xml:space="preserve"> expansion, production, conventional; EU scope visible. This is a provisional connection, not an outcome finding.</w:t>
      </w:r>
    </w:p>
    <w:p>
      <w:pPr>
        <w:pStyle w:val="SourceNote"/>
      </w:pPr>
      <w:r>
        <w:rPr>
          <w:b/>
        </w:rPr>
        <w:t>Available abstract (not full text):</w:t>
      </w:r>
      <w:r>
        <w:t xml:space="preserve"> High Resolution Image Download MS PowerPoint Slide Low-carbon hydrogen (H 2 ) is envisioned to play a central role in decarbonizing European hard-to-abate industries, such as refineries, ammonia, methanol, steel, and cement. To facilitate its widespread use, low-carbon H 2 supply chain (HSC) infrastructure is needed. However, uncertainties around future low-carbon H 2 demands and biomass availability hamper their proliferation. This work investigates the impact of uncertainties in H 2 demand and biomass availability on the optimal HSC design. A linear optimization model is used to determine the cost-optimal HSC design, considering a regional spatial resolution and a multiyear time horizon from 2022 to 2050. CO 2 and biomass infrastructure is designed alongside the HSC. A scenario-based approach is used to derive minimum-regret strategies and support infrastructure development. Results show that investing in scalable H 2 production capacity, targeting 10 Mt/a by 2030, enables flexible expansion to meet larger H 2 demands of up to 35 Mt/a by 2050. Although biomass-based H 2 production is most cost-effective, coupling conventional H 2 production with carbon capture and storage or investments in electrolysis provide more flexibility. Moreover, investments in CO 2 infrastructure are essential, often determining the ability to achieve 2050 climate targets.</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pStyle w:val="Heading2"/>
      </w:pPr>
      <w:r>
        <w:t>1008.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2025:</w:t>
      </w:r>
      <w:r>
        <w:t xml:space="preserve"> The impact of foreign ownership on firms: a systematic literature review — https://doi.org/10.1007/s11301-025-00504-w</w:t>
      </w:r>
    </w:p>
    <w:p>
      <w:pPr/>
      <w:r>
        <w:rPr>
          <w:b/>
        </w:rPr>
        <w:t>Shared claim-specific concepts:</w:t>
      </w:r>
      <w:r>
        <w:t xml:space="preserve"> recent, literature; EU scope not established. This is a provisional connection, not an outcome finding.</w:t>
      </w:r>
    </w:p>
    <w:p>
      <w:pPr>
        <w:pStyle w:val="SourceNote"/>
      </w:pPr>
      <w:r>
        <w:rPr>
          <w:b/>
        </w:rPr>
        <w:t>Available abstract (not full text):</w:t>
      </w:r>
      <w:r>
        <w:t xml:space="preserve"> Abstract Over the past three decades, the globalization of capital markets has flourished and seems unaffected amidst recent discussions around a deglobalization of the world economy. As a consequence, ownership structures of firms around the world have changed. The emergence of foreign investors as a distinct and powerful group of owners raises questions concerning the impact an increasingly diverse shareholder structure has on firms. Scholars have begun to shed light on the far-reaching consequences of foreign ownership for the organization and strategy of the firm. However, existing research on foreign ownership is scattered, partially because it stems from different disciplines. To map the state of this emerging research field, we present a systematic literature review spanning three decades. Specifically, we investigate foreign ownership’s impact on firms’ organization and strategy by identifying the most prominent themes discussed in the literature. Furthermore, we show that differentiating several types of foreign owners, and considering their origins, is crucial for understanding how their ownership influences firms. We also review the theoretical lenses dominating the research field. Based on our analyses, we develop a framework that synthesizes the state of the art and points at future research avenues to further unravel the multifold consequences of foreign ownership</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2024:</w:t>
      </w:r>
      <w:r>
        <w:t xml:space="preserve"> Recent Literature — https://openalex.org/W7153690891</w:t>
      </w:r>
    </w:p>
    <w:p>
      <w:pPr/>
      <w:r>
        <w:rPr>
          <w:b/>
        </w:rPr>
        <w:t>Shared claim-specific concepts:</w:t>
      </w:r>
      <w:r>
        <w:t xml:space="preserve"> recent, literature, shown, majority; EU scope not established. This is a provisional connection, not an outcome finding.</w:t>
      </w:r>
    </w:p>
    <w:p>
      <w:pPr>
        <w:pStyle w:val="SourceNote"/>
      </w:pPr>
      <w:r>
        <w:rPr>
          <w:b/>
        </w:rPr>
        <w:t>Available abstract (not full text):</w:t>
      </w:r>
      <w:r>
        <w:t xml:space="preserve"> The appendicular royology of the Sandhill Crane [Gr•s ½anadends tab•ta], with comparative remarks on the Whoophug Crane [G.americana].Wilson Bull., 68: 282-304.CLICK, B. 1956.Normal growth of the Bursa of Fabricius in Chickens.Poultry Sci., 35: 843-851.--Maximumbursa size was attained in Barred crosses, White Leghorns, and Rhode Island Reds between 10 and 12, 4•/• and 6, and 8 and 11 weeks, respectively--all at an earlier age than previously reported.The bursa of males was larger than that of females during the first 4 weeks after hatching.Recent Literature [Vol.DtLCER, W. C. 1956.Hylocichlid Thrushes in captivity with notes on their behaviottr.Avicultttral Mag., 62: 183-189.--Abrief but valuable description of activities such as sleeping, bathing, pellet casting, defecation, and comfort movements in adult and young thrushes.--F.M. Ooo•)wtN, D. 1955.Some observations on the reproductive behaviour of Rooks.British Birds, 48: 97-105.--Nestbuilding movements are apparently stereotyped, but in the early stages there is a reluctance to let go of a placed stick, lest it drop.Some male corvids can build nests but it seems that the presence of a female also doing so may be a necessary stimulus.Goodwin suggests that there is an innate attacking reaction to the sight of other rooks copulating, as Heinroth (1948) found in pigeons.These attacks occttr even upon paired birds.Any intruding m</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pStyle w:val="Heading2"/>
      </w:pPr>
      <w:r>
        <w:t>1009.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abstract, species, ranges, climate, conditions;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Metabolomic and Cardiotoxicity Analyses of American Aconitum Compared to Related Asian and European Species — https://doi.org/10.1055/a-2933-1425</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Aconitum species have been used as traditional medicines in Asian countries for millennia, and contain well-characterized bioactive diterpenoid alkaloids. In contrast, American Aconitum species have been less studied, despite their close phylogenetical relationship to the important Asian medicinal species. This study aims to investigate the chemistry and bioactivity of American Aconitum, since they also produce diterpenoid alkaloids that possess toxicity. The chemical profiles of three American Aconitum species, A. delphiniifolium, A. columbianum, and A. uncinatum, and their four individual plant parts (roots, stems, leaves, and flowers) were studied using UPLC-qTof-MSe technique, and compared to Asian and European species. Multivariate including principal component analysis (PCA) and orthogonal partial least squares discriminant analysis (OPLS-DA) were used to analyze the chemical profiles. PCA suggests that American Aconitum is more chemically similar to Asian than European species. Using OPLS-DA, 29 unique marker compounds were found in American Aconitum, but not in the Asian or European species, we studied. Nineteen marker compounds were tentatively identified using Progenesis Qi and reference standards, including proved analgesic compounds such as talatisamine and 14-benzoyltalatisamine as well as other bioactive compounds. The results suggest that American Aconit</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Nitrogen acquisition in Central European tree species is driven by counteracting species interactions and available soil N — https://doi.org/10.1007/s11104-025-07351-4</w:t>
      </w:r>
    </w:p>
    <w:p>
      <w:pPr/>
      <w:r>
        <w:rPr>
          <w:b/>
        </w:rPr>
        <w:t>Shared claim-specific concepts:</w:t>
      </w:r>
      <w:r>
        <w:t xml:space="preserve"> abstract, species, conditions, but; EU scope visible. This is a provisional connection, not an outcome finding.</w:t>
      </w:r>
    </w:p>
    <w:p>
      <w:pPr>
        <w:pStyle w:val="SourceNote"/>
      </w:pPr>
      <w:r>
        <w:rPr>
          <w:b/>
        </w:rPr>
        <w:t>Available abstract (not full text):</w:t>
      </w:r>
      <w:r>
        <w:t xml:space="preserve"> Abstract Background and aims The interactions between trees and their species-specific properties (e.g. growth rate, nutrient demand) drive the acquisition of growth-limiting nitrogen (N). In tree communities, the outcome of multiple potentially counteracting interactions can mask the underlying effects between species. Methods Using two-species approaches we investigated the interactions among seven common temperate Central European tree species differing in their morphological and physiological properties. Seedlings were grown under controlled conditions with no, intra-, or interspecific interactions at limited or excess soil N. We measured inorganic and organic net N uptake capacity and biomass and growth traits. Results Among species, inorganic and organic N acquisition was unrelated to general physiological and morphological plant properties (i.e. more N with fast growth) but was species-specific. Species interactions affected N acquisition and growth positively, negatively, and/or not depending on the species and available soil N. Which N sources were preferred changed with neighbour and soil N: With limited N, amino acids and nitrate were taken up most whereas with excess N, N acquisition was generally increased and ammonium preferred. Conclusions The interactions with different neighbouring tree species can affect inorganic and organic N acquisition of a species positiv</w:t>
      </w:r>
    </w:p>
    <w:p>
      <w:pPr/>
      <w:r>
        <w:rPr>
          <w:b/>
        </w:rPr>
        <w:t>POSSIBLE 2025:</w:t>
      </w:r>
      <w:r>
        <w:t xml:space="preserve"> Atlas for the Identification of Sturgeon Species of Europe by Skeletal Elements and Implications for Its Use in Archaeozoology — https://doi.org/10.1002/oa.70035</w:t>
      </w:r>
    </w:p>
    <w:p>
      <w:pPr/>
      <w:r>
        <w:rPr>
          <w:b/>
        </w:rPr>
        <w:t>Shared claim-specific concepts:</w:t>
      </w:r>
      <w:r>
        <w:t xml:space="preserve"> abstract, species, conditions; EU scope visible. This is a provisional connection, not an outcome finding.</w:t>
      </w:r>
    </w:p>
    <w:p>
      <w:pPr>
        <w:pStyle w:val="SourceNote"/>
      </w:pPr>
      <w:r>
        <w:rPr>
          <w:b/>
        </w:rPr>
        <w:t>Available abstract (not full text):</w:t>
      </w:r>
      <w:r>
        <w:t xml:space="preserve"> ABSTRACT This paper presents a comprehensive photographic atlas for the identification of sturgeon species in Europe based on skeletal elements. The atlas aims to facilitate accurate species identification of sturgeons from archaeological sites across Europe by providing photographs of key skeletal elements and main body measurements. These data were collected from examinations of 42 specimens representing eight sturgeon species and two intergeneric hybrids. The atlas covers 22 skeletal elements, focusing on those most commonly preserved in the context of archaeological sites and useful for species‐level identification. This resource is intended to support archaeozoologists in their efforts to reconstruct past human activities, trade networks, and environmental conditions. It can also contribute to current conservation efforts by documenting the diversity and distribution of individual species‐level taxa of sturgeons in the historical past of Europe.</w:t>
      </w:r>
    </w:p>
    <w:p>
      <w:pPr/>
      <w:r>
        <w:rPr>
          <w:b/>
        </w:rPr>
        <w:t>POSSIBLE 2025:</w:t>
      </w:r>
      <w:r>
        <w:t xml:space="preserve"> Welfare Indicators for Aquaculture Research: Toolboxes for Five Farmed European Fish Species — https://doi.org/10.1111/raq.70109</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Refining approaches to measuring, monitoring and appraising animal welfare in aquaculture research is key to (i) protecting and optimizing it, (ii) documenting the severity of how and when it deviates, and (iii) ensuring good scientific quality, reliable results and reproducibility, amongst other factors. However, different fish species and life stages can have varying welfare needs and assessing their welfare can be challenging. An array of welfare indicators (WIs) can be utilized when documenting fish welfare, and there is currently little consensus on which WIs are most applicable to the key fish species used in European aquaculture research. The aim of this review is to propose updated, fit for purpose and comprehensive WI toolboxes for aquaculture research involving Atlantic salmon ( Salmo salar ), rainbow trout ( Oncorhynchus mykiss ), European seabass ( Dicentrarchus labrax ), gilthead seabream ( Sparus aurata ), and the common carp ( Cyprinus carpio ). Where possible, these toolboxes will also include life‐stage considerations. It also provides information on utilizing WIs in deciding humane end‐points as well as information on how to sample different types of indicators. The review closes with information on how digitalization can affect the collection, collation and analysis of WI data in aquaculture research, including both practical and theoretical consider</w:t>
      </w:r>
    </w:p>
    <w:p>
      <w:pPr>
        <w:pStyle w:val="Heading2"/>
      </w:pPr>
      <w:r>
        <w:t>1010.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2025:</w:t>
      </w:r>
      <w:r>
        <w:t xml:space="preserve"> The Role of European Equestrian Institutions in Training Professionals: Outcomes from a Workshop on Horse Welfare in Equestrian Education — https://doi.org/10.3390/ani15020183</w:t>
      </w:r>
    </w:p>
    <w:p>
      <w:pPr/>
      <w:r>
        <w:rPr>
          <w:b/>
        </w:rPr>
        <w:t>Shared claim-specific concepts:</w:t>
      </w:r>
      <w:r>
        <w:t xml:space="preserve"> workshop, conducted, countries, suggest; EU scope visible. This is a provisional connection, not an outcome finding.</w:t>
      </w:r>
    </w:p>
    <w:p>
      <w:pPr>
        <w:pStyle w:val="SourceNote"/>
      </w:pPr>
      <w:r>
        <w:rPr>
          <w:b/>
        </w:rPr>
        <w:t>Available abstract (not full text):</w:t>
      </w:r>
      <w:r>
        <w:t xml:space="preserve"> This paper highlights and summarizes the experiences and perceptions of European equestrian educational experts from a workshop held at the French National Riding School in Saumur. The workshop, which brought together fifty leading experts, aimed to address challenges in equestrian education, identify common ground, and share best practices. Using 'The World Café' method, the participants were divided into groups to discuss four key topics: the relationship between horses and humans, diversity of perspectives versus common ground, training philosophy, and social acceptability. A follow-up online focus group was conducted six months later, and the discussions were transcribed and analyzed using qualitative content analysis. The results revealed the need for a universal cultural shift towards an evidence-based approach to riding and training horses, with equine welfare at its core. Key challenges, such as anthropomorphism, varying standards across disciplines and countries, and the evolving horse-human relationship, pose risks to the social license to operate. The findings suggest that educational institutions, with their shared values, are well-positioned to lead this change, although further research is needed to address pedagogical challenges. The study also emphasizes the importance of communicating 'good news stories' to promote evidence-based practices in training and compe</w:t>
      </w:r>
    </w:p>
    <w:p>
      <w:pPr/>
      <w:r>
        <w:rPr>
          <w:b/>
        </w:rPr>
        <w:t>POSSIBLE 2025:</w:t>
      </w:r>
      <w:r>
        <w:t xml:space="preserve"> Bone histomorphometry for the diagnosis of renal osteodystrophy – a European consensus statement — https://doi.org/10.1016/j.bone.2025.117544</w:t>
      </w:r>
    </w:p>
    <w:p>
      <w:pPr/>
      <w:r>
        <w:rPr>
          <w:b/>
        </w:rPr>
        <w:t>Shared claim-specific concepts:</w:t>
      </w:r>
      <w:r>
        <w:t xml:space="preserve"> issues, countries, part; EU scope visible. This is a provisional connection, not an outcome finding.</w:t>
      </w:r>
    </w:p>
    <w:p>
      <w:pPr>
        <w:pStyle w:val="SourceNote"/>
      </w:pPr>
      <w:r>
        <w:rPr>
          <w:b/>
        </w:rPr>
        <w:t>Available abstract (not full text):</w:t>
      </w:r>
      <w:r>
        <w:t xml:space="preserve"> Histomorphometric analysis of an iliac bone biopsy remains the gold standard for the diagnosis of renal osteodystrophy (ROD), which comprises various histological lesions induced by chronic kidney disease (CKD). ROD belongs to the framework of CKD-associated osteoporosis. The use of bone biopsy in the routine management of CKD-associated osteoporosis has decreased over the past decades for various reasons, including diminishing expertise in performing the procedure, and major variability in processing bone samples and reporting of results. In this context, the European Renal Osteodystrophy group, a part of the CKD-mineral and bone disorder working group of the European Renal Association launched an initiative to evaluate various issues related to bone histomorphometry in the context of ROD. To this effect, 28 experts from 14 European countries engaged in rounds of discussions to reach a consensus related to the bone biopsy procedure, sample handling, and reading and reporting findings. Key conclusions include a recommendation that all practitioners in this field move towards reporting diagnostic findings by the turnover, mineralization, and volume (TMV) classification and that external quality control is prioritized to ensure validity and reproducibility of results. The consensus group recognises that the lack of an accepted normative reference for bone histomorphometry is a ba</w:t>
      </w:r>
    </w:p>
    <w:p>
      <w:pPr>
        <w:pStyle w:val="Heading2"/>
      </w:pPr>
      <w:r>
        <w:t>1011.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2026:</w:t>
      </w:r>
      <w:r>
        <w:t xml:space="preserve"> On the economic prospects of non-Western migrants in Europe — https://doi.org/10.1007/s00148-026-01167-x</w:t>
      </w:r>
    </w:p>
    <w:p>
      <w:pPr/>
      <w:r>
        <w:rPr>
          <w:b/>
        </w:rPr>
        <w:t>Shared claim-specific concepts:</w:t>
      </w:r>
      <w:r>
        <w:t xml:space="preserve"> over, many, countries; EU scope visible. This is a provisional connection, not an outcome finding.</w:t>
      </w:r>
    </w:p>
    <w:p>
      <w:pPr>
        <w:pStyle w:val="SourceNote"/>
      </w:pPr>
      <w:r>
        <w:rPr>
          <w:b/>
        </w:rPr>
        <w:t>Available abstract (not full text):</w:t>
      </w:r>
      <w:r>
        <w:t xml:space="preserve"> Abstract Many European countries are concerned about the economic integration of low-skilled non-Western migrants. This study investigates skill disparities and their intergenerational persistence by employing a unique combination of Dutch survey and registry data linking math and language skills of parents and their children. We find that skills of non-Western migrants strongly converge towards those of natives; group differences in math and language are reduced by 60 to 70% over one generation. Ethnic externalities that may delay group convergence indefinitely appear not to be important. This suggests that the currently observed skill gaps of non-Western migrants in Europe are unlikely to persist for those migrants.</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2025:</w:t>
      </w:r>
      <w:r>
        <w:t xml:space="preserve"> Soldiers in Western Europe, c. 1500-1790 — https://doi.org/10.4324/9781003695455_ch04</w:t>
      </w:r>
    </w:p>
    <w:p>
      <w:pPr/>
      <w:r>
        <w:rPr>
          <w:b/>
        </w:rPr>
        <w:t>Shared claim-specific concepts:</w:t>
      </w:r>
      <w:r>
        <w:t xml:space="preserve"> over, decades, many, western; EU scope visible. This is a provisional connection, not an outcome finding.</w:t>
      </w:r>
    </w:p>
    <w:p>
      <w:pPr>
        <w:pStyle w:val="SourceNote"/>
      </w:pPr>
      <w:r>
        <w:rPr>
          <w:b/>
        </w:rPr>
        <w:t>Available abstract (not full text):</w:t>
      </w:r>
      <w:r>
        <w:t xml:space="preserve"> Particularly after the second half of the seventeenth century, when armed forces grew exponentially, armies typically ranked as the largest single employers within states. Thus, soldiers constituted the most numerous unified labour force within Europe. A consideration of troops within the framework of labour history is accordingly both appropriate and also long overdue, especially since in certain circumstances soldiers acted very much like modern workers. For example, it would not be out of line to regard military mutinies as among the largest and most effective strikes in European history before the emergence of labour militancy associated with the Industrial Revolution. However, generalizations about soldier-labour in Europe during the early modern period – taken here to encompass those decades falling roughly between 1500 and 1790 – have to be advanced cautiously and hedged around with caveats. This is for three principal reasons. First, there was considerable variety of practice both within and between polities with regard to the employment of soldiers, which makes generalization hazardous. Secondly, the period was characterized by considerable changes of practice. To be sure, the notion that these changes constituted a “military revolution”, at least in the format originally proposed by Michael Roberts in the 1950s and subsequently amended by Geoffrey Parker, has been cha</w:t>
      </w:r>
    </w:p>
    <w:p>
      <w:pPr/>
      <w:r>
        <w:rPr>
          <w:b/>
        </w:rPr>
        <w:t>POSSIBLE 2025:</w:t>
      </w:r>
      <w:r>
        <w:t xml:space="preserve"> Future changes in runoff over western and central Europe: disentangling the hydrological behavior of CMIP6 models — https://doi.org/10.5194/esd-16-1409-2025</w:t>
      </w:r>
    </w:p>
    <w:p>
      <w:pPr/>
      <w:r>
        <w:rPr>
          <w:b/>
        </w:rPr>
        <w:t>Shared claim-specific concepts:</w:t>
      </w:r>
      <w:r>
        <w:t xml:space="preserve"> over, western, large; EU scope visible. This is a provisional connection, not an outcome finding.</w:t>
      </w:r>
    </w:p>
    <w:p>
      <w:pPr>
        <w:pStyle w:val="SourceNote"/>
      </w:pPr>
      <w:r>
        <w:rPr>
          <w:b/>
        </w:rPr>
        <w:t>Available abstract (not full text):</w:t>
      </w:r>
      <w:r>
        <w:t xml:space="preserve"> A large ensemble of climate projections from the Coupled Model Intercomparison Project Phase 6 is analyzed to characterize changes in runoff over western and central Europe in the late 21st century under a high-end emissions scenario. Our second objective is to gain a better understanding of the mechanisms responsible for the inter-model uncertainties. For this purpose, the models are grouped according to their hydrological response using a hierarchical classification algorithm. Additional sensitivity experiments from two Model Intercomparison Projects are examined to better assess the role of the soil moisture–precipitation feedback and of the physiological impact of CO 2 in this context. Half of the clusters show no significant change or a slight increase in annual runoff, while the others show a substantial decrease. Even when models agree on the annual changes in runoff, the changes in precipitation and evapotranspiration that drive them can be very different, even in terms of sign. Seasonal changes further differentiate the hydrological behavior of the different clusters. It is difficult to reject any cluster of models based on their accuracy in representing climatological averages and recent trends. The link between present-day averages or trends and future changes is generally weak, and there are in general no major inconsistencies with reference datasets, partly because</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2024:</w:t>
      </w:r>
      <w:r>
        <w:t xml:space="preserve"> European Narratives and Euroscepticism in the Western Balkans and the EU — https://doi.org/10.4324/9781032674544</w:t>
      </w:r>
    </w:p>
    <w:p>
      <w:pPr/>
      <w:r>
        <w:rPr>
          <w:b/>
        </w:rPr>
        <w:t>Shared claim-specific concepts:</w:t>
      </w:r>
      <w:r>
        <w:t xml:space="preserve"> over, western, countries; EU scope visible. This is a provisional connection, not an outcome finding.</w:t>
      </w:r>
    </w:p>
    <w:p>
      <w:pPr>
        <w:pStyle w:val="SourceNote"/>
      </w:pPr>
      <w:r>
        <w:rPr>
          <w:b/>
        </w:rPr>
        <w:t>Available abstract (not full text):</w:t>
      </w:r>
      <w:r>
        <w:t xml:space="preserve"> Moving from a social movement perspective, this timely volume examines narratives on Euroscepticism and frames on Europe from below, at the party and social movement levels. Revealing perspectives from both the Right and the Left, it unpacks the emergence, re-emergence and increase in critical ‘voices’ and opposition towards Europe. Based on extensive fieldwork in two candidate countries for accession to the EU and three member states, it offers insight from analysis of focus groups, interviews with Eurosceptic and pro-European political actors and ordinary citizens, together with frame analysis and scrutiny of archival material, electoral manifestoes and organisational documents. Revealing the development of Eurocritical frames, it demonstrates the differences and similarities in narratives used to address Europe and the conceptualisation of Euroscepticism. Key cases examined include the rise of illiberalism in post-transition Slovenia; complex Euroscepticism in Poland; the path from strong support to harsh opposition in Italy; indecision over membership in North Macedonia; anticipating the future while revisiting the past in Bosnia and Herzegovina. Offering guidelines for the direction of future research and policy, European Narratives and Euroscepticism in the Western Balkans and the EU is essential reading for scholars and students of political sociology, political science,</w:t>
      </w:r>
    </w:p>
    <w:p>
      <w:pPr/>
      <w:r>
        <w:rPr>
          <w:b/>
        </w:rPr>
        <w:t>POSSIBLE 2024:</w:t>
      </w:r>
      <w:r>
        <w:t xml:space="preserve"> Western Balkans and the European Union Identity — https://doi.org/10.14232/bless.2024.1.1-11</w:t>
      </w:r>
    </w:p>
    <w:p>
      <w:pPr/>
      <w:r>
        <w:rPr>
          <w:b/>
        </w:rPr>
        <w:t>Shared claim-specific concepts:</w:t>
      </w:r>
      <w:r>
        <w:t xml:space="preserve"> western, countries, transformation; EU scope visible. This is a provisional connection, not an outcome finding.</w:t>
      </w:r>
    </w:p>
    <w:p>
      <w:pPr>
        <w:pStyle w:val="SourceNote"/>
      </w:pPr>
      <w:r>
        <w:rPr>
          <w:b/>
        </w:rPr>
        <w:t>Available abstract (not full text):</w:t>
      </w:r>
      <w:r>
        <w:t xml:space="preserve"> This paper examines the interplay between the European Union (EU) identity and the identities of countries in the Western Balkans, focusing on shared values, lifestyles, and the role of EU conditionality. It explores how EU-promoted values and lifestyles affects political, social, and economic landscapes in the Western Balkans, especially among the Western Balkan Six (WB6) aspiring for EU membership. Through qualitative case studies of the WB6, the paper analyses the influence of EU conditionality on the adoption of EU values and lifestyles, highlighting the comparison and dynamics of identity transformation during the EU integration process. By drawing on media interviews with policymakers, EU officials, and local stakeholders, as well as policy documents and academic literature, the paper discusses how EU conditionality shapes national identities in the region. It also addresses the challenges and opportunities these countries face in aligning with EU values, presenting obstacles to integration and opportunities for deeper engagement with the EU framework. The findings contribute to understanding the complexities of the EU’s enlargement policy, emphasising the strategic importance of the Western Balkans for the future of EU integration.</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pStyle w:val="Heading2"/>
      </w:pPr>
      <w:r>
        <w:t>1012.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2026:</w:t>
      </w:r>
      <w:r>
        <w:t xml:space="preserve"> Incentive distortions in FuelEU Maritime: Reforming the GHG intensity penalty structure — https://doi.org/10.1016/j.tranpol.2026.104333</w:t>
      </w:r>
    </w:p>
    <w:p>
      <w:pPr/>
      <w:r>
        <w:rPr>
          <w:b/>
        </w:rPr>
        <w:t>Shared claim-specific concepts:</w:t>
      </w:r>
      <w:r>
        <w:t xml:space="preserve"> ghg, emissions, transport; EU scope not established. This is a provisional connection, not an outcome finding.</w:t>
      </w:r>
    </w:p>
    <w:p>
      <w:pPr>
        <w:pStyle w:val="SourceNote"/>
      </w:pPr>
      <w:r>
        <w:rPr>
          <w:b/>
        </w:rPr>
        <w:t>Available abstract (not full text):</w:t>
      </w:r>
      <w:r>
        <w:t xml:space="preserve"> The FuelEU Maritime Regulation introduces a greenhouse gas (GHG) intensity standard for maritime transport, enforced through financial penalties for non-compliance. While intended to promote cost-effective decarbonization, this paper demonstrates that the current formulation creates a declining penalty per unit of non-compliance as emissions increase, weakening marginal abatement incentives for higher-emitting vessels and encouraging strategic behaviour. For a heterogeneous fleet with a fixed aggregate non-compliance balance, the total penalty depends on how non-compliance is distributed across vessels: it is maximized when GHG intensities are equalised and minimized at a boundary solution with at most one vessel taking an interior value between the target and baseline intensities. This feature introduces distortions that are inconsistent with efficient and equitable policy outcomes. To address these issues, we propose a reformed penalty structure and provide analytical results supported by numerical examples. The revised design restores constant marginal incentives, improves fairness and transparency, and eliminates strategic distortions in compliance markets. The results highlight the importance of functional form in policy design for maritime decarbonization.</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decline;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Emission Factors and Global Warming Potential as Key Parameters in GHG Emissions Reporting — https://doi.org/10.14311/bit.2026.01.01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calculation of greenhouse gas emissions represents a fundamental component of environmental reporting and the assessment of a company's carbon footprint. Although the resulting emissions are typically reported in metric tons of carbon dioxide equivalent, their determination is based on the use of emission factors and global warming potential values. The utilisation of these parameters facilitates the conversion of data pertaining to energy and fuel consumption, along with other activities, into comparable greenhouse gas emission values. The objective of this article is to analyse the significance of emission factors and GWP values in quantifying greenhouse gas emissions and to elucidate their role in the context of ESG reporting requirements. The focus of this paper is twofold: firstly, to examine the principles of their use in calculating emissions and, secondly, to consider the availability of input data, the differences between individual sources and their impact on the resulting reported emission values. The article goes on to examine the relationship between emission factors and GWP values, highlighting the fact that an inappropriate choice of these parameters can significantly affect the results of environmental reporting as a whole.</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pStyle w:val="Heading2"/>
      </w:pPr>
      <w:r>
        <w:t>1013.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2025:</w:t>
      </w:r>
      <w:r>
        <w:t xml:space="preserve"> MYSTERY OF DREAMING: THREE KINDS OF DREAMS — https://doi.org/10.18103/mra.v13i8.6757</w:t>
      </w:r>
    </w:p>
    <w:p>
      <w:pPr/>
      <w:r>
        <w:rPr>
          <w:b/>
        </w:rPr>
        <w:t>Shared claim-specific concepts:</w:t>
      </w:r>
      <w:r>
        <w:t xml:space="preserve"> three, kinds, based, third; EU scope not established. This is a provisional connection, not an outcome finding.</w:t>
      </w:r>
    </w:p>
    <w:p>
      <w:pPr>
        <w:pStyle w:val="SourceNote"/>
      </w:pPr>
      <w:r>
        <w:rPr>
          <w:b/>
        </w:rPr>
        <w:t>Available abstract (not full text):</w:t>
      </w:r>
      <w:r>
        <w:t xml:space="preserve"> Dreaming has fascinated mankind since antiquity. In most Christian cultures people believe that dreams bring messages of supernatural beings such as gods, angels and demons to the sleeper. Dreams contain often hidden messages, warning the sleeper for danger, predicting the future, clarifying situations, or rewarding or punishing the sleeping person. Many religious people assume that Gods preach through dreams. In contrast with sleep, where science reveals that sleep is crucial for physical health and many other functions, dreaming is still a mysterious process what difficult is to examine by science. There are several theories, but almost nobody can explain what a function of a dream is. The science of sleep starts toward the end of 1900 by a study of a certain Mary Cálkins, who found that in most dreams people told her, daily life is reflected. She formulated the ‘continuity’ hypothesis who later was shifted by Rosalind Cartwright in the direction of the role of dreams to the regulation of emotions. The continuity hypotheses was perfected by Calvin Hall and Robert Van de castle. Good old Freud looked deeper and formulated the ‘psychoanalytic’ theory implying that the psychoses of sick patients were perhaps coming from his adolescent period, which became a popular theory. It was in 1953 that Aserinsky and Kleitman discovered a second type of sleep, the REM sleep’ having many vi</w:t>
      </w:r>
    </w:p>
    <w:p>
      <w:pPr/>
      <w:r>
        <w:rPr>
          <w:b/>
        </w:rPr>
        <w:t>POSSIBLE 2025:</w:t>
      </w:r>
      <w:r>
        <w:t xml:space="preserve"> On Three Kinds of Autobiographical Narrative Harm and Their Interactions — https://doi.org/10.1007/s11245-025-10232-1</w:t>
      </w:r>
    </w:p>
    <w:p>
      <w:pPr/>
      <w:r>
        <w:rPr>
          <w:b/>
        </w:rPr>
        <w:t>Shared claim-specific concepts:</w:t>
      </w:r>
      <w:r>
        <w:t xml:space="preserve"> three, different, kinds; EU scope not established. This is a provisional connection, not an outcome finding.</w:t>
      </w:r>
    </w:p>
    <w:p>
      <w:pPr>
        <w:pStyle w:val="SourceNote"/>
      </w:pPr>
      <w:r>
        <w:rPr>
          <w:b/>
        </w:rPr>
        <w:t>Available abstract (not full text):</w:t>
      </w:r>
      <w:r>
        <w:t xml:space="preserve"> Abstract What does it mean for autobiographical narratives to be harmful? The answer often depends on the perspective adopted. At the personal level of analysis, the emphasis is on the individual and their private narrative practices, and narratives are typically characterized in relation to psychological well-being. At the relational level, the focus is on cooperation with co-authors and the environment in shaping autobiographical narratives, and narrative harm is usually framed as a threat to the individual’s narrative autonomy. Finally, at the structural level, autobiographical narration is viewed as an enculturated practice, shaped by shared templates or life scripts. Narrative harm, in this context, can be conceptualized as a misalignment between the values and normative frameworks embedded in master narratives and the individual’s own values. Although conceptually distinct, different kinds of narrative harm can interact. In trade-off situations, one kind of harm is accompanied by benefits in another domain. In cases of compounded narrative harm, different types of harm co-occur and overlap. Distinguishing these three kinds of narrative harm is crucial for illustrating how narrative practices can go wrong and their complex interactions.</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2024:</w:t>
      </w:r>
      <w:r>
        <w:t xml:space="preserve"> The European Mesolithic in Mountain Landscapes — https://doi.org/10.1093/oxfordhb/9780197608005.013.24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Abstract The use of mountain environments is a recurrent, although not universal, feature of the Mesolithic across Europe. However, synthesis of this material is rare. This means that it is difficult to assess whether regional variation in archaeological evidence is a product of different activities in the past, different research traditions, different post-depositional landscape histories, or—most likely—complex local combinations of all three. To help move past this problem, we provide a comparative approach to the mountain Mesolithic of Western Austria, Southern Norway, Scotland, and the Swiss Alps. For each region, we provide an overview of how sites have been found and what kinds of evidence is present. This allows us to present some comparable and contrasting aspects of the evidence at a European level. In turn, this perspective reinforces the importance of particular kinds of archaeological practice, especially in terms of survey and public engagement, and to highlight potential threats to this archaeological resource.</w:t>
      </w:r>
    </w:p>
    <w:p>
      <w:pPr/>
      <w:r>
        <w:rPr>
          <w:b/>
        </w:rPr>
        <w:t>POSSIBLE 2024:</w:t>
      </w:r>
      <w:r>
        <w:t xml:space="preserve"> Beyond the present, the nation, and Europe: Three different uses of history in reflexive migration studies — https://doi.org/10.1093/migration/mnae023</w:t>
      </w:r>
    </w:p>
    <w:p>
      <w:pPr/>
      <w:r>
        <w:rPr>
          <w:b/>
        </w:rPr>
        <w:t>Shared claim-specific concepts:</w:t>
      </w:r>
      <w:r>
        <w:t xml:space="preserve"> three, different, border; EU scope visible. This is a provisional connection, not an outcome finding.</w:t>
      </w:r>
    </w:p>
    <w:p>
      <w:pPr>
        <w:pStyle w:val="SourceNote"/>
      </w:pPr>
      <w:r>
        <w:rPr>
          <w:b/>
        </w:rPr>
        <w:t>Available abstract (not full text):</w:t>
      </w:r>
      <w:r>
        <w:t xml:space="preserve"> Abstract Interdisciplinary migration research is currently witnessing an increased interest in the impact of colonialism, decolonization, and expertization on present-day integrationism and racism. Tracing the genealogy of current ways of framing, categorizing, and governing groups viewed as “migrant Others” forms part of a reflexive research agenda that analyses migration as a product of changing constellations and categorizations. The article takes up this interest in the recent (and sometimes less recent) past in migration research. Bringing this interdisciplinary body of work into conversation with historical scholarship, we discuss how migration scholars make use of historical genealogies and we identify three different ways of relating the past to the present in debates about current migration and border regimes: We distinguish between what we term an anthropological “deep history” mode, a “genealogical” mode, and a “contrapuntal” or “disruptive” mode. This article argues for a careful, reflexive use of the past. We contend that both the alterity of past discourses and practices and their persistence and lasting impact can help us better make sense of the present in critical migration research.</w:t>
      </w:r>
    </w:p>
    <w:p>
      <w:pPr/>
      <w:r>
        <w:rPr>
          <w:b/>
        </w:rPr>
        <w:t>POSSIBLE 2024:</w:t>
      </w:r>
      <w:r>
        <w:t xml:space="preserve"> Teaching correlation and regression in three European countries — https://doi.org/10.5485/tmcs.2023.13291</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In this article, we compare the presence of correlation and regression analysis in secondary education of Ireland, the Netherlands and Luxembourg, through the analysis of final-exam tasks and curricula based on the Anthropological Theory of Didactics (ATD). It points out that the same topic can appear in different ways and extent in curricula, even if the mathematics teaching goals are similar. This article is a kind of introduction to the research that explores the possibilities for the appearance of these concepts in the Hungarian mathematics education. Therefore, in the second part of the article, Hungarian curricular goals are included, and it is shown which methodology of the three studied countries has the greatest curricular basis in Hungary. Subject Classification: 97xxx</w:t>
      </w:r>
    </w:p>
    <w:p>
      <w:pPr/>
      <w:r>
        <w:rPr>
          <w:b/>
        </w:rPr>
        <w:t>POSSIBLE 2024:</w:t>
      </w:r>
      <w:r>
        <w:t xml:space="preserve"> The European Union in a nutshell — https://doi.org/10.4324/9781003136682-3</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provides readers with basic information about the European Union and its ways of working. It gives a short historic overview of the establishment and enlargements of the EU. It also introduces the most important EU institutions and their role in the policymaking process as well as the principles of EU policymaking and areas of action. Finally, it explores the differences between supranational and intergovernmental policymaking and presents three categories of EU policy interventions: discursive policies (‘the sermon’) contain ideas and strategies. Regulatory policies (‘the stick’) cover legislative interventions such as regulations and directives. Remunerative policies (‘the carrot’) refer to different kinds of funds and subsidies. A basic understanding of the different types of policies and rules and practices at the EU level is useful in order to grasp the potential influences of the EU on spatial planning and spatial development in Europe.</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2023:</w:t>
      </w:r>
      <w:r>
        <w:t xml:space="preserve"> European market structure for integrated home renovation support service: Scope and comparison of the different kind of one stop shops — https://doi.org/10.3934/energy.2023041</w:t>
      </w:r>
    </w:p>
    <w:p>
      <w:pPr/>
      <w:r>
        <w:rPr>
          <w:b/>
        </w:rPr>
        <w:t>Shared claim-specific concepts:</w:t>
      </w:r>
      <w:r>
        <w:t xml:space="preserve"> different, based, promote; EU scope visible. This is a provisional connection, not an outcome finding.</w:t>
      </w:r>
    </w:p>
    <w:p>
      <w:pPr>
        <w:pStyle w:val="SourceNote"/>
      </w:pPr>
      <w:r>
        <w:rPr>
          <w:b/>
        </w:rPr>
        <w:t>Available abstract (not full text):</w:t>
      </w:r>
      <w:r>
        <w:t xml:space="preserve"> While the retrofitting of the building stock seems to be an effective solution to reach the targets for 2049 greenhouse gas emission, the current rate and quality of work is still too low. This article first proposes a state-of-the-art methodology and a brief description of the barriers to renovation. The literature review identifies 26 major issues. Then, the one stop shops (OSS), which are introduced as a solution to these barriers, are described under different aspects according to their business model, the type of project owner targeted and the kind of services they offer with their support. Drawing on previous literature, this article proposes a classification framework. Then a comprehensive benchmark of 63 OSSs in Europe was conducted, allowing for a comparative analysis of the distribution of OSSs models across various countries and territories; it highlights the existing need in all countries, but also the disparity of support being provided. This examination revealed that selecting an appropriate OSS model cannot be solely based on factors like scope, ownership, or the existence of other OSSs. In the final section, a correlation study is made between several criteria (energy consumption and type, urbanization rate, construction date, climatic context, renovation rate etc.) that have been identified as being potentially indicative of renovation activities. The objective</w:t>
      </w:r>
    </w:p>
    <w:p>
      <w:pPr>
        <w:pStyle w:val="Heading2"/>
      </w:pPr>
      <w:r>
        <w:t>1014.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Counterfactual explanations and how to find them: literature review and benchmarking — https://doi.org/10.1007/s10618-022-00831-6</w:t>
      </w:r>
    </w:p>
    <w:p>
      <w:pPr/>
      <w:r>
        <w:rPr>
          <w:b/>
        </w:rPr>
        <w:t>Shared claim-specific concepts:</w:t>
      </w:r>
      <w:r>
        <w:t xml:space="preserve"> all, order, stability, aim; EU scope not established. This is a provisional connection, not an outcome finding.</w:t>
      </w:r>
    </w:p>
    <w:p>
      <w:pPr>
        <w:pStyle w:val="SourceNote"/>
      </w:pPr>
      <w:r>
        <w:rPr>
          <w:b/>
        </w:rPr>
        <w:t>Available abstract (not full text):</w:t>
      </w:r>
      <w:r>
        <w:t xml:space="preserve"> Abstract Interpretable machine learning aims at unveiling the reasons behind predictions returned by uninterpretable classifiers. One of the most valuable types of explanation consists of counterfactuals. A counterfactual explanation reveals what should have been different in an instance to observe a diverse outcome. For instance, a bank customer asks for a loan that is rejected. The counterfactual explanation consists of what should have been different for the customer in order to have the loan accepted. Recently, there has been an explosion of proposals for counterfactual explainers. The aim of this work is to survey the most recent explainers returning counterfactual explanations. We categorize explainers based on the approach adopted to return the counterfactuals, and we label them according to characteristics of the method and properties of the counterfactuals returned. In addition, we visually compare the explanations, and we report quantitative benchmarking assessing minimality, actionability, stability, diversity, discriminative power, and running time. The results make evident that the current state of the art does not provide a counterfactual explainer able to guarantee all these properties simultaneously.</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pStyle w:val="Heading2"/>
      </w:pPr>
      <w:r>
        <w:t>1015.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2024:</w:t>
      </w:r>
      <w:r>
        <w:t xml:space="preserve"> G-quadruplex landscape and its regulation revealed by a new antibody capture method — https://doi.org/10.18632/oncotarget.28564</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 Subhamoy Datta 1 , Manthan Patel 2 , Chakkarai Sathyaseelan 3 , Chandrama Ghosh 4 , Akanksha Mudgal 5 , Divyesh Patel 6 , Thenmalarchelvi Rathinavelan 3 and Umashankar Singh 1 1 HoMeCell Lab, Discipline of Biological Engineering, Indian Institute of Technology Gandhinagar, Gandhinagar, Gujarat 382355, India 2 Centre for Genomics and Child Health, Blizard Institute, Barts and The London School of Medicine and Dentistry, Queen Mary University of London, London E1 2AT, UK 3 Department of Biotechnology, Indian Institute of Technology Hyderabad, Kandi Campus, Telangana 502285, India 4 Azrieli Faculty of Medicine, Bar-Ilan University, Henrietta Szold 8A, Safed 1311502, Israel 5 Department of Biopharmacy, Medical University of Lublin, Lublin 20059, Poland 6 Research Programs Unit, Applied Tumor Genomics Program, Faculty of Medicine, University of Helsinki, Biomedicum, Helsinki 00290, Finland Correspondence to: Umashankar Singh, email: usingh@iitgn.ac.in Keywords: DNA G-quadruplexes; G4-ChIP; CGGBP1; CTCF; G/C-skew Received: October 27, 2023 Accepted: February 12, 2024 Published: March 14, 2024 Copyright: © 2024 Datta et al. This is an open access article distributed under the terms of the Creative Commons Attribution License (CC BY 4.0), which permits unrestricted use, distribution, and reproduction in any medium, provided the original author and source are credited. ABSTRACT Our u</w:t>
      </w:r>
    </w:p>
    <w:p>
      <w:pPr/>
      <w:r>
        <w:rPr>
          <w:b/>
        </w:rPr>
        <w:t>POSSIBLE 2023:</w:t>
      </w:r>
      <w:r>
        <w:t xml:space="preserve"> WHAT KIND OF PLURALISM WE NEED IN ECONOMICS? — https://openalex.org/W4322755094</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Author argues that neoclassical school consolidated its monopoly position within economics mainly by dictating strict methodological rules. The article highlights that methodological normativism is substantially reducing our social reality in order to understand economic system as a closed system that is fully analysable. Such a misleading picture of the world as one social reality leads to one best epistemology, one best theory and one best methodology within economics. Author explains complaints against such an approach through different kinds of mutually interrelated and dependent pluralisms in a new complementarity view. Ontological pluralism rejects the idea one world, one truth principle and accepts reality as an open system with a number of parallel worlds. Epistemological pluralism logically follows from ontological by allowing a relatively separate systems of paradigms to co-exist as necessary counterparts to the plurality of the social world. Understanding economy as an open system as a conscious choice leads to theoretical pluralism with meaningful methodological standards in assessing. Author emphasizes that a limited range of methodological and theoretical approaches, each underlying the particular understanding of the world and the nature of the economy, should be presented through education process in order to obtain more anthropocentric and less dogmatic view of</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pStyle w:val="Heading2"/>
      </w:pPr>
      <w:r>
        <w:t>1016.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2025:</w:t>
      </w:r>
      <w:r>
        <w:t xml:space="preserve"> Forest Accessibility and Road Network Density: A Global Overview with a Special Focus on Europe — https://doi.org/10.1007/s40725-025-00259-3</w:t>
      </w:r>
    </w:p>
    <w:p>
      <w:pPr/>
      <w:r>
        <w:rPr>
          <w:b/>
        </w:rPr>
        <w:t>Shared claim-specific concepts:</w:t>
      </w:r>
      <w:r>
        <w:t xml:space="preserve"> purpose, describe, use, managers; EU scope visible. This is a provisional connection, not an outcome finding.</w:t>
      </w:r>
    </w:p>
    <w:p>
      <w:pPr>
        <w:pStyle w:val="SourceNote"/>
      </w:pPr>
      <w:r>
        <w:rPr>
          <w:b/>
        </w:rPr>
        <w:t>Available abstract (not full text):</w:t>
      </w:r>
      <w:r>
        <w:t xml:space="preserve"> Abstract Purpose of the Review Forest accessibility and road network density are important concerns not only for forest managers, but also for everyone who benefits from forests, whether for professional or personal use. A well-planned forest road network, integrated with the forest ecosystem, is a fundamental element of rational and efficient forest management. This review aims to describe the current state of forest road density and overall forest accessibility in Europe, as well as relevant global examples. Recent Findings When a forest road network is distributed adequately across an area, it can support many, if not all, tasks outlined in forest management plans, with high efficiency and minimal costs during construction and maintenance. Collecting data on forest accessibility and primary forest road density at the national level in many countries is a complex task. Diverse terrain conditions, economic factors, and forest management practices have led to variability in the data. A common thread, however, is the optimistic outlook on the use of modern technologies for road network planning and data acquisition. Summary Efficient forest management, especially harvesting operations, relies on a road network with appropriate density, load-bearing capacity, and alignment. Primary forest transport infrastructure helps reduce timber extraction costs by minimising extraction dista</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Trends and purposes of European river monitoring and restoration — https://doi.org/10.1016/j.envsci.2025.104130</w:t>
      </w:r>
    </w:p>
    <w:p>
      <w:pPr/>
      <w:r>
        <w:rPr>
          <w:b/>
        </w:rPr>
        <w:t>Shared claim-specific concepts:</w:t>
      </w:r>
      <w:r>
        <w:t xml:space="preserve"> purpose, design, first; EU scope visible. This is a provisional connection, not an outcome finding.</w:t>
      </w:r>
    </w:p>
    <w:p>
      <w:pPr>
        <w:pStyle w:val="SourceNote"/>
      </w:pPr>
      <w:r>
        <w:rPr>
          <w:b/>
        </w:rPr>
        <w:t>Available abstract (not full text):</w:t>
      </w:r>
      <w:r>
        <w:t xml:space="preserve"> This study provides the first geospatial analysis of the trends and uptake of European river monitoring and restoration. European monitoring targets rivers draining agricultural and urban land, which leads to geospatial biases due to the co-occurrence with soils, topography, and river orders. Most notably, intermittent rivers and ephemeral streams are underrepresented due to lower monitoring intensities in Southern Europe, headwaters, and catchments with steeper slopes or less arable soils. Improving monitoring efforts in these ecosystems can advance our scientific understanding of complex linkages between ecological quality outcomes and specific stressors. Large differences were found in the spatial coverage of river monitoring and chemical status reporting between European river regions, which highlights comparability issues with the outcomes of Water Framework Directive river quality status due to the ’one-out-all-out’ principle. Chemical status monitoring is also less frequent in agricultural catchments, which leads to a knowledge gap on the impacts of priority substances, such as pesticides, on agricultural rivers. These uncertainties around the actual quality of rivers are propagated to the prioritisation, design and purposes of river restoration. River restoration coverage is distinctively higher in Western Europe and larger urban rivers, compared to lower incidences in </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2024:</w:t>
      </w:r>
      <w:r>
        <w:t xml:space="preserve"> Are European voters motivated?: The case of the European Parliament elections in the Republic of Slovenia in 2024 — https://doi.org/10.5937/pr82-52509</w:t>
      </w:r>
    </w:p>
    <w:p>
      <w:pPr/>
      <w:r>
        <w:rPr>
          <w:b/>
        </w:rPr>
        <w:t>Shared claim-specific concepts:</w:t>
      </w:r>
      <w:r>
        <w:t xml:space="preserve"> aim, describe, use, process; EU scope visible. This is a provisional connection, not an outcome finding.</w:t>
      </w:r>
    </w:p>
    <w:p>
      <w:pPr>
        <w:pStyle w:val="SourceNote"/>
      </w:pPr>
      <w:r>
        <w:rPr>
          <w:b/>
        </w:rPr>
        <w:t>Available abstract (not full text):</w:t>
      </w:r>
      <w:r>
        <w:t xml:space="preserve"> The elections for the European Parliament in the Republic of Slovenia on June 9, 2024 are part of a broader electoral process in which nine Slovenian deputies are elected to the European Parliament for the next mandate period 2024-2029. years. The aim of this paper is to describe and explain in basic terms the overall Slovenian and European context of the elections, the special characteristics of the Slovenian political scene, and the results of these elections. On this occasion, the traditional ideological division of Slovenian society on the right-center-left line came to the fore in the middle of the mandate of the left-center government of Robert Golob in the electoral system that favors large national parties (proportional system with one electoral unit without census, preferential voting), traditionally low turnout in European elections in Slovenia. Consultative referendums held in parallel on changing the electoral system (introduction of preferential voting), on laws on the cultivation and processing of hemp for medical purposes, laws that allow the use of marijuana and medical euthanasia also reflected some of the Government's priorities, the rightwing opposition's response, and finally the citizens' decisions.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2023:</w:t>
      </w:r>
      <w:r>
        <w:t xml:space="preserve"> Responsible consumption in Europe: causes and habits — https://doi.org/10.29119/1641-3466.2022.166.37</w:t>
      </w:r>
    </w:p>
    <w:p>
      <w:pPr/>
      <w:r>
        <w:rPr>
          <w:b/>
        </w:rPr>
        <w:t>Shared claim-specific concepts:</w:t>
      </w:r>
      <w:r>
        <w:t xml:space="preserve"> purpose, aim, use, methods, managers, design;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pStyle w:val="Heading2"/>
      </w:pPr>
      <w:r>
        <w:t>1017.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2026:</w:t>
      </w:r>
      <w:r>
        <w:t xml:space="preserve"> Innovation Inputs, Outputs and the Ambiguity of Conversion Efficiency: Four Developing Economies, 2020–2025 — https://doi.org/10.58578/mikailalsys.v4i3.11365</w:t>
      </w:r>
    </w:p>
    <w:p>
      <w:pPr/>
      <w:r>
        <w:rPr>
          <w:b/>
        </w:rPr>
        <w:t>Shared claim-specific concepts:</w:t>
      </w:r>
      <w:r>
        <w:t xml:space="preserve"> findings, four, gain, south; EU scope not established. This is a provisional connection, not an outcome finding.</w:t>
      </w:r>
    </w:p>
    <w:p>
      <w:pPr>
        <w:pStyle w:val="SourceNote"/>
      </w:pPr>
      <w:r>
        <w:rPr>
          <w:b/>
        </w:rPr>
        <w:t>Available abstract (not full text):</w:t>
      </w:r>
      <w:r>
        <w:t xml:space="preserve"> Governments across the developing world have expanded policy support for innovation, yet the relationship between innovation-system inputs and outputs remains insufficiently understood outside OECD contexts. This study aims to compare the innovation-system performance of South Africa, Kenya, and Morocco, which represent markedly different policy models, with that of Viet Nam, a lower-middle-income economy widely regarded as an innovation overperformer, while examining the diagnostic meaning of innovation conversion efficiency. Adopting a deliberately model-free comparative descriptive approach, the study employs no econometric estimation and makes no causal claims. Publicly verifiable secondary indicators were obtained from Global Innovation Index economy profiles for 2020–2025 and supplemented with UNESCO and World Bank research expenditure data and venture capital tracker data. Ordinal rankings were transformed into bounded percentile scores to construct an Input Capability Score and an Output Performance Score, whose ratio generates a Conversion Efficiency Ratio representing output performance relative to measured input capability. The findings reveal four distinct trajectories. Viet Nam was the only economy to increase both input capability and output performance while its conversion ratio moved toward parity, indicating input-led maturation. Morocco recorded the largest ou</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2025:</w:t>
      </w:r>
      <w:r>
        <w:t xml:space="preserve"> Quality of Life of Women During the Final Four Weeks of Pregnancy (Based on the Findings of a Sociological Study) — https://doi.org/10.25040/lkv2025.02.015</w:t>
      </w:r>
    </w:p>
    <w:p>
      <w:pPr/>
      <w:r>
        <w:rPr>
          <w:b/>
        </w:rPr>
        <w:t>Shared claim-specific concepts:</w:t>
      </w:r>
      <w:r>
        <w:t xml:space="preserve"> findings, four, developed, region; EU scope not established. This is a provisional connection, not an outcome finding.</w:t>
      </w:r>
    </w:p>
    <w:p>
      <w:pPr>
        <w:pStyle w:val="SourceNote"/>
      </w:pPr>
      <w:r>
        <w:rPr>
          <w:b/>
        </w:rPr>
        <w:t>Available abstract (not full text):</w:t>
      </w:r>
      <w:r>
        <w:t xml:space="preserve"> Introduction. The third trimester of pregnancy, particularly its final stage, is characterised by heightened physiological and psycho-emotional vulnerability in women, which significantly influences their subjective perception of quality of life. During this period, quality of life serves as a complex integrative indicator of the level of life functioning and a potential predictor of postpartum adaptation. The aim of the study. To determine the level of quality of life among women during the last four weeks of pregnancy through quantitative analysis of the results of a sociological survey, with the aim of further developing evidence-based multidisciplinary strategies for prevention and support in the field of maternal health. Materials and methods. A one-time epidemiological analytical-descriptive sociological study was conducted among n = 432 women aged 18-48 years old who received medical care in specialised healthcare facilities in Lviv Region in 2024. The research tool was an adapted version of the WHOQOL-BREF questionnaire. Statistical data processing was carried out using proprietary software developed in C# (.Net 9). Results. It was substantiated that P = 72.69 ± 0.33 % of respondents rated their quality of life during the last four weeks of pregnancy as unsatisfactory, while the calculated quality of life index was n = 0.218 (P = 21.76 %), which corresponds to a low lev</w:t>
      </w:r>
    </w:p>
    <w:p>
      <w:pPr/>
      <w:r>
        <w:rPr>
          <w:b/>
        </w:rPr>
        <w:t>POSSIBLE 2025:</w:t>
      </w:r>
      <w:r>
        <w:t xml:space="preserve"> DIGITAL TECHNOLOGY IN DEVELOPING THE FOUR ARABIC LANGGUAGE SKILLS — https://doi.org/10.53649/lughoti.v9i01.1479</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This research aims to explore the utilization of digital technology in the Arabic language learning process. In the era of modern education, technology integration serves as a solution to address challenges related to resource efficiency and assessment objectivity. Utilizing a library research method, this article analyzes the role of digital devices and technology in supporting instructional quality. The study's findings indicate that the use of digital technology enables personalized learning, efficiency, long-term data management, and increased student enthusiasm. Evaluation is conducted through a comprehensive approach encompassing the stages of orientation, exploration, consolidation, and conclusion. This implementation is expected to significantly enhance the Arabic language competence of students in Indonesia.</w:t>
      </w:r>
    </w:p>
    <w:p>
      <w:pPr>
        <w:pStyle w:val="Heading2"/>
      </w:pPr>
      <w:r>
        <w:t>1018.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2022:</w:t>
      </w:r>
      <w:r>
        <w:t xml:space="preserve"> Human Biomonitoring Guidance Values (HBM-GVs) for Bisphenol S and Assessment of the Risk Due to the Exposure to Bisphenols A and S, in Europe — https://doi.org/10.3390/toxics10050228</w:t>
      </w:r>
    </w:p>
    <w:p>
      <w:pPr/>
      <w:r>
        <w:rPr>
          <w:b/>
        </w:rPr>
        <w:t>Shared claim-specific concepts:</w:t>
      </w:r>
      <w:r>
        <w:t xml:space="preserve"> assuming, due, exposure; EU scope visible. This is a provisional connection, not an outcome finding.</w:t>
      </w:r>
    </w:p>
    <w:p>
      <w:pPr>
        <w:pStyle w:val="SourceNote"/>
      </w:pPr>
      <w:r>
        <w:rPr>
          <w:b/>
        </w:rPr>
        <w:t>Available abstract (not full text):</w:t>
      </w:r>
      <w:r>
        <w:t xml:space="preserve"> Within the European Joint Programme HBM4EU, Human Biomonitoring Guidance Values (HBM-GVs) were derived for several prioritised substances. In this paper, the derivation of HBM-GVs for the general population (HBM-GVGenPop) and workers (HBM-GVworker) referring to bisphenol S (BPS) is presented. For the general population, this resulted in an estimation of the total urinary concentration of BPS of 1.0 µg/L assuming a 24 h continuous exposure to BPS. For workers, the modelling was refined in order to reflect continuous exposure during the working day, leading to a total urinary concentration of BPS of 3.0 µg/L. The usefulness for risk assessment of the HBM-GVs derived for BPS and bisphenol A (BPA) is illustrated. Risk Characterisation Ratios (RCRs) were calculated leading to a clear difference between risk assessments performed for both bisphenols, with a very low RCR regarding exposure to BPA., contrary to that obtained for BPS. This may be due to the endocrine mediated endpoints selected to derive the HBM-GVs for BPS, whereas the values calculated for BPA are based on the temporary Tolerable Daily Intake (t-TDI) from EFSA set in 2015. A comparison with the revised TDI recently opened for comments by EFSA is also discussed. Regarding the occupational field, results indicate that the risk from occupational exposure to both bisphenols cannot be disregarded.</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pStyle w:val="Heading2"/>
      </w:pPr>
      <w:r>
        <w:t>1019.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2025:</w:t>
      </w:r>
      <w:r>
        <w:t xml:space="preserve"> Methodological considerations and generalisability of tracheal extubation location findings in surgical patients — https://doi.org/10.1111/anae.16696</w:t>
      </w:r>
    </w:p>
    <w:p>
      <w:pPr/>
      <w:r>
        <w:rPr>
          <w:b/>
        </w:rPr>
        <w:t>Shared claim-specific concepts:</w:t>
      </w:r>
      <w:r>
        <w:t xml:space="preserve"> findings, several, evaluate; EU scope not established. This is a provisional connection, not an outcome finding.</w:t>
      </w:r>
    </w:p>
    <w:p>
      <w:pPr>
        <w:pStyle w:val="SourceNote"/>
      </w:pPr>
      <w:r>
        <w:rPr>
          <w:b/>
        </w:rPr>
        <w:t>Available abstract (not full text):</w:t>
      </w:r>
      <w:r>
        <w:t xml:space="preserve"> We read with great interest the study by Godet et al., which explored the trade-off between operating theatre occupancy time and early respiratory complications associated with the location of tracheal extubation [1]. While the study provides valuable real-world data, several methodological nuances and limitations in generalisability warrant clarification. First, we appreciate the authors' citation of our previous study on tracheal extubation after liver transplantation [2]. However, it is essential to distinguish the clinical context between the two investigations. Our research focused on high-risk liver transplant recipients with end-stage liver disease, long duration of anaesthesia and haemodynamic instability. These patients require specialised tracheal extubation protocols due to their elevated risk of mechanical ventilation-related complications [2]. In contrast, the cohort studied by Godet et al. comprised heterogeneous general surgical patients where baseline risk and surgical complexity differ significantly [1]. Critically, our study's composite endpoint (30-day mortality, organ dysfunction) assessed long-term outcomes, whereas the primary focus of Godet et al. on peri-extubation desaturation and operating theatre occupancy time evaluated short-term workflow metrics. These divergent populations and endpoints limit direct comparability between the studies. Second, the o</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2024:</w:t>
      </w:r>
      <w:r>
        <w:t xml:space="preserve"> Findings and methodologies in oral phageome research: a systematic review — https://doi.org/10.1080/20002297.2024.2417099</w:t>
      </w:r>
    </w:p>
    <w:p>
      <w:pPr/>
      <w:r>
        <w:rPr>
          <w:b/>
        </w:rPr>
        <w:t>Shared claim-specific concepts:</w:t>
      </w:r>
      <w:r>
        <w:t xml:space="preserve"> findings, methodologies, present; EU scope not established. This is a provisional connection, not an outcome finding.</w:t>
      </w:r>
    </w:p>
    <w:p>
      <w:pPr>
        <w:pStyle w:val="SourceNote"/>
      </w:pPr>
      <w:r>
        <w:rPr>
          <w:b/>
        </w:rPr>
        <w:t>Available abstract (not full text):</w:t>
      </w:r>
      <w:r>
        <w:t xml:space="preserve"> Background The oral microbiome serves as both an indicator and a mediator of oral health. Evidence indicates that bacteriophages (phages) are widely present in the oral microbiome and exhibit diverse classifications and interactions with human cells and other microbes. These phages constitute the oral phageome, which potentially exerts significant yet unexplored effects on the interplay between oral and general health.Methods Three databases (PubMed/MEDLINE, Embase and Scopus) were searched for metagenomic analyses that investigated the oral phageome. Eligible studies were synthesized based on their methodological approaches and findings.Results A total of 14 articles were included in this systematic review. Among the 14 articles included, there were six studies that discussed disease-related alterations, along with a discursive examination of additional variables such as sampling niches, external interventions and methodologies. The phages that infect Streptococcus Actinomyces Haemophilus, and Veillonella have been discovered to be associated with chronic periodontitis, caries, and pancreatic ductal carcinoma.Conclusions This systematic review focuses on findings and methodologies in oral phageome studies, which were conducted using highly heterogeneous methodologies that explored the oral phageome in multiple directions while placing constraints on quantitative statistics. Co</w:t>
      </w:r>
    </w:p>
    <w:p>
      <w:pPr/>
      <w:r>
        <w:rPr>
          <w:b/>
        </w:rPr>
        <w:t>POSSIBLE 2024:</w:t>
      </w:r>
      <w:r>
        <w:t xml:space="preserve"> RESEARCH METHODOLOGY — https://doi.org/10.52458/9788197357176.nsp.2024.tb</w:t>
      </w:r>
    </w:p>
    <w:p>
      <w:pPr/>
      <w:r>
        <w:rPr>
          <w:b/>
        </w:rPr>
        <w:t>Shared claim-specific concepts:</w:t>
      </w:r>
      <w:r>
        <w:t xml:space="preserve"> findings, several, methodologies, techniques, allow; EU scope not established. This is a provisional connection, not an outcome finding.</w:t>
      </w:r>
    </w:p>
    <w:p>
      <w:pPr>
        <w:pStyle w:val="SourceNote"/>
      </w:pPr>
      <w:r>
        <w:rPr>
          <w:b/>
        </w:rPr>
        <w:t>Available abstract (not full text):</w:t>
      </w:r>
      <w:r>
        <w:t xml:space="preserve"> The approach used is crucial in scientific investigation, which is always changing in the academic and professional research field. The importance of research technique cannot be exaggerated; it is the organized, methodical approach that supports the legitimacy and validity of research findings. The book titled "Research Methodology" aims to offer a thorough and practical understanding of the fundamental concepts and real-world applications of research methodology. It serves as a vital resource for students, professors, and practitioners. The impetus for authoring this book arises from the acknowledgment of the crucial significance that research methodology holds in the progress of knowledge across all fields of study. A robust technique is essential for producing significant and dependable findings, regardless of the discipline, whether it social sciences, natural sciences, humanities, engineering, or applied areas. This book seeks to close the divide between theory and practice by providing readers with a comprehensive examination of different research designs, methods of data gathering, and analytical methodologies. The "Research Methodology" course is designed to meet the needs of both inexperienced researchers and seasoned scholars. The book offers a lucid and easily understandable introduction to the key principles and stages of the research process, making it accessible </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pStyle w:val="Heading2"/>
      </w:pPr>
      <w:r>
        <w:t>1020.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2026:</w:t>
      </w:r>
      <w:r>
        <w:t xml:space="preserve"> Subject-verb agreement in Down Syndrome: morphosyntactic analysis and cross-linguistic predictions on universal defaults — https://doi.org/10.3765/plsa.v11i1.6133</w:t>
      </w:r>
    </w:p>
    <w:p>
      <w:pPr/>
      <w:r>
        <w:rPr>
          <w:b/>
        </w:rPr>
        <w:t>Shared claim-specific concepts:</w:t>
      </w:r>
      <w:r>
        <w:t xml:space="preserve"> predictions, same, predicted; EU scope not established. This is a provisional connection, not an outcome finding.</w:t>
      </w:r>
    </w:p>
    <w:p>
      <w:pPr>
        <w:pStyle w:val="SourceNote"/>
      </w:pPr>
      <w:r>
        <w:rPr>
          <w:b/>
        </w:rPr>
        <w:t>Available abstract (not full text):</w:t>
      </w:r>
      <w:r>
        <w:t xml:space="preserve"> While studies on English individuals with Down syndrome (DS) report impaired performance with the production of subject-verb (S/V) agreement, Schaner-Wolles (2004) shows close to ceiling performance with the production of S/V agreement for German indi­viduals with DS. This study reports on findings from the production of S/V agreement of Cypriot Greek adults diagnosed with DS and offers preliminary predictions with the purpose of disambiguating whether individuals with DS present a cross-linguistic impairment. The production of inflectional person and number marking was examined with sixteen Cypriot Greek individuals with DS and seventeen typically developing children, through nine sponta­neous and controlled elicitation tasks. The morphosyntactic analysis reveals close to ceiling performance with 98.5% accuracy for person and 99% accuracy for number. Results revealed a clear systematicity in selecting the default value for each inflectional feature: the 3rd value for person and the singular value for number. Considering results from seven languages, it is predicted that the underlying coping strategy, whether it surfaces as an optional infinitive or a default feature value, is the same; namely, the use of a default form.</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2024:</w:t>
      </w:r>
      <w:r>
        <w:t xml:space="preserve"> A lightweight generative model for interpretable subject-level prediction — https://doi.org/10.1016/j.media.2024.103436</w:t>
      </w:r>
    </w:p>
    <w:p>
      <w:pPr/>
      <w:r>
        <w:rPr>
          <w:b/>
        </w:rPr>
        <w:t>Shared claim-specific concepts:</w:t>
      </w:r>
      <w:r>
        <w:t xml:space="preserve"> predictions, subject, same; EU scope not established. This is a provisional connection, not an outcome finding.</w:t>
      </w:r>
    </w:p>
    <w:p>
      <w:pPr>
        <w:pStyle w:val="SourceNote"/>
      </w:pPr>
      <w:r>
        <w:rPr>
          <w:b/>
        </w:rPr>
        <w:t>Available abstract (not full text):</w:t>
      </w:r>
      <w:r>
        <w:t xml:space="preserve"> Recent years have seen a growing interest in methods for predicting an unknown variable of interest, such as a subject’s diagnosis, from medical images depicting its anatomical-functional effects. Methods based on discriminative modeling excel at making accurate predictions, but are challenged in their ability to explain their decisions in anatomically meaningful terms. In this paper, we propose a simple technique for single-subject prediction that is inherently interpretable. It augments the generative models used in classical human brain mapping techniques, in which the underlying cause–effect relations can be encoded, with a multivariate noise model that captures dominant spatial correlations. Experiments demonstrate that the resulting model can be efficiently inverted to make accurate subject-level predictions, while at the same time offering intuitive visual explanations of its inner workings. The method is easy to use: training is fast for typical training set sizes, and only a single hyperparameter needs to be set by the user. Our code is available at https://github.com/chiara-mauri/Interpretable-subject-level-prediction . • We propose an inherently interpretable generative model for image-based prediction. • The method is also accurate, easy to use, and fast to train. • Besides predictions, it offers intuitive causal explanations of its inner workings. • We tested the m</w:t>
      </w:r>
    </w:p>
    <w:p>
      <w:pPr/>
      <w:r>
        <w:rPr>
          <w:b/>
        </w:rPr>
        <w:t>POSSIBLE 2023:</w:t>
      </w:r>
      <w:r>
        <w:t xml:space="preserve"> Prediction in ecology and evolution — https://doi.org/10.1093/biosci/biad083</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Abstract Prediction is frequently asserted to be the sine qua non of science, but prediction means different things to different people in different contexts. I organize and explain this diversity by addressing five questions. What does it mean to predict something? To answer this question, I describe concepts of prediction as prophecy, diagnosis, history, repeatability, and fate. What are we trying to predict? Here, I describe how predictions vary along several axes: general to specific, qualitative to quantitative, relative to absolute, point to range, and continuous to discontinuous. Where do predictions come from? In this case, I focus on deductive versus inductive reasoning. How do we test predictions? The answer here is not straightforward and I discuss various approaches and difficulties. How good are predictions? Not surprisingly, it depends on what is being predicted and how we judge success. Importantly, I do not espouse a “best” way to approach prediction but, rather, I outline its diverse manifestations so as to help organize practical thinking on the topic.</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2020:</w:t>
      </w:r>
      <w:r>
        <w:t xml:space="preserve"> Predictions of Anterior Cruciate Ligament Dynamics From Subject-Specific Musculoskeletal Models and Dynamic Biplane Radiography — https://doi.org/10.1115/1.4048710</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In vivo knee ligament forces are important to consider for informing rehabilitation or clinical interventions. However, they are difficult to directly measure during functional activities. Musculoskeletal models and simulations have become the primary methods by which to estimate in vivo ligament loading. Previous estimates of anterior cruciate ligament (ACL) forces range widely, suggesting that individualized anatomy may have an impact on these predictions. Using ten subject-specific (SS) lower limb musculoskeletal models, which include individualized musculoskeletal geometry, muscle architecture, and six degree-of-freedom knee joint kinematics from dynamic biplane radiography (DBR), this study provides SS estimates of ACL force (anteromedial-aACL; and posterolateral-pACL bundles) during the full gait cycle of treadmill walking. These forces are compared to estimates from scaled-generic (SG) musculoskeletal models to assess the effect of musculoskeletal knee joint anatomy on predicted forces and the benefit of SS modeling in this context. On average, the SS models demonstrated a double force peak during stance (0.39-0.43 xBW per bundle), while only a single force peak during stance was observed in the SG aACL. No significant differences were observed between continuous SG and SS ACL forces; however, root mean-squared differences between SS and SG predictions ranged from 0.08 x</w:t>
      </w:r>
    </w:p>
    <w:p>
      <w:pPr/>
      <w:r>
        <w:rPr>
          <w:b/>
        </w:rPr>
        <w:t>POSSIBLE 2019:</w:t>
      </w:r>
      <w:r>
        <w:t xml:space="preserve"> Detailed subject-specific FE rib modeling for fracture prediction — https://doi.org/10.1080/15389588.2019.1665649</w:t>
      </w:r>
    </w:p>
    <w:p>
      <w:pPr/>
      <w:r>
        <w:rPr>
          <w:b/>
        </w:rPr>
        <w:t>Shared claim-specific concepts:</w:t>
      </w:r>
      <w:r>
        <w:t xml:space="preserve"> predictions, subject, predicted; EU scope not established. This is a provisional connection, not an outcome finding.</w:t>
      </w:r>
    </w:p>
    <w:p>
      <w:pPr>
        <w:pStyle w:val="SourceNote"/>
      </w:pPr>
      <w:r>
        <w:rPr>
          <w:b/>
        </w:rPr>
        <w:t>Available abstract (not full text):</w:t>
      </w:r>
      <w:r>
        <w:t xml:space="preserve"> Objective: The current state of the art human body models (HBMs) underpredict the number of fractured ribs. Also, it has not been shown that the models can predict the fracture locations. Efforts have been made to create subject specific rib models for fracture prediction, with mixed results. The aim of this study is to evaluate if subject-specific finite element (FE) rib models, based on state-of-the-art clinical CT data combined with subject-specific material data, can predict rib stiffness and fracture location in anterior-posterior rib bending.Method: High resolution clinical CT data was used to generate detailed subject-specific geometry for twelve FE models of the sixth rib. The cortical bone periosteal and endosteal surfaces were estimated based on a previously calibrated cortical bone mapping algorithm. The cortical and the trabecular bone were modeled using a hexa-block algorithm. The isotropic material model for the cortical bone in each rib model was assigned subject-specific material data based on tension coupon tests. Two different modeling strategies were used for the trabecular bone.The capability of the FE model to predict fracture location was carried out by modeling physical dynamic anterior-posterior rib bending tests. The rib model predictions were directly compared to the results from the tests. The predicted force-displacement time history, strain measurem</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pStyle w:val="Heading2"/>
      </w:pPr>
      <w:r>
        <w:t>1021.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Methodology of Threats Outlooks Development to EU Civil Security — https://doi.org/10.64211/oidaijsd190705</w:t>
      </w:r>
    </w:p>
    <w:p>
      <w:pPr/>
      <w:r>
        <w:rPr>
          <w:b/>
        </w:rPr>
        <w:t>Shared claim-specific concepts:</w:t>
      </w:r>
      <w:r>
        <w:t xml:space="preserve"> long-term, tools, civil; EU scope visible. This is a provisional connection, not an outcome finding.</w:t>
      </w:r>
    </w:p>
    <w:p>
      <w:pPr>
        <w:pStyle w:val="SourceNote"/>
      </w:pPr>
      <w:r>
        <w:rPr>
          <w:b/>
        </w:rPr>
        <w:t>Available abstract (not full text):</w:t>
      </w:r>
      <w:r>
        <w:t xml:space="preserve"> The growth of multidimensional natural, man-made, terrorist and cyber threats creates a new level of systemic complexity for the civil security of the European Union and necessitates the modernization of analytical approaches to their forecasting. The relevance of the study is enhanced by the fact that traditional risk assessment tools do not take into account hidden correlations, cascading effects and nonlinear interactions between different categories of threats. The purpose of the study is to develop and scientifically substantiate an integrated methodology for forecasting threats to EU civilian security based on international statistics and modern econometric methods. The methodological framework includes descriptive time series analysis, principal component analysis (PCA) to identify the latent structure of multidimensional threats, and ARIMA and VAR econometric models to quantify the dynamics and cross-sectoral interactions of risks. The results showed that natural and man-made threats demonstrate steady upward trends, terrorist activity is characterized by wave-like dynamics, and cyber threats are growing most intensively and least predictably. PCA allowed us to identify three integral latent components – digital instability, environmental and technological vulnerability, and socio-political turbulence – which together explain 72.6% of the total variance. ARIMA models re</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2025:</w:t>
      </w:r>
      <w:r>
        <w:t xml:space="preserve"> Research on the connection between long-term care insurance and the personality rights section of the Civil Code — https://doi.org/10.54254/2753-7102/2025.29996</w:t>
      </w:r>
    </w:p>
    <w:p>
      <w:pPr/>
      <w:r>
        <w:rPr>
          <w:b/>
        </w:rPr>
        <w:t>Shared claim-specific concepts:</w:t>
      </w:r>
      <w:r>
        <w:t xml:space="preserve"> long-term, civil, protection, provisions, design; EU scope not established. This is a provisional connection, not an outcome finding.</w:t>
      </w:r>
    </w:p>
    <w:p>
      <w:pPr>
        <w:pStyle w:val="SourceNote"/>
      </w:pPr>
      <w:r>
        <w:rPr>
          <w:b/>
        </w:rPr>
        <w:t>Available abstract (not full text):</w:t>
      </w:r>
      <w:r>
        <w:t xml:space="preserve"> With the aging trend in Chinese society, the protection of the personality rights of the elderly has become increasingly prominent in long-term care services. This article aims to analyze the issues related to personality rights such as privacy rights, personal dignity, and living freedom and, in combination with relevant provisions of the Civil Code, explore how future long-term care insurance legislation can incorporate content related to personality rights protection. This article suggests embedding special provisions for personality rights protection in the design of long-term care insurance legislation, clearly defining basic rights such as privacy protection, dignity maintenance, and living freedom in the care services, and proposing the establishment of a classification recognition mechanism for tort liability of nursing institutions. It also advocates formulating ethical norms for the application of artificial intelligence, and strengthening risk monitoring and personal information protection through technological means. In the future, the long-term care insurance system will pay more attention to the combination of personality rights protection and technological empowerment, promote the integration of intelligent guardianship and humanized services, and gradually form a multi-level protection system based on the Civil Code and supported by industry standards, in order </w:t>
      </w:r>
    </w:p>
    <w:p>
      <w:pPr/>
      <w:r>
        <w:rPr>
          <w:b/>
        </w:rPr>
        <w:t>POSSIBLE 2024:</w:t>
      </w:r>
      <w:r>
        <w:t xml:space="preserve"> Civil Society as the Arena of the New European Climate Hegemony — https://doi.org/10.62560/csz.2024.02.01</w:t>
      </w:r>
    </w:p>
    <w:p>
      <w:pPr/>
      <w:r>
        <w:rPr>
          <w:b/>
        </w:rPr>
        <w:t>Shared claim-specific concepts:</w:t>
      </w:r>
      <w:r>
        <w:t xml:space="preserve"> important, civil, against; EU scope visible. This is a provisional connection, not an outcome finding.</w:t>
      </w:r>
    </w:p>
    <w:p>
      <w:pPr>
        <w:pStyle w:val="SourceNote"/>
      </w:pPr>
      <w:r>
        <w:rPr>
          <w:b/>
        </w:rPr>
        <w:t>Available abstract (not full text):</w:t>
      </w:r>
      <w:r>
        <w:t xml:space="preserve"> Using a neo-Gramscian approach, this paper explores the concept of civil society as an arena where European climate hegemony is built. The EU’s green transition, which involves deep social and economic transformations, needs extensive popular support to avoid social instability and the rise of populist parties. To achieve this, the European Commission is trying to construct a counter-hegemonic discourse that challenges the traditional modes of a fossil fuel-based economy by creating an alliance of actors around the ideology of just transition. Therefore, the study addresses the following research question: who are the change agents within European civil society that have aligned with the alliance, and how is fostering a counter-hegemonic discourse against the traditional economic model? By employing a qualitative methodological approach, the study explores the crucial function of civil society in the European green transition, exposing the most important agents and how these agents facilitate the formation of a new climate hegemony.</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2023:</w:t>
      </w:r>
      <w:r>
        <w:t xml:space="preserve"> New pricing models for generic medicines to ensure long-term sustainable competition in Europe — https://doi.org/10.3389/fphar.2023.1200641</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Background: Price erosion of generic medicines over time as a result of existing pricing policies in combination with increasing operational costs of these products due to high inflation, undermine long-term sustainable competition in European off-patent medicines markets. Therefore, the aim of this study is to identify new potential pricing models for retail generic medicines in Europe, examine their pros and cons, and illustrate them with examples inside or outside the pharmaceutical sector. Methods: A targeted literature review, one-to-one interviews and a joint advisory board meeting with experts from five European countries were carried out to assess potential pricing models for generic medicines. Results: We identified ten pricing models that can be applied to generic medicines. The tiered pricing model is viewed as a sustainable solution ensuring competitiveness, but requires market monitoring using a supportive IT infrastructure. De-linking the price of generic medicines from that of the off-patent originator medicine prevents the originator from forcing generic medicines’ prices to unsustainable levels. Higher costs due to inflation can be compensated in the automatic indexation model. Other pricing models that have less implementation potential include the one-in-one/multiple-out model, tax credits, value-based pricing, volume for savings and guaranteed margin/fee mod</w:t>
      </w:r>
    </w:p>
    <w:p>
      <w:pPr>
        <w:pStyle w:val="Heading2"/>
      </w:pPr>
      <w:r>
        <w:t>1022.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Europe’s extreme temperatures and rainfall in finer detail: strengths and limits of climate model downscaling — https://doi.org/10.1038/s41612-026-01504-7</w:t>
      </w:r>
    </w:p>
    <w:p>
      <w:pPr/>
      <w:r>
        <w:rPr>
          <w:b/>
        </w:rPr>
        <w:t>Shared claim-specific concepts:</w:t>
      </w:r>
      <w:r>
        <w:t xml:space="preserve"> climate, precipitation, temperature, used; EU scope visible. This is a provisional connection, not an outcome finding.</w:t>
      </w:r>
    </w:p>
    <w:p>
      <w:pPr>
        <w:pStyle w:val="SourceNote"/>
      </w:pPr>
      <w:r>
        <w:rPr>
          <w:b/>
        </w:rPr>
        <w:t>Available abstract (not full text):</w:t>
      </w:r>
      <w:r>
        <w:t xml:space="preserve"> Abstract Climate extremes in Europe are becoming increasingly frequent and severe, heightening the need for reliable regional climate information to support preparedness and adaptation. Downscaled climate model (DCM) products are widely used for this purpose. Yet, their accuracy relative to global climate models (GCMs) and observations remains uncertain, particularly for extremes. We evaluated DCM ensembles (EURO-CORDEX, NEX-GDDP-CMIP6, GDPCIR) against GCMs (CMIP5, CMIP6) and reanalysis datasets (ERA5, GMFD), using gridded observational data (E-OBS) as reference. Model accuracy was assessed for mean and extreme temperature and precipitation across Europe using complementary metrics that quantify distributional accuracy, pointwise agreement, and bias magnitude and direction. The results show that downscaling can add details to and increase the accuracy of modeled climate variables in Europe. Statistically downscaled and bias-corrected products NEX-GDDP-CMIP6 and GDPCIR generally outperform their driving GCM for mean and extreme temperature, and for mean precipitation, whereas gains for extreme precipitation are limited. Compared to E-OBS, the dynamically downscaled ensemble EURO-CORDEX exhibits some strong regional biases, notably for temperature. No single dataset performs best in all regions. Across datasets, accuracy is reduced in areas with complex terrain (mountains and coa</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Mapping winter climate zoning variations in Europe under climate change scenarios — https://doi.org/10.1088/1742-6596/3140/2/022018</w:t>
      </w:r>
    </w:p>
    <w:p>
      <w:pPr/>
      <w:r>
        <w:rPr>
          <w:b/>
        </w:rPr>
        <w:t>Shared claim-specific concepts:</w:t>
      </w:r>
      <w:r>
        <w:t xml:space="preserve"> climate, temperature, understand; EU scope visible. This is a provisional connection, not an outcome finding.</w:t>
      </w:r>
    </w:p>
    <w:p>
      <w:pPr>
        <w:pStyle w:val="SourceNote"/>
      </w:pPr>
      <w:r>
        <w:rPr>
          <w:b/>
        </w:rPr>
        <w:t>Available abstract (not full text):</w:t>
      </w:r>
      <w:r>
        <w:t xml:space="preserve"> Abstract The attribution of a specific climate zone to a Municipality or a Local Administrative Unit (LAU) level in the European Member States is fundamental to support the definition of EPBD correlated decisions, e.g. activation periods of heating systems or minimal U-values. Climate change also impacts this specific attribute, requiring progressively upgrading this indicator. The paper computes local climate zones, adopting the Italian regulation approach, based on daily heating degree days with a base temperature set to 20°C. Zoning is applied to the whole European territory with a detail of about 10km, i.e. 0.1° in both latitude and longitude. This high precision allows to understand climate change variations better. The calculation is supported by integrating, inside our new dynamic simulation platform PREDYCE, this Key Performance Indicator (KPI) and by computing it via our server facility. Different climate databases are managed: ERA5-land re-analysis (1950–2023) database and four EUROCORDEX couples of global-regional climate models (historical 1970–2005, and future projections 2010–2100). A series of maps showing the progressive variations of the local climate zone, from A (less than 600 HDD) to F (more than 3000 HDD), is produced. The study shows substantial variations in climate zoning, with a growing progressive impact from Southern European regions to Northern Europ</w:t>
      </w:r>
    </w:p>
    <w:p>
      <w:pPr/>
      <w:r>
        <w:rPr>
          <w:b/>
        </w:rPr>
        <w:t>POSSIBLE 2025:</w:t>
      </w:r>
      <w:r>
        <w:t xml:space="preserve"> Land Use Interacts With Climate to Influence Microbial Diversity‐To‐Biomass Ratios Across Europe via Soil Organic Carbon and Nitrogen — https://doi.org/10.1111/mec.17806</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Ecosystem functioning is potentially dependent on the relationships between soil microbial diversity and biomass. Yet, it remains unclear how land use and climate influence these relationships. Here, we (i) analysed relationships and ratios between richness and biomass of bacteria and fungi in ~500 soils across Europe, including three land-use types (woodlands, grasslands and croplands) and climates (cold, temperate and arid) and (ii) identified the driving factors of changes in richness:biomass (R:B) ratios. Richness and biomass of soil bacteria and fungi followed a unimodal pattern, with a peak in mid-levels of biomass. This pattern was more evident in bacteria and more clearly exerted by land use than by climate. Bacterial R:B ratios decreased with land use in the following order: croplands &gt; woodlands &gt; grasslands. Fungal R:B ratios decreased as follows: grasslands &gt; croplands &gt; woodlands. Climate was found to interact with land use. In this way, arid climate tended to increase bacterial R:B ratios in the different land uses; however, the agricultural practices associated with croplands seem to buffer this effect. In fungi, the interactive effect of land use and climate was less straightforward than for bacteria. According to our models, soil organic carbon (SOC) and total nitrogen (N) in bacteria and SOC in fungi were identified as the primary predictors of R:B ratios. The</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precipitation;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pStyle w:val="Heading2"/>
      </w:pPr>
      <w:r>
        <w:t>1023.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2026:</w:t>
      </w:r>
      <w:r>
        <w:t xml:space="preserve"> Pharmacokinetics, subject satisfaction, and tolerability of a novel oral iron formulation based on naturally occurring microalgae Spirulina platensis — https://doi.org/10.64898/2026.09.15.26363044</w:t>
      </w:r>
    </w:p>
    <w:p>
      <w:pPr/>
      <w:r>
        <w:rPr>
          <w:b/>
        </w:rPr>
        <w:t>Shared claim-specific concepts:</w:t>
      </w:r>
      <w:r>
        <w:t xml:space="preserve"> exposure, not, subject, any, use, level; EU scope not established. This is a provisional connection, not an outcome finding.</w:t>
      </w:r>
    </w:p>
    <w:p>
      <w:pPr>
        <w:pStyle w:val="SourceNote"/>
      </w:pPr>
      <w:r>
        <w:rPr>
          <w:b/>
        </w:rPr>
        <w:t>Available abstract (not full text):</w:t>
      </w:r>
      <w:r>
        <w:t xml:space="preserve"> Abstract Introduction Study to evaluate the pharmacokinetics (PK), subject satisfaction, and gastrointestinal (GI) tolerability of single and multiple doses of a novel oral iron formulation based on iron enriched microalgae Spirulina platensis supplemented with inactivated yeast. Methods Twelve healthy women with baseline serum iron 4–12 µmol/L (22.3–67.0 µg/dL) were admitted to the study site for 3 days in this single centre, multiple-dose, open-label study. Subjects received an oral dose of Monurelle ® Ferro Naturale (MFN) on Days 1, 2, and 3. Blood for PK analysis was collected pre-dose (0) and at 1, 2, 3, 4, 5, 8 hours after dosing on Days 1 and 3, with assessment of subject satisfaction and GI tolerability performed 3 hours after each dose. Results Both single and multiple dosing with MFN led to a defined peak level (C max ) and increased systemic exposure (AUC 0-t ), with serum iron rising to almost double the circulating amount at 5 h post-dose (t max ). Mean (±SD) percent change from baseline at 5 h post-dose was 94.7% (±56.1) on Day 1 and 72.0% (±70.7) on Day 3. The majority of subjects reported being satisfied with the product and would use it again in the future. MFN was very well tolerated, with only one adverse event (AE) reported (episode of vomiting after the first dose, that lasted for one minute and did not recur after the two further doses of MFN). No other su</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2025:</w:t>
      </w:r>
      <w:r>
        <w:t xml:space="preserve"> Assessing radiofrequency electromagnetic field exposure in multiple microenvironments across ten European countries with a focus on 5G — https://doi.org/10.1016/j.envint.2025.109540</w:t>
      </w:r>
    </w:p>
    <w:p>
      <w:pPr/>
      <w:r>
        <w:rPr>
          <w:b/>
        </w:rPr>
        <w:t>Shared claim-specific concepts:</w:t>
      </w:r>
      <w:r>
        <w:t xml:space="preserve"> exposure, limits, levels, however; EU scope visible. This is a provisional connection, not an outcome finding.</w:t>
      </w:r>
    </w:p>
    <w:p>
      <w:pPr>
        <w:pStyle w:val="SourceNote"/>
      </w:pPr>
      <w:r>
        <w:rPr>
          <w:b/>
        </w:rPr>
        <w:t>Available abstract (not full text):</w:t>
      </w:r>
      <w:r>
        <w:t xml:space="preserve"> To evaluate the implementation of 5G in Europe, we have systematically measured environmental, auto-induced downlink (DL) and uplink (UL) radiofrequency electromagnetic field (RF-EMF) exposure in more than 800 microenvironments in ten European countries. Outdoor, indoor, and public transport microenvironments were measured in two cities and three villages in each country. Exposure was measured during three mobile-phone user scenarios: flight mode (non-user), inducing maximum DL traffic (max DL) or maximum UL traffic (max UL). The mobile phone was carried in a backpack, placed 30 cm from an ExpoM-RF 4 that continuously measured 35 frequency bands (87.5 MHz–6 GHz). For each user scenario, mean exposure levels were calculated. In the non-user scenario, mean exposure levels ranged from 0.33 to 1.72 mW/m 2 per country and were lower in Switzerland, Belgium and Italy. RF-EMF levels were, on average, 80 % lower in villages compared to cities, with DL bands contributing the most in this scenario. During max DL, exposure increased mainly due to the 5G band at 3.5 GHz (mean exposure per country 2.61–11.12 mW/m 2 ). However, the time-division nature of this band prevents distinguishing between DL and UL signals with the ExpoM-RF 4. Exposure levels were the highest during max UL, particularly in the Netherlands, Italy and Belgium, with 50 % of the mean levels per country above 16 mW/m 2 . </w:t>
      </w:r>
    </w:p>
    <w:p>
      <w:pPr/>
      <w:r>
        <w:rPr>
          <w:b/>
        </w:rPr>
        <w:t>POSSIBLE 2025:</w:t>
      </w:r>
      <w:r>
        <w:t xml:space="preserve"> Nanomaterials in food packaging: An overview of regulatory frameworks and migration assessment — https://doi.org/10.1016/j.foodcont.2025.111707</w:t>
      </w:r>
    </w:p>
    <w:p>
      <w:pPr/>
      <w:r>
        <w:rPr>
          <w:b/>
        </w:rPr>
        <w:t>Shared claim-specific concepts:</w:t>
      </w:r>
      <w:r>
        <w:t xml:space="preserve"> regulatory, not, however; EU scope not established. This is a provisional connection, not an outcome finding.</w:t>
      </w:r>
    </w:p>
    <w:p>
      <w:pPr>
        <w:pStyle w:val="SourceNote"/>
      </w:pPr>
      <w:r>
        <w:rPr>
          <w:b/>
        </w:rPr>
        <w:t>Available abstract (not full text):</w:t>
      </w:r>
      <w:r>
        <w:t xml:space="preserve"> Nanotechnologies hold significant promise for supporting the design of advanced food packaging materials with tunable properties. However, this potential is limited by an important knowledge gap about the migration of nanoparticles from the packaging material into food. So far, accurately measuring specific migration remains a major challenge. Current analytical methods mainly focus on inorganic systems such as metal and metal oxide nanomaterials. In contrast, the migration of organic nanomaterials is usually assessed through broad, non-specific overall migration measurements, which do not provide key data on the transfer of the nano-objects themselves. This review critically addresses this gap by: (1) systematically examining the migration behavior of inorganic, organic, and hybrid nanomaterials in food packaging; (2) evaluating the strengths and limitations of current analytical techniques for their detection and measurement; and (3) analyzing regulatory frameworks. The findings of this work highlight the existing analytical techniques as insufficient for tracking the specific migration of nanoscale organic materials from food contact materials (FCM). It also emphasizes the urgent need for unified analytical methods, reliable predictive models, and adaptable regulatory oversight to connect innovation with safety in nanotechnology-based food packaging materials.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pStyle w:val="Heading2"/>
      </w:pPr>
      <w:r>
        <w:t>1024.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2026:</w:t>
      </w:r>
      <w:r>
        <w:t xml:space="preserve"> The UAE- European Union Strategic and Security Partnership — https://doi.org/10.47772/ijriss.2026.100800111</w:t>
      </w:r>
    </w:p>
    <w:p>
      <w:pPr/>
      <w:r>
        <w:rPr>
          <w:b/>
        </w:rPr>
        <w:t>Shared claim-specific concepts:</w:t>
      </w:r>
      <w:r>
        <w:t xml:space="preserve"> strategic, drivers, key; EU scope visible. This is a provisional connection, not an outcome finding.</w:t>
      </w:r>
    </w:p>
    <w:p>
      <w:pPr>
        <w:pStyle w:val="SourceNote"/>
      </w:pPr>
      <w:r>
        <w:rPr>
          <w:b/>
        </w:rPr>
        <w:t>Available abstract (not full text):</w:t>
      </w:r>
      <w:r>
        <w:t xml:space="preserve"> This paper examines the evolving security partnership between the United Arab Emirates (UAE) and the European Union (EU) in the context of contemporary geopolitical challenges. It aims to analyze the implications of this partnership for regional stability, security cooperation, and economic integration. The research questions guiding this study include: What are the key drivers of UAE-EU security cooperation? How do shared interests and strategic priorities shape the partnership? What challenges and opportunities arise from this collaboration? The findings indicate that the UAE-EU partnership is characterized by a multifaceted approach that encompasses military cooperation, counterterrorism efforts, and responses to non-traditional security threats. However, the partnership also faces challenges, including divergent political priorities and human rights concerns. Overall, the study highlights the importance of a structured and integrated approach to enhance the effectiveness of the UAE-EU security partnership while addressing regional complexities. 1. What are the key drivers of UAE-EU security cooperation? 2. How do shared interests and strategic priorities shape the partnership? The findings reveal that the UAE-EU partnership is driven by mutual interests in regional stability, energy security, and counterterrorism. The collaboration has led to enhanced military cooperation, </w:t>
      </w:r>
    </w:p>
    <w:p>
      <w:pPr>
        <w:pStyle w:val="Heading2"/>
      </w:pPr>
      <w:r>
        <w:t>1025.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2025:</w:t>
      </w:r>
      <w:r>
        <w:t xml:space="preserve"> Measures and estimators of predictive uncertainty in deep learning — https://openalex.org/W7111979649</w:t>
      </w:r>
    </w:p>
    <w:p>
      <w:pPr/>
      <w:r>
        <w:rPr>
          <w:b/>
        </w:rPr>
        <w:t>Shared claim-specific concepts:</w:t>
      </w:r>
      <w:r>
        <w:t xml:space="preserve"> so-called, critical, found; EU scope not established. This is a provisional connection, not an outcome finding.</w:t>
      </w:r>
    </w:p>
    <w:p>
      <w:pPr>
        <w:pStyle w:val="SourceNote"/>
      </w:pPr>
      <w:r>
        <w:rPr>
          <w:b/>
        </w:rPr>
        <w:t>Available abstract (not full text):</w:t>
      </w:r>
      <w:r>
        <w:t xml:space="preserve"> Machine learning systems, especially those based on deep learning, have achieved remarkable performance across a wide range of tasks over the past decade. However, the integration of these powerful systems into high-stakes domains, such as autonomous driving or critical healthcare systems, presents significant risks due to the severe consequences of incorrect or uncertain predictions. To mitigate these risks, it is essential to quantify predictive uncertainty and avoid potentially unsafe automated decisions in ambiguous or unknown situations. However, deep learning models often lack the ability to provide well-calibrated uncertainty estimates, limiting their reliability in critical applications. The aim of this thesis is to advance how to measure and estimate predictive uncertainty with an emphasis on deep learning models. Regarding how to measure predictive uncertainty, we introduce a flexible framework of predictive uncertainty measures, which is suitable for modern deep learning practices, such as using pre-trained models. To better estimate many of the resulting measures, more explicitly their epistemic components, we introduce a new sampling method. Contrary to previous methods, our method explicitly searches for models that disagree with a reference model for a new test point, yet explain the training data equally well. Furthermore, we investigate how to measure predictiv</w:t>
      </w:r>
    </w:p>
    <w:p>
      <w:pPr/>
      <w:r>
        <w:rPr>
          <w:b/>
        </w:rPr>
        <w:t>POSSIBLE 2025:</w:t>
      </w:r>
      <w:r>
        <w:t xml:space="preserve"> Management decisions under radical uncertainty — https://doi.org/10.1108/md-01-2025-0079</w:t>
      </w:r>
    </w:p>
    <w:p>
      <w:pPr/>
      <w:r>
        <w:rPr>
          <w:b/>
        </w:rPr>
        <w:t>Shared claim-specific concepts:</w:t>
      </w:r>
      <w:r>
        <w:t xml:space="preserve"> so-called, critical, related; EU scope not established. This is a provisional connection, not an outcome finding.</w:t>
      </w:r>
    </w:p>
    <w:p>
      <w:pPr>
        <w:pStyle w:val="SourceNote"/>
      </w:pPr>
      <w:r>
        <w:rPr>
          <w:b/>
        </w:rPr>
        <w:t>Available abstract (not full text):</w:t>
      </w:r>
      <w:r>
        <w:t xml:space="preserve"> Purpose Uncertainty is part and parcel of managerial decision-making processes, yet it poses challenges managers often prefer to avoid. Research has suggested that managers can recognize heuristic cues in uncertain environments to support their decisions. However, there are times when even these heuristics and cues are absent, leaving managers to confront radical uncertainty; a state characterized by a complete lack of probabilistic and qualitative information. This form of uncertainty is especially challenging as it involves grappling with unknown unknowns – unforeseen situations that are not anticipated and whose outcomes cannot be calculated. The purpose of this paper is to understand how managers and companies can navigate this. Design/methodology/approach In this In Motion paper, we partner up with two executive vice presidents to practically contribute to this understanding by examining a specific case: ASML – an innovation giant in the semiconductor industry that thrives under conditions of radical uncertainty. Specifically, we combine field observations and reflections to answer the research question: how do firms not just innovate but thrive amidst radical uncertainty? Findings We identify three critical approaches of ASML; managing foresight relationships, a dynamic and deliberate uncertainty approach and parallel team development and explain how these help managers u</w:t>
      </w:r>
    </w:p>
    <w:p>
      <w:pPr>
        <w:pStyle w:val="Heading2"/>
      </w:pPr>
      <w:r>
        <w:t>1026. Research update · 26 October 2026 — independently check before citing</w:t>
      </w:r>
    </w:p>
    <w:p>
      <w:pPr/>
      <w:r>
        <w:t>12 researched cases. External LLM checks are not editorial verification; these connections are not prediction scores.</w:t>
      </w:r>
    </w:p>
    <w:p>
      <w:pPr>
        <w:pStyle w:val="Heading2"/>
      </w:pPr>
      <w:r>
        <w:t>1027.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1028.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1029.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1030.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1031.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1032.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1033.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1034.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1035.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1036.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1037.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1038.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