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Claim + two later sources: Retirement timing in a future welfare state: a Finnish Delphi study</w:t>
      </w:r>
    </w:p>
    <w:p>
      <w:pPr>
        <w:pStyle w:val="SourceNote"/>
      </w:pPr>
      <w:r>
        <w:rPr>
          <w:b/>
        </w:rPr>
        <w:t>Group ID:</w:t>
      </w:r>
      <w:r>
        <w:t xml:space="preserve"> group-79aec264a8d4ad79bda1</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Urban cooperation for sustainable development in Europe: a co-designed methodology to foster multi-level governance — https://doi.org/10.1108/ijpsm-12-2025-0662</w:t>
      </w:r>
    </w:p>
    <w:p>
      <w:pPr/>
      <w:r>
        <w:rPr>
          <w:b/>
        </w:rPr>
        <w:t>Later source:</w:t>
      </w:r>
      <w:r>
        <w:t xml:space="preserve"> Methodologies for the design of positive energy districts: A scoping literature review and a proposal for a new approach (PlanPED) — https://doi.org/10.1016/j.buildenv.2024.111667</w:t>
      </w:r>
    </w:p>
    <w:p>
      <w:pPr>
        <w:pStyle w:val="SourceNote"/>
      </w:pPr>
      <w:r>
        <w:rPr>
          <w:b/>
        </w:rPr>
        <w:t>Review status:</w:t>
      </w:r>
      <w:r>
        <w:t xml:space="preserve"> unchecked — possible relationship only</w:t>
      </w:r>
    </w:p>
    <w:p>
      <w:pPr>
        <w:pStyle w:val="Heading2"/>
      </w:pPr>
      <w:r>
        <w:t>2. Claim + two later sources: Population Projection Revisions and Their Impact on Economic Growth – The Case of Malta</w:t>
      </w:r>
    </w:p>
    <w:p>
      <w:pPr>
        <w:pStyle w:val="SourceNote"/>
      </w:pPr>
      <w:r>
        <w:rPr>
          <w:b/>
        </w:rPr>
        <w:t>Group ID:</w:t>
      </w:r>
      <w:r>
        <w:t xml:space="preserve"> group-00bdbb0525623c3e5583</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Current and projected regional economic impacts of heatwaves in Europe — https://doi.org/10.1038/s41467-021-26050-z</w:t>
      </w:r>
    </w:p>
    <w:p>
      <w:pPr/>
      <w:r>
        <w:rPr>
          <w:b/>
        </w:rPr>
        <w:t>Later source:</w:t>
      </w:r>
      <w:r>
        <w:t xml:space="preserve"> Economic Burden of Physical Inactivity in Europe — https://doi.org/10.71125/sporteconres.25</w:t>
      </w:r>
    </w:p>
    <w:p>
      <w:pPr>
        <w:pStyle w:val="SourceNote"/>
      </w:pPr>
      <w:r>
        <w:rPr>
          <w:b/>
        </w:rPr>
        <w:t>Review status:</w:t>
      </w:r>
      <w:r>
        <w:t xml:space="preserve"> unchecked — possible relationship only</w:t>
      </w:r>
    </w:p>
    <w:p>
      <w:pPr>
        <w:pStyle w:val="Heading2"/>
      </w:pPr>
      <w:r>
        <w:t>3. Claim + two later sources: Pathways to Decarbonise the European Car Fleet: A Scenario Analysis Using the Backcasting Approach</w:t>
      </w:r>
    </w:p>
    <w:p>
      <w:pPr>
        <w:pStyle w:val="SourceNote"/>
      </w:pPr>
      <w:r>
        <w:rPr>
          <w:b/>
        </w:rPr>
        <w:t>Group ID:</w:t>
      </w:r>
      <w:r>
        <w:t xml:space="preserve"> group-92713c6c214615909799</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The military green transition: Decarbonisation as warfighting opportunity — https://doi.org/10.1016/j.polgeo.2026.103573</w:t>
      </w:r>
    </w:p>
    <w:p>
      <w:pPr/>
      <w:r>
        <w:rPr>
          <w:b/>
        </w:rPr>
        <w:t>Later source:</w:t>
      </w:r>
      <w:r>
        <w:t xml:space="preserve"> Accelerating Light-Duty Fleet Decarbonisation through Energy Efficiency Audits: Results and Methodology Assessment — https://doi.org/10.1051/e3sconf/202448702001</w:t>
      </w:r>
    </w:p>
    <w:p>
      <w:pPr>
        <w:pStyle w:val="SourceNote"/>
      </w:pPr>
      <w:r>
        <w:rPr>
          <w:b/>
        </w:rPr>
        <w:t>Review status:</w:t>
      </w:r>
      <w:r>
        <w:t xml:space="preserve"> unchecked — possible relationship only</w:t>
      </w:r>
    </w:p>
    <w:p>
      <w:pPr>
        <w:pStyle w:val="Heading2"/>
      </w:pPr>
      <w:r>
        <w:t>4.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possible relationship only</w:t>
      </w:r>
    </w:p>
    <w:p>
      <w:pPr>
        <w:pStyle w:val="Heading2"/>
      </w:pPr>
      <w:r>
        <w:t>5. Claim + two later sources: Record dry summer in 2015 challenges precipitation projections in Central Europe</w:t>
      </w:r>
    </w:p>
    <w:p>
      <w:pPr>
        <w:pStyle w:val="SourceNote"/>
      </w:pPr>
      <w:r>
        <w:rPr>
          <w:b/>
        </w:rPr>
        <w:t>Group ID:</w:t>
      </w:r>
      <w:r>
        <w:t xml:space="preserve"> group-61e1d32ccdd0284c18e7</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Projections of streamflow intermittence under climate change in European drying river networks — https://doi.org/10.5194/hess-29-1615-2025</w:t>
      </w:r>
    </w:p>
    <w:p>
      <w:pPr/>
      <w:r>
        <w:rPr>
          <w:b/>
        </w:rPr>
        <w:t>Later source:</w:t>
      </w:r>
      <w:r>
        <w:t xml:space="preserve"> The Accelerating Exposure of European Protected Areas to Climate Change — https://doi.org/10.1111/gcb.70261</w:t>
      </w:r>
    </w:p>
    <w:p>
      <w:pPr>
        <w:pStyle w:val="SourceNote"/>
      </w:pPr>
      <w:r>
        <w:rPr>
          <w:b/>
        </w:rPr>
        <w:t>Review status:</w:t>
      </w:r>
      <w:r>
        <w:t xml:space="preserve"> unchecked — possible relationship only</w:t>
      </w:r>
    </w:p>
    <w:p>
      <w:pPr>
        <w:pStyle w:val="Heading2"/>
      </w:pPr>
      <w:r>
        <w:t>6. Claim + two later sources: Policy-based Population Projections for the European Union: A Complementary Approach</w:t>
      </w:r>
    </w:p>
    <w:p>
      <w:pPr>
        <w:pStyle w:val="SourceNote"/>
      </w:pPr>
      <w:r>
        <w:rPr>
          <w:b/>
        </w:rPr>
        <w:t>Group ID:</w:t>
      </w:r>
      <w:r>
        <w:t xml:space="preserve"> group-b1d659edae3729afb891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Population exposure to multiple air pollutants and its compound episodes in Europe — https://doi.org/10.1038/s41467-024-46103-3</w:t>
      </w:r>
    </w:p>
    <w:p>
      <w:pPr/>
      <w:r>
        <w:rPr>
          <w:b/>
        </w:rPr>
        <w:t>Later source:</w:t>
      </w:r>
      <w:r>
        <w:t xml:space="preserve"> Population Genetics and Invasion History of the European Starling Across Aotearoa New Zealand — https://doi.org/10.1111/mec.17579</w:t>
      </w:r>
    </w:p>
    <w:p>
      <w:pPr>
        <w:pStyle w:val="SourceNote"/>
      </w:pPr>
      <w:r>
        <w:rPr>
          <w:b/>
        </w:rPr>
        <w:t>Review status:</w:t>
      </w:r>
      <w:r>
        <w:t xml:space="preserve"> unchecked — possible relationship only</w:t>
      </w:r>
    </w:p>
    <w:p>
      <w:pPr>
        <w:pStyle w:val="Heading2"/>
      </w:pPr>
      <w:r>
        <w:t>7. Claim + two later sources: Life cycle assessment integration into energy system models: An application for Power-to-Methane in the EU</w:t>
      </w:r>
    </w:p>
    <w:p>
      <w:pPr>
        <w:pStyle w:val="SourceNote"/>
      </w:pPr>
      <w:r>
        <w:rPr>
          <w:b/>
        </w:rPr>
        <w:t>Group ID:</w:t>
      </w:r>
      <w:r>
        <w:t xml:space="preserve"> group-7950399ceee1d2c18f86</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Background report of ex-ante LCAs for CBE JU application IRIS — https://openalex.org/W7112006283</w:t>
      </w:r>
    </w:p>
    <w:p>
      <w:pPr/>
      <w:r>
        <w:rPr>
          <w:b/>
        </w:rPr>
        <w:t>Later source:</w:t>
      </w:r>
      <w:r>
        <w:t xml:space="preserve"> Prospective Environmental Assessment of Citric Acid Production: An Integrated Framework of Ex-Ante LCA and Technological Learning — https://doi.org/10.3390/su18062848</w:t>
      </w:r>
    </w:p>
    <w:p>
      <w:pPr>
        <w:pStyle w:val="SourceNote"/>
      </w:pPr>
      <w:r>
        <w:rPr>
          <w:b/>
        </w:rPr>
        <w:t>Review status:</w:t>
      </w:r>
      <w:r>
        <w:t xml:space="preserve"> unchecked — possible relationship only</w:t>
      </w:r>
    </w:p>
    <w:p>
      <w:pPr>
        <w:pStyle w:val="Heading2"/>
      </w:pPr>
      <w:r>
        <w:t>8. Claim + two later sources: A vibrant European labor market with full employment</w:t>
      </w:r>
    </w:p>
    <w:p>
      <w:pPr>
        <w:pStyle w:val="SourceNote"/>
      </w:pPr>
      <w:r>
        <w:rPr>
          <w:b/>
        </w:rPr>
        <w:t>Group ID:</w:t>
      </w:r>
      <w:r>
        <w:t xml:space="preserve"> group-1a9c2294252da9a32554</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Format of emergency department electronic health records in Europe. The European initiative and the eCREAM proposal — https://doi.org/10.3389/femer.2025.1558208</w:t>
      </w:r>
    </w:p>
    <w:p>
      <w:pPr/>
      <w:r>
        <w:rPr>
          <w:b/>
        </w:rPr>
        <w:t>Later source:</w:t>
      </w:r>
      <w:r>
        <w:t xml:space="preserve"> Strategic partner election: proposal for a Binary Logistic Model for the European Union — https://doi.org/10.1057/s41599-023-02121-y</w:t>
      </w:r>
    </w:p>
    <w:p>
      <w:pPr>
        <w:pStyle w:val="SourceNote"/>
      </w:pPr>
      <w:r>
        <w:rPr>
          <w:b/>
        </w:rPr>
        <w:t>Review status:</w:t>
      </w:r>
      <w:r>
        <w:t xml:space="preserve"> unchecked — possible relationship only</w:t>
      </w:r>
    </w:p>
    <w:p>
      <w:pPr>
        <w:pStyle w:val="Heading2"/>
      </w:pPr>
      <w:r>
        <w:t>9.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group-5d19683ac9ca8ee44978</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Collaborative effort between fishers and scientists reveals first-time evidence of the smalltooth sandtiger shark (Odontaspis ferox) in Puerto Rico — https://doi.org/10.1017/s0025315425100246</w:t>
      </w:r>
    </w:p>
    <w:p>
      <w:pPr/>
      <w:r>
        <w:rPr>
          <w:b/>
        </w:rPr>
        <w:t>Later source:</w:t>
      </w:r>
      <w:r>
        <w:t xml:space="preserve"> Bioassay tests reveal for the first time pyrethroid resistance in — https://doi.org/10.1051/parasite/2025036/pdf</w:t>
      </w:r>
    </w:p>
    <w:p>
      <w:pPr>
        <w:pStyle w:val="SourceNote"/>
      </w:pPr>
      <w:r>
        <w:rPr>
          <w:b/>
        </w:rPr>
        <w:t>Review status:</w:t>
      </w:r>
      <w:r>
        <w:t xml:space="preserve"> unchecked — possible relationship only</w:t>
      </w:r>
    </w:p>
    <w:p>
      <w:pPr>
        <w:pStyle w:val="Heading2"/>
      </w:pPr>
      <w:r>
        <w:t>10.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11. Claim + two later sources: ENERGY: DEVELOPMENT FORECASTS, BIFURCATION POINTS (OVERVIEW)</w:t>
      </w:r>
    </w:p>
    <w:p>
      <w:pPr>
        <w:pStyle w:val="SourceNote"/>
      </w:pPr>
      <w:r>
        <w:rPr>
          <w:b/>
        </w:rPr>
        <w:t>Group ID:</w:t>
      </w:r>
      <w:r>
        <w:t xml:space="preserve"> group-ff4fc662ebe00e0f0377</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CLIMATE CHANGE AND GLOBAL POLITICS IN CONTEMPORARY AGE — https://doi.org/10.56815/ijmrr.v5i7.2026.395-411</w:t>
      </w:r>
    </w:p>
    <w:p>
      <w:pPr/>
      <w:r>
        <w:rPr>
          <w:b/>
        </w:rPr>
        <w:t>Later source:</w:t>
      </w:r>
      <w:r>
        <w:t xml:space="preserve"> Bodily Autonomy and Identity Politics: Feminist Approaches in the Era of Global Political Changes : Editors’ Note — https://openalex.org/W7125467776</w:t>
      </w:r>
    </w:p>
    <w:p>
      <w:pPr>
        <w:pStyle w:val="SourceNote"/>
      </w:pPr>
      <w:r>
        <w:rPr>
          <w:b/>
        </w:rPr>
        <w:t>Review status:</w:t>
      </w:r>
      <w:r>
        <w:t xml:space="preserve"> unchecked — possible relationship only</w:t>
      </w:r>
    </w:p>
    <w:p>
      <w:pPr>
        <w:pStyle w:val="Heading2"/>
      </w:pPr>
      <w:r>
        <w:t>12. Claim + two later sources: Foresight Research as а Strategic Planning Component</w:t>
      </w:r>
    </w:p>
    <w:p>
      <w:pPr>
        <w:pStyle w:val="SourceNote"/>
      </w:pPr>
      <w:r>
        <w:rPr>
          <w:b/>
        </w:rPr>
        <w:t>Group ID:</w:t>
      </w:r>
      <w:r>
        <w:t xml:space="preserve"> group-a42d401c203e1ace5b24</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The impacts of virtual try-on for online shopping on consumer purchase intention: the moderating role of technology experience — https://doi.org/10.1080/23311975.2025.2500774</w:t>
      </w:r>
    </w:p>
    <w:p>
      <w:pPr/>
      <w:r>
        <w:rPr>
          <w:b/>
        </w:rPr>
        <w:t>Later source:</w:t>
      </w:r>
      <w:r>
        <w:t xml:space="preserve"> Significance of Anatomical Constraints in Virtual Try-On — https://doi.org/10.1109/tetci.2024.3353080</w:t>
      </w:r>
    </w:p>
    <w:p>
      <w:pPr>
        <w:pStyle w:val="SourceNote"/>
      </w:pPr>
      <w:r>
        <w:rPr>
          <w:b/>
        </w:rPr>
        <w:t>Review status:</w:t>
      </w:r>
      <w:r>
        <w:t xml:space="preserve"> unchecked — possible relationship only</w:t>
      </w:r>
    </w:p>
    <w:p>
      <w:pPr>
        <w:pStyle w:val="Heading2"/>
      </w:pPr>
      <w:r>
        <w:t>13. Claim + two later sources: Scenarios for Chemistry Teacher Training and Practice in Romania in 2030: Views of Chemistry Students</w:t>
      </w:r>
    </w:p>
    <w:p>
      <w:pPr>
        <w:pStyle w:val="SourceNote"/>
      </w:pPr>
      <w:r>
        <w:rPr>
          <w:b/>
        </w:rPr>
        <w:t>Group ID:</w:t>
      </w:r>
      <w:r>
        <w:t xml:space="preserve"> group-cba14afbde76a7027f5d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A Focus Group Study on Participatory Practices in Early Childhood Education and Care Across Four European Countries — https://doi.org/10.1080/10409289.2024.2360868</w:t>
      </w:r>
    </w:p>
    <w:p>
      <w:pPr>
        <w:pStyle w:val="SourceNote"/>
      </w:pPr>
      <w:r>
        <w:rPr>
          <w:b/>
        </w:rPr>
        <w:t>Review status:</w:t>
      </w:r>
      <w:r>
        <w:t xml:space="preserve"> unchecked — possible relationship only</w:t>
      </w:r>
    </w:p>
    <w:p>
      <w:pPr>
        <w:pStyle w:val="Heading2"/>
      </w:pPr>
      <w:r>
        <w:t>14. Claim + two later sources: Global food security: assessing trends in view of guiding future EU policies</w:t>
      </w:r>
    </w:p>
    <w:p>
      <w:pPr>
        <w:pStyle w:val="SourceNote"/>
      </w:pPr>
      <w:r>
        <w:rPr>
          <w:b/>
        </w:rPr>
        <w:t>Group ID:</w:t>
      </w:r>
      <w:r>
        <w:t xml:space="preserve"> group-a073486a1da6c33f2caa</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From Reaction to Foresight: EUPHA’s vision for health security in Europe — https://doi.org/10.1093/eurpub/ckaf071</w:t>
      </w:r>
    </w:p>
    <w:p>
      <w:pPr/>
      <w:r>
        <w:rPr>
          <w:b/>
        </w:rPr>
        <w:t>Later source:</w:t>
      </w:r>
      <w:r>
        <w:t xml:space="preserve"> Foresight in heritage: fostering future consciousness to proactively face change — https://doi.org/10.1108/jchmsd-12-2024-0298</w:t>
      </w:r>
    </w:p>
    <w:p>
      <w:pPr>
        <w:pStyle w:val="SourceNote"/>
      </w:pPr>
      <w:r>
        <w:rPr>
          <w:b/>
        </w:rPr>
        <w:t>Review status:</w:t>
      </w:r>
      <w:r>
        <w:t xml:space="preserve"> unchecked — possible relationship only</w:t>
      </w:r>
    </w:p>
    <w:p>
      <w:pPr>
        <w:pStyle w:val="Heading2"/>
      </w:pPr>
      <w:r>
        <w:t>15. Claim + two later sources: Transition pathways for a UK low-carbon electricity system: Comparing scenarios and technology implications</w:t>
      </w:r>
    </w:p>
    <w:p>
      <w:pPr>
        <w:pStyle w:val="SourceNote"/>
      </w:pPr>
      <w:r>
        <w:rPr>
          <w:b/>
        </w:rPr>
        <w:t>Group ID:</w:t>
      </w:r>
      <w:r>
        <w:t xml:space="preserve"> group-101a6d10e92bcf32e043</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Social workers in schools: A feasibility study of three local authorities — https://doi.org/10.1177/14680173241258927</w:t>
      </w:r>
    </w:p>
    <w:p>
      <w:pPr/>
      <w:r>
        <w:rPr>
          <w:b/>
        </w:rPr>
        <w:t>Later source:</w:t>
      </w:r>
      <w:r>
        <w:t xml:space="preserve"> A Gender-Informed Smoking Cessation App for Women: Protocol for an Acceptability and Feasibility Study — https://doi.org/10.2196/60677</w:t>
      </w:r>
    </w:p>
    <w:p>
      <w:pPr>
        <w:pStyle w:val="SourceNote"/>
      </w:pPr>
      <w:r>
        <w:rPr>
          <w:b/>
        </w:rPr>
        <w:t>Review status:</w:t>
      </w:r>
      <w:r>
        <w:t xml:space="preserve"> unchecked — possible relationship only</w:t>
      </w:r>
    </w:p>
    <w:p>
      <w:pPr>
        <w:pStyle w:val="Heading2"/>
      </w:pPr>
      <w:r>
        <w:t>16. Claim + two later sources: Alternative scenarios investigation of 1990..2016 CO 2 emission from Public Electricity and Heat Production sectors in Europe</w:t>
      </w:r>
    </w:p>
    <w:p>
      <w:pPr>
        <w:pStyle w:val="SourceNote"/>
      </w:pPr>
      <w:r>
        <w:rPr>
          <w:b/>
        </w:rPr>
        <w:t>Group ID:</w:t>
      </w:r>
      <w:r>
        <w:t xml:space="preserve"> group-1c21a371edf3df4d6990</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European Language Grid: An Overview — https://doi.org/10.48550/arxiv.2003.13551</w:t>
      </w:r>
    </w:p>
    <w:p>
      <w:pPr/>
      <w:r>
        <w:rPr>
          <w:b/>
        </w:rPr>
        <w:t>Later source:</w:t>
      </w:r>
      <w:r>
        <w:t xml:space="preserve"> A graphical analysis of the intellectual structure of The Australian Journal of Indigenous Education — https://doi.org/10.55146/ajie.v54i2.2031</w:t>
      </w:r>
    </w:p>
    <w:p>
      <w:pPr>
        <w:pStyle w:val="SourceNote"/>
      </w:pPr>
      <w:r>
        <w:rPr>
          <w:b/>
        </w:rPr>
        <w:t>Review status:</w:t>
      </w:r>
      <w:r>
        <w:t xml:space="preserve"> unchecked — possible relationship only</w:t>
      </w:r>
    </w:p>
    <w:p>
      <w:pPr>
        <w:pStyle w:val="Heading2"/>
      </w:pPr>
      <w:r>
        <w:t>17. Claim + two later sources: Pathways for Low-Carbon Transition of the Steel Industry—A Swedish Case Study</w:t>
      </w:r>
    </w:p>
    <w:p>
      <w:pPr>
        <w:pStyle w:val="SourceNote"/>
      </w:pPr>
      <w:r>
        <w:rPr>
          <w:b/>
        </w:rPr>
        <w:t>Group ID:</w:t>
      </w:r>
      <w:r>
        <w:t xml:space="preserve"> group-5f45351bdea666869ce5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Kickstarting CCS Adoption: Tailoring Subsidies to Emitters' Needs — https://openalex.org/W4400372560</w:t>
      </w:r>
    </w:p>
    <w:p>
      <w:pPr/>
      <w:r>
        <w:rPr>
          <w:b/>
        </w:rPr>
        <w:t>Later source:</w:t>
      </w:r>
      <w:r>
        <w:t xml:space="preserve"> Cost estimation of CCS integration into thermal power plants in Japan — https://doi.org/10.1299/mej.22-00028</w:t>
      </w:r>
    </w:p>
    <w:p>
      <w:pPr>
        <w:pStyle w:val="SourceNote"/>
      </w:pPr>
      <w:r>
        <w:rPr>
          <w:b/>
        </w:rPr>
        <w:t>Review status:</w:t>
      </w:r>
      <w:r>
        <w:t xml:space="preserve"> unchecked — possible relationship only</w:t>
      </w:r>
    </w:p>
    <w:p>
      <w:pPr>
        <w:pStyle w:val="Heading2"/>
      </w:pPr>
      <w:r>
        <w:t>18. Claim + two later sources: Alternative future energy pathways: Assessment of the potential of innovative decentralised energy systems in the UK</w:t>
      </w:r>
    </w:p>
    <w:p>
      <w:pPr>
        <w:pStyle w:val="SourceNote"/>
      </w:pPr>
      <w:r>
        <w:rPr>
          <w:b/>
        </w:rPr>
        <w:t>Group ID:</w:t>
      </w:r>
      <w:r>
        <w:t xml:space="preserve"> group-6acaff679b652e52016b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Nuclear Data Uncertainty Analysis to Meet the Target Accuracy Requirements on the MYRRHAkeff — https://doi.org/10.1051/epjconf/202328408012</w:t>
      </w:r>
    </w:p>
    <w:p>
      <w:pPr>
        <w:pStyle w:val="SourceNote"/>
      </w:pPr>
      <w:r>
        <w:rPr>
          <w:b/>
        </w:rPr>
        <w:t>Review status:</w:t>
      </w:r>
      <w:r>
        <w:t xml:space="preserve"> unchecked — possible relationship only</w:t>
      </w:r>
    </w:p>
    <w:p>
      <w:pPr>
        <w:pStyle w:val="Heading2"/>
      </w:pPr>
      <w:r>
        <w:t>19. Claim + two later sources: Scenario Forecasting of Agriculture Institutional Transformation on Sustainable Development Base</w:t>
      </w:r>
    </w:p>
    <w:p>
      <w:pPr>
        <w:pStyle w:val="SourceNote"/>
      </w:pPr>
      <w:r>
        <w:rPr>
          <w:b/>
        </w:rPr>
        <w:t>Group ID:</w:t>
      </w:r>
      <w:r>
        <w:t xml:space="preserve"> group-13c25b67ed41d8512348</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Nexus between stock market and agricultural sector development in Nigeria and South Africa: Accounting for three-regime marginal-threshold effects — https://doi.org/10.1016/j.sciaf.2025.e02575</w:t>
      </w:r>
    </w:p>
    <w:p>
      <w:pPr>
        <w:pStyle w:val="SourceNote"/>
      </w:pPr>
      <w:r>
        <w:rPr>
          <w:b/>
        </w:rPr>
        <w:t>Review status:</w:t>
      </w:r>
      <w:r>
        <w:t xml:space="preserve"> unchecked — possible relationship only</w:t>
      </w:r>
    </w:p>
    <w:p>
      <w:pPr>
        <w:pStyle w:val="Heading2"/>
      </w:pPr>
      <w:r>
        <w:t>20. Claim + two later sources: Reform of experimental structures in animal science in France: From exploratory foresight to operational set-up</w:t>
      </w:r>
    </w:p>
    <w:p>
      <w:pPr>
        <w:pStyle w:val="SourceNote"/>
      </w:pPr>
      <w:r>
        <w:rPr>
          <w:b/>
        </w:rPr>
        <w:t>Group ID:</w:t>
      </w:r>
      <w:r>
        <w:t xml:space="preserve"> group-c79db56034b7d9c4220d</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Eye of Europe Foresight Training Manual — https://openalex.org/W7220785974</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21. Claim + two later sources: First-mover advantages of the European Union's climate change mitigation strategy</w:t>
      </w:r>
    </w:p>
    <w:p>
      <w:pPr>
        <w:pStyle w:val="SourceNote"/>
      </w:pPr>
      <w:r>
        <w:rPr>
          <w:b/>
        </w:rPr>
        <w:t>Group ID:</w:t>
      </w:r>
      <w:r>
        <w:t xml:space="preserve"> group-a52812ae21430934dbed</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Famines in medieval and early modern Europe—Connecting climate and society — https://doi.org/10.1002/wcc.859</w:t>
      </w:r>
    </w:p>
    <w:p>
      <w:pPr/>
      <w:r>
        <w:rPr>
          <w:b/>
        </w:rPr>
        <w:t>Later source:</w:t>
      </w:r>
      <w:r>
        <w:t xml:space="preserve"> Emergent vulnerability to climate-driven disturbances in European forests — https://doi.org/10.1038/s41467-021-21399-7</w:t>
      </w:r>
    </w:p>
    <w:p>
      <w:pPr>
        <w:pStyle w:val="SourceNote"/>
      </w:pPr>
      <w:r>
        <w:rPr>
          <w:b/>
        </w:rPr>
        <w:t>Review status:</w:t>
      </w:r>
      <w:r>
        <w:t xml:space="preserve"> unchecked — possible relationship only</w:t>
      </w:r>
    </w:p>
    <w:p>
      <w:pPr>
        <w:pStyle w:val="Heading2"/>
      </w:pPr>
      <w:r>
        <w:t>22. Claim + two later sources: Decarbonizing Sweden’s energy and transportation system by 2050</w:t>
      </w:r>
    </w:p>
    <w:p>
      <w:pPr>
        <w:pStyle w:val="SourceNote"/>
      </w:pPr>
      <w:r>
        <w:rPr>
          <w:b/>
        </w:rPr>
        <w:t>Group ID:</w:t>
      </w:r>
      <w:r>
        <w:t xml:space="preserve"> group-a111d86bf2caa66d0804</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of European Industry: Modelling and Open Science (DEIMOS) — https://doi.org/10.5445/ir/1000196316</w:t>
      </w:r>
    </w:p>
    <w:p>
      <w:pPr/>
      <w:r>
        <w:rPr>
          <w:b/>
        </w:rPr>
        <w:t>Later source:</w:t>
      </w:r>
      <w:r>
        <w:t xml:space="preserve"> Decarbonization, Dematerialization, and Economic Gains in Circular Economy for Construction and Demolition Waste Management in Europe — https://doi.org/10.1021/acs.est.6c02401</w:t>
      </w:r>
    </w:p>
    <w:p>
      <w:pPr>
        <w:pStyle w:val="SourceNote"/>
      </w:pPr>
      <w:r>
        <w:rPr>
          <w:b/>
        </w:rPr>
        <w:t>Review status:</w:t>
      </w:r>
      <w:r>
        <w:t xml:space="preserve"> unchecked — possible relationship only</w:t>
      </w:r>
    </w:p>
    <w:p>
      <w:pPr>
        <w:pStyle w:val="Heading2"/>
      </w:pPr>
      <w:r>
        <w:t>23. Claim + two later sources: Boosting the EU forest-based bioeconomy: Market, climate, and employment impacts</w:t>
      </w:r>
    </w:p>
    <w:p>
      <w:pPr>
        <w:pStyle w:val="SourceNote"/>
      </w:pPr>
      <w:r>
        <w:rPr>
          <w:b/>
        </w:rPr>
        <w:t>Group ID:</w:t>
      </w:r>
      <w:r>
        <w:t xml:space="preserve"> group-a3eb909648688e9e359c</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CHANGES IN FRUIT PRODUCTION AND IMPORTS FROM TURKEY TO EUROPEAN UNION COUNTRIES — https://doi.org/10.5604/01.3001.0055.6187</w:t>
      </w:r>
    </w:p>
    <w:p>
      <w:pPr/>
      <w:r>
        <w:rPr>
          <w:b/>
        </w:rPr>
        <w:t>Later source:</w:t>
      </w:r>
      <w:r>
        <w:t xml:space="preserve"> THE IMPORT OF THE NATURAL GAS FROM THE REPUBLIC OF AZERBAIJAN IN THE CONTEXT OF THE ENERGY POLICY OF THE EUROPEAN UNION — https://doi.org/10.48137/26870703_2026_35_3_61</w:t>
      </w:r>
    </w:p>
    <w:p>
      <w:pPr>
        <w:pStyle w:val="SourceNote"/>
      </w:pPr>
      <w:r>
        <w:rPr>
          <w:b/>
        </w:rPr>
        <w:t>Review status:</w:t>
      </w:r>
      <w:r>
        <w:t xml:space="preserve"> unchecked — possible relationship only</w:t>
      </w:r>
    </w:p>
    <w:p>
      <w:pPr>
        <w:pStyle w:val="Heading2"/>
      </w:pPr>
      <w:r>
        <w:t>24. Claim + two later sources: The Great Future Debate and the Struggle for the World</w:t>
      </w:r>
    </w:p>
    <w:p>
      <w:pPr>
        <w:pStyle w:val="SourceNote"/>
      </w:pPr>
      <w:r>
        <w:rPr>
          <w:b/>
        </w:rPr>
        <w:t>Group ID:</w:t>
      </w:r>
      <w:r>
        <w:t xml:space="preserve"> group-fc4cb92561b6f03cad00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ANTI-THEATER OF FUTURISTS AND DADAISTS AS A REFUTATION OF ARISTOTLE’S CONCEPT OF MIMETIC THEATER — https://doi.org/10.30970/vas.26.2025.206-216</w:t>
      </w:r>
    </w:p>
    <w:p>
      <w:pPr/>
      <w:r>
        <w:rPr>
          <w:b/>
        </w:rPr>
        <w:t>Later source:</w:t>
      </w:r>
      <w:r>
        <w:t xml:space="preserve"> The Digital Divide and Futurist Imaginings of Zelle‐ous Resistors — https://doi.org/10.17645/si.v11i3.6867</w:t>
      </w:r>
    </w:p>
    <w:p>
      <w:pPr>
        <w:pStyle w:val="SourceNote"/>
      </w:pPr>
      <w:r>
        <w:rPr>
          <w:b/>
        </w:rPr>
        <w:t>Review status:</w:t>
      </w:r>
      <w:r>
        <w:t xml:space="preserve"> unchecked — possible relationship only</w:t>
      </w:r>
    </w:p>
    <w:p>
      <w:pPr>
        <w:pStyle w:val="Heading2"/>
      </w:pPr>
      <w:r>
        <w:t>25. Claim + two later sources: Clean Disruption for Abundant Futures - Neo-Carbon Energy Futures Clinique III</w:t>
      </w:r>
    </w:p>
    <w:p>
      <w:pPr>
        <w:pStyle w:val="SourceNote"/>
      </w:pPr>
      <w:r>
        <w:rPr>
          <w:b/>
        </w:rPr>
        <w:t>Group ID:</w:t>
      </w:r>
      <w:r>
        <w:t xml:space="preserve"> group-6ef26a012aaef17c2b88</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DRIVERS OF AGILE TRANSFORMATION IN PREDICTIVE PROJECT MANAGEMENT ENVIRONMENTS — https://doi.org/10.32782/bses.100-20</w:t>
      </w:r>
    </w:p>
    <w:p>
      <w:pPr/>
      <w:r>
        <w:rPr>
          <w:b/>
        </w:rPr>
        <w:t>Later source:</w:t>
      </w:r>
      <w:r>
        <w:t xml:space="preserve"> Leading Digital Transformation Project: A Case of NADRA — https://openalex.org/W7213482378</w:t>
      </w:r>
    </w:p>
    <w:p>
      <w:pPr>
        <w:pStyle w:val="SourceNote"/>
      </w:pPr>
      <w:r>
        <w:rPr>
          <w:b/>
        </w:rPr>
        <w:t>Review status:</w:t>
      </w:r>
      <w:r>
        <w:t xml:space="preserve"> unchecked — possible relationship only</w:t>
      </w:r>
    </w:p>
    <w:p>
      <w:pPr>
        <w:pStyle w:val="Heading2"/>
      </w:pPr>
      <w:r>
        <w:t>26. Claim + two later sources: Pressures on soil functions from soil management in Germany. A foresight review</w:t>
      </w:r>
    </w:p>
    <w:p>
      <w:pPr>
        <w:pStyle w:val="SourceNote"/>
      </w:pPr>
      <w:r>
        <w:rPr>
          <w:b/>
        </w:rPr>
        <w:t>Group ID:</w:t>
      </w:r>
      <w:r>
        <w:t xml:space="preserve"> group-c283ced019c0606ebd63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Public Acceptance and Socio-Economic Drivers of Renewable District Heating: Evidence from Italy — https://doi.org/10.3390/en19010096</w:t>
      </w:r>
    </w:p>
    <w:p>
      <w:pPr/>
      <w:r>
        <w:rPr>
          <w:b/>
        </w:rPr>
        <w:t>Later source:</w:t>
      </w:r>
      <w:r>
        <w:t xml:space="preserve"> Detecting the socio-economic drivers of confidence in government with eXplainable Artificial Intelligence — https://doi.org/10.1038/s41598-023-28020-5</w:t>
      </w:r>
    </w:p>
    <w:p>
      <w:pPr>
        <w:pStyle w:val="SourceNote"/>
      </w:pPr>
      <w:r>
        <w:rPr>
          <w:b/>
        </w:rPr>
        <w:t>Review status:</w:t>
      </w:r>
      <w:r>
        <w:t xml:space="preserve"> unchecked — possible relationship only</w:t>
      </w:r>
    </w:p>
    <w:p>
      <w:pPr>
        <w:pStyle w:val="Heading2"/>
      </w:pPr>
      <w:r>
        <w:t>27. Claim + two later sources: Energy Vision Strategies for the EU Green New Deal: A Case Study of European Cities</w:t>
      </w:r>
    </w:p>
    <w:p>
      <w:pPr>
        <w:pStyle w:val="SourceNote"/>
      </w:pPr>
      <w:r>
        <w:rPr>
          <w:b/>
        </w:rPr>
        <w:t>Group ID:</w:t>
      </w:r>
      <w:r>
        <w:t xml:space="preserve"> group-81d26f7918e4394b5c8a</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Reassessing the benefits of European integration and the European Union's ability to achieve strategic autonomy — https://openalex.org/W7130901115</w:t>
      </w:r>
    </w:p>
    <w:p>
      <w:pPr/>
      <w:r>
        <w:rPr>
          <w:b/>
        </w:rPr>
        <w:t>Later source:</w:t>
      </w:r>
      <w:r>
        <w:t xml:space="preserve"> France's Strategic Gamble for Europe — https://doi.org/10.17613/cdevw-3gx51</w:t>
      </w:r>
    </w:p>
    <w:p>
      <w:pPr>
        <w:pStyle w:val="SourceNote"/>
      </w:pPr>
      <w:r>
        <w:rPr>
          <w:b/>
        </w:rPr>
        <w:t>Review status:</w:t>
      </w:r>
      <w:r>
        <w:t xml:space="preserve"> unchecked — possible relationship only</w:t>
      </w:r>
    </w:p>
    <w:p>
      <w:pPr>
        <w:pStyle w:val="Heading2"/>
      </w:pPr>
      <w:r>
        <w:t>28. Claim + two later sources: Developed Foresight for Borders Model Predicts the Amount of Borders Traffic in Finland</w:t>
      </w:r>
    </w:p>
    <w:p>
      <w:pPr>
        <w:pStyle w:val="SourceNote"/>
      </w:pPr>
      <w:r>
        <w:rPr>
          <w:b/>
        </w:rPr>
        <w:t>Group ID:</w:t>
      </w:r>
      <w:r>
        <w:t xml:space="preserve"> group-fd338f63a084015324c3</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Determinants of Financial Security of European Union Farms—A Factor Analysis Model Approach — https://doi.org/10.3390/agriculture14010119</w:t>
      </w:r>
    </w:p>
    <w:p>
      <w:pPr/>
      <w:r>
        <w:rPr>
          <w:b/>
        </w:rPr>
        <w:t>Later source:</w:t>
      </w:r>
      <w:r>
        <w:t xml:space="preserve"> Factors influencing antimicrobial resistance in the European food system and potential leverage points for intervention: A participatory, One Health study — https://doi.org/10.1371/journal.pone.0263914</w:t>
      </w:r>
    </w:p>
    <w:p>
      <w:pPr>
        <w:pStyle w:val="SourceNote"/>
      </w:pPr>
      <w:r>
        <w:rPr>
          <w:b/>
        </w:rPr>
        <w:t>Review status:</w:t>
      </w:r>
      <w:r>
        <w:t xml:space="preserve"> unchecked — possible relationship only</w:t>
      </w:r>
    </w:p>
    <w:p>
      <w:pPr>
        <w:pStyle w:val="Heading2"/>
      </w:pPr>
      <w:r>
        <w:t>29.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30. Claim + two later sources: Implementing exogenous scenarios in a global MRIO model for the estimation of future environmental footprints</w:t>
      </w:r>
    </w:p>
    <w:p>
      <w:pPr>
        <w:pStyle w:val="SourceNote"/>
      </w:pPr>
      <w:r>
        <w:rPr>
          <w:b/>
        </w:rPr>
        <w:t>Group ID:</w:t>
      </w:r>
      <w:r>
        <w:t xml:space="preserve"> group-bedd49ee6a8aade4282e</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Challenges in digitalization in outdoor recreation: The example of the European pond turtle — https://doi.org/10.1016/j.jort.2026.101095</w:t>
      </w:r>
    </w:p>
    <w:p>
      <w:pPr>
        <w:pStyle w:val="SourceNote"/>
      </w:pPr>
      <w:r>
        <w:rPr>
          <w:b/>
        </w:rPr>
        <w:t>Review status:</w:t>
      </w:r>
      <w:r>
        <w:t xml:space="preserve"> unchecked — possible relationship only</w:t>
      </w:r>
    </w:p>
    <w:p>
      <w:pPr>
        <w:pStyle w:val="Heading2"/>
      </w:pPr>
      <w:r>
        <w:t>31. Claim + two later sources: Assessing the impact of the 2011 EU Transport White Paper - a rail freight demand forecast up to 2050 for the EU27</w:t>
      </w:r>
    </w:p>
    <w:p>
      <w:pPr>
        <w:pStyle w:val="SourceNote"/>
      </w:pPr>
      <w:r>
        <w:rPr>
          <w:b/>
        </w:rPr>
        <w:t>Group ID:</w:t>
      </w:r>
      <w:r>
        <w:t xml:space="preserve"> group-d868b90130e0781cca50</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Right-Wing Extremism and Terrorism in Europe: Current Developments and Issues for the Future — https://openalex.org/W2994049625</w:t>
      </w:r>
    </w:p>
    <w:p>
      <w:pPr/>
      <w:r>
        <w:rPr>
          <w:b/>
        </w:rPr>
        <w:t>Later source:</w:t>
      </w:r>
      <w:r>
        <w:t xml:space="preserve"> Nonlinearity-enhanced quantum sensing in Stark probes — https://doi.org/10.1103/physrevapplied.23.014019</w:t>
      </w:r>
    </w:p>
    <w:p>
      <w:pPr>
        <w:pStyle w:val="SourceNote"/>
      </w:pPr>
      <w:r>
        <w:rPr>
          <w:b/>
        </w:rPr>
        <w:t>Review status:</w:t>
      </w:r>
      <w:r>
        <w:t xml:space="preserve"> unchecked — possible relationship only</w:t>
      </w:r>
    </w:p>
    <w:p>
      <w:pPr>
        <w:pStyle w:val="Heading2"/>
      </w:pPr>
      <w:r>
        <w:t>32. Claim + two later sources: Investigating syndromes of agricultural land degradation through past trajectories and future scenarios</w:t>
      </w:r>
    </w:p>
    <w:p>
      <w:pPr>
        <w:pStyle w:val="SourceNote"/>
      </w:pPr>
      <w:r>
        <w:rPr>
          <w:b/>
        </w:rPr>
        <w:t>Group ID:</w:t>
      </w:r>
      <w:r>
        <w:t xml:space="preserve"> group-4c2a985925aff5e514f4</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Integrating equity and productivity in health evaluation — https://openalex.org/W7160458284</w:t>
      </w:r>
    </w:p>
    <w:p>
      <w:pPr/>
      <w:r>
        <w:rPr>
          <w:b/>
        </w:rPr>
        <w:t>Later source:</w:t>
      </w:r>
      <w:r>
        <w:t xml:space="preserve"> Impact resistance of concrete and fibre-reinforced concrete: A review — https://doi.org/10.1016/j.ijimpeng.2023.104722</w:t>
      </w:r>
    </w:p>
    <w:p>
      <w:pPr>
        <w:pStyle w:val="SourceNote"/>
      </w:pPr>
      <w:r>
        <w:rPr>
          <w:b/>
        </w:rPr>
        <w:t>Review status:</w:t>
      </w:r>
      <w:r>
        <w:t xml:space="preserve"> unchecked — possible relationship only</w:t>
      </w:r>
    </w:p>
    <w:p>
      <w:pPr>
        <w:pStyle w:val="Heading2"/>
      </w:pPr>
      <w:r>
        <w:t>33. Claim + two later sources: Making the EU Carbon Border Adjustment Mechanism acceptable and climate friendly for least developed countries</w:t>
      </w:r>
    </w:p>
    <w:p>
      <w:pPr>
        <w:pStyle w:val="SourceNote"/>
      </w:pPr>
      <w:r>
        <w:rPr>
          <w:b/>
        </w:rPr>
        <w:t>Group ID:</w:t>
      </w:r>
      <w:r>
        <w:t xml:space="preserve"> group-dd7dff392cafc04ced10</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disclosure and risk premium in the European bond market — https://doi.org/10.1007/s40822-026-00401-x</w:t>
      </w:r>
    </w:p>
    <w:p>
      <w:pPr/>
      <w:r>
        <w:rPr>
          <w:b/>
        </w:rPr>
        <w:t>Later source:</w:t>
      </w:r>
      <w:r>
        <w:t xml:space="preserve"> Delivering a Climate Neutral Europe — https://doi.org/10.4324/9781003493730</w:t>
      </w:r>
    </w:p>
    <w:p>
      <w:pPr>
        <w:pStyle w:val="SourceNote"/>
      </w:pPr>
      <w:r>
        <w:rPr>
          <w:b/>
        </w:rPr>
        <w:t>Review status:</w:t>
      </w:r>
      <w:r>
        <w:t xml:space="preserve"> unchecked — possible relationship only</w:t>
      </w:r>
    </w:p>
    <w:p>
      <w:pPr>
        <w:pStyle w:val="Heading2"/>
      </w:pPr>
      <w:r>
        <w:t>34. Claim + two later sources: After crisis scenarios for Europe: alternative evolutions of structural adjustments</w:t>
      </w:r>
    </w:p>
    <w:p>
      <w:pPr>
        <w:pStyle w:val="SourceNote"/>
      </w:pPr>
      <w:r>
        <w:rPr>
          <w:b/>
        </w:rPr>
        <w:t>Group ID:</w:t>
      </w:r>
      <w:r>
        <w:t xml:space="preserve"> group-bb2bf052b8e57473c1d6</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The new ambitions for 2014-2020 European structural and investment funds evaluation: pouring water in a leaking container? — https://openalex.org/W2552820326</w:t>
      </w:r>
    </w:p>
    <w:p>
      <w:pPr>
        <w:pStyle w:val="SourceNote"/>
      </w:pPr>
      <w:r>
        <w:rPr>
          <w:b/>
        </w:rPr>
        <w:t>Review status:</w:t>
      </w:r>
      <w:r>
        <w:t xml:space="preserve"> unchecked — possible relationship only</w:t>
      </w:r>
    </w:p>
    <w:p>
      <w:pPr>
        <w:pStyle w:val="Heading2"/>
      </w:pPr>
      <w:r>
        <w:t>35. Claim + two later sources: Two futures: EU-Russia relations in the context of Ukraine.</w:t>
      </w:r>
    </w:p>
    <w:p>
      <w:pPr>
        <w:pStyle w:val="SourceNote"/>
      </w:pPr>
      <w:r>
        <w:rPr>
          <w:b/>
        </w:rPr>
        <w:t>Group ID:</w:t>
      </w:r>
      <w:r>
        <w:t xml:space="preserve"> group-a94255afcfec383b616a</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Later source:</w:t>
      </w:r>
      <w:r>
        <w:t xml:space="preserve"> Vladimir Putin — https://doi.org/10.4324/9781003100508-13</w:t>
      </w:r>
    </w:p>
    <w:p>
      <w:pPr>
        <w:pStyle w:val="SourceNote"/>
      </w:pPr>
      <w:r>
        <w:rPr>
          <w:b/>
        </w:rPr>
        <w:t>Review status:</w:t>
      </w:r>
      <w:r>
        <w:t xml:space="preserve"> unchecked — possible relationship only</w:t>
      </w:r>
    </w:p>
    <w:p>
      <w:pPr>
        <w:pStyle w:val="Heading2"/>
      </w:pPr>
      <w:r>
        <w:t>36. Claim + two later sources: Post-normal times: re-thinking the futures of the EU-Africa relationship</w:t>
      </w:r>
    </w:p>
    <w:p>
      <w:pPr>
        <w:pStyle w:val="SourceNote"/>
      </w:pPr>
      <w:r>
        <w:rPr>
          <w:b/>
        </w:rPr>
        <w:t>Group ID:</w:t>
      </w:r>
      <w:r>
        <w:t xml:space="preserve"> group-ffb6baedbec1cecd4120</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The separation of powers and the administrative branch in the European Union — https://doi.org/10.1093/icon/moaf048</w:t>
      </w:r>
    </w:p>
    <w:p>
      <w:pPr/>
      <w:r>
        <w:rPr>
          <w:b/>
        </w:rPr>
        <w:t>Later source:</w:t>
      </w:r>
      <w:r>
        <w:t xml:space="preserve"> THE EUROPEAN UNION: THE HISTORY OF ESTABLISHMENT AND SIGNIFICANCE FOR UKRAINE — https://doi.org/10.30970/vla.2023.76.015</w:t>
      </w:r>
    </w:p>
    <w:p>
      <w:pPr>
        <w:pStyle w:val="SourceNote"/>
      </w:pPr>
      <w:r>
        <w:rPr>
          <w:b/>
        </w:rPr>
        <w:t>Review status:</w:t>
      </w:r>
      <w:r>
        <w:t xml:space="preserve"> unchecked — possible relationship only</w:t>
      </w:r>
    </w:p>
    <w:p>
      <w:pPr>
        <w:pStyle w:val="Heading2"/>
      </w:pPr>
      <w:r>
        <w:t>37. Claim + two later sources: Problem of “Dinosauring” of European Union and Mapping of Its Future</w:t>
      </w:r>
    </w:p>
    <w:p>
      <w:pPr>
        <w:pStyle w:val="SourceNote"/>
      </w:pPr>
      <w:r>
        <w:rPr>
          <w:b/>
        </w:rPr>
        <w:t>Group ID:</w:t>
      </w:r>
      <w:r>
        <w:t xml:space="preserve"> group-95fab3af285633485a88</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H.C. ANDERSEN’S TRAVEL BOOKS – A FAIRY-TALE VISION OF EUROPE — https://doi.org/10.2307/j.ctvggx29s.22</w:t>
      </w:r>
    </w:p>
    <w:p>
      <w:pPr/>
      <w:r>
        <w:rPr>
          <w:b/>
        </w:rPr>
        <w:t>Later source:</w:t>
      </w:r>
      <w:r>
        <w:t xml:space="preserve"> Conan Fischer. A Vision of Europe: Franco-German Relations during the Great Depression, 1929–1932. — https://doi.org/10.1093/ahr/rhz1012</w:t>
      </w:r>
    </w:p>
    <w:p>
      <w:pPr>
        <w:pStyle w:val="SourceNote"/>
      </w:pPr>
      <w:r>
        <w:rPr>
          <w:b/>
        </w:rPr>
        <w:t>Review status:</w:t>
      </w:r>
      <w:r>
        <w:t xml:space="preserve"> unchecked — possible relationship only</w:t>
      </w:r>
    </w:p>
    <w:p>
      <w:pPr>
        <w:pStyle w:val="Heading2"/>
      </w:pPr>
      <w:r>
        <w:t>38. Claim + two later sources: Comparison of temperature indices for three IPCC SRES scenarios based on RegCM simulations for Poland in 2011–2030 period</w:t>
      </w:r>
    </w:p>
    <w:p>
      <w:pPr>
        <w:pStyle w:val="SourceNote"/>
      </w:pPr>
      <w:r>
        <w:rPr>
          <w:b/>
        </w:rPr>
        <w:t>Group ID:</w:t>
      </w:r>
      <w:r>
        <w:t xml:space="preserve"> group-b3413b6b18a793d54229</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Investigating the future urban climates of European cities using an ensemble of convection permitting regional climate models — https://doi.org/10.5194/egusphere-egu25-1307</w:t>
      </w:r>
    </w:p>
    <w:p>
      <w:pPr/>
      <w:r>
        <w:rPr>
          <w:b/>
        </w:rPr>
        <w:t>Later source:</w:t>
      </w:r>
      <w:r>
        <w:t xml:space="preserve"> The impact of lakes on the European climate as simulated by a regional climate model — https://doi.org/10.60910/3pj6-v2hf</w:t>
      </w:r>
    </w:p>
    <w:p>
      <w:pPr>
        <w:pStyle w:val="SourceNote"/>
      </w:pPr>
      <w:r>
        <w:rPr>
          <w:b/>
        </w:rPr>
        <w:t>Review status:</w:t>
      </w:r>
      <w:r>
        <w:t xml:space="preserve"> unchecked — possible relationship only</w:t>
      </w:r>
    </w:p>
    <w:p>
      <w:pPr>
        <w:pStyle w:val="Heading2"/>
      </w:pPr>
      <w:r>
        <w:t>39. Claim + two later sources: Use and perception of weather forecast information across Europe</w:t>
      </w:r>
    </w:p>
    <w:p>
      <w:pPr>
        <w:pStyle w:val="SourceNote"/>
      </w:pPr>
      <w:r>
        <w:rPr>
          <w:b/>
        </w:rPr>
        <w:t>Group ID:</w:t>
      </w:r>
      <w:r>
        <w:t xml:space="preserve"> group-0c70acfb4e71c26d0548</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Management Measures and Trends of Biological Invasions in Europe: A Survey‐Based Assessment of Local Managers — https://doi.org/10.1111/gcb.70028</w:t>
      </w:r>
    </w:p>
    <w:p>
      <w:pPr>
        <w:pStyle w:val="SourceNote"/>
      </w:pPr>
      <w:r>
        <w:rPr>
          <w:b/>
        </w:rPr>
        <w:t>Review status:</w:t>
      </w:r>
      <w:r>
        <w:t xml:space="preserve"> unchecked — possible relationship only</w:t>
      </w:r>
    </w:p>
    <w:p>
      <w:pPr>
        <w:pStyle w:val="Heading2"/>
      </w:pPr>
      <w:r>
        <w:t>40. Claim + two later sources: EU climate and energy governance in times of crisis: towards a new agenda</w:t>
      </w:r>
    </w:p>
    <w:p>
      <w:pPr>
        <w:pStyle w:val="SourceNote"/>
      </w:pPr>
      <w:r>
        <w:rPr>
          <w:b/>
        </w:rPr>
        <w:t>Group ID:</w:t>
      </w:r>
      <w:r>
        <w:t xml:space="preserve"> group-ca0cfafa18ce5233810f</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Scope for EU–Japan cooperation in decarbonising the global LNG market — https://doi.org/10.26485/spe/2022/124/7</w:t>
      </w:r>
    </w:p>
    <w:p>
      <w:pPr/>
      <w:r>
        <w:rPr>
          <w:b/>
        </w:rPr>
        <w:t>Later source:</w:t>
      </w:r>
      <w:r>
        <w:t xml:space="preserve"> What Motivates Companies to Take the Decision to Decarbonise? — https://doi.org/10.3390/en18143780</w:t>
      </w:r>
    </w:p>
    <w:p>
      <w:pPr>
        <w:pStyle w:val="SourceNote"/>
      </w:pPr>
      <w:r>
        <w:rPr>
          <w:b/>
        </w:rPr>
        <w:t>Review status:</w:t>
      </w:r>
      <w:r>
        <w:t xml:space="preserve"> unchecked — possible relationship only</w:t>
      </w:r>
    </w:p>
    <w:p>
      <w:pPr>
        <w:pStyle w:val="Heading2"/>
      </w:pPr>
      <w:r>
        <w:t>41. Claim + two later sources: Douglas‐fir plantations in Europe: a retrospective test of assisted migration to address climate change</w:t>
      </w:r>
    </w:p>
    <w:p>
      <w:pPr>
        <w:pStyle w:val="SourceNote"/>
      </w:pPr>
      <w:r>
        <w:rPr>
          <w:b/>
        </w:rPr>
        <w:t>Group ID:</w:t>
      </w:r>
      <w:r>
        <w:t xml:space="preserve"> group-a049840802f9cb098ed7</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Forest-based climate change mitigation and adaptation in Europe — https://doi.org/10.36333/fs14</w:t>
      </w:r>
    </w:p>
    <w:p>
      <w:pPr>
        <w:pStyle w:val="SourceNote"/>
      </w:pPr>
      <w:r>
        <w:rPr>
          <w:b/>
        </w:rPr>
        <w:t>Review status:</w:t>
      </w:r>
      <w:r>
        <w:t xml:space="preserve"> unchecked — possible relationship only</w:t>
      </w:r>
    </w:p>
    <w:p>
      <w:pPr>
        <w:pStyle w:val="Heading2"/>
      </w:pPr>
      <w:r>
        <w:t>42. Claim + two later sources: Alternative futures for shared mobility systems: impacts on transport planning tools and techniques</w:t>
      </w:r>
    </w:p>
    <w:p>
      <w:pPr>
        <w:pStyle w:val="SourceNote"/>
      </w:pPr>
      <w:r>
        <w:rPr>
          <w:b/>
        </w:rPr>
        <w:t>Group ID:</w:t>
      </w:r>
      <w:r>
        <w:t xml:space="preserve"> group-ee9129f4102e6feb221b</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The Heritagemonitor: Exploring projects, works and institutions in cultural heritage across Europe — https://doi.org/10.5281/zenodo.20642926</w:t>
      </w:r>
    </w:p>
    <w:p>
      <w:pPr/>
      <w:r>
        <w:rPr>
          <w:b/>
        </w:rPr>
        <w:t>Later source:</w:t>
      </w:r>
      <w:r>
        <w:t xml:space="preserve"> The Heritagemonitor: Exploring projects, works and institutions in cultural heritage across Europe — https://doi.org/10.5281/zenodo.20643287</w:t>
      </w:r>
    </w:p>
    <w:p>
      <w:pPr>
        <w:pStyle w:val="SourceNote"/>
      </w:pPr>
      <w:r>
        <w:rPr>
          <w:b/>
        </w:rPr>
        <w:t>Review status:</w:t>
      </w:r>
      <w:r>
        <w:t xml:space="preserve"> unchecked — possible relationship only</w:t>
      </w:r>
    </w:p>
    <w:p>
      <w:pPr>
        <w:pStyle w:val="Heading2"/>
      </w:pPr>
      <w:r>
        <w:t>43. Claim + two later sources: Integrated assessment of the role of bioenergy within the EU energy transition targets to 2050</w:t>
      </w:r>
    </w:p>
    <w:p>
      <w:pPr>
        <w:pStyle w:val="SourceNote"/>
      </w:pPr>
      <w:r>
        <w:rPr>
          <w:b/>
        </w:rPr>
        <w:t>Group ID:</w:t>
      </w:r>
      <w:r>
        <w:t xml:space="preserve"> group-b14d858e78fe4cc8a80e</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"Biomass crops for sustainable energy in Europe: contributions to bioenergy, environment, and energy security" — https://doi.org/10.1080/17429145.2025.2564839</w:t>
      </w:r>
    </w:p>
    <w:p>
      <w:pPr/>
      <w:r>
        <w:rPr>
          <w:b/>
        </w:rPr>
        <w:t>Later source:</w:t>
      </w:r>
      <w:r>
        <w:t xml:space="preserve"> Bioenergy in Europe is unlikely to make a timely contribution to climate change targets — https://doi.org/10.1088/1748-9326/ad2d11</w:t>
      </w:r>
    </w:p>
    <w:p>
      <w:pPr>
        <w:pStyle w:val="SourceNote"/>
      </w:pPr>
      <w:r>
        <w:rPr>
          <w:b/>
        </w:rPr>
        <w:t>Review status:</w:t>
      </w:r>
      <w:r>
        <w:t xml:space="preserve"> unchecked — possible relationship only</w:t>
      </w:r>
    </w:p>
    <w:p>
      <w:pPr>
        <w:pStyle w:val="Heading2"/>
      </w:pPr>
      <w:r>
        <w:t>44. Claim + two later sources: GHG emissions, trade balance, and carbon leakage: Insights from modeling thirty-one European decarbonization pathways towards 2050</w:t>
      </w:r>
    </w:p>
    <w:p>
      <w:pPr>
        <w:pStyle w:val="SourceNote"/>
      </w:pPr>
      <w:r>
        <w:rPr>
          <w:b/>
        </w:rPr>
        <w:t>Group ID:</w:t>
      </w:r>
      <w:r>
        <w:t xml:space="preserve"> group-8bd09e6937fb91f471cd</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Later source:</w:t>
      </w:r>
      <w:r>
        <w:t xml:space="preserve"> Linguistic diversity of new minorities in Europe: A crossroads of rights and duties — https://doi.org/10.5281/zenodo.18845601</w:t>
      </w:r>
    </w:p>
    <w:p>
      <w:pPr>
        <w:pStyle w:val="SourceNote"/>
      </w:pPr>
      <w:r>
        <w:rPr>
          <w:b/>
        </w:rPr>
        <w:t>Review status:</w:t>
      </w:r>
      <w:r>
        <w:t xml:space="preserve"> unchecked — possible relationship only</w:t>
      </w:r>
    </w:p>
    <w:p>
      <w:pPr>
        <w:pStyle w:val="Heading2"/>
      </w:pPr>
      <w:r>
        <w:t>45. Claim + two later sources: Low-carbon energy scenarios 2050 in north-west European countries: Towards a more harmonised approach to achieve the EU targets</w:t>
      </w:r>
    </w:p>
    <w:p>
      <w:pPr>
        <w:pStyle w:val="SourceNote"/>
      </w:pPr>
      <w:r>
        <w:rPr>
          <w:b/>
        </w:rPr>
        <w:t>Group ID:</w:t>
      </w:r>
      <w:r>
        <w:t xml:space="preserve"> group-f764801de0c8e2787930</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Flood trends in Europe: are changes in small and big floods different? — https://doi.org/10.5194/hess-24-1805-2020</w:t>
      </w:r>
    </w:p>
    <w:p>
      <w:pPr/>
      <w:r>
        <w:rPr>
          <w:b/>
        </w:rPr>
        <w:t>Later source:</w:t>
      </w:r>
      <w:r>
        <w:t xml:space="preserve"> Regional climate downscaling over Europe: perspectives from the EURO-CORDEX community — https://doi.org/10.1007/s10113-020-01606-9</w:t>
      </w:r>
    </w:p>
    <w:p>
      <w:pPr>
        <w:pStyle w:val="SourceNote"/>
      </w:pPr>
      <w:r>
        <w:rPr>
          <w:b/>
        </w:rPr>
        <w:t>Review status:</w:t>
      </w:r>
      <w:r>
        <w:t xml:space="preserve"> unchecked — possible relationship only</w:t>
      </w:r>
    </w:p>
    <w:p>
      <w:pPr>
        <w:pStyle w:val="Heading2"/>
      </w:pPr>
      <w:r>
        <w:t>46.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47. Claim + two later sources: Health impact assessment of waste management facilities in three European countries</w:t>
      </w:r>
    </w:p>
    <w:p>
      <w:pPr>
        <w:pStyle w:val="SourceNote"/>
      </w:pPr>
      <w:r>
        <w:rPr>
          <w:b/>
        </w:rPr>
        <w:t>Group ID:</w:t>
      </w:r>
      <w:r>
        <w:t xml:space="preserve"> group-dcfce777e25ff21308cc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Modelling the Potential Biogas Productivity Range from a MSW Landfill for Its Sustainable Exploitation — https://doi.org/10.3390/su7010482</w:t>
      </w:r>
    </w:p>
    <w:p>
      <w:pPr/>
      <w:r>
        <w:rPr>
          <w:b/>
        </w:rPr>
        <w:t>Later source:</w:t>
      </w:r>
      <w:r>
        <w:t xml:space="preserve"> Compositional Analysis and Numerical Simulation of Slagging Process on a Water-Cooled Wall of an MSW Incinerator — https://doi.org/10.3390/waste3010005</w:t>
      </w:r>
    </w:p>
    <w:p>
      <w:pPr>
        <w:pStyle w:val="SourceNote"/>
      </w:pPr>
      <w:r>
        <w:rPr>
          <w:b/>
        </w:rPr>
        <w:t>Review status:</w:t>
      </w:r>
      <w:r>
        <w:t xml:space="preserve"> unchecked — possible relationship only</w:t>
      </w:r>
    </w:p>
    <w:p>
      <w:pPr>
        <w:pStyle w:val="Heading2"/>
      </w:pPr>
      <w:r>
        <w:t>48. Claim + two later sources: Linking Local Food Systems and the Social Economy? Future Roles for Farmers' Markets in Alberta and British Columbia*</w:t>
      </w:r>
    </w:p>
    <w:p>
      <w:pPr>
        <w:pStyle w:val="SourceNote"/>
      </w:pPr>
      <w:r>
        <w:rPr>
          <w:b/>
        </w:rPr>
        <w:t>Group ID:</w:t>
      </w:r>
      <w:r>
        <w:t xml:space="preserve"> group-f7fa8be92f989f8dc992</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Developing a Body of Knowledge for Sustainability Engineering Using the Delphi Method: A Work in Progress — https://doi.org/10.18260/1-2--58714</w:t>
      </w:r>
    </w:p>
    <w:p>
      <w:pPr/>
      <w:r>
        <w:rPr>
          <w:b/>
        </w:rPr>
        <w:t>Later source:</w:t>
      </w:r>
      <w:r>
        <w:t xml:space="preserve"> Proposal for a critical appraisal tool for studies using the Delphi method (DCAT) — https://doi.org/10.1136/bmj-2025-084509</w:t>
      </w:r>
    </w:p>
    <w:p>
      <w:pPr>
        <w:pStyle w:val="SourceNote"/>
      </w:pPr>
      <w:r>
        <w:rPr>
          <w:b/>
        </w:rPr>
        <w:t>Review status:</w:t>
      </w:r>
      <w:r>
        <w:t xml:space="preserve"> unchecked — possible relationship only</w:t>
      </w:r>
    </w:p>
    <w:p>
      <w:pPr>
        <w:pStyle w:val="Heading2"/>
      </w:pPr>
      <w:r>
        <w:t>49. Claim + two later sources: Legume dreams: The contested futures of sustainable plant-based food systems in Europe</w:t>
      </w:r>
    </w:p>
    <w:p>
      <w:pPr>
        <w:pStyle w:val="SourceNote"/>
      </w:pPr>
      <w:r>
        <w:rPr>
          <w:b/>
        </w:rPr>
        <w:t>Group ID:</w:t>
      </w:r>
      <w:r>
        <w:t xml:space="preserve"> group-01ffa0daa1d321529d22</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European consumers' involvement with date labels and implications for household food waste — https://doi.org/10.1016/j.foodqual.2025.105522</w:t>
      </w:r>
    </w:p>
    <w:p>
      <w:pPr/>
      <w:r>
        <w:rPr>
          <w:b/>
        </w:rPr>
        <w:t>Later source:</w:t>
      </w:r>
      <w:r>
        <w:t xml:space="preserve"> Food allergy outside the eight big foods in Europe: A systematic review and meta‐analysis — https://doi.org/10.1002/clt2.12338</w:t>
      </w:r>
    </w:p>
    <w:p>
      <w:pPr>
        <w:pStyle w:val="SourceNote"/>
      </w:pPr>
      <w:r>
        <w:rPr>
          <w:b/>
        </w:rPr>
        <w:t>Review status:</w:t>
      </w:r>
      <w:r>
        <w:t xml:space="preserve"> unchecked — possible relationship only</w:t>
      </w:r>
    </w:p>
    <w:p>
      <w:pPr>
        <w:pStyle w:val="Heading2"/>
      </w:pPr>
      <w:r>
        <w:t>50. Claim + two later sources: Energy and Climate Change Scenarios in the Mediterranean: An opportunity for cooperation</w:t>
      </w:r>
    </w:p>
    <w:p>
      <w:pPr>
        <w:pStyle w:val="SourceNote"/>
      </w:pPr>
      <w:r>
        <w:rPr>
          <w:b/>
        </w:rPr>
        <w:t>Group ID:</w:t>
      </w:r>
      <w:r>
        <w:t xml:space="preserve"> group-0726058966beee040b4e</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Endangered Languages and Environmental Degradation Among Minority Communities in Europe: An Ecological Perspective — https://doi.org/10.18485/vlings_vele.2025.ch3</w:t>
      </w:r>
    </w:p>
    <w:p>
      <w:pPr/>
      <w:r>
        <w:rPr>
          <w:b/>
        </w:rPr>
        <w:t>Later source:</w:t>
      </w:r>
      <w:r>
        <w:t xml:space="preserve"> The Impact of Environmental Degradation on Children’s Rights in Central Europe — https://doi.org/10.21029/jael.2025.39.365</w:t>
      </w:r>
    </w:p>
    <w:p>
      <w:pPr>
        <w:pStyle w:val="SourceNote"/>
      </w:pPr>
      <w:r>
        <w:rPr>
          <w:b/>
        </w:rPr>
        <w:t>Review status:</w:t>
      </w:r>
      <w:r>
        <w:t xml:space="preserve"> unchecked — possible relationship only</w:t>
      </w:r>
    </w:p>
    <w:p>
      <w:pPr>
        <w:pStyle w:val="Heading2"/>
      </w:pPr>
      <w:r>
        <w:t>51. Claim + two later sources: Abandonment landscapes: user attitudes, alternative futures and land management in Castro Laboreiro, Portugal</w:t>
      </w:r>
    </w:p>
    <w:p>
      <w:pPr>
        <w:pStyle w:val="SourceNote"/>
      </w:pPr>
      <w:r>
        <w:rPr>
          <w:b/>
        </w:rPr>
        <w:t>Group ID:</w:t>
      </w:r>
      <w:r>
        <w:t xml:space="preserve"> group-232161c3e6647c04536e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Motivation and perception of farmers on the benefits and challenges of agroforestry in Sweden (Northern Europe) — https://doi.org/10.1007/s10457-024-00964-1</w:t>
      </w:r>
    </w:p>
    <w:p>
      <w:pPr>
        <w:pStyle w:val="SourceNote"/>
      </w:pPr>
      <w:r>
        <w:rPr>
          <w:b/>
        </w:rPr>
        <w:t>Review status:</w:t>
      </w:r>
      <w:r>
        <w:t xml:space="preserve"> unchecked — possible relationship only</w:t>
      </w:r>
    </w:p>
    <w:p>
      <w:pPr>
        <w:pStyle w:val="Heading2"/>
      </w:pPr>
      <w:r>
        <w:t>52. Claim + two later sources: Is clean energy contested? Exploring which issues matter to stakeholders in the European Green Deal</w:t>
      </w:r>
    </w:p>
    <w:p>
      <w:pPr>
        <w:pStyle w:val="SourceNote"/>
      </w:pPr>
      <w:r>
        <w:rPr>
          <w:b/>
        </w:rPr>
        <w:t>Group ID:</w:t>
      </w:r>
      <w:r>
        <w:t xml:space="preserve"> group-841ef54ad3f244d16c4a</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CAP environmental and climate aims for EU’s countries vs. European Green Deal expectations — https://doi.org/10.34659/eis.2024.90.3.819</w:t>
      </w:r>
    </w:p>
    <w:p>
      <w:pPr/>
      <w:r>
        <w:rPr>
          <w:b/>
        </w:rPr>
        <w:t>Later source:</w:t>
      </w:r>
      <w:r>
        <w:t xml:space="preserve"> European Green Deal Index: A new composite tool for monitoring European Union's Green Deal strategy — https://doi.org/10.1016/j.jclepro.2025.145077</w:t>
      </w:r>
    </w:p>
    <w:p>
      <w:pPr>
        <w:pStyle w:val="SourceNote"/>
      </w:pPr>
      <w:r>
        <w:rPr>
          <w:b/>
        </w:rPr>
        <w:t>Review status:</w:t>
      </w:r>
      <w:r>
        <w:t xml:space="preserve"> unchecked — possible relationship only</w:t>
      </w:r>
    </w:p>
    <w:p>
      <w:pPr>
        <w:pStyle w:val="Heading2"/>
      </w:pPr>
      <w:r>
        <w:t>53. Claim + two later sources: Scenarios of the organic food market in Europe</w:t>
      </w:r>
    </w:p>
    <w:p>
      <w:pPr>
        <w:pStyle w:val="SourceNote"/>
      </w:pPr>
      <w:r>
        <w:rPr>
          <w:b/>
        </w:rPr>
        <w:t>Group ID:</w:t>
      </w:r>
      <w:r>
        <w:t xml:space="preserve"> group-69f01aaa1289552c5cf0</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VIRTUAL REALITY AS A STRATEGIC SPORT MARKETING TOOL IN PROFESSIONAL FOOTBALL: EVIDENCE FROM EUROPE AND GREECE — https://doi.org/10.46827/ejmms.v11i2.2215</w:t>
      </w:r>
    </w:p>
    <w:p>
      <w:pPr>
        <w:pStyle w:val="SourceNote"/>
      </w:pPr>
      <w:r>
        <w:rPr>
          <w:b/>
        </w:rPr>
        <w:t>Review status:</w:t>
      </w:r>
      <w:r>
        <w:t xml:space="preserve"> unchecked — possible relationship only</w:t>
      </w:r>
    </w:p>
    <w:p>
      <w:pPr>
        <w:pStyle w:val="Heading2"/>
      </w:pPr>
      <w:r>
        <w:t>54.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55. Claim + two later sources: The convergence or divergence of labour resources in Poland?</w:t>
      </w:r>
    </w:p>
    <w:p>
      <w:pPr>
        <w:pStyle w:val="SourceNote"/>
      </w:pPr>
      <w:r>
        <w:rPr>
          <w:b/>
        </w:rPr>
        <w:t>Group ID:</w:t>
      </w:r>
      <w:r>
        <w:t xml:space="preserve"> group-1813242ce0b70b0e96a0</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Convergence of Population Structures of the European Union Member States—The Past and the Future — https://doi.org/10.3390/su14021024</w:t>
      </w:r>
    </w:p>
    <w:p>
      <w:pPr>
        <w:pStyle w:val="SourceNote"/>
      </w:pPr>
      <w:r>
        <w:rPr>
          <w:b/>
        </w:rPr>
        <w:t>Review status:</w:t>
      </w:r>
      <w:r>
        <w:t xml:space="preserve"> unchecked — possible relationship only</w:t>
      </w:r>
    </w:p>
    <w:p>
      <w:pPr>
        <w:pStyle w:val="Heading2"/>
      </w:pPr>
      <w:r>
        <w:t>56. Claim + two later sources: Current situation and future prospects for beef production in Europe — A review</w:t>
      </w:r>
    </w:p>
    <w:p>
      <w:pPr>
        <w:pStyle w:val="SourceNote"/>
      </w:pPr>
      <w:r>
        <w:rPr>
          <w:b/>
        </w:rPr>
        <w:t>Group ID:</w:t>
      </w:r>
      <w:r>
        <w:t xml:space="preserve"> group-cbacdd88ce9eb3116b32</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Industry 5.0 in the European Union — https://doi.org/10.1201/9781003785590</w:t>
      </w:r>
    </w:p>
    <w:p>
      <w:pPr/>
      <w:r>
        <w:rPr>
          <w:b/>
        </w:rPr>
        <w:t>Later source:</w:t>
      </w:r>
      <w:r>
        <w:t xml:space="preserve"> AGGLOMERATION, NETWORKS &amp; INSTITUTIONAL SUPPORT IN THE INNOVATIVE EUROPEAN AEROSPACE INDUSTRY — https://doi.org/10.31732/2663-2209-2025-80-225-234</w:t>
      </w:r>
    </w:p>
    <w:p>
      <w:pPr>
        <w:pStyle w:val="SourceNote"/>
      </w:pPr>
      <w:r>
        <w:rPr>
          <w:b/>
        </w:rPr>
        <w:t>Review status:</w:t>
      </w:r>
      <w:r>
        <w:t xml:space="preserve"> unchecked — possible relationship only</w:t>
      </w:r>
    </w:p>
    <w:p>
      <w:pPr>
        <w:pStyle w:val="Heading2"/>
      </w:pPr>
      <w:r>
        <w:t>57. Claim + two later sources: EU land use futures: modelling food, bioenergy and carbon dynamics</w:t>
      </w:r>
    </w:p>
    <w:p>
      <w:pPr>
        <w:pStyle w:val="SourceNote"/>
      </w:pPr>
      <w:r>
        <w:rPr>
          <w:b/>
        </w:rPr>
        <w:t>Group ID:</w:t>
      </w:r>
      <w:r>
        <w:t xml:space="preserve"> group-a503251dd36ae16c11dd</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Sowing the seeds of change: unveiling farmer types to promote climate-smart agriculture adoption in Europe — https://doi.org/10.1016/j.jrurstud.2026.104043</w:t>
      </w:r>
    </w:p>
    <w:p>
      <w:pPr/>
      <w:r>
        <w:rPr>
          <w:b/>
        </w:rPr>
        <w:t>Later source:</w:t>
      </w:r>
      <w:r>
        <w:t xml:space="preserve"> European runoff drought event types: From historical classification to projected future changes — https://doi.org/10.5194/egusphere-2026-973</w:t>
      </w:r>
    </w:p>
    <w:p>
      <w:pPr>
        <w:pStyle w:val="SourceNote"/>
      </w:pPr>
      <w:r>
        <w:rPr>
          <w:b/>
        </w:rPr>
        <w:t>Review status:</w:t>
      </w:r>
      <w:r>
        <w:t xml:space="preserve"> unchecked — possible relationship only</w:t>
      </w:r>
    </w:p>
    <w:p>
      <w:pPr>
        <w:pStyle w:val="Heading2"/>
      </w:pPr>
      <w:r>
        <w:t>58. Claim + two later sources: Forecasting the Diffusion of Gigabit Home Networking In Europe</w:t>
      </w:r>
    </w:p>
    <w:p>
      <w:pPr>
        <w:pStyle w:val="SourceNote"/>
      </w:pPr>
      <w:r>
        <w:rPr>
          <w:b/>
        </w:rPr>
        <w:t>Group ID:</w:t>
      </w:r>
      <w:r>
        <w:t xml:space="preserve"> group-dc6b7d87e2cad1c5ef9f</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Local flexibility markets in Europe: A critical review of market designs, operational maturity and stakeholder perspectives — https://doi.org/10.1016/j.rser.2025.116434</w:t>
      </w:r>
    </w:p>
    <w:p>
      <w:pPr>
        <w:pStyle w:val="SourceNote"/>
      </w:pPr>
      <w:r>
        <w:rPr>
          <w:b/>
        </w:rPr>
        <w:t>Review status:</w:t>
      </w:r>
      <w:r>
        <w:t xml:space="preserve"> unchecked — possible relationship only</w:t>
      </w:r>
    </w:p>
    <w:p>
      <w:pPr>
        <w:pStyle w:val="Heading2"/>
      </w:pPr>
      <w:r>
        <w:t>59. Claim + two later sources: Using scenarios to assess the future supply of NHS nursing staff in England</w:t>
      </w:r>
    </w:p>
    <w:p>
      <w:pPr>
        <w:pStyle w:val="SourceNote"/>
      </w:pPr>
      <w:r>
        <w:rPr>
          <w:b/>
        </w:rPr>
        <w:t>Group ID:</w:t>
      </w:r>
      <w:r>
        <w:t xml:space="preserve"> group-fa374c6b85ef7270acb2</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LIBS diagnostics of Be-based samples with different gas impurities — https://doi.org/10.1063/5.0205561</w:t>
      </w:r>
    </w:p>
    <w:p>
      <w:pPr/>
      <w:r>
        <w:rPr>
          <w:b/>
        </w:rPr>
        <w:t>Later source:</w:t>
      </w:r>
      <w:r>
        <w:t xml:space="preserve"> Of Important — https://doi.org/10.5281/zenodo.19677536</w:t>
      </w:r>
    </w:p>
    <w:p>
      <w:pPr>
        <w:pStyle w:val="SourceNote"/>
      </w:pPr>
      <w:r>
        <w:rPr>
          <w:b/>
        </w:rPr>
        <w:t>Review status:</w:t>
      </w:r>
      <w:r>
        <w:t xml:space="preserve"> unchecked — possible relationship only</w:t>
      </w:r>
    </w:p>
    <w:p>
      <w:pPr>
        <w:pStyle w:val="Heading2"/>
      </w:pPr>
      <w:r>
        <w:t>60. Claim + two later sources: New system of employment forecasting in Poland</w:t>
      </w:r>
    </w:p>
    <w:p>
      <w:pPr>
        <w:pStyle w:val="SourceNote"/>
      </w:pPr>
      <w:r>
        <w:rPr>
          <w:b/>
        </w:rPr>
        <w:t>Group ID:</w:t>
      </w:r>
      <w:r>
        <w:t xml:space="preserve"> group-ad7314bc267fdc346117</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Medical Brain Drain From Southeastern Europe: Using Digital Demography to Forecast Health Worker Emigration — https://doi.org/10.2196/30831</w:t>
      </w:r>
    </w:p>
    <w:p>
      <w:pPr/>
      <w:r>
        <w:rPr>
          <w:b/>
        </w:rPr>
        <w:t>Later source:</w:t>
      </w:r>
      <w:r>
        <w:t xml:space="preserve"> Seasonal streamflow forecasts for Europe – Part 2: Sources of skill — https://doi.org/10.5194/hess-23-371-2019</w:t>
      </w:r>
    </w:p>
    <w:p>
      <w:pPr>
        <w:pStyle w:val="SourceNote"/>
      </w:pPr>
      <w:r>
        <w:rPr>
          <w:b/>
        </w:rPr>
        <w:t>Review status:</w:t>
      </w:r>
      <w:r>
        <w:t xml:space="preserve"> unchecked — possible relationship only</w:t>
      </w:r>
    </w:p>
    <w:p>
      <w:pPr>
        <w:pStyle w:val="Heading2"/>
      </w:pPr>
      <w:r>
        <w:t>61.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62. Claim + two later sources: Modeling the climatic suitability of leishmaniasis vector species in Europe</w:t>
      </w:r>
    </w:p>
    <w:p>
      <w:pPr>
        <w:pStyle w:val="SourceNote"/>
      </w:pPr>
      <w:r>
        <w:rPr>
          <w:b/>
        </w:rPr>
        <w:t>Group ID:</w:t>
      </w:r>
      <w:r>
        <w:t xml:space="preserve"> group-d5f4f7bade4d679fd76d</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Ash dieback and hydrology affect tree growth patterns under climate change in European floodplain forests — https://doi.org/10.1038/s41598-025-92079-5</w:t>
      </w:r>
    </w:p>
    <w:p>
      <w:pPr/>
      <w:r>
        <w:rPr>
          <w:b/>
        </w:rPr>
        <w:t>Later source:</w:t>
      </w:r>
      <w:r>
        <w:t xml:space="preserve"> Implications for the distributional range of the European bark beetles under future climate change — https://doi.org/10.1038/s41598-025-15546-z</w:t>
      </w:r>
    </w:p>
    <w:p>
      <w:pPr>
        <w:pStyle w:val="SourceNote"/>
      </w:pPr>
      <w:r>
        <w:rPr>
          <w:b/>
        </w:rPr>
        <w:t>Review status:</w:t>
      </w:r>
      <w:r>
        <w:t xml:space="preserve"> unchecked — possible relationship only</w:t>
      </w:r>
    </w:p>
    <w:p>
      <w:pPr>
        <w:pStyle w:val="Heading2"/>
      </w:pPr>
      <w:r>
        <w:t>63. Claim + two later sources: Baltic herring for food: Shades of grey in how backcasting recommendations work across exploratory scenarios</w:t>
      </w:r>
    </w:p>
    <w:p>
      <w:pPr>
        <w:pStyle w:val="SourceNote"/>
      </w:pPr>
      <w:r>
        <w:rPr>
          <w:b/>
        </w:rPr>
        <w:t>Group ID:</w:t>
      </w:r>
      <w:r>
        <w:t xml:space="preserve"> group-0e3247853a5dbc1ea984</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Adherence to dietary recommendations and the risk of developing giant cell arteritis: A nested Case-Control study — https://doi.org/10.1016/j.semarthrit.2026.153003</w:t>
      </w:r>
    </w:p>
    <w:p>
      <w:pPr/>
      <w:r>
        <w:rPr>
          <w:b/>
        </w:rPr>
        <w:t>Later source:</w:t>
      </w:r>
      <w:r>
        <w:t xml:space="preserve"> Emission factors for motorcycles in developing countries: insights and recommendations from a Colombian case study — https://doi.org/10.3389/frsc.2026.1730395</w:t>
      </w:r>
    </w:p>
    <w:p>
      <w:pPr>
        <w:pStyle w:val="SourceNote"/>
      </w:pPr>
      <w:r>
        <w:rPr>
          <w:b/>
        </w:rPr>
        <w:t>Review status:</w:t>
      </w:r>
      <w:r>
        <w:t xml:space="preserve"> unchecked — possible relationship only</w:t>
      </w:r>
    </w:p>
    <w:p>
      <w:pPr>
        <w:pStyle w:val="Heading2"/>
      </w:pPr>
      <w:r>
        <w:t>64. Claim + two later sources: The EU climate and energy policy: what about the new targets for 2030?</w:t>
      </w:r>
    </w:p>
    <w:p>
      <w:pPr>
        <w:pStyle w:val="SourceNote"/>
      </w:pPr>
      <w:r>
        <w:rPr>
          <w:b/>
        </w:rPr>
        <w:t>Group ID:</w:t>
      </w:r>
      <w:r>
        <w:t xml:space="preserve"> group-337979162ca8bde5bfdb</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European energy vision 2050 and beyond: Designing scenarios for Europe’s energy transition — https://doi.org/10.1016/j.rser.2025.116074</w:t>
      </w:r>
    </w:p>
    <w:p>
      <w:pPr/>
      <w:r>
        <w:rPr>
          <w:b/>
        </w:rPr>
        <w:t>Later source:</w:t>
      </w:r>
      <w:r>
        <w:t xml:space="preserve"> The politics of vaccine hesitancy in Europe — https://doi.org/10.1093/eurpub/ckac041</w:t>
      </w:r>
    </w:p>
    <w:p>
      <w:pPr>
        <w:pStyle w:val="SourceNote"/>
      </w:pPr>
      <w:r>
        <w:rPr>
          <w:b/>
        </w:rPr>
        <w:t>Review status:</w:t>
      </w:r>
      <w:r>
        <w:t xml:space="preserve"> unchecked — possible relationship only</w:t>
      </w:r>
    </w:p>
    <w:p>
      <w:pPr>
        <w:pStyle w:val="Heading2"/>
      </w:pPr>
      <w:r>
        <w:t>65.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66.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group-1f61b5d6f4f7012d3240</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r>
        <w:rPr>
          <w:b/>
        </w:rPr>
        <w:t>Later source:</w:t>
      </w:r>
      <w:r>
        <w:t xml:space="preserve"> Servitising rural heritage: Social innovation and the social economy in peripheral Europe — https://doi.org/10.24136/eq.4292</w:t>
      </w:r>
    </w:p>
    <w:p>
      <w:pPr>
        <w:pStyle w:val="SourceNote"/>
      </w:pPr>
      <w:r>
        <w:rPr>
          <w:b/>
        </w:rPr>
        <w:t>Review status:</w:t>
      </w:r>
      <w:r>
        <w:t xml:space="preserve"> unchecked — possible relationship only</w:t>
      </w:r>
    </w:p>
    <w:p>
      <w:pPr>
        <w:pStyle w:val="Heading2"/>
      </w:pPr>
      <w:r>
        <w:t>67. Claim + two later sources: Ensemble flood risk assessment in Europe under high end climate scenarios</w:t>
      </w:r>
    </w:p>
    <w:p>
      <w:pPr>
        <w:pStyle w:val="SourceNote"/>
      </w:pPr>
      <w:r>
        <w:rPr>
          <w:b/>
        </w:rPr>
        <w:t>Group ID:</w:t>
      </w:r>
      <w:r>
        <w:t xml:space="preserve"> group-50109adbc07d9ac134dd</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68. Claim + two later sources: Environmental impacts of household appliances in Europe and scenarios for their impact reduction</w:t>
      </w:r>
    </w:p>
    <w:p>
      <w:pPr>
        <w:pStyle w:val="SourceNote"/>
      </w:pPr>
      <w:r>
        <w:rPr>
          <w:b/>
        </w:rPr>
        <w:t>Group ID:</w:t>
      </w:r>
      <w:r>
        <w:t xml:space="preserve"> group-31014abf017df2a25ab1</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Eco-innovation performance in the European Union economies: Perspective on outcomes — https://doi.org/10.15678/ier.2024.1003.02</w:t>
      </w:r>
    </w:p>
    <w:p>
      <w:pPr/>
      <w:r>
        <w:rPr>
          <w:b/>
        </w:rPr>
        <w:t>Later source:</w:t>
      </w:r>
      <w:r>
        <w:t xml:space="preserve"> Nature-Based Solutions in Coastal and Estuarine Areas of Europe — https://doi.org/10.3389/fenvs.2022.829526</w:t>
      </w:r>
    </w:p>
    <w:p>
      <w:pPr>
        <w:pStyle w:val="SourceNote"/>
      </w:pPr>
      <w:r>
        <w:rPr>
          <w:b/>
        </w:rPr>
        <w:t>Review status:</w:t>
      </w:r>
      <w:r>
        <w:t xml:space="preserve"> unchecked — possible relationship only</w:t>
      </w:r>
    </w:p>
    <w:p>
      <w:pPr>
        <w:pStyle w:val="Heading2"/>
      </w:pPr>
      <w:r>
        <w:t>69. Claim + two later sources: Future export markets of industrial wood construction – A qualitative backcasting study</w:t>
      </w:r>
    </w:p>
    <w:p>
      <w:pPr>
        <w:pStyle w:val="SourceNote"/>
      </w:pPr>
      <w:r>
        <w:rPr>
          <w:b/>
        </w:rPr>
        <w:t>Group ID:</w:t>
      </w:r>
      <w:r>
        <w:t xml:space="preserve"> group-9cf643db67921134f9af</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Identifying directions for improving the regulation of the circulation of high-technology innovations in the European Union — https://doi.org/10.15587/1729-4061.2026.362257</w:t>
      </w:r>
    </w:p>
    <w:p>
      <w:pPr>
        <w:pStyle w:val="SourceNote"/>
      </w:pPr>
      <w:r>
        <w:rPr>
          <w:b/>
        </w:rPr>
        <w:t>Review status:</w:t>
      </w:r>
      <w:r>
        <w:t xml:space="preserve"> unchecked — possible relationship only</w:t>
      </w:r>
    </w:p>
    <w:p>
      <w:pPr>
        <w:pStyle w:val="Heading2"/>
      </w:pPr>
      <w:r>
        <w:t>70. Claim + two later sources: The implications of demographic and economic projections on public pension spending in the European Union</w:t>
      </w:r>
    </w:p>
    <w:p>
      <w:pPr>
        <w:pStyle w:val="SourceNote"/>
      </w:pPr>
      <w:r>
        <w:rPr>
          <w:b/>
        </w:rPr>
        <w:t>Group ID:</w:t>
      </w:r>
      <w:r>
        <w:t xml:space="preserve"> group-12d744b3ed8f9e50732a</w:t>
      </w:r>
    </w:p>
    <w:p>
      <w:pPr>
        <w:pStyle w:val="SourceNote"/>
      </w:pPr>
      <w:r>
        <w:rPr>
          <w:b/>
        </w:rPr>
        <w:t>Original source:</w:t>
      </w:r>
      <w:r>
        <w:t xml:space="preserve"> https://doi.org/10.1080/21699763.2017.1411288</w:t>
      </w:r>
    </w:p>
    <w:p>
      <w:pPr/>
      <w:r>
        <w:rPr>
          <w:b/>
        </w:rPr>
        <w:t>Original future claim:</w:t>
      </w:r>
      <w:r>
        <w:t xml:space="preserve"> Abstract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Australia-European Union Free Trade Agreement negotiations conclude: implications for Australian and EU geographical indications — https://doi.org/10.1093/jiplp/jpag079</w:t>
      </w:r>
    </w:p>
    <w:p>
      <w:pPr/>
      <w:r>
        <w:rPr>
          <w:b/>
        </w:rPr>
        <w:t>Later source:</w:t>
      </w:r>
      <w:r>
        <w:t xml:space="preserve"> Deprivations Rarely Come Alone. Multidimensional Poverty Dynamics in Europe — https://doi.org/10.1111/roiw.70031</w:t>
      </w:r>
    </w:p>
    <w:p>
      <w:pPr>
        <w:pStyle w:val="SourceNote"/>
      </w:pPr>
      <w:r>
        <w:rPr>
          <w:b/>
        </w:rPr>
        <w:t>Review status:</w:t>
      </w:r>
      <w:r>
        <w:t xml:space="preserve"> unchecked — possible relationship only</w:t>
      </w:r>
    </w:p>
    <w:p>
      <w:pPr>
        <w:pStyle w:val="Heading2"/>
      </w:pPr>
      <w:r>
        <w:t>71. Claim + two later sources: Actual and potential development of consumer demand on the organic food market in Europe</w:t>
      </w:r>
    </w:p>
    <w:p>
      <w:pPr>
        <w:pStyle w:val="SourceNote"/>
      </w:pPr>
      <w:r>
        <w:rPr>
          <w:b/>
        </w:rPr>
        <w:t>Group ID:</w:t>
      </w:r>
      <w:r>
        <w:t xml:space="preserve"> group-cf1a724cef2bbecd4a87</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Future area expansion outweighs increasing drought risk for soybean in Europe — https://doi.org/10.1111/gcb.16562</w:t>
      </w:r>
    </w:p>
    <w:p>
      <w:pPr/>
      <w:r>
        <w:rPr>
          <w:b/>
        </w:rPr>
        <w:t>Later source:</w:t>
      </w:r>
      <w:r>
        <w:t xml:space="preserve"> Stam Portugal and its expansion through Europe — https://openalex.org/W2971433702</w:t>
      </w:r>
    </w:p>
    <w:p>
      <w:pPr>
        <w:pStyle w:val="SourceNote"/>
      </w:pPr>
      <w:r>
        <w:rPr>
          <w:b/>
        </w:rPr>
        <w:t>Review status:</w:t>
      </w:r>
      <w:r>
        <w:t xml:space="preserve"> unchecked — possible relationship only</w:t>
      </w:r>
    </w:p>
    <w:p>
      <w:pPr>
        <w:pStyle w:val="Heading2"/>
      </w:pPr>
      <w:r>
        <w:t>72. Claim + two later sources: Advancing tools to promote health equity across European Union regions: the EURO-HEALTHY project</w:t>
      </w:r>
    </w:p>
    <w:p>
      <w:pPr>
        <w:pStyle w:val="SourceNote"/>
      </w:pPr>
      <w:r>
        <w:rPr>
          <w:b/>
        </w:rPr>
        <w:t>Group ID:</w:t>
      </w:r>
      <w:r>
        <w:t xml:space="preserve"> group-3a8d42448ca9aa223c7a</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European cloud computing policy: failing in Europe to succeed nationally? — https://doi.org/10.1080/01402382.2025.2491962</w:t>
      </w:r>
    </w:p>
    <w:p>
      <w:pPr>
        <w:pStyle w:val="SourceNote"/>
      </w:pPr>
      <w:r>
        <w:rPr>
          <w:b/>
        </w:rPr>
        <w:t>Review status:</w:t>
      </w:r>
      <w:r>
        <w:t xml:space="preserve"> unchecked — possible relationship only</w:t>
      </w:r>
    </w:p>
    <w:p>
      <w:pPr>
        <w:pStyle w:val="Heading2"/>
      </w:pPr>
      <w:r>
        <w:t>73. Claim + two later sources: The Current Picture of the Transition to a Green Economy in the EU—Trends in Climate and Energy Policy versus State Security</w:t>
      </w:r>
    </w:p>
    <w:p>
      <w:pPr>
        <w:pStyle w:val="SourceNote"/>
      </w:pPr>
      <w:r>
        <w:rPr>
          <w:b/>
        </w:rPr>
        <w:t>Group ID:</w:t>
      </w:r>
      <w:r>
        <w:t xml:space="preserve"> group-db2185b55138101fdaa3</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74. Claim + two later sources: The European Union and Africa towards 2030: perspectives from transnational civil society organisations</w:t>
      </w:r>
    </w:p>
    <w:p>
      <w:pPr>
        <w:pStyle w:val="SourceNote"/>
      </w:pPr>
      <w:r>
        <w:rPr>
          <w:b/>
        </w:rPr>
        <w:t>Group ID:</w:t>
      </w:r>
      <w:r>
        <w:t xml:space="preserve"> group-f35aa9200ab8fc8e1fe3</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Map and Track the Performance in Education for Sustainable Development across the European Union — https://doi.org/10.3390/su132313185</w:t>
      </w:r>
    </w:p>
    <w:p>
      <w:pPr/>
      <w:r>
        <w:rPr>
          <w:b/>
        </w:rPr>
        <w:t>Later source:</w:t>
      </w:r>
      <w:r>
        <w:t xml:space="preserve"> Urban Food Waste: A Framework to Analyse Policies and Initiatives — https://doi.org/10.3390/resources9090099</w:t>
      </w:r>
    </w:p>
    <w:p>
      <w:pPr>
        <w:pStyle w:val="SourceNote"/>
      </w:pPr>
      <w:r>
        <w:rPr>
          <w:b/>
        </w:rPr>
        <w:t>Review status:</w:t>
      </w:r>
      <w:r>
        <w:t xml:space="preserve"> unchecked — possible relationship only</w:t>
      </w:r>
    </w:p>
    <w:p>
      <w:pPr>
        <w:pStyle w:val="Heading2"/>
      </w:pPr>
      <w:r>
        <w:t>75. Claim + two later sources: European cephalopods distribution under climate-change scenarios</w:t>
      </w:r>
    </w:p>
    <w:p>
      <w:pPr>
        <w:pStyle w:val="SourceNote"/>
      </w:pPr>
      <w:r>
        <w:rPr>
          <w:b/>
        </w:rPr>
        <w:t>Group ID:</w:t>
      </w:r>
      <w:r>
        <w:t xml:space="preserve"> group-9ab1ad1243f8e3380145</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Arterial hypertension–attributable mortality in Europe: implications for the Americas — https://doi.org/10.1097/hjh.0000000000004190</w:t>
      </w:r>
    </w:p>
    <w:p>
      <w:pPr/>
      <w:r>
        <w:rPr>
          <w:b/>
        </w:rPr>
        <w:t>Later source:</w:t>
      </w:r>
      <w:r>
        <w:t xml:space="preserve"> Understanding and addressing shortfalls in European wild bee data — https://doi.org/10.1016/j.biocon.2024.110455</w:t>
      </w:r>
    </w:p>
    <w:p>
      <w:pPr>
        <w:pStyle w:val="SourceNote"/>
      </w:pPr>
      <w:r>
        <w:rPr>
          <w:b/>
        </w:rPr>
        <w:t>Review status:</w:t>
      </w:r>
      <w:r>
        <w:t xml:space="preserve"> unchecked — possible relationship only</w:t>
      </w:r>
    </w:p>
    <w:p>
      <w:pPr>
        <w:pStyle w:val="Heading2"/>
      </w:pPr>
      <w:r>
        <w:t>76.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77. Claim + two later sources: How much can societal turning points affect forecasts’ accuracy in Europe? Case of post-communistic transformation in Slovakia and the Czech Republic</w:t>
      </w:r>
    </w:p>
    <w:p>
      <w:pPr>
        <w:pStyle w:val="SourceNote"/>
      </w:pPr>
      <w:r>
        <w:rPr>
          <w:b/>
        </w:rPr>
        <w:t>Group ID:</w:t>
      </w:r>
      <w:r>
        <w:t xml:space="preserve"> group-676c879cc7b0b929c888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Ecospirituality in French-Speaking Europe: Linking Ecological Thought with Alternative Spirituality — https://doi.org/10.3390/rel14040510</w:t>
      </w:r>
    </w:p>
    <w:p>
      <w:pPr/>
      <w:r>
        <w:rPr>
          <w:b/>
        </w:rPr>
        <w:t>Later source:</w:t>
      </w:r>
      <w:r>
        <w:t xml:space="preserve"> Temporal PROMETHEE II — New multi-criteria approach to sustainable management of alternative fuels consumption — https://doi.org/10.1016/j.jclepro.2023.137445</w:t>
      </w:r>
    </w:p>
    <w:p>
      <w:pPr>
        <w:pStyle w:val="SourceNote"/>
      </w:pPr>
      <w:r>
        <w:rPr>
          <w:b/>
        </w:rPr>
        <w:t>Review status:</w:t>
      </w:r>
      <w:r>
        <w:t xml:space="preserve"> unchecked — possible relationship only</w:t>
      </w:r>
    </w:p>
    <w:p>
      <w:pPr>
        <w:pStyle w:val="Heading2"/>
      </w:pPr>
      <w:r>
        <w:t>78. Claim + two later sources: Macro Study of Global Electric Vehicle Expansion</w:t>
      </w:r>
    </w:p>
    <w:p>
      <w:pPr>
        <w:pStyle w:val="SourceNote"/>
      </w:pPr>
      <w:r>
        <w:rPr>
          <w:b/>
        </w:rPr>
        <w:t>Group ID:</w:t>
      </w:r>
      <w:r>
        <w:t xml:space="preserve"> group-a1f7a08080f4c507d7df</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Global trends in electric vehicle adoption and the impact of environmental awareness, user attributes, and barriers — https://doi.org/10.1016/j.egyr.2024.12.054</w:t>
      </w:r>
    </w:p>
    <w:p>
      <w:pPr/>
      <w:r>
        <w:rPr>
          <w:b/>
        </w:rPr>
        <w:t>Later source:</w:t>
      </w:r>
      <w:r>
        <w:t xml:space="preserve"> What has driven the adoption of BEV and PHEV in the EU? — https://doi.org/10.1016/j.rtbm.2025.101331</w:t>
      </w:r>
    </w:p>
    <w:p>
      <w:pPr>
        <w:pStyle w:val="SourceNote"/>
      </w:pPr>
      <w:r>
        <w:rPr>
          <w:b/>
        </w:rPr>
        <w:t>Review status:</w:t>
      </w:r>
      <w:r>
        <w:t xml:space="preserve"> unchecked — possible relationship only</w:t>
      </w:r>
    </w:p>
    <w:p>
      <w:pPr>
        <w:pStyle w:val="Heading2"/>
      </w:pPr>
      <w:r>
        <w:t>79. Claim + two later sources: The future of direct payments system in the EU agriculture; European Commission scenarios</w:t>
      </w:r>
    </w:p>
    <w:p>
      <w:pPr>
        <w:pStyle w:val="SourceNote"/>
      </w:pPr>
      <w:r>
        <w:rPr>
          <w:b/>
        </w:rPr>
        <w:t>Group ID:</w:t>
      </w:r>
      <w:r>
        <w:t xml:space="preserve"> group-9bb69da1d2f35ecd40bd</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Disinformation regarding COVID-19 in light of the priorities of the European Commission and the legal regulations binding and currently drafted in Poland — https://doi.org/10.31743/recl.13539</w:t>
      </w:r>
    </w:p>
    <w:p>
      <w:pPr/>
      <w:r>
        <w:rPr>
          <w:b/>
        </w:rPr>
        <w:t>Later source:</w:t>
      </w:r>
      <w:r>
        <w:t xml:space="preserve"> Judicial coherence in the current European patent system — https://doi.org/10.4337/9781800880078.00009</w:t>
      </w:r>
    </w:p>
    <w:p>
      <w:pPr>
        <w:pStyle w:val="SourceNote"/>
      </w:pPr>
      <w:r>
        <w:rPr>
          <w:b/>
        </w:rPr>
        <w:t>Review status:</w:t>
      </w:r>
      <w:r>
        <w:t xml:space="preserve"> unchecked — possible relationship only</w:t>
      </w:r>
    </w:p>
    <w:p>
      <w:pPr>
        <w:pStyle w:val="Heading2"/>
      </w:pPr>
      <w:r>
        <w:t>80. Claim + two later sources: Impacts of Scaling up Agroecology on the Sustainability of European Agriculture in 2050</w:t>
      </w:r>
    </w:p>
    <w:p>
      <w:pPr>
        <w:pStyle w:val="SourceNote"/>
      </w:pPr>
      <w:r>
        <w:rPr>
          <w:b/>
        </w:rPr>
        <w:t>Group ID:</w:t>
      </w:r>
      <w:r>
        <w:t xml:space="preserve"> group-3f68a680521e29b6af21</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Climate Change and Vector-Borne Diseases in Europe: Implications for Public Health and Environmental Sanitation Strategies — https://doi.org/10.3390/ijem1030010</w:t>
      </w:r>
    </w:p>
    <w:p>
      <w:pPr>
        <w:pStyle w:val="SourceNote"/>
      </w:pPr>
      <w:r>
        <w:rPr>
          <w:b/>
        </w:rPr>
        <w:t>Review status:</w:t>
      </w:r>
      <w:r>
        <w:t xml:space="preserve"> unchecked — possible relationship only</w:t>
      </w:r>
    </w:p>
    <w:p>
      <w:pPr>
        <w:pStyle w:val="Heading2"/>
      </w:pPr>
      <w:r>
        <w:t>81. Claim + two later sources: How to Achieve a Healthier and More Sustainable Europe by 2040 According to the Public? Results of a Five-Country Questionnaire Survey</w:t>
      </w:r>
    </w:p>
    <w:p>
      <w:pPr>
        <w:pStyle w:val="SourceNote"/>
      </w:pPr>
      <w:r>
        <w:rPr>
          <w:b/>
        </w:rPr>
        <w:t>Group ID:</w:t>
      </w:r>
      <w:r>
        <w:t xml:space="preserve"> group-2f5c77fae25c9ca47505</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Power, inclusion and the role of SMEs in European public procurement — https://doi.org/10.1108/jpbafm-06-2025-0169</w:t>
      </w:r>
    </w:p>
    <w:p>
      <w:pPr/>
      <w:r>
        <w:rPr>
          <w:b/>
        </w:rPr>
        <w:t>Later source:</w:t>
      </w:r>
      <w:r>
        <w:t xml:space="preserve"> CONTEMPORARY EUROPEAN CONCEPTS OF PUBLIC ADMINISTRATION IN THE CONTEXT OF DIGITAL TRANSFORMATION AND THEIR LEGAL FRAMEWORK — https://doi.org/10.36690/2674-5216-2025-1-99-109</w:t>
      </w:r>
    </w:p>
    <w:p>
      <w:pPr>
        <w:pStyle w:val="SourceNote"/>
      </w:pPr>
      <w:r>
        <w:rPr>
          <w:b/>
        </w:rPr>
        <w:t>Review status:</w:t>
      </w:r>
      <w:r>
        <w:t xml:space="preserve"> unchecked — possible relationship only</w:t>
      </w:r>
    </w:p>
    <w:p>
      <w:pPr>
        <w:pStyle w:val="Heading2"/>
      </w:pPr>
      <w:r>
        <w:t>82.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83.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possible relationship only</w:t>
      </w:r>
    </w:p>
    <w:p>
      <w:pPr>
        <w:pStyle w:val="Heading2"/>
      </w:pPr>
      <w:r>
        <w:t>84. Claim + two later sources: Towards a sustainable European energy system: Linking optimization models with multi-regional input-output analysis</w:t>
      </w:r>
    </w:p>
    <w:p>
      <w:pPr>
        <w:pStyle w:val="SourceNote"/>
      </w:pPr>
      <w:r>
        <w:rPr>
          <w:b/>
        </w:rPr>
        <w:t>Group ID:</w:t>
      </w:r>
      <w:r>
        <w:t xml:space="preserve"> group-4ab0fad9592172abd058</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Analysis of Two-Side Wood Joints Using the European Yield Model (EYM) Method Referring to SNI 7973:2013 — https://doi.org/10.38124/ijisrt/25dec821</w:t>
      </w:r>
    </w:p>
    <w:p>
      <w:pPr/>
      <w:r>
        <w:rPr>
          <w:b/>
        </w:rPr>
        <w:t>Later source:</w:t>
      </w:r>
      <w:r>
        <w:t xml:space="preserve"> Modeling and forecasting the spread of COVID-19 with stochastic and deterministic approaches: Africa and Europe — https://doi.org/10.1186/s13662-021-03213-2</w:t>
      </w:r>
    </w:p>
    <w:p>
      <w:pPr>
        <w:pStyle w:val="SourceNote"/>
      </w:pPr>
      <w:r>
        <w:rPr>
          <w:b/>
        </w:rPr>
        <w:t>Review status:</w:t>
      </w:r>
      <w:r>
        <w:t xml:space="preserve"> unchecked — possible relationship only</w:t>
      </w:r>
    </w:p>
    <w:p>
      <w:pPr>
        <w:pStyle w:val="Heading2"/>
      </w:pPr>
      <w:r>
        <w:t>85.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86. Claim + two later sources: The feasibility of a European‐wide integrated CO 2 transport network</w:t>
      </w:r>
    </w:p>
    <w:p>
      <w:pPr>
        <w:pStyle w:val="SourceNote"/>
      </w:pPr>
      <w:r>
        <w:rPr>
          <w:b/>
        </w:rPr>
        <w:t>Group ID:</w:t>
      </w:r>
      <w:r>
        <w:t xml:space="preserve"> group-79d2dced0e27fb25132e</w:t>
      </w:r>
    </w:p>
    <w:p>
      <w:pPr>
        <w:pStyle w:val="SourceNote"/>
      </w:pPr>
      <w:r>
        <w:rPr>
          <w:b/>
        </w:rPr>
        <w:t>Original source:</w:t>
      </w:r>
      <w:r>
        <w:t xml:space="preserve"> https://doi.org/10.1002/ghg.1410</w:t>
      </w:r>
    </w:p>
    <w:p>
      <w:pPr/>
      <w:r>
        <w:rPr>
          <w:b/>
        </w:rPr>
        <w:t>Original future claim:</w:t>
      </w:r>
      <w:r>
        <w:t xml:space="preserve"> Abstract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The Idea of the European Union as a Cosmopolitan Empire: A Critical Assessment — https://doi.org/10.33067/se.1.2025.4</w:t>
      </w:r>
    </w:p>
    <w:p>
      <w:pPr>
        <w:pStyle w:val="SourceNote"/>
      </w:pPr>
      <w:r>
        <w:rPr>
          <w:b/>
        </w:rPr>
        <w:t>Review status:</w:t>
      </w:r>
      <w:r>
        <w:t xml:space="preserve"> unchecked — possible relationship only</w:t>
      </w:r>
    </w:p>
    <w:p>
      <w:pPr>
        <w:pStyle w:val="Heading2"/>
      </w:pPr>
      <w:r>
        <w:t>87. Claim + two later sources: The future of financial markets and regulation: what strategy for Europe?</w:t>
      </w:r>
    </w:p>
    <w:p>
      <w:pPr>
        <w:pStyle w:val="SourceNote"/>
      </w:pPr>
      <w:r>
        <w:rPr>
          <w:b/>
        </w:rPr>
        <w:t>Group ID:</w:t>
      </w:r>
      <w:r>
        <w:t xml:space="preserve"> group-0d20b41634b760b49d67</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GLAM metadata in museums and university collections: a state-of-the-art (Spain and other European countries) — https://doi.org/10.1108/gkmc-06-2022-0133</w:t>
      </w:r>
    </w:p>
    <w:p>
      <w:pPr>
        <w:pStyle w:val="SourceNote"/>
      </w:pPr>
      <w:r>
        <w:rPr>
          <w:b/>
        </w:rPr>
        <w:t>Review status:</w:t>
      </w:r>
      <w:r>
        <w:t xml:space="preserve"> unchecked — possible relationship only</w:t>
      </w:r>
    </w:p>
    <w:p>
      <w:pPr>
        <w:pStyle w:val="Heading2"/>
      </w:pPr>
      <w:r>
        <w:t>88. Claim + two later sources: Will the real security foresight expert please stand up?</w:t>
      </w:r>
    </w:p>
    <w:p>
      <w:pPr>
        <w:pStyle w:val="SourceNote"/>
      </w:pPr>
      <w:r>
        <w:rPr>
          <w:b/>
        </w:rPr>
        <w:t>Group ID:</w:t>
      </w:r>
      <w:r>
        <w:t xml:space="preserve"> group-682d8cb78d526789bc1d</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Language teaching in Europe: A comparative overview of pedagogical, theoretical and decolonial approaches from the region — https://openalex.org/W7208794743</w:t>
      </w:r>
    </w:p>
    <w:p>
      <w:pPr>
        <w:pStyle w:val="SourceNote"/>
      </w:pPr>
      <w:r>
        <w:rPr>
          <w:b/>
        </w:rPr>
        <w:t>Review status:</w:t>
      </w:r>
      <w:r>
        <w:t xml:space="preserve"> unchecked — possible relationship only</w:t>
      </w:r>
    </w:p>
    <w:p>
      <w:pPr>
        <w:pStyle w:val="Heading2"/>
      </w:pPr>
      <w:r>
        <w:t>89. Claim + two later sources: The state of democracy in the European Union in scenarios: federation, empire and Europe à la carte</w:t>
      </w:r>
    </w:p>
    <w:p>
      <w:pPr>
        <w:pStyle w:val="SourceNote"/>
      </w:pPr>
      <w:r>
        <w:rPr>
          <w:b/>
        </w:rPr>
        <w:t>Group ID:</w:t>
      </w:r>
      <w:r>
        <w:t xml:space="preserve"> group-c040f8b733696589f890</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The Communion of Protestant Churches in Europe and European integration — https://doi.org/10.31261/ssht.2025.58.1.05</w:t>
      </w:r>
    </w:p>
    <w:p>
      <w:pPr/>
      <w:r>
        <w:rPr>
          <w:b/>
        </w:rPr>
        <w:t>Later source:</w:t>
      </w:r>
      <w:r>
        <w:t xml:space="preserve"> Beyond dualism: the hybridization of technocracy and democracy in Europe — https://doi.org/10.1017/s1755773926100514</w:t>
      </w:r>
    </w:p>
    <w:p>
      <w:pPr>
        <w:pStyle w:val="SourceNote"/>
      </w:pPr>
      <w:r>
        <w:rPr>
          <w:b/>
        </w:rPr>
        <w:t>Review status:</w:t>
      </w:r>
      <w:r>
        <w:t xml:space="preserve"> unchecked — possible relationship only</w:t>
      </w:r>
    </w:p>
    <w:p>
      <w:pPr>
        <w:pStyle w:val="Heading2"/>
      </w:pPr>
      <w:r>
        <w:t>90. Claim + two later sources: Diverging hydrological drought traits over Europe with global warming</w:t>
      </w:r>
    </w:p>
    <w:p>
      <w:pPr>
        <w:pStyle w:val="SourceNote"/>
      </w:pPr>
      <w:r>
        <w:rPr>
          <w:b/>
        </w:rPr>
        <w:t>Group ID:</w:t>
      </w:r>
      <w:r>
        <w:t xml:space="preserve"> group-2bd5af1c28496cffa6ef</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Future changes in frequency and intensity of meteorological and hydrological droughts in Denmark — https://doi.org/10.5194/egusphere-egu26-5003</w:t>
      </w:r>
    </w:p>
    <w:p>
      <w:pPr/>
      <w:r>
        <w:rPr>
          <w:b/>
        </w:rPr>
        <w:t>Later source:</w:t>
      </w:r>
      <w:r>
        <w:t xml:space="preserve"> Hydrological drought but not flood synchronicity increases over Europe — https://doi.org/10.5194/egusphere-egu26-4770</w:t>
      </w:r>
    </w:p>
    <w:p>
      <w:pPr>
        <w:pStyle w:val="SourceNote"/>
      </w:pPr>
      <w:r>
        <w:rPr>
          <w:b/>
        </w:rPr>
        <w:t>Review status:</w:t>
      </w:r>
      <w:r>
        <w:t xml:space="preserve"> unchecked — possible relationship only</w:t>
      </w:r>
    </w:p>
    <w:p>
      <w:pPr>
        <w:pStyle w:val="Heading2"/>
      </w:pPr>
      <w:r>
        <w:t>91. Claim + two later sources: Climate, Energy – and Environment? Reconciliation of EU Environmental Law with the Implementation Realities of EU Climate Law</w:t>
      </w:r>
    </w:p>
    <w:p>
      <w:pPr>
        <w:pStyle w:val="SourceNote"/>
      </w:pPr>
      <w:r>
        <w:rPr>
          <w:b/>
        </w:rPr>
        <w:t>Group ID:</w:t>
      </w:r>
      <w:r>
        <w:t xml:space="preserve"> group-4585bdd3411c67ffa421</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Urban Planning and Environmental Protection in the Mirror of the Case Law of the European Court of Human Rights — https://doi.org/10.14207/ejsd.2026.v15n1p903</w:t>
      </w:r>
    </w:p>
    <w:p>
      <w:pPr/>
      <w:r>
        <w:rPr>
          <w:b/>
        </w:rPr>
        <w:t>Later source:</w:t>
      </w:r>
      <w:r>
        <w:t xml:space="preserve"> Analysis of the institutional arrangement for environmental protection in Georgia — https://doi.org/10.36962/nec21012026-118</w:t>
      </w:r>
    </w:p>
    <w:p>
      <w:pPr>
        <w:pStyle w:val="SourceNote"/>
      </w:pPr>
      <w:r>
        <w:rPr>
          <w:b/>
        </w:rPr>
        <w:t>Review status:</w:t>
      </w:r>
      <w:r>
        <w:t xml:space="preserve"> unchecked — possible relationship only</w:t>
      </w:r>
    </w:p>
    <w:p>
      <w:pPr>
        <w:pStyle w:val="Heading2"/>
      </w:pPr>
      <w:r>
        <w:t>92. Claim + two later sources: Population aging, migration, and productivity in Europe</w:t>
      </w:r>
    </w:p>
    <w:p>
      <w:pPr>
        <w:pStyle w:val="SourceNote"/>
      </w:pPr>
      <w:r>
        <w:rPr>
          <w:b/>
        </w:rPr>
        <w:t>Group ID:</w:t>
      </w:r>
      <w:r>
        <w:t xml:space="preserve"> group-8fc22b974ddb9e1f1064</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Policies of Plastic Use in European Countries — https://doi.org/10.1201/9781003387862-3</w:t>
      </w:r>
    </w:p>
    <w:p>
      <w:pPr/>
      <w:r>
        <w:rPr>
          <w:b/>
        </w:rPr>
        <w:t>Later source:</w:t>
      </w:r>
      <w:r>
        <w:t xml:space="preserve"> The value of national defense: Assessing public preferences for defense policy options — https://doi.org/10.1016/j.ejpoleco.2024.102595</w:t>
      </w:r>
    </w:p>
    <w:p>
      <w:pPr>
        <w:pStyle w:val="SourceNote"/>
      </w:pPr>
      <w:r>
        <w:rPr>
          <w:b/>
        </w:rPr>
        <w:t>Review status:</w:t>
      </w:r>
      <w:r>
        <w:t xml:space="preserve"> unchecked — possible relationship only</w:t>
      </w:r>
    </w:p>
    <w:p>
      <w:pPr>
        <w:pStyle w:val="Heading2"/>
      </w:pPr>
      <w:r>
        <w:t>93. Claim + two later sources: Future Scenarios of European Forests</w:t>
      </w:r>
    </w:p>
    <w:p>
      <w:pPr>
        <w:pStyle w:val="SourceNote"/>
      </w:pPr>
      <w:r>
        <w:rPr>
          <w:b/>
        </w:rPr>
        <w:t>Group ID:</w:t>
      </w:r>
      <w:r>
        <w:t xml:space="preserve"> group-c8f3fa111c945fdb9201</w:t>
      </w:r>
    </w:p>
    <w:p>
      <w:pPr>
        <w:pStyle w:val="SourceNote"/>
      </w:pPr>
      <w:r>
        <w:rPr>
          <w:b/>
        </w:rPr>
        <w:t>Original source:</w:t>
      </w:r>
      <w:r>
        <w:t xml:space="preserve"> https://doi.org/10.2478/jlecol-2018-0020</w:t>
      </w:r>
    </w:p>
    <w:p>
      <w:pPr/>
      <w:r>
        <w:rPr>
          <w:b/>
        </w:rPr>
        <w:t>Original future claim:</w:t>
      </w:r>
      <w:r>
        <w:t xml:space="preserve">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Contrasting mechanisms driving the northward expansion of African raptors in Europe — https://doi.org/10.1111/jzo.70124</w:t>
      </w:r>
    </w:p>
    <w:p>
      <w:pPr/>
      <w:r>
        <w:rPr>
          <w:b/>
        </w:rPr>
        <w:t>Later source:</w:t>
      </w:r>
      <w:r>
        <w:t xml:space="preserve"> A Climatology of Convective Precipitation over Europe — https://doi.org/10.1175/mwr-d-23-0156.1</w:t>
      </w:r>
    </w:p>
    <w:p>
      <w:pPr>
        <w:pStyle w:val="SourceNote"/>
      </w:pPr>
      <w:r>
        <w:rPr>
          <w:b/>
        </w:rPr>
        <w:t>Review status:</w:t>
      </w:r>
      <w:r>
        <w:t xml:space="preserve"> unchecked — possible relationship only</w:t>
      </w:r>
    </w:p>
    <w:p>
      <w:pPr>
        <w:pStyle w:val="Heading2"/>
      </w:pPr>
      <w:r>
        <w:t>94. Claim + two later sources: Understanding and enhancing future infrastructure resiliency: a socio‐ecological approach</w:t>
      </w:r>
    </w:p>
    <w:p>
      <w:pPr>
        <w:pStyle w:val="SourceNote"/>
      </w:pPr>
      <w:r>
        <w:rPr>
          <w:b/>
        </w:rPr>
        <w:t>Group ID:</w:t>
      </w:r>
      <w:r>
        <w:t xml:space="preserve"> group-d7306a7543f603a26d62</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philosophical assumptions in EE's Invisible College — https://doi.org/10.1108/ijebr-07-2021-0553</w:t>
      </w:r>
    </w:p>
    <w:p>
      <w:pPr/>
      <w:r>
        <w:rPr>
          <w:b/>
        </w:rPr>
        <w:t>Later source:</w:t>
      </w:r>
      <w:r>
        <w:t xml:space="preserve"> Explaining adults’ mental health help-seeking through the lens of the theory of planned behavior: a scoping review — https://doi.org/10.1186/s13643-022-02034-y</w:t>
      </w:r>
    </w:p>
    <w:p>
      <w:pPr>
        <w:pStyle w:val="SourceNote"/>
      </w:pPr>
      <w:r>
        <w:rPr>
          <w:b/>
        </w:rPr>
        <w:t>Review status:</w:t>
      </w:r>
      <w:r>
        <w:t xml:space="preserve"> unchecked — possible relationship only</w:t>
      </w:r>
    </w:p>
    <w:p>
      <w:pPr>
        <w:pStyle w:val="Heading2"/>
      </w:pPr>
      <w:r>
        <w:t>95. Claim + two later sources: The development of a system of «green» skills in the strategizing of labor resources of industrial enterprises</w:t>
      </w:r>
    </w:p>
    <w:p>
      <w:pPr>
        <w:pStyle w:val="SourceNote"/>
      </w:pPr>
      <w:r>
        <w:rPr>
          <w:b/>
        </w:rPr>
        <w:t>Group ID:</w:t>
      </w:r>
      <w:r>
        <w:t xml:space="preserve"> group-62566c3df3ae55e099fc</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Theory and Practice of Gas Consumption Forecasting in Planning the Development of Regional Gas Supply Systems — https://doi.org/10.1134/s1075700725700935</w:t>
      </w:r>
    </w:p>
    <w:p>
      <w:pPr/>
      <w:r>
        <w:rPr>
          <w:b/>
        </w:rPr>
        <w:t>Later source:</w:t>
      </w:r>
      <w:r>
        <w:t xml:space="preserve"> FORECASTS OF THE NUMBER OF CATTLE GRAZED ON PASTURES IN THE REPUBLIC OF KARAKALPAKSTAN — https://doi.org/10.5281/zenodo.21772231</w:t>
      </w:r>
    </w:p>
    <w:p>
      <w:pPr>
        <w:pStyle w:val="SourceNote"/>
      </w:pPr>
      <w:r>
        <w:rPr>
          <w:b/>
        </w:rPr>
        <w:t>Review status:</w:t>
      </w:r>
      <w:r>
        <w:t xml:space="preserve"> unchecked — possible relationship only</w:t>
      </w:r>
    </w:p>
    <w:p>
      <w:pPr>
        <w:pStyle w:val="Heading2"/>
      </w:pPr>
      <w:r>
        <w:t>96. Claim + two later sources: Carbon intensity of the Ukrainian industry: current state and foresight</w:t>
      </w:r>
    </w:p>
    <w:p>
      <w:pPr>
        <w:pStyle w:val="SourceNote"/>
      </w:pPr>
      <w:r>
        <w:rPr>
          <w:b/>
        </w:rPr>
        <w:t>Group ID:</w:t>
      </w:r>
      <w:r>
        <w:t xml:space="preserve"> group-b4853d718c2b36d0ceb9</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DIGITIZATION AS A TOOL FOR ENSURING THE PRESERVATION OF ARCHIVAL COLLECTIONS: CURRENT STATE AND PROSPECTS — https://doi.org/10.31073/istnauka202602-22</w:t>
      </w:r>
    </w:p>
    <w:p>
      <w:pPr/>
      <w:r>
        <w:rPr>
          <w:b/>
        </w:rPr>
        <w:t>Later source:</w:t>
      </w:r>
      <w:r>
        <w:t xml:space="preserve"> Towards the Necessary Decarbonization of Historic Buildings: A Review — https://doi.org/10.3390/en18030502</w:t>
      </w:r>
    </w:p>
    <w:p>
      <w:pPr>
        <w:pStyle w:val="SourceNote"/>
      </w:pPr>
      <w:r>
        <w:rPr>
          <w:b/>
        </w:rPr>
        <w:t>Review status:</w:t>
      </w:r>
      <w:r>
        <w:t xml:space="preserve"> unchecked — possible relationship only</w:t>
      </w:r>
    </w:p>
    <w:p>
      <w:pPr>
        <w:pStyle w:val="Heading2"/>
      </w:pPr>
      <w:r>
        <w:t>97. Claim + two later sources: Future Trajectories of Renewable Energy Consumption in the European Union</w:t>
      </w:r>
    </w:p>
    <w:p>
      <w:pPr>
        <w:pStyle w:val="SourceNote"/>
      </w:pPr>
      <w:r>
        <w:rPr>
          <w:b/>
        </w:rPr>
        <w:t>Group ID:</w:t>
      </w:r>
      <w:r>
        <w:t xml:space="preserve"> group-f3c1d7b959850276ac9d</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The Afro-European Energy Diplomacy, a Historical Reconstruction from 1973 to 2007 — https://doi.org/10.59569/jceeas.2023.3.1.137</w:t>
      </w:r>
    </w:p>
    <w:p>
      <w:pPr>
        <w:pStyle w:val="SourceNote"/>
      </w:pPr>
      <w:r>
        <w:rPr>
          <w:b/>
        </w:rPr>
        <w:t>Review status:</w:t>
      </w:r>
      <w:r>
        <w:t xml:space="preserve"> unchecked — possible relationship only</w:t>
      </w:r>
    </w:p>
    <w:p>
      <w:pPr>
        <w:pStyle w:val="Heading2"/>
      </w:pPr>
      <w:r>
        <w:t>98. Claim + two later sources: Polish and Ukrainian foresight into the directions for the innovation of power plants</w:t>
      </w:r>
    </w:p>
    <w:p>
      <w:pPr>
        <w:pStyle w:val="SourceNote"/>
      </w:pPr>
      <w:r>
        <w:rPr>
          <w:b/>
        </w:rPr>
        <w:t>Group ID:</w:t>
      </w:r>
      <w:r>
        <w:t xml:space="preserve"> group-630133c9983606e0fcf6</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Feasibility Model for Establishing and Implementing Smart Insurance Using a Hybrid Approach — https://openalex.org/W7217145713</w:t>
      </w:r>
    </w:p>
    <w:p>
      <w:pPr/>
      <w:r>
        <w:rPr>
          <w:b/>
        </w:rPr>
        <w:t>Later source:</w:t>
      </w:r>
      <w:r>
        <w:t xml:space="preserve"> A comprehensive review of planting approaches used to establish willow for environmental applications — https://doi.org/10.1016/j.ecoleng.2024.107288</w:t>
      </w:r>
    </w:p>
    <w:p>
      <w:pPr>
        <w:pStyle w:val="SourceNote"/>
      </w:pPr>
      <w:r>
        <w:rPr>
          <w:b/>
        </w:rPr>
        <w:t>Review status:</w:t>
      </w:r>
      <w:r>
        <w:t xml:space="preserve"> unchecked — possible relationship only</w:t>
      </w:r>
    </w:p>
    <w:p>
      <w:pPr>
        <w:pStyle w:val="Heading2"/>
      </w:pPr>
      <w:r>
        <w:t>99. Claim + two later sources: European Water Footprint Scenarios for 2050</w:t>
      </w:r>
    </w:p>
    <w:p>
      <w:pPr>
        <w:pStyle w:val="SourceNote"/>
      </w:pPr>
      <w:r>
        <w:rPr>
          <w:b/>
        </w:rPr>
        <w:t>Group ID:</w:t>
      </w:r>
      <w:r>
        <w:t xml:space="preserve"> group-8c144421591f92d2ee06</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Blue and Green Water Footprint disparities of European households: A spatial structural decomposition analysis approach — https://doi.org/10.5194/egusphere-egu25-18436</w:t>
      </w:r>
    </w:p>
    <w:p>
      <w:pPr/>
      <w:r>
        <w:rPr>
          <w:b/>
        </w:rPr>
        <w:t>Later source:</w:t>
      </w:r>
      <w:r>
        <w:t xml:space="preserve"> Water Security in North America and Europe — https://doi.org/10.1002/9781394176748.ch6</w:t>
      </w:r>
    </w:p>
    <w:p>
      <w:pPr>
        <w:pStyle w:val="SourceNote"/>
      </w:pPr>
      <w:r>
        <w:rPr>
          <w:b/>
        </w:rPr>
        <w:t>Review status:</w:t>
      </w:r>
      <w:r>
        <w:t xml:space="preserve"> unchecked — possible relationship only</w:t>
      </w:r>
    </w:p>
    <w:p>
      <w:pPr>
        <w:pStyle w:val="Heading2"/>
      </w:pPr>
      <w:r>
        <w:t>100. Claim + two later sources: Nutrient criteria for surface waters under the European Water Framework Directive: Current state-of-the-art, challenges and future outlook</w:t>
      </w:r>
    </w:p>
    <w:p>
      <w:pPr>
        <w:pStyle w:val="SourceNote"/>
      </w:pPr>
      <w:r>
        <w:rPr>
          <w:b/>
        </w:rPr>
        <w:t>Group ID:</w:t>
      </w:r>
      <w:r>
        <w:t xml:space="preserve"> group-2e381e0450e359d57db2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Agriculture Contributions to Water Pollution and Sustainable Policy Solutions in Europe — https://doi.org/10.3390/earth7040115</w:t>
      </w:r>
    </w:p>
    <w:p>
      <w:pPr/>
      <w:r>
        <w:rPr>
          <w:b/>
        </w:rPr>
        <w:t>Later source:</w:t>
      </w:r>
      <w:r>
        <w:t xml:space="preserve"> A conceptual model for enabling sustainable management of soil-sediment-water ecosystems in support of European policy — https://doi.org/10.14321/aehm.026.02.063</w:t>
      </w:r>
    </w:p>
    <w:p>
      <w:pPr>
        <w:pStyle w:val="SourceNote"/>
      </w:pPr>
      <w:r>
        <w:rPr>
          <w:b/>
        </w:rPr>
        <w:t>Review status:</w:t>
      </w:r>
      <w:r>
        <w:t xml:space="preserve"> unchecked — possible relationship only</w:t>
      </w:r>
    </w:p>
    <w:p>
      <w:pPr>
        <w:pStyle w:val="Heading2"/>
      </w:pPr>
      <w:r>
        <w:t>101. Claim + two later sources: Burden of Stroke in Europe</w:t>
      </w:r>
    </w:p>
    <w:p>
      <w:pPr>
        <w:pStyle w:val="SourceNote"/>
      </w:pPr>
      <w:r>
        <w:rPr>
          <w:b/>
        </w:rPr>
        <w:t>Group ID:</w:t>
      </w:r>
      <w:r>
        <w:t xml:space="preserve"> group-a7351308f4980eaa66ed</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Estimating the burden of vitiligo: a systematic review and modelling study — https://doi.org/10.1016/s2468-2667(24)00026-4</w:t>
      </w:r>
    </w:p>
    <w:p>
      <w:pPr/>
      <w:r>
        <w:rPr>
          <w:b/>
        </w:rPr>
        <w:t>Later source:</w:t>
      </w:r>
      <w:r>
        <w:t xml:space="preserve"> The incidence and prevalence of IgA nephropathy in Europe — https://doi.org/10.1093/ndt/gfad082</w:t>
      </w:r>
    </w:p>
    <w:p>
      <w:pPr>
        <w:pStyle w:val="SourceNote"/>
      </w:pPr>
      <w:r>
        <w:rPr>
          <w:b/>
        </w:rPr>
        <w:t>Review status:</w:t>
      </w:r>
      <w:r>
        <w:t xml:space="preserve"> unchecked — possible relationship only</w:t>
      </w:r>
    </w:p>
    <w:p>
      <w:pPr>
        <w:pStyle w:val="Heading2"/>
      </w:pPr>
      <w:r>
        <w:t>102. Claim + two later sources: Ukrainian Migration Aspirations towards Germany: Analysis and Development Scenarios</w:t>
      </w:r>
    </w:p>
    <w:p>
      <w:pPr>
        <w:pStyle w:val="SourceNote"/>
      </w:pPr>
      <w:r>
        <w:rPr>
          <w:b/>
        </w:rPr>
        <w:t>Group ID:</w:t>
      </w:r>
      <w:r>
        <w:t xml:space="preserve"> group-99b92cc8468381e1ee49</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Signal-Based Trading Strategy for SPY ETF: A Multiple Linear Regression Approach — https://doi.org/10.70693/rwsk.v1i2.552</w:t>
      </w:r>
    </w:p>
    <w:p>
      <w:pPr/>
      <w:r>
        <w:rPr>
          <w:b/>
        </w:rPr>
        <w:t>Later source:</w:t>
      </w:r>
      <w:r>
        <w:t xml:space="preserve"> Development of Multiple Linear Regression Models for Predicting Chronic Iron Toxicity to Aquatic Organisms — https://doi.org/10.1002/etc.5623</w:t>
      </w:r>
    </w:p>
    <w:p>
      <w:pPr>
        <w:pStyle w:val="SourceNote"/>
      </w:pPr>
      <w:r>
        <w:rPr>
          <w:b/>
        </w:rPr>
        <w:t>Review status:</w:t>
      </w:r>
      <w:r>
        <w:t xml:space="preserve"> unchecked — possible relationship only</w:t>
      </w:r>
    </w:p>
    <w:p>
      <w:pPr>
        <w:pStyle w:val="Heading2"/>
      </w:pPr>
      <w:r>
        <w:t>103. Claim + two later sources: Forecasting the Volatility of European Union Allowance Futures with Climate Policy Uncertainty Using the EGARCH-MIDAS Model</w:t>
      </w:r>
    </w:p>
    <w:p>
      <w:pPr>
        <w:pStyle w:val="SourceNote"/>
      </w:pPr>
      <w:r>
        <w:rPr>
          <w:b/>
        </w:rPr>
        <w:t>Group ID:</w:t>
      </w:r>
      <w:r>
        <w:t xml:space="preserve"> group-bddcce5bc28e3799d12f</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EUROPEAN ASSESSMENT OF COASTAL FLOOD HAZARDS — https://doi.org/10.9753/icce.v38.management.202</w:t>
      </w:r>
    </w:p>
    <w:p>
      <w:pPr/>
      <w:r>
        <w:rPr>
          <w:b/>
        </w:rPr>
        <w:t>Later source:</w:t>
      </w:r>
      <w:r>
        <w:t xml:space="preserve"> Stuck in the waiting room: citizen experiences of administrative limbo in three European crises — https://doi.org/10.1093/jopart/muaf017</w:t>
      </w:r>
    </w:p>
    <w:p>
      <w:pPr>
        <w:pStyle w:val="SourceNote"/>
      </w:pPr>
      <w:r>
        <w:rPr>
          <w:b/>
        </w:rPr>
        <w:t>Review status:</w:t>
      </w:r>
      <w:r>
        <w:t xml:space="preserve"> unchecked — possible relationship only</w:t>
      </w:r>
    </w:p>
    <w:p>
      <w:pPr>
        <w:pStyle w:val="Heading2"/>
      </w:pPr>
      <w:r>
        <w:t>104. Claim + two later sources: From flood science to flood policy: the Foresight Future Flooding project seven years on</w:t>
      </w:r>
    </w:p>
    <w:p>
      <w:pPr>
        <w:pStyle w:val="SourceNote"/>
      </w:pPr>
      <w:r>
        <w:rPr>
          <w:b/>
        </w:rPr>
        <w:t>Group ID:</w:t>
      </w:r>
      <w:r>
        <w:t xml:space="preserve"> group-e1c37d445bc27122b5cc</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(Re)envisioning inclusive futures: Applying narrative foresight to deconstruct the problem of urban flooding in the slums of Bengaluru, India — https://doi.org/10.1111/dpr.12786</w:t>
      </w:r>
    </w:p>
    <w:p>
      <w:pPr>
        <w:pStyle w:val="SourceNote"/>
      </w:pPr>
      <w:r>
        <w:rPr>
          <w:b/>
        </w:rPr>
        <w:t>Review status:</w:t>
      </w:r>
      <w:r>
        <w:t xml:space="preserve"> unchecked — possible relationship only</w:t>
      </w:r>
    </w:p>
    <w:p>
      <w:pPr>
        <w:pStyle w:val="Heading2"/>
      </w:pPr>
      <w:r>
        <w:t>105.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106. Claim + two later sources: Materials for Sustainable Nuclear Energy: A European Strategic Research and Innovation Agenda for All Reactor Generations</w:t>
      </w:r>
    </w:p>
    <w:p>
      <w:pPr>
        <w:pStyle w:val="SourceNote"/>
      </w:pPr>
      <w:r>
        <w:rPr>
          <w:b/>
        </w:rPr>
        <w:t>Group ID:</w:t>
      </w:r>
      <w:r>
        <w:t xml:space="preserve"> group-e254d4a28bf3c0286ab3</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Thorium as an Advanced Nuclear Fuel: Enhancing Supply-Chain Resilience for the Energy Transition — https://doi.org/10.2118/233268-ms</w:t>
      </w:r>
    </w:p>
    <w:p>
      <w:pPr/>
      <w:r>
        <w:rPr>
          <w:b/>
        </w:rPr>
        <w:t>Later source:</w:t>
      </w:r>
      <w:r>
        <w:t xml:space="preserve"> RETRACTED: Green energy policies and energy poverty in Europe: Assessing low carbon dependency and energy productivity — https://doi.org/10.1016/j.eneco.2024.107677</w:t>
      </w:r>
    </w:p>
    <w:p>
      <w:pPr>
        <w:pStyle w:val="SourceNote"/>
      </w:pPr>
      <w:r>
        <w:rPr>
          <w:b/>
        </w:rPr>
        <w:t>Review status:</w:t>
      </w:r>
      <w:r>
        <w:t xml:space="preserve"> unchecked — possible relationship only</w:t>
      </w:r>
    </w:p>
    <w:p>
      <w:pPr>
        <w:pStyle w:val="Heading2"/>
      </w:pPr>
      <w:r>
        <w:t>107. Claim + two later sources: Microgrids: Enhancing the Resilience of the European Megagrid</w:t>
      </w:r>
    </w:p>
    <w:p>
      <w:pPr>
        <w:pStyle w:val="SourceNote"/>
      </w:pPr>
      <w:r>
        <w:rPr>
          <w:b/>
        </w:rPr>
        <w:t>Group ID:</w:t>
      </w:r>
      <w:r>
        <w:t xml:space="preserve"> group-2539ee44188950dd5cf7</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Climate change impacts on European electricity demand and supply until 2100 — https://doi.org/10.1016/j.isci.2026.116818</w:t>
      </w:r>
    </w:p>
    <w:p>
      <w:pPr/>
      <w:r>
        <w:rPr>
          <w:b/>
        </w:rPr>
        <w:t>Later source:</w:t>
      </w:r>
      <w:r>
        <w:t xml:space="preserve"> Future electricity demand for Europe: Unraveling the dynamics of the Temperature Response Function — https://doi.org/10.1016/j.apenergy.2024.123387</w:t>
      </w:r>
    </w:p>
    <w:p>
      <w:pPr>
        <w:pStyle w:val="SourceNote"/>
      </w:pPr>
      <w:r>
        <w:rPr>
          <w:b/>
        </w:rPr>
        <w:t>Review status:</w:t>
      </w:r>
      <w:r>
        <w:t xml:space="preserve"> unchecked — possible relationship only</w:t>
      </w:r>
    </w:p>
    <w:p>
      <w:pPr>
        <w:pStyle w:val="Heading2"/>
      </w:pPr>
      <w:r>
        <w:t>108. Claim + two later sources: Argentinian Energy Landscapes - Case Study of the Neo-Carbon Energy Project</w:t>
      </w:r>
    </w:p>
    <w:p>
      <w:pPr>
        <w:pStyle w:val="SourceNote"/>
      </w:pPr>
      <w:r>
        <w:rPr>
          <w:b/>
        </w:rPr>
        <w:t>Group ID:</w:t>
      </w:r>
      <w:r>
        <w:t xml:space="preserve"> group-25172e1f992eca516554</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Does Value Lead to Loyalty? Exploring the Important Role of the Tourist–Destination Relationship — https://doi.org/10.3390/bs12050136</w:t>
      </w:r>
    </w:p>
    <w:p>
      <w:pPr>
        <w:pStyle w:val="SourceNote"/>
      </w:pPr>
      <w:r>
        <w:rPr>
          <w:b/>
        </w:rPr>
        <w:t>Review status:</w:t>
      </w:r>
      <w:r>
        <w:t xml:space="preserve"> unchecked — possible relationship only</w:t>
      </w:r>
    </w:p>
    <w:p>
      <w:pPr>
        <w:pStyle w:val="Heading2"/>
      </w:pPr>
      <w:r>
        <w:t>109. Claim + two later sources: Scenario analysis for nutrient emission reduction in the European inland waters</w:t>
      </w:r>
    </w:p>
    <w:p>
      <w:pPr>
        <w:pStyle w:val="SourceNote"/>
      </w:pPr>
      <w:r>
        <w:rPr>
          <w:b/>
        </w:rPr>
        <w:t>Group ID:</w:t>
      </w:r>
      <w:r>
        <w:t xml:space="preserve"> group-7bd53eedeaca0a59e9b0</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Chemical Profile and Bioactivity Evaluation of Salvia Species from Eastern Europe — https://doi.org/10.3390/antiox12081514</w:t>
      </w:r>
    </w:p>
    <w:p>
      <w:pPr/>
      <w:r>
        <w:rPr>
          <w:b/>
        </w:rPr>
        <w:t>Later source:</w:t>
      </w:r>
      <w:r>
        <w:t xml:space="preserve"> Towards an “Evaluation Dilemmas Model” – designing an evaluation scheme for a European capital of culture — https://doi.org/10.1108/aam-09-2021-0046</w:t>
      </w:r>
    </w:p>
    <w:p>
      <w:pPr>
        <w:pStyle w:val="SourceNote"/>
      </w:pPr>
      <w:r>
        <w:rPr>
          <w:b/>
        </w:rPr>
        <w:t>Review status:</w:t>
      </w:r>
      <w:r>
        <w:t xml:space="preserve"> unchecked — possible relationship only</w:t>
      </w:r>
    </w:p>
    <w:p>
      <w:pPr>
        <w:pStyle w:val="Heading2"/>
      </w:pPr>
      <w:r>
        <w:t>110.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group-f08c3ab8ea71557c9f12</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Spatio-Temporal Diagnostics Reveal Early Signals of Sand Fly Range Shift in Europe — https://doi.org/10.5194/egusphere-egu26-18432</w:t>
      </w:r>
    </w:p>
    <w:p>
      <w:pPr>
        <w:pStyle w:val="SourceNote"/>
      </w:pPr>
      <w:r>
        <w:rPr>
          <w:b/>
        </w:rPr>
        <w:t>Review status:</w:t>
      </w:r>
      <w:r>
        <w:t xml:space="preserve"> unchecked — possible relationship only</w:t>
      </w:r>
    </w:p>
    <w:p>
      <w:pPr>
        <w:pStyle w:val="Heading2"/>
      </w:pPr>
      <w:r>
        <w:t>111. Claim + two later sources: A Foresight Study of European East-West Agrifood Trade Options</w:t>
      </w:r>
    </w:p>
    <w:p>
      <w:pPr>
        <w:pStyle w:val="SourceNote"/>
      </w:pPr>
      <w:r>
        <w:rPr>
          <w:b/>
        </w:rPr>
        <w:t>Group ID:</w:t>
      </w:r>
      <w:r>
        <w:t xml:space="preserve"> group-8b089d8d14083da67a3d</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Portuguese Agrifood Sector Resilience: An Analysis Using Structural Breaks Applied to International Trade — https://doi.org/10.3390/agriculture13091699</w:t>
      </w:r>
    </w:p>
    <w:p>
      <w:pPr>
        <w:pStyle w:val="SourceNote"/>
      </w:pPr>
      <w:r>
        <w:rPr>
          <w:b/>
        </w:rPr>
        <w:t>Review status:</w:t>
      </w:r>
      <w:r>
        <w:t xml:space="preserve"> unchecked — possible relationship only</w:t>
      </w:r>
    </w:p>
    <w:p>
      <w:pPr>
        <w:pStyle w:val="Heading2"/>
      </w:pPr>
      <w:r>
        <w:t>112. Claim + two later sources: Alpine Tundra Contraction under Future Warming Scenarios in Europe</w:t>
      </w:r>
    </w:p>
    <w:p>
      <w:pPr>
        <w:pStyle w:val="SourceNote"/>
      </w:pPr>
      <w:r>
        <w:rPr>
          <w:b/>
        </w:rPr>
        <w:t>Group ID:</w:t>
      </w:r>
      <w:r>
        <w:t xml:space="preserve"> group-bb4c74fe62ea02d88bf8</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Investigating the future urban climates of European cities using an ensemble of convection permitting regional climate models — https://doi.org/10.5194/egusphere-egu25-1307</w:t>
      </w:r>
    </w:p>
    <w:p>
      <w:pPr/>
      <w:r>
        <w:rPr>
          <w:b/>
        </w:rPr>
        <w:t>Later source:</w:t>
      </w:r>
      <w:r>
        <w:t xml:space="preserve"> Local Climate Risks in sight of realistic climate targets: Projecting Co-occurrence of Heat Extremes in Central Europe Using Downscaled CMIP6 and Regional Scenarios — https://doi.org/10.5194/ems2025-241</w:t>
      </w:r>
    </w:p>
    <w:p>
      <w:pPr>
        <w:pStyle w:val="SourceNote"/>
      </w:pPr>
      <w:r>
        <w:rPr>
          <w:b/>
        </w:rPr>
        <w:t>Review status:</w:t>
      </w:r>
      <w:r>
        <w:t xml:space="preserve"> unchecked — possible relationship only</w:t>
      </w:r>
    </w:p>
    <w:p>
      <w:pPr>
        <w:pStyle w:val="Heading2"/>
      </w:pPr>
      <w:r>
        <w:t>113. Claim + two later sources: Ocean energy development in Europe: Current status and future perspectives</w:t>
      </w:r>
    </w:p>
    <w:p>
      <w:pPr>
        <w:pStyle w:val="SourceNote"/>
      </w:pPr>
      <w:r>
        <w:rPr>
          <w:b/>
        </w:rPr>
        <w:t>Group ID:</w:t>
      </w:r>
      <w:r>
        <w:t xml:space="preserve"> group-11a5c38078c049177dde</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Observations from structural testing of full-scale tidal turbine blades — https://doi.org/10.36688/ewtec-2023-277</w:t>
      </w:r>
    </w:p>
    <w:p>
      <w:pPr/>
      <w:r>
        <w:rPr>
          <w:b/>
        </w:rPr>
        <w:t>Later source:</w:t>
      </w:r>
      <w:r>
        <w:t xml:space="preserve"> Review and assessment of the German tidal energy resource — https://doi.org/10.1007/s40722-023-00309-7</w:t>
      </w:r>
    </w:p>
    <w:p>
      <w:pPr>
        <w:pStyle w:val="SourceNote"/>
      </w:pPr>
      <w:r>
        <w:rPr>
          <w:b/>
        </w:rPr>
        <w:t>Review status:</w:t>
      </w:r>
      <w:r>
        <w:t xml:space="preserve"> unchecked — possible relationship only</w:t>
      </w:r>
    </w:p>
    <w:p>
      <w:pPr>
        <w:pStyle w:val="Heading2"/>
      </w:pPr>
      <w:r>
        <w:t>114. Claim + two later sources: Connected and Automated Transport: Research and Innovation Capacity in Europe</w:t>
      </w:r>
    </w:p>
    <w:p>
      <w:pPr>
        <w:pStyle w:val="SourceNote"/>
      </w:pPr>
      <w:r>
        <w:rPr>
          <w:b/>
        </w:rPr>
        <w:t>Group ID:</w:t>
      </w:r>
      <w:r>
        <w:t xml:space="preserve"> group-90cf60f26b65ecade019</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Unlocking public infrastructures? State aid and the common European data space — https://doi.org/10.1177/02673231241290675</w:t>
      </w:r>
    </w:p>
    <w:p>
      <w:pPr>
        <w:pStyle w:val="SourceNote"/>
      </w:pPr>
      <w:r>
        <w:rPr>
          <w:b/>
        </w:rPr>
        <w:t>Review status:</w:t>
      </w:r>
      <w:r>
        <w:t xml:space="preserve"> unchecked — possible relationship only</w:t>
      </w:r>
    </w:p>
    <w:p>
      <w:pPr>
        <w:pStyle w:val="Heading2"/>
      </w:pPr>
      <w:r>
        <w:t>115. Claim + two later sources: Implications of sustainability constraints on UK bioenergy development: Assessing optimistic and precautionary approaches with UK MARKAL</w:t>
      </w:r>
    </w:p>
    <w:p>
      <w:pPr>
        <w:pStyle w:val="SourceNote"/>
      </w:pPr>
      <w:r>
        <w:rPr>
          <w:b/>
        </w:rPr>
        <w:t>Group ID:</w:t>
      </w:r>
      <w:r>
        <w:t xml:space="preserve"> group-0cb202f1a992d3c1b9ed</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Examining research systems and models for local government: a systematic review — https://doi.org/10.1332/17442648y2023d000000002</w:t>
      </w:r>
    </w:p>
    <w:p>
      <w:pPr/>
      <w:r>
        <w:rPr>
          <w:b/>
        </w:rPr>
        <w:t>Later source:</w:t>
      </w:r>
      <w:r>
        <w:t xml:space="preserve"> Are Black Girls Exhibiting Puberty Earlier? Examining Implications of Race-Based Guidelines — https://doi.org/10.1542/peds.2021-055595</w:t>
      </w:r>
    </w:p>
    <w:p>
      <w:pPr>
        <w:pStyle w:val="SourceNote"/>
      </w:pPr>
      <w:r>
        <w:rPr>
          <w:b/>
        </w:rPr>
        <w:t>Review status:</w:t>
      </w:r>
      <w:r>
        <w:t xml:space="preserve"> unchecked — possible relationship only</w:t>
      </w:r>
    </w:p>
    <w:p>
      <w:pPr>
        <w:pStyle w:val="Heading2"/>
      </w:pPr>
      <w:r>
        <w:t>116. Claim + two later sources: Testing Scenarios to Achieve Workplace Sustainability Goals Using Backcasting and Agent-Based Modeling</w:t>
      </w:r>
    </w:p>
    <w:p>
      <w:pPr>
        <w:pStyle w:val="SourceNote"/>
      </w:pPr>
      <w:r>
        <w:rPr>
          <w:b/>
        </w:rPr>
        <w:t>Group ID:</w:t>
      </w:r>
      <w:r>
        <w:t xml:space="preserve"> group-433f8575cf4fdeb7dd8a</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Advancing participatory backcasting for climate change adaptation planning using 10 cases from 3 continents — https://doi.org/10.1016/j.crm.2023.100559</w:t>
      </w:r>
    </w:p>
    <w:p>
      <w:pPr/>
      <w:r>
        <w:rPr>
          <w:b/>
        </w:rPr>
        <w:t>Later source:</w:t>
      </w:r>
      <w:r>
        <w:t xml:space="preserve"> How to Create Serious Games? Proposal for a Participatory Methodology — https://doi.org/10.17083/ijsg.v10i4.642</w:t>
      </w:r>
    </w:p>
    <w:p>
      <w:pPr>
        <w:pStyle w:val="SourceNote"/>
      </w:pPr>
      <w:r>
        <w:rPr>
          <w:b/>
        </w:rPr>
        <w:t>Review status:</w:t>
      </w:r>
      <w:r>
        <w:t xml:space="preserve"> unchecked — possible relationship only</w:t>
      </w:r>
    </w:p>
    <w:p>
      <w:pPr>
        <w:pStyle w:val="Heading2"/>
      </w:pPr>
      <w:r>
        <w:t>117. Claim + two later sources: Changing knowledge, changing technology: implications for teacher education futures</w:t>
      </w:r>
    </w:p>
    <w:p>
      <w:pPr>
        <w:pStyle w:val="SourceNote"/>
      </w:pPr>
      <w:r>
        <w:rPr>
          <w:b/>
        </w:rPr>
        <w:t>Group ID:</w:t>
      </w:r>
      <w:r>
        <w:t xml:space="preserve"> group-67cb365fc9f3128c5fd5</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Towards a harmonised data framework for design for disassembly in construction — https://doi.org/10.5281/zenodo.22679835</w:t>
      </w:r>
    </w:p>
    <w:p>
      <w:pPr>
        <w:pStyle w:val="SourceNote"/>
      </w:pPr>
      <w:r>
        <w:rPr>
          <w:b/>
        </w:rPr>
        <w:t>Review status:</w:t>
      </w:r>
      <w:r>
        <w:t xml:space="preserve"> unchecked — possible relationship only</w:t>
      </w:r>
    </w:p>
    <w:p>
      <w:pPr>
        <w:pStyle w:val="Heading2"/>
      </w:pPr>
      <w:r>
        <w:t>118. Claim + two later sources: Technopolis, shared resources or controlled mobility? A net-based Delphi-study to explore visions of future urban daily mobility in Norway</w:t>
      </w:r>
    </w:p>
    <w:p>
      <w:pPr>
        <w:pStyle w:val="SourceNote"/>
      </w:pPr>
      <w:r>
        <w:rPr>
          <w:b/>
        </w:rPr>
        <w:t>Group ID:</w:t>
      </w:r>
      <w:r>
        <w:t xml:space="preserve"> group-c5f92486e0b655401c20</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Principal Component Analysis of Economic Factors Affecting Food Consumption and Labor Market Performance in the European Union — https://doi.org/10.35219/eai15840409587</w:t>
      </w:r>
    </w:p>
    <w:p>
      <w:pPr/>
      <w:r>
        <w:rPr>
          <w:b/>
        </w:rPr>
        <w:t>Later source:</w:t>
      </w:r>
      <w:r>
        <w:t xml:space="preserve"> Exploring intergenerational educational mobility : the role of personal and national factors across Europe — https://openalex.org/W7122348182</w:t>
      </w:r>
    </w:p>
    <w:p>
      <w:pPr>
        <w:pStyle w:val="SourceNote"/>
      </w:pPr>
      <w:r>
        <w:rPr>
          <w:b/>
        </w:rPr>
        <w:t>Review status:</w:t>
      </w:r>
      <w:r>
        <w:t xml:space="preserve"> unchecked — possible relationship only</w:t>
      </w:r>
    </w:p>
    <w:p>
      <w:pPr>
        <w:pStyle w:val="Heading2"/>
      </w:pPr>
      <w:r>
        <w:t>119. Claim + two later sources: Hydrogen in the Strategies of the European Union Member States</w:t>
      </w:r>
    </w:p>
    <w:p>
      <w:pPr>
        <w:pStyle w:val="SourceNote"/>
      </w:pPr>
      <w:r>
        <w:rPr>
          <w:b/>
        </w:rPr>
        <w:t>Group ID:</w:t>
      </w:r>
      <w:r>
        <w:t xml:space="preserve"> group-79f341161936febe9ed5</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critical analysis of national dementia plans: comparison of preventive strategies in five European countries. — https://doi.org/10.7416/ai.2025.2702</w:t>
      </w:r>
    </w:p>
    <w:p>
      <w:pPr/>
      <w:r>
        <w:rPr>
          <w:b/>
        </w:rPr>
        <w:t>Later source:</w:t>
      </w:r>
      <w:r>
        <w:t xml:space="preserve"> Adaptation to Climate Change in Coastal Countries of the European Union—An Evaluation of Plans and Strategies — https://doi.org/10.3390/app15116281</w:t>
      </w:r>
    </w:p>
    <w:p>
      <w:pPr>
        <w:pStyle w:val="SourceNote"/>
      </w:pPr>
      <w:r>
        <w:rPr>
          <w:b/>
        </w:rPr>
        <w:t>Review status:</w:t>
      </w:r>
      <w:r>
        <w:t xml:space="preserve"> unchecked — possible relationship only</w:t>
      </w:r>
    </w:p>
    <w:p>
      <w:pPr>
        <w:pStyle w:val="Heading2"/>
      </w:pPr>
      <w:r>
        <w:t>120. Claim + two later sources: Demographic projections of future pharmaceutical consumption in the Netherlands</w:t>
      </w:r>
    </w:p>
    <w:p>
      <w:pPr>
        <w:pStyle w:val="SourceNote"/>
      </w:pPr>
      <w:r>
        <w:rPr>
          <w:b/>
        </w:rPr>
        <w:t>Group ID:</w:t>
      </w:r>
      <w:r>
        <w:t xml:space="preserve"> group-d5e7bdfe37d11615f342</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Climate change on extreme winds already affects off-shore wind power availability in Europe — https://doi.org/10.1088/1748-9326/acbdb2</w:t>
      </w:r>
    </w:p>
    <w:p>
      <w:pPr/>
      <w:r>
        <w:rPr>
          <w:b/>
        </w:rPr>
        <w:t>Later source:</w:t>
      </w:r>
      <w:r>
        <w:t xml:space="preserve"> Market Scene of China’s Cultured Meat Market Over the Next Five Years — https://doi.org/10.54691/bcpbm.v38i.4189</w:t>
      </w:r>
    </w:p>
    <w:p>
      <w:pPr>
        <w:pStyle w:val="SourceNote"/>
      </w:pPr>
      <w:r>
        <w:rPr>
          <w:b/>
        </w:rPr>
        <w:t>Review status:</w:t>
      </w:r>
      <w:r>
        <w:t xml:space="preserve"> unchecked — possible relationship only</w:t>
      </w:r>
    </w:p>
    <w:p>
      <w:pPr>
        <w:pStyle w:val="Heading2"/>
      </w:pPr>
      <w:r>
        <w:t>121. Claim + two later sources: Assessing the Future of Renewable Energy Consumption for United Kingdom, Turkey and Nigeria</w:t>
      </w:r>
    </w:p>
    <w:p>
      <w:pPr>
        <w:pStyle w:val="SourceNote"/>
      </w:pPr>
      <w:r>
        <w:rPr>
          <w:b/>
        </w:rPr>
        <w:t>Group ID:</w:t>
      </w:r>
      <w:r>
        <w:t xml:space="preserve"> group-272981572fed563e3933</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Explainable AI-Based Clinical Decision Support System for Early Prediction of Pathological Findings in Forensic Practice — https://doi.org/10.48175/ijarsct-37846</w:t>
      </w:r>
    </w:p>
    <w:p>
      <w:pPr/>
      <w:r>
        <w:rPr>
          <w:b/>
        </w:rPr>
        <w:t>Later source:</w:t>
      </w:r>
      <w:r>
        <w:t xml:space="preserve"> Support Vector Machines in Stock Price Prediction — https://doi.org/10.1002/9781394311682.ch22</w:t>
      </w:r>
    </w:p>
    <w:p>
      <w:pPr>
        <w:pStyle w:val="SourceNote"/>
      </w:pPr>
      <w:r>
        <w:rPr>
          <w:b/>
        </w:rPr>
        <w:t>Review status:</w:t>
      </w:r>
      <w:r>
        <w:t xml:space="preserve"> unchecked — possible relationship only</w:t>
      </w:r>
    </w:p>
    <w:p>
      <w:pPr>
        <w:pStyle w:val="Heading2"/>
      </w:pPr>
      <w:r>
        <w:t>122.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123. Claim + two later sources: A strategic energy technology policy towards 2050: no-regret strategies for European technology push</w:t>
      </w:r>
    </w:p>
    <w:p>
      <w:pPr>
        <w:pStyle w:val="SourceNote"/>
      </w:pPr>
      <w:r>
        <w:rPr>
          <w:b/>
        </w:rPr>
        <w:t>Group ID:</w:t>
      </w:r>
      <w:r>
        <w:t xml:space="preserve"> group-11bbaec34552b2687303</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Power-to-hydrogen and hydrogen-to-X energy systems for the industry of the future in Europe — https://doi.org/10.1016/j.ijhydene.2023.01.194</w:t>
      </w:r>
    </w:p>
    <w:p>
      <w:pPr/>
      <w:r>
        <w:rPr>
          <w:b/>
        </w:rPr>
        <w:t>Later source:</w:t>
      </w:r>
      <w:r>
        <w:t xml:space="preserve"> Energy Economic Development in Europe — https://doi.org/10.3390/books978-3-0365-7112-6</w:t>
      </w:r>
    </w:p>
    <w:p>
      <w:pPr>
        <w:pStyle w:val="SourceNote"/>
      </w:pPr>
      <w:r>
        <w:rPr>
          <w:b/>
        </w:rPr>
        <w:t>Review status:</w:t>
      </w:r>
      <w:r>
        <w:t xml:space="preserve"> unchecked — possible relationship only</w:t>
      </w:r>
    </w:p>
    <w:p>
      <w:pPr>
        <w:pStyle w:val="Heading2"/>
      </w:pPr>
      <w:r>
        <w:t>124. Claim + two later sources: A Technological Scenario for a Healthier, More Equitable and Sustainable Europe in 2040: Citizen Perceptions and Policy Implications</w:t>
      </w:r>
    </w:p>
    <w:p>
      <w:pPr>
        <w:pStyle w:val="SourceNote"/>
      </w:pPr>
      <w:r>
        <w:rPr>
          <w:b/>
        </w:rPr>
        <w:t>Group ID:</w:t>
      </w:r>
      <w:r>
        <w:t xml:space="preserve"> group-141fe847dea2d43c15e5</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STRATEGIC AIMS OF UNIVERSITY-BASED MANAGERIAL EDUCATION IN EUROPEAN AND ASIAN COUNTRIES — https://doi.org/10.52058/3041-1572-2026-3(23)-909-923</w:t>
      </w:r>
    </w:p>
    <w:p>
      <w:pPr/>
      <w:r>
        <w:rPr>
          <w:b/>
        </w:rPr>
        <w:t>Later source:</w:t>
      </w:r>
      <w:r>
        <w:t xml:space="preserve"> Exploring the Impact of Digital Transformation on Non-Financial Performance in Central and Eastern European Countries — https://doi.org/10.3390/electronics14061226</w:t>
      </w:r>
    </w:p>
    <w:p>
      <w:pPr>
        <w:pStyle w:val="SourceNote"/>
      </w:pPr>
      <w:r>
        <w:rPr>
          <w:b/>
        </w:rPr>
        <w:t>Review status:</w:t>
      </w:r>
      <w:r>
        <w:t xml:space="preserve"> unchecked — possible relationship only</w:t>
      </w:r>
    </w:p>
    <w:p>
      <w:pPr>
        <w:pStyle w:val="Heading2"/>
      </w:pPr>
      <w:r>
        <w:t>125. Claim + two later sources: Current and Future Issues in BPM Research: A European Perspective from the ERCIS Meeting 2010</w:t>
      </w:r>
    </w:p>
    <w:p>
      <w:pPr>
        <w:pStyle w:val="SourceNote"/>
      </w:pPr>
      <w:r>
        <w:rPr>
          <w:b/>
        </w:rPr>
        <w:t>Group ID:</w:t>
      </w:r>
      <w:r>
        <w:t xml:space="preserve"> group-efa00af91cc881bf369d</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The future of education in sleep science and medicine in Europe: Report of an ESRS workshop — https://doi.org/10.1111/jsr.14454</w:t>
      </w:r>
    </w:p>
    <w:p>
      <w:pPr/>
      <w:r>
        <w:rPr>
          <w:b/>
        </w:rPr>
        <w:t>Later source:</w:t>
      </w:r>
      <w:r>
        <w:t xml:space="preserve"> Farmers’ and stakeholders’ views on the adoption of agroecological practices. Results from participatory workshops in European countries — https://doi.org/10.12688/openreseurope.20536.1</w:t>
      </w:r>
    </w:p>
    <w:p>
      <w:pPr>
        <w:pStyle w:val="SourceNote"/>
      </w:pPr>
      <w:r>
        <w:rPr>
          <w:b/>
        </w:rPr>
        <w:t>Review status:</w:t>
      </w:r>
      <w:r>
        <w:t xml:space="preserve"> unchecked — possible relationship only</w:t>
      </w:r>
    </w:p>
    <w:p>
      <w:pPr>
        <w:pStyle w:val="Heading2"/>
      </w:pPr>
      <w:r>
        <w:t>126. Claim + two later sources: Comparison of Water Flows in Four European Lagoon Catchments under a Set of Future Climate Scenarios</w:t>
      </w:r>
    </w:p>
    <w:p>
      <w:pPr>
        <w:pStyle w:val="SourceNote"/>
      </w:pPr>
      <w:r>
        <w:rPr>
          <w:b/>
        </w:rPr>
        <w:t>Group ID:</w:t>
      </w:r>
      <w:r>
        <w:t xml:space="preserve"> group-8c87bd467498b3a2bb28</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Energy storage and climate impacts on the future renewable European energy system — https://openalex.org/W4412222428</w:t>
      </w:r>
    </w:p>
    <w:p>
      <w:pPr/>
      <w:r>
        <w:rPr>
          <w:b/>
        </w:rPr>
        <w:t>Later source:</w:t>
      </w:r>
      <w:r>
        <w:t xml:space="preserve"> The impact of extensive agricultural water drainage on the hydrology of the Kleine Nete watershed, Belgium — https://doi.org/10.1016/j.scitotenv.2023.163903</w:t>
      </w:r>
    </w:p>
    <w:p>
      <w:pPr>
        <w:pStyle w:val="SourceNote"/>
      </w:pPr>
      <w:r>
        <w:rPr>
          <w:b/>
        </w:rPr>
        <w:t>Review status:</w:t>
      </w:r>
      <w:r>
        <w:t xml:space="preserve"> unchecked — possible relationship only</w:t>
      </w:r>
    </w:p>
    <w:p>
      <w:pPr>
        <w:pStyle w:val="Heading2"/>
      </w:pPr>
      <w:r>
        <w:t>127. Claim + two later sources: The European pulp and paper industry in transition to a bio-economy: A Delphi study</w:t>
      </w:r>
    </w:p>
    <w:p>
      <w:pPr>
        <w:pStyle w:val="SourceNote"/>
      </w:pPr>
      <w:r>
        <w:rPr>
          <w:b/>
        </w:rPr>
        <w:t>Group ID:</w:t>
      </w:r>
      <w:r>
        <w:t xml:space="preserve"> group-74426b0d045171f0238a</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Organizational readiness to adopt artificial intelligence in the exhibition sector in Western Europe — https://doi.org/10.1016/j.ijinfomgt.2022.102497</w:t>
      </w:r>
    </w:p>
    <w:p>
      <w:pPr/>
      <w:r>
        <w:rPr>
          <w:b/>
        </w:rPr>
        <w:t>Later source:</w:t>
      </w:r>
      <w:r>
        <w:t xml:space="preserve"> Overview of the DEMO staged design approach in Europe — https://doi.org/10.1088/1741-4326/ab1178</w:t>
      </w:r>
    </w:p>
    <w:p>
      <w:pPr>
        <w:pStyle w:val="SourceNote"/>
      </w:pPr>
      <w:r>
        <w:rPr>
          <w:b/>
        </w:rPr>
        <w:t>Review status:</w:t>
      </w:r>
      <w:r>
        <w:t xml:space="preserve"> unchecked — possible relationship only</w:t>
      </w:r>
    </w:p>
    <w:p>
      <w:pPr>
        <w:pStyle w:val="Heading2"/>
      </w:pPr>
      <w:r>
        <w:t>128. Claim + two later sources: Technology roadmapping in security and defence foresight</w:t>
      </w:r>
    </w:p>
    <w:p>
      <w:pPr>
        <w:pStyle w:val="SourceNote"/>
      </w:pPr>
      <w:r>
        <w:rPr>
          <w:b/>
        </w:rPr>
        <w:t>Group ID:</w:t>
      </w:r>
      <w:r>
        <w:t xml:space="preserve"> group-322c67949f7bdc5a363e</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Methodology of architectural brand integration in public space design — https://doi.org/10.30857/2617-0272.2026.3.3</w:t>
      </w:r>
    </w:p>
    <w:p>
      <w:pPr/>
      <w:r>
        <w:rPr>
          <w:b/>
        </w:rPr>
        <w:t>Later source:</w:t>
      </w:r>
      <w:r>
        <w:t xml:space="preserve"> Optimising Healthcare Integration: Design Methodology Approach to Developing an Integrated Service Delivery Model for Irish Health Service Executive's Health Regions — https://doi.org/10.5334/ijic.icic24232</w:t>
      </w:r>
    </w:p>
    <w:p>
      <w:pPr>
        <w:pStyle w:val="SourceNote"/>
      </w:pPr>
      <w:r>
        <w:rPr>
          <w:b/>
        </w:rPr>
        <w:t>Review status:</w:t>
      </w:r>
      <w:r>
        <w:t xml:space="preserve"> unchecked — possible relationship only</w:t>
      </w:r>
    </w:p>
    <w:p>
      <w:pPr>
        <w:pStyle w:val="Heading2"/>
      </w:pPr>
      <w:r>
        <w:t>129. Claim + two later sources: Projecting Drivers of Human Vulnerability under the Shared Socioeconomic Pathways</w:t>
      </w:r>
    </w:p>
    <w:p>
      <w:pPr>
        <w:pStyle w:val="SourceNote"/>
      </w:pPr>
      <w:r>
        <w:rPr>
          <w:b/>
        </w:rPr>
        <w:t>Group ID:</w:t>
      </w:r>
      <w:r>
        <w:t xml:space="preserve"> group-4da1140879d7ffdb03e4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Community Scenarios beyond the Shared Socioeconomic Pathways: The Scenario Evolution Process — https://doi.org/10.5194/egusphere-egu26-13481</w:t>
      </w:r>
    </w:p>
    <w:p>
      <w:pPr>
        <w:pStyle w:val="SourceNote"/>
      </w:pPr>
      <w:r>
        <w:rPr>
          <w:b/>
        </w:rPr>
        <w:t>Review status:</w:t>
      </w:r>
      <w:r>
        <w:t xml:space="preserve"> unchecked — possible relationship only</w:t>
      </w:r>
    </w:p>
    <w:p>
      <w:pPr>
        <w:pStyle w:val="Heading2"/>
      </w:pPr>
      <w:r>
        <w:t>130. Claim + two later sources: Modelling Soil Organic Carbon Changes Under Different Maize Cropping Scenarios for Cellulosic Ethanol in Europe</w:t>
      </w:r>
    </w:p>
    <w:p>
      <w:pPr>
        <w:pStyle w:val="SourceNote"/>
      </w:pPr>
      <w:r>
        <w:rPr>
          <w:b/>
        </w:rPr>
        <w:t>Group ID:</w:t>
      </w:r>
      <w:r>
        <w:t xml:space="preserve"> group-308d21ea4c63b222c99d</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r>
        <w:rPr>
          <w:b/>
        </w:rPr>
        <w:t>Later source:</w:t>
      </w:r>
      <w:r>
        <w:t xml:space="preserve"> Big Data for Supporting Low-Carbon Road Transport Policies in Europe: Applications, Challenges and Opportunities — https://doi.org/10.1016/j.bdr.2016.04.003</w:t>
      </w:r>
    </w:p>
    <w:p>
      <w:pPr>
        <w:pStyle w:val="SourceNote"/>
      </w:pPr>
      <w:r>
        <w:rPr>
          <w:b/>
        </w:rPr>
        <w:t>Review status:</w:t>
      </w:r>
      <w:r>
        <w:t xml:space="preserve"> unchecked — possible relationship only</w:t>
      </w:r>
    </w:p>
    <w:p>
      <w:pPr>
        <w:pStyle w:val="Heading2"/>
      </w:pPr>
      <w:r>
        <w:t>131. Claim + two later sources: PROGNOSTIC MODEL OF THE UKRAINE SYSTEM OF GENERAL SECONDARY EDUCATION DEVELOPMENT: FORECASTING SCENARIOS OF THE DEVELOPMENT</w:t>
      </w:r>
    </w:p>
    <w:p>
      <w:pPr>
        <w:pStyle w:val="SourceNote"/>
      </w:pPr>
      <w:r>
        <w:rPr>
          <w:b/>
        </w:rPr>
        <w:t>Group ID:</w:t>
      </w:r>
      <w:r>
        <w:t xml:space="preserve"> group-8c5bd3a1843e658df459</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influential recent Canadian Medical Education Journal articles presented at the International Congress for Medical Education — https://doi.org/10.36834/cmej.79278</w:t>
      </w:r>
    </w:p>
    <w:p>
      <w:pPr/>
      <w:r>
        <w:rPr>
          <w:b/>
        </w:rPr>
        <w:t>Later source:</w:t>
      </w:r>
      <w:r>
        <w:t xml:space="preserve"> Masonry systems: Past, present and future — https://doi.org/10.1051/matecconf/202440301003</w:t>
      </w:r>
    </w:p>
    <w:p>
      <w:pPr>
        <w:pStyle w:val="SourceNote"/>
      </w:pPr>
      <w:r>
        <w:rPr>
          <w:b/>
        </w:rPr>
        <w:t>Review status:</w:t>
      </w:r>
      <w:r>
        <w:t xml:space="preserve"> unchecked — possible relationship only</w:t>
      </w:r>
    </w:p>
    <w:p>
      <w:pPr>
        <w:pStyle w:val="Heading2"/>
      </w:pPr>
      <w:r>
        <w:t>132.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133. Claim + two later sources: Climate change signal of future climate projections for Aachen, Germany, in terms of temperature and precipitation</w:t>
      </w:r>
    </w:p>
    <w:p>
      <w:pPr>
        <w:pStyle w:val="SourceNote"/>
      </w:pPr>
      <w:r>
        <w:rPr>
          <w:b/>
        </w:rPr>
        <w:t>Group ID:</w:t>
      </w:r>
      <w:r>
        <w:t xml:space="preserve"> group-e3802215d9236e5495fc</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Temporal clusters of extreme events across Europe in a regional multi-scenario/multi-member ensemble — https://doi.org/10.5194/ems2025-464</w:t>
      </w:r>
    </w:p>
    <w:p>
      <w:pPr/>
      <w:r>
        <w:rPr>
          <w:b/>
        </w:rPr>
        <w:t>Later source:</w:t>
      </w:r>
      <w:r>
        <w:t xml:space="preserve"> Multi-model ensembles for regional and national wheat yield forecasts in Argentina — https://doi.org/10.1088/1748-9326/ad627c</w:t>
      </w:r>
    </w:p>
    <w:p>
      <w:pPr>
        <w:pStyle w:val="SourceNote"/>
      </w:pPr>
      <w:r>
        <w:rPr>
          <w:b/>
        </w:rPr>
        <w:t>Review status:</w:t>
      </w:r>
      <w:r>
        <w:t xml:space="preserve"> unchecked — possible relationship only</w:t>
      </w:r>
    </w:p>
    <w:p>
      <w:pPr>
        <w:pStyle w:val="Heading2"/>
      </w:pPr>
      <w:r>
        <w:t>134. Claim + two later sources: Environmental Implications of Dynamic Policies on Food Consumption and Waste Handling in the European Union</w:t>
      </w:r>
    </w:p>
    <w:p>
      <w:pPr>
        <w:pStyle w:val="SourceNote"/>
      </w:pPr>
      <w:r>
        <w:rPr>
          <w:b/>
        </w:rPr>
        <w:t>Group ID:</w:t>
      </w:r>
      <w:r>
        <w:t xml:space="preserve"> group-d5e909b0c5574aae8670</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Mixes of Policy Instruments for the Full Decarbonisation of Energy Systems: A Review — https://doi.org/10.3390/en18010148</w:t>
      </w:r>
    </w:p>
    <w:p>
      <w:pPr>
        <w:pStyle w:val="SourceNote"/>
      </w:pPr>
      <w:r>
        <w:rPr>
          <w:b/>
        </w:rPr>
        <w:t>Review status:</w:t>
      </w:r>
      <w:r>
        <w:t xml:space="preserve"> unchecked — possible relationship only</w:t>
      </w:r>
    </w:p>
    <w:p>
      <w:pPr>
        <w:pStyle w:val="Heading2"/>
      </w:pPr>
      <w:r>
        <w:t>135.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136. Claim + two later sources: Scenarios of water resources development in Poland up to 2030</w:t>
      </w:r>
    </w:p>
    <w:p>
      <w:pPr>
        <w:pStyle w:val="SourceNote"/>
      </w:pPr>
      <w:r>
        <w:rPr>
          <w:b/>
        </w:rPr>
        <w:t>Group ID:</w:t>
      </w:r>
      <w:r>
        <w:t xml:space="preserve"> group-7969f814e0f8f1e7fb08</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Use of data mining techniques to explain the primary factors influencing water sensitivity of asphalt mixtures — https://doi.org/10.1016/j.conbuildmat.2022.128039</w:t>
      </w:r>
    </w:p>
    <w:p>
      <w:pPr/>
      <w:r>
        <w:rPr>
          <w:b/>
        </w:rPr>
        <w:t>Later source:</w:t>
      </w:r>
      <w:r>
        <w:t xml:space="preserve"> Invasive round goby shows higher sensitivity to salinization than native European perch — https://doi.org/10.3897/neobiota.75.86528</w:t>
      </w:r>
    </w:p>
    <w:p>
      <w:pPr>
        <w:pStyle w:val="SourceNote"/>
      </w:pPr>
      <w:r>
        <w:rPr>
          <w:b/>
        </w:rPr>
        <w:t>Review status:</w:t>
      </w:r>
      <w:r>
        <w:t xml:space="preserve"> unchecked — possible relationship only</w:t>
      </w:r>
    </w:p>
    <w:p>
      <w:pPr>
        <w:pStyle w:val="Heading2"/>
      </w:pPr>
      <w:r>
        <w:t>137. Claim + two later sources: EFFECTS OF HYDROGEN PRODUCTION ON ECONOMIC GROWTH IN THE EUROPEAN UNION</w:t>
      </w:r>
    </w:p>
    <w:p>
      <w:pPr>
        <w:pStyle w:val="SourceNote"/>
      </w:pPr>
      <w:r>
        <w:rPr>
          <w:b/>
        </w:rPr>
        <w:t>Group ID:</w:t>
      </w:r>
      <w:r>
        <w:t xml:space="preserve"> group-44ddd8f201bc9dac272a</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Towards European Hydrogen Market Design: Perspectives from Transmission System Operators — https://openalex.org/W7144391439</w:t>
      </w:r>
    </w:p>
    <w:p>
      <w:pPr/>
      <w:r>
        <w:rPr>
          <w:b/>
        </w:rPr>
        <w:t>Later source:</w:t>
      </w:r>
      <w:r>
        <w:t xml:space="preserve"> Towards Hydrogen Law in the European Union and Europe? — https://doi.org/10.4324/9781003669654-18</w:t>
      </w:r>
    </w:p>
    <w:p>
      <w:pPr>
        <w:pStyle w:val="SourceNote"/>
      </w:pPr>
      <w:r>
        <w:rPr>
          <w:b/>
        </w:rPr>
        <w:t>Review status:</w:t>
      </w:r>
      <w:r>
        <w:t xml:space="preserve"> unchecked — possible relationship only</w:t>
      </w:r>
    </w:p>
    <w:p>
      <w:pPr>
        <w:pStyle w:val="Heading2"/>
      </w:pPr>
      <w:r>
        <w:t>138. Claim + two later sources: Shaping science policy in Europe</w:t>
      </w:r>
    </w:p>
    <w:p>
      <w:pPr>
        <w:pStyle w:val="SourceNote"/>
      </w:pPr>
      <w:r>
        <w:rPr>
          <w:b/>
        </w:rPr>
        <w:t>Group ID:</w:t>
      </w:r>
      <w:r>
        <w:t xml:space="preserve"> group-e734b6aab00152dddc89</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European Federation of Neurological Societies: parent to the European Academy of Neurology — https://doi.org/10.1111/ene.15680</w:t>
      </w:r>
    </w:p>
    <w:p>
      <w:pPr>
        <w:pStyle w:val="SourceNote"/>
      </w:pPr>
      <w:r>
        <w:rPr>
          <w:b/>
        </w:rPr>
        <w:t>Review status:</w:t>
      </w:r>
      <w:r>
        <w:t xml:space="preserve"> unchecked — possible relationship only</w:t>
      </w:r>
    </w:p>
    <w:p>
      <w:pPr>
        <w:pStyle w:val="Heading2"/>
      </w:pPr>
      <w:r>
        <w:t>139. Claim + two later sources: Predicting Future European Breeding Distributions of British Seabird Species under Climate Change and Unlimited/No Dispersal Scenarios</w:t>
      </w:r>
    </w:p>
    <w:p>
      <w:pPr>
        <w:pStyle w:val="SourceNote"/>
      </w:pPr>
      <w:r>
        <w:rPr>
          <w:b/>
        </w:rPr>
        <w:t>Group ID:</w:t>
      </w:r>
      <w:r>
        <w:t xml:space="preserve"> group-ad4406d79109a0cd5a51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Hierarchical Distribution Models With Dispersal Simulations to Predict the Spread of Invasive Plant Species — https://doi.org/10.1111/geb.70026</w:t>
      </w:r>
    </w:p>
    <w:p>
      <w:pPr/>
      <w:r>
        <w:rPr>
          <w:b/>
        </w:rPr>
        <w:t>Later source:</w:t>
      </w:r>
      <w:r>
        <w:t xml:space="preserve"> A unifying modelling of multiple land degradation pathways in Europe — https://doi.org/10.1038/s41467-024-48252-x</w:t>
      </w:r>
    </w:p>
    <w:p>
      <w:pPr>
        <w:pStyle w:val="SourceNote"/>
      </w:pPr>
      <w:r>
        <w:rPr>
          <w:b/>
        </w:rPr>
        <w:t>Review status:</w:t>
      </w:r>
      <w:r>
        <w:t xml:space="preserve"> unchecked — possible relationship only</w:t>
      </w:r>
    </w:p>
    <w:p>
      <w:pPr>
        <w:pStyle w:val="Heading2"/>
      </w:pPr>
      <w:r>
        <w:t>140. Claim + two later sources: PROBLEM OF PROFESSIONAL TRAINING OF FUTURE ECONOMISTS FOR DEVELOPMENT OF NATIONAL ECONOMY UNDER CONDITIONS OF EUROPEAN INTEGRATION</w:t>
      </w:r>
    </w:p>
    <w:p>
      <w:pPr>
        <w:pStyle w:val="SourceNote"/>
      </w:pPr>
      <w:r>
        <w:rPr>
          <w:b/>
        </w:rPr>
        <w:t>Group ID:</w:t>
      </w:r>
      <w:r>
        <w:t xml:space="preserve"> group-08878bd048551d2446ad</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Should organising premier-level European football be a monopoly? And who should run it? – An economists' perspective — https://doi.org/10.4324/9781003305989-6</w:t>
      </w:r>
    </w:p>
    <w:p>
      <w:pPr/>
      <w:r>
        <w:rPr>
          <w:b/>
        </w:rPr>
        <w:t>Later source:</w:t>
      </w:r>
      <w:r>
        <w:t xml:space="preserve"> Digital Competencies in Selected European Countries among University and High-School Students: Programming is lagging behind — https://doi.org/10.2478/bsrj-2022-0019</w:t>
      </w:r>
    </w:p>
    <w:p>
      <w:pPr>
        <w:pStyle w:val="SourceNote"/>
      </w:pPr>
      <w:r>
        <w:rPr>
          <w:b/>
        </w:rPr>
        <w:t>Review status:</w:t>
      </w:r>
      <w:r>
        <w:t xml:space="preserve"> unchecked — possible relationship only</w:t>
      </w:r>
    </w:p>
    <w:p>
      <w:pPr>
        <w:pStyle w:val="Heading2"/>
      </w:pPr>
      <w:r>
        <w:t>141. Claim + two later sources: The CIRCE Simulations: Regional Climate Change Projections with Realistic Representation of the Mediterranean Sea</w:t>
      </w:r>
    </w:p>
    <w:p>
      <w:pPr>
        <w:pStyle w:val="SourceNote"/>
      </w:pPr>
      <w:r>
        <w:rPr>
          <w:b/>
        </w:rPr>
        <w:t>Group ID:</w:t>
      </w:r>
      <w:r>
        <w:t xml:space="preserve"> group-9f066b1e98429cc967e3</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Rolling force modeling based on neural network and mechanism model — https://doi.org/10.1007/s12206-025-0118-4</w:t>
      </w:r>
    </w:p>
    <w:p>
      <w:pPr/>
      <w:r>
        <w:rPr>
          <w:b/>
        </w:rPr>
        <w:t>Later source:</w:t>
      </w:r>
      <w:r>
        <w:t xml:space="preserve"> Inter-hemispheric asymmetries in high-latitude electrodynamic forcing and the thermosphere during the October 8–9, 2012, geomagnetic storm: An integrated data–Model investigation — https://doi.org/10.3389/fspas.2023.1062265</w:t>
      </w:r>
    </w:p>
    <w:p>
      <w:pPr>
        <w:pStyle w:val="SourceNote"/>
      </w:pPr>
      <w:r>
        <w:rPr>
          <w:b/>
        </w:rPr>
        <w:t>Review status:</w:t>
      </w:r>
      <w:r>
        <w:t xml:space="preserve"> unchecked — possible relationship only</w:t>
      </w:r>
    </w:p>
    <w:p>
      <w:pPr>
        <w:pStyle w:val="Heading2"/>
      </w:pPr>
      <w:r>
        <w:t>142. Claim + two later sources: Scenarios for the future of the European process industry - the case of the chemical industry</w:t>
      </w:r>
    </w:p>
    <w:p>
      <w:pPr>
        <w:pStyle w:val="SourceNote"/>
      </w:pPr>
      <w:r>
        <w:rPr>
          <w:b/>
        </w:rPr>
        <w:t>Group ID:</w:t>
      </w:r>
      <w:r>
        <w:t xml:space="preserve"> group-c39960f0abdfca6dfef2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Food safety challenges and One Health within Europe — https://doi.org/10.1186/s13028-017-0355-3</w:t>
      </w:r>
    </w:p>
    <w:p>
      <w:pPr/>
      <w:r>
        <w:rPr>
          <w:b/>
        </w:rPr>
        <w:t>Later source:</w:t>
      </w:r>
      <w:r>
        <w:t xml:space="preserve"> Post-Daesh Challenges for Europe — https://doi.org/10.31175/hi.2018.01.05</w:t>
      </w:r>
    </w:p>
    <w:p>
      <w:pPr>
        <w:pStyle w:val="SourceNote"/>
      </w:pPr>
      <w:r>
        <w:rPr>
          <w:b/>
        </w:rPr>
        <w:t>Review status:</w:t>
      </w:r>
      <w:r>
        <w:t xml:space="preserve"> unchecked — possible relationship only</w:t>
      </w:r>
    </w:p>
    <w:p>
      <w:pPr>
        <w:pStyle w:val="Heading2"/>
      </w:pPr>
      <w:r>
        <w:t>143. Claim + two later sources: The future of global trade and the WTO</w:t>
      </w:r>
    </w:p>
    <w:p>
      <w:pPr>
        <w:pStyle w:val="SourceNote"/>
      </w:pPr>
      <w:r>
        <w:rPr>
          <w:b/>
        </w:rPr>
        <w:t>Group ID:</w:t>
      </w:r>
      <w:r>
        <w:t xml:space="preserve"> group-09afc1d1d1b3baa0251e</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Contested World Economy — https://doi.org/10.1017/9781009337489</w:t>
      </w:r>
    </w:p>
    <w:p>
      <w:pPr>
        <w:pStyle w:val="SourceNote"/>
      </w:pPr>
      <w:r>
        <w:rPr>
          <w:b/>
        </w:rPr>
        <w:t>Review status:</w:t>
      </w:r>
      <w:r>
        <w:t xml:space="preserve"> unchecked — possible relationship only</w:t>
      </w:r>
    </w:p>
    <w:p>
      <w:pPr>
        <w:pStyle w:val="Heading2"/>
      </w:pPr>
      <w:r>
        <w:t>144. Claim + two later sources: EU road vehicle energy consumption and CO2 emissions by 2050 – Expert-based scenarios</w:t>
      </w:r>
    </w:p>
    <w:p>
      <w:pPr>
        <w:pStyle w:val="SourceNote"/>
      </w:pPr>
      <w:r>
        <w:rPr>
          <w:b/>
        </w:rPr>
        <w:t>Group ID:</w:t>
      </w:r>
      <w:r>
        <w:t xml:space="preserve"> group-97e0ad646f4bdd4a651a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ARTIFICIAL INTELLIGENCE AS A TECHNO-STRATEGIC DOMAIN: A COMPARATIVE ANALYSIS OF THE INFLUENCE OF THINK TANKS ON US AND EUROPEAN AI POLICIES — https://doi.org/10.53443/anadoluibfd.1850103</w:t>
      </w:r>
    </w:p>
    <w:p>
      <w:pPr/>
      <w:r>
        <w:rPr>
          <w:b/>
        </w:rPr>
        <w:t>Later source:</w:t>
      </w:r>
      <w:r>
        <w:t xml:space="preserve"> Teaching Acoustics at the EELISA THINK TANK on SUSTAINABLE BUILDINGS — https://doi.org/10.61782/fa.2023.1301</w:t>
      </w:r>
    </w:p>
    <w:p>
      <w:pPr>
        <w:pStyle w:val="SourceNote"/>
      </w:pPr>
      <w:r>
        <w:rPr>
          <w:b/>
        </w:rPr>
        <w:t>Review status:</w:t>
      </w:r>
      <w:r>
        <w:t xml:space="preserve"> unchecked — possible relationship only</w:t>
      </w:r>
    </w:p>
    <w:p>
      <w:pPr>
        <w:pStyle w:val="Heading2"/>
      </w:pPr>
      <w:r>
        <w:t>145. Claim + two later sources: Foresight as a tool of public administration in the field of science, technology and innovation</w:t>
      </w:r>
    </w:p>
    <w:p>
      <w:pPr>
        <w:pStyle w:val="SourceNote"/>
      </w:pPr>
      <w:r>
        <w:rPr>
          <w:b/>
        </w:rPr>
        <w:t>Group ID:</w:t>
      </w:r>
      <w:r>
        <w:t xml:space="preserve"> group-b630a69151be847e7724</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The role of individual characteristics in risk perception in fruit-growing — https://doi.org/10.22620/sciworks.2025.03.011</w:t>
      </w:r>
    </w:p>
    <w:p>
      <w:pPr/>
      <w:r>
        <w:rPr>
          <w:b/>
        </w:rPr>
        <w:t>Later source:</w:t>
      </w:r>
      <w:r>
        <w:t xml:space="preserve"> Transformations Along the Periphery – The Growing Role of Islam in Malta in the Decade Following the Arab Spring — https://doi.org/10.71069/ipr2.25.mc07</w:t>
      </w:r>
    </w:p>
    <w:p>
      <w:pPr>
        <w:pStyle w:val="SourceNote"/>
      </w:pPr>
      <w:r>
        <w:rPr>
          <w:b/>
        </w:rPr>
        <w:t>Review status:</w:t>
      </w:r>
      <w:r>
        <w:t xml:space="preserve"> unchecked — possible relationship only</w:t>
      </w:r>
    </w:p>
    <w:p>
      <w:pPr>
        <w:pStyle w:val="Heading2"/>
      </w:pPr>
      <w:r>
        <w:t>146.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147. Claim + two later sources: Scenarios for population health inequalities in 2030 in Europe</w:t>
      </w:r>
    </w:p>
    <w:p>
      <w:pPr>
        <w:pStyle w:val="SourceNote"/>
      </w:pPr>
      <w:r>
        <w:rPr>
          <w:b/>
        </w:rPr>
        <w:t>Group ID:</w:t>
      </w:r>
      <w:r>
        <w:t xml:space="preserve"> group-44c9e554f5614f18c3ce</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Soil degradation in Europe is projected to accelerate under changing land use and climate — https://doi.org/10.1038/s44458-026-00064-4</w:t>
      </w:r>
    </w:p>
    <w:p>
      <w:pPr/>
      <w:r>
        <w:rPr>
          <w:b/>
        </w:rPr>
        <w:t>Later source:</w:t>
      </w:r>
      <w:r>
        <w:t xml:space="preserve"> A multi-level and multi-scale design approach supporting sustainable mobility and healthier living: AIR BREAK project in Ferrara, Italy — https://doi.org/10.1080/23748834.2024.2349862</w:t>
      </w:r>
    </w:p>
    <w:p>
      <w:pPr>
        <w:pStyle w:val="SourceNote"/>
      </w:pPr>
      <w:r>
        <w:rPr>
          <w:b/>
        </w:rPr>
        <w:t>Review status:</w:t>
      </w:r>
      <w:r>
        <w:t xml:space="preserve"> unchecked — possible relationship only</w:t>
      </w:r>
    </w:p>
    <w:p>
      <w:pPr>
        <w:pStyle w:val="Heading2"/>
      </w:pPr>
      <w:r>
        <w:t>148. Claim + two later sources: REMIND-D: A Hybrid Energy-Economy Model of Germany</w:t>
      </w:r>
    </w:p>
    <w:p>
      <w:pPr>
        <w:pStyle w:val="SourceNote"/>
      </w:pPr>
      <w:r>
        <w:rPr>
          <w:b/>
        </w:rPr>
        <w:t>Group ID:</w:t>
      </w:r>
      <w:r>
        <w:t xml:space="preserve"> group-57f7f2e57d9708f3ce38</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Quantitative sovereign default models and the European debt crisis — https://doi.org/10.1016/j.jinteco.2019.01.011</w:t>
      </w:r>
    </w:p>
    <w:p>
      <w:pPr>
        <w:pStyle w:val="SourceNote"/>
      </w:pPr>
      <w:r>
        <w:rPr>
          <w:b/>
        </w:rPr>
        <w:t>Review status:</w:t>
      </w:r>
      <w:r>
        <w:t xml:space="preserve"> unchecked — possible relationship only</w:t>
      </w:r>
    </w:p>
    <w:p>
      <w:pPr>
        <w:pStyle w:val="Heading2"/>
      </w:pPr>
      <w:r>
        <w:t>149. Claim + two later sources: Pathway Analysis of a Zero-Emission Transition in the Nordic-Baltic Region</w:t>
      </w:r>
    </w:p>
    <w:p>
      <w:pPr>
        <w:pStyle w:val="SourceNote"/>
      </w:pPr>
      <w:r>
        <w:rPr>
          <w:b/>
        </w:rPr>
        <w:t>Group ID:</w:t>
      </w:r>
      <w:r>
        <w:t xml:space="preserve"> group-3f3083bd37b14e108667</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Long-term optimization of the Norwegian energy system under the influence of the European power market — https://doi.org/10.1109/eem58374.2023.10161972</w:t>
      </w:r>
    </w:p>
    <w:p>
      <w:pPr>
        <w:pStyle w:val="SourceNote"/>
      </w:pPr>
      <w:r>
        <w:rPr>
          <w:b/>
        </w:rPr>
        <w:t>Review status:</w:t>
      </w:r>
      <w:r>
        <w:t xml:space="preserve"> unchecked — possible relationship only</w:t>
      </w:r>
    </w:p>
    <w:p>
      <w:pPr>
        <w:pStyle w:val="Heading2"/>
      </w:pPr>
      <w:r>
        <w:t>150. Claim + two later sources: Bioenergy futures in Sweden – Modeling integration scenarios for biofuel production</w:t>
      </w:r>
    </w:p>
    <w:p>
      <w:pPr>
        <w:pStyle w:val="SourceNote"/>
      </w:pPr>
      <w:r>
        <w:rPr>
          <w:b/>
        </w:rPr>
        <w:t>Group ID:</w:t>
      </w:r>
      <w:r>
        <w:t xml:space="preserve"> group-09f07f40744cc65e050a</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possible relationship only</w:t>
      </w:r>
    </w:p>
    <w:p>
      <w:pPr>
        <w:pStyle w:val="Heading2"/>
      </w:pPr>
      <w:r>
        <w:t>151.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152. Claim + two later sources: Fiscal foresighting: analysis of researches</w:t>
      </w:r>
    </w:p>
    <w:p>
      <w:pPr>
        <w:pStyle w:val="SourceNote"/>
      </w:pPr>
      <w:r>
        <w:rPr>
          <w:b/>
        </w:rPr>
        <w:t>Group ID:</w:t>
      </w:r>
      <w:r>
        <w:t xml:space="preserve"> group-eee2a808d9629faef093</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Theoretical Framework for Analysing Regional Economic Governance: A Comparative Study of African Blocs — https://doi.org/10.5281/zenodo.18934399</w:t>
      </w:r>
    </w:p>
    <w:p>
      <w:pPr/>
      <w:r>
        <w:rPr>
          <w:b/>
        </w:rPr>
        <w:t>Later source:</w:t>
      </w:r>
      <w:r>
        <w:t xml:space="preserve"> Theoretical Framework for Analysing Regional Economic Governance: A Comparative Study of African Blocs — https://doi.org/10.5281/zenodo.18935050</w:t>
      </w:r>
    </w:p>
    <w:p>
      <w:pPr>
        <w:pStyle w:val="SourceNote"/>
      </w:pPr>
      <w:r>
        <w:rPr>
          <w:b/>
        </w:rPr>
        <w:t>Review status:</w:t>
      </w:r>
      <w:r>
        <w:t xml:space="preserve"> unchecked — possible relationship only</w:t>
      </w:r>
    </w:p>
    <w:p>
      <w:pPr>
        <w:pStyle w:val="Heading2"/>
      </w:pPr>
      <w:r>
        <w:t>153.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154. Claim + two later sources: Are Carbon Prices Redundant in the 2030 EU Climate and Energy Policy Package?</w:t>
      </w:r>
    </w:p>
    <w:p>
      <w:pPr>
        <w:pStyle w:val="SourceNote"/>
      </w:pPr>
      <w:r>
        <w:rPr>
          <w:b/>
        </w:rPr>
        <w:t>Group ID:</w:t>
      </w:r>
      <w:r>
        <w:t xml:space="preserve"> group-3e41c66ca5ce6d3b1996</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The future of EU tax policy harmonisation: Cost of non-Europe report — https://doi.org/10.2861/8675836</w:t>
      </w:r>
    </w:p>
    <w:p>
      <w:pPr>
        <w:pStyle w:val="SourceNote"/>
      </w:pPr>
      <w:r>
        <w:rPr>
          <w:b/>
        </w:rPr>
        <w:t>Review status:</w:t>
      </w:r>
      <w:r>
        <w:t xml:space="preserve"> unchecked — possible relationship only</w:t>
      </w:r>
    </w:p>
    <w:p>
      <w:pPr>
        <w:pStyle w:val="Heading2"/>
      </w:pPr>
      <w:r>
        <w:t>155. Claim + two later sources: Institutional issues in planning for more uncertain futures</w:t>
      </w:r>
    </w:p>
    <w:p>
      <w:pPr>
        <w:pStyle w:val="SourceNote"/>
      </w:pPr>
      <w:r>
        <w:rPr>
          <w:b/>
        </w:rPr>
        <w:t>Group ID:</w:t>
      </w:r>
      <w:r>
        <w:t xml:space="preserve"> group-4c2fb38a52414c1ba0a4</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pandemic times: Exploring changes and long-term effects of COVID-19 on urban mobility behavior — https://doi.org/10.1016/j.trip.2022.100668</w:t>
      </w:r>
    </w:p>
    <w:p>
      <w:pPr>
        <w:pStyle w:val="SourceNote"/>
      </w:pPr>
      <w:r>
        <w:rPr>
          <w:b/>
        </w:rPr>
        <w:t>Review status:</w:t>
      </w:r>
      <w:r>
        <w:t xml:space="preserve"> unchecked — possible relationship only</w:t>
      </w:r>
    </w:p>
    <w:p>
      <w:pPr>
        <w:pStyle w:val="Heading2"/>
      </w:pPr>
      <w:r>
        <w:t>156. Claim + two later sources: La aplicación estratégica por escenarios en el medio natural. El caso del Nature Outlook 2050 del PBL.</w:t>
      </w:r>
    </w:p>
    <w:p>
      <w:pPr>
        <w:pStyle w:val="SourceNote"/>
      </w:pPr>
      <w:r>
        <w:rPr>
          <w:b/>
        </w:rPr>
        <w:t>Group ID:</w:t>
      </w:r>
      <w:r>
        <w:t xml:space="preserve"> group-4f969f75e0f770afa6a0</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Theoretical Explanation of Triguna and Emotional Intelligence — https://doi.org/10.1922/pjs.16.4s.2026.954</w:t>
      </w:r>
    </w:p>
    <w:p>
      <w:pPr/>
      <w:r>
        <w:rPr>
          <w:b/>
        </w:rPr>
        <w:t>Later source:</w:t>
      </w:r>
      <w:r>
        <w:t xml:space="preserve"> GAD-7 Screening Tool Implementation — https://openalex.org/W7112211183</w:t>
      </w:r>
    </w:p>
    <w:p>
      <w:pPr>
        <w:pStyle w:val="SourceNote"/>
      </w:pPr>
      <w:r>
        <w:rPr>
          <w:b/>
        </w:rPr>
        <w:t>Review status:</w:t>
      </w:r>
      <w:r>
        <w:t xml:space="preserve"> unchecked — possible relationship only</w:t>
      </w:r>
    </w:p>
    <w:p>
      <w:pPr>
        <w:pStyle w:val="Heading2"/>
      </w:pPr>
      <w:r>
        <w:t>157. Claim + two later sources: Backcasting for desirable futures in Finnish forest-based firms</w:t>
      </w:r>
    </w:p>
    <w:p>
      <w:pPr>
        <w:pStyle w:val="SourceNote"/>
      </w:pPr>
      <w:r>
        <w:rPr>
          <w:b/>
        </w:rPr>
        <w:t>Group ID:</w:t>
      </w:r>
      <w:r>
        <w:t xml:space="preserve"> group-4770ea3f79a53efd0b5f</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Technology‐Driven Business Ethics — https://doi.org/10.1002/9781394234028.ch20</w:t>
      </w:r>
    </w:p>
    <w:p>
      <w:pPr/>
      <w:r>
        <w:rPr>
          <w:b/>
        </w:rPr>
        <w:t>Later source:</w:t>
      </w:r>
      <w:r>
        <w:t xml:space="preserve"> ENTREPRENEURS' SKILL OF HANDLING TECHNOLOGY IN AGRO AND GENERAL BUSINESSES — https://doi.org/10.37231/apj.2022.5.1.312</w:t>
      </w:r>
    </w:p>
    <w:p>
      <w:pPr>
        <w:pStyle w:val="SourceNote"/>
      </w:pPr>
      <w:r>
        <w:rPr>
          <w:b/>
        </w:rPr>
        <w:t>Review status:</w:t>
      </w:r>
      <w:r>
        <w:t xml:space="preserve"> unchecked — possible relationship only</w:t>
      </w:r>
    </w:p>
    <w:p>
      <w:pPr>
        <w:pStyle w:val="Heading2"/>
      </w:pPr>
      <w:r>
        <w:t>158. Claim + two later sources: Climate, competition and connectivity affect future migration and ranges of European trees</w:t>
      </w:r>
    </w:p>
    <w:p>
      <w:pPr>
        <w:pStyle w:val="SourceNote"/>
      </w:pPr>
      <w:r>
        <w:rPr>
          <w:b/>
        </w:rPr>
        <w:t>Group ID:</w:t>
      </w:r>
      <w:r>
        <w:t xml:space="preserve"> group-aa68d1deb0e7b8b3b35d</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Lecanora hybocarpa and similar European species — https://doi.org/10.1017/s0024282925101291</w:t>
      </w:r>
    </w:p>
    <w:p>
      <w:pPr/>
      <w:r>
        <w:rPr>
          <w:b/>
        </w:rPr>
        <w:t>Later source:</w:t>
      </w:r>
      <w:r>
        <w:t xml:space="preserve"> Mechanised Harvesting of Broadleaved Tree Species in Europe — https://doi.org/10.1007/s40725-021-00154-7</w:t>
      </w:r>
    </w:p>
    <w:p>
      <w:pPr>
        <w:pStyle w:val="SourceNote"/>
      </w:pPr>
      <w:r>
        <w:rPr>
          <w:b/>
        </w:rPr>
        <w:t>Review status:</w:t>
      </w:r>
      <w:r>
        <w:t xml:space="preserve"> unchecked — possible relationship only</w:t>
      </w:r>
    </w:p>
    <w:p>
      <w:pPr>
        <w:pStyle w:val="Heading2"/>
      </w:pPr>
      <w:r>
        <w:t>159. Claim + two later sources: The July 2019 European Heat Wave in a Warmer Climate: Storyline Scenarios with a Coupled Model Using Spectral Nudging</w:t>
      </w:r>
    </w:p>
    <w:p>
      <w:pPr>
        <w:pStyle w:val="SourceNote"/>
      </w:pPr>
      <w:r>
        <w:rPr>
          <w:b/>
        </w:rPr>
        <w:t>Group ID:</w:t>
      </w:r>
      <w:r>
        <w:t xml:space="preserve"> group-09c5bea0d77068ab339c</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Biodiversity Integration in the European Banking: Theoretical Background &amp; Empirical Evidence — https://openalex.org/W7197300685</w:t>
      </w:r>
    </w:p>
    <w:p>
      <w:pPr/>
      <w:r>
        <w:rPr>
          <w:b/>
        </w:rPr>
        <w:t>Later source:</w:t>
      </w:r>
      <w:r>
        <w:t xml:space="preserve"> Research on climate effects of large herbivores in Europe: a systematic map — https://doi.org/10.1186/s13750-026-00392-x</w:t>
      </w:r>
    </w:p>
    <w:p>
      <w:pPr>
        <w:pStyle w:val="SourceNote"/>
      </w:pPr>
      <w:r>
        <w:rPr>
          <w:b/>
        </w:rPr>
        <w:t>Review status:</w:t>
      </w:r>
      <w:r>
        <w:t xml:space="preserve"> unchecked — possible relationship only</w:t>
      </w:r>
    </w:p>
    <w:p>
      <w:pPr>
        <w:pStyle w:val="Heading2"/>
      </w:pPr>
      <w:r>
        <w:t>160. Claim + two later sources: Futures of science with and for society: towards transformative policy orientations</w:t>
      </w:r>
    </w:p>
    <w:p>
      <w:pPr>
        <w:pStyle w:val="SourceNote"/>
      </w:pPr>
      <w:r>
        <w:rPr>
          <w:b/>
        </w:rPr>
        <w:t>Group ID:</w:t>
      </w:r>
      <w:r>
        <w:t xml:space="preserve"> group-5340fe4fccd71aeb4c78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Innovations in Methodology for Analyzing Automotive Engine Vibration Signals Based on Wavelet Transform Techniques to Determine Maintenance Needs — https://doi.org/10.70917/ijcisim-2026-0063</w:t>
      </w:r>
    </w:p>
    <w:p>
      <w:pPr/>
      <w:r>
        <w:rPr>
          <w:b/>
        </w:rPr>
        <w:t>Later source:</w:t>
      </w:r>
      <w:r>
        <w:t xml:space="preserve"> Beyond the "black box": Neil Postman's concept as a methodological basis for analyzing the ethical issues of artificial intelligence — https://doi.org/10.18287/2782-2966-2026-6-1-8-15</w:t>
      </w:r>
    </w:p>
    <w:p>
      <w:pPr>
        <w:pStyle w:val="SourceNote"/>
      </w:pPr>
      <w:r>
        <w:rPr>
          <w:b/>
        </w:rPr>
        <w:t>Review status:</w:t>
      </w:r>
      <w:r>
        <w:t xml:space="preserve"> unchecked — possible relationship only</w:t>
      </w:r>
    </w:p>
    <w:p>
      <w:pPr>
        <w:pStyle w:val="Heading2"/>
      </w:pPr>
      <w:r>
        <w:t>161. Claim + two later sources: Population Projections and Demographic Knowledge in France and Great Britain in the Postwar Period</w:t>
      </w:r>
    </w:p>
    <w:p>
      <w:pPr>
        <w:pStyle w:val="SourceNote"/>
      </w:pPr>
      <w:r>
        <w:rPr>
          <w:b/>
        </w:rPr>
        <w:t>Group ID:</w:t>
      </w:r>
      <w:r>
        <w:t xml:space="preserve"> group-06aa4f4699313b6df08b</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A unifying modelling of multiple land degradation pathways in Europe — https://doi.org/10.1038/s41467-024-48252-x</w:t>
      </w:r>
    </w:p>
    <w:p>
      <w:pPr>
        <w:pStyle w:val="SourceNote"/>
      </w:pPr>
      <w:r>
        <w:rPr>
          <w:b/>
        </w:rPr>
        <w:t>Review status:</w:t>
      </w:r>
      <w:r>
        <w:t xml:space="preserve"> unchecked — possible relationship only</w:t>
      </w:r>
    </w:p>
    <w:p>
      <w:pPr>
        <w:pStyle w:val="Heading2"/>
      </w:pPr>
      <w:r>
        <w:t>162. Claim + two later sources: Conducting pre-foresight research: organizational aspect</w:t>
      </w:r>
    </w:p>
    <w:p>
      <w:pPr>
        <w:pStyle w:val="SourceNote"/>
      </w:pPr>
      <w:r>
        <w:rPr>
          <w:b/>
        </w:rPr>
        <w:t>Group ID:</w:t>
      </w:r>
      <w:r>
        <w:t xml:space="preserve"> group-355e80dccc4eef71c259</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FAIRsharing record for: FAIR Metric - R1.2 - Metadata - Linked Publications — https://doi.org/10.25504/fairsharing.653df6</w:t>
      </w:r>
    </w:p>
    <w:p>
      <w:pPr/>
      <w:r>
        <w:rPr>
          <w:b/>
        </w:rPr>
        <w:t>Later source:</w:t>
      </w:r>
      <w:r>
        <w:t xml:space="preserve"> Knowledge Management Practice in the Indian Publications Industry with a Case Study of Publications Hub, India — https://doi.org/10.30954/2322-0465.01.2026.14</w:t>
      </w:r>
    </w:p>
    <w:p>
      <w:pPr>
        <w:pStyle w:val="SourceNote"/>
      </w:pPr>
      <w:r>
        <w:rPr>
          <w:b/>
        </w:rPr>
        <w:t>Review status:</w:t>
      </w:r>
      <w:r>
        <w:t xml:space="preserve"> unchecked — possible relationship only</w:t>
      </w:r>
    </w:p>
    <w:p>
      <w:pPr>
        <w:pStyle w:val="Heading2"/>
      </w:pPr>
      <w:r>
        <w:t>163. Claim + two later sources: Where is the EU headed given its current climate policy? A stakeholder-driven model inter-comparison</w:t>
      </w:r>
    </w:p>
    <w:p>
      <w:pPr>
        <w:pStyle w:val="SourceNote"/>
      </w:pPr>
      <w:r>
        <w:rPr>
          <w:b/>
        </w:rPr>
        <w:t>Group ID:</w:t>
      </w:r>
      <w:r>
        <w:t xml:space="preserve"> group-332f4e877f07c9e5b3d7</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Tracking Loop Current Eddies in the Gulf of Mexico Using Satellite-Derived Chlorophyll-a — https://doi.org/10.3390/rs16122234</w:t>
      </w:r>
    </w:p>
    <w:p>
      <w:pPr/>
      <w:r>
        <w:rPr>
          <w:b/>
        </w:rPr>
        <w:t>Later source:</w:t>
      </w:r>
      <w:r>
        <w:t xml:space="preserve"> Internet User Trackers and Where to Find Them — https://doi.org/10.2478/acss-2022-0008</w:t>
      </w:r>
    </w:p>
    <w:p>
      <w:pPr>
        <w:pStyle w:val="SourceNote"/>
      </w:pPr>
      <w:r>
        <w:rPr>
          <w:b/>
        </w:rPr>
        <w:t>Review status:</w:t>
      </w:r>
      <w:r>
        <w:t xml:space="preserve"> unchecked — possible relationship only</w:t>
      </w:r>
    </w:p>
    <w:p>
      <w:pPr>
        <w:pStyle w:val="Heading2"/>
      </w:pPr>
      <w:r>
        <w:t>164.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165. Claim + two later sources: Animal health aspects of adaptation to climate change: beating the heat and parasites in a warming Europe</w:t>
      </w:r>
    </w:p>
    <w:p>
      <w:pPr>
        <w:pStyle w:val="SourceNote"/>
      </w:pPr>
      <w:r>
        <w:rPr>
          <w:b/>
        </w:rPr>
        <w:t>Group ID:</w:t>
      </w:r>
      <w:r>
        <w:t xml:space="preserve"> group-f8dda293d53103748a08</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Regulations for Medical Devices in Europe and Germany — https://doi.org/10.1007/978-3-032-03577-6_14</w:t>
      </w:r>
    </w:p>
    <w:p>
      <w:pPr/>
      <w:r>
        <w:rPr>
          <w:b/>
        </w:rPr>
        <w:t>Later source:</w:t>
      </w:r>
      <w:r>
        <w:t xml:space="preserve"> Contribution of climate change to the spatial expansion of West Nile virus in Europe — https://doi.org/10.1038/s41467-024-45290-3</w:t>
      </w:r>
    </w:p>
    <w:p>
      <w:pPr>
        <w:pStyle w:val="SourceNote"/>
      </w:pPr>
      <w:r>
        <w:rPr>
          <w:b/>
        </w:rPr>
        <w:t>Review status:</w:t>
      </w:r>
      <w:r>
        <w:t xml:space="preserve"> unchecked — possible relationship only</w:t>
      </w:r>
    </w:p>
    <w:p>
      <w:pPr>
        <w:pStyle w:val="Heading2"/>
      </w:pPr>
      <w:r>
        <w:t>166. Claim + two later sources: The pitfalls of ecological forecasting</w:t>
      </w:r>
    </w:p>
    <w:p>
      <w:pPr>
        <w:pStyle w:val="SourceNote"/>
      </w:pPr>
      <w:r>
        <w:rPr>
          <w:b/>
        </w:rPr>
        <w:t>Group ID:</w:t>
      </w:r>
      <w:r>
        <w:t xml:space="preserve"> group-d47d2c3f6550de2becc8</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pStyle w:val="SourceNote"/>
      </w:pPr>
      <w:r>
        <w:rPr>
          <w:b/>
        </w:rPr>
        <w:t>Review status:</w:t>
      </w:r>
      <w:r>
        <w:t xml:space="preserve"> unchecked — possible relationship only</w:t>
      </w:r>
    </w:p>
    <w:p>
      <w:pPr>
        <w:pStyle w:val="Heading2"/>
      </w:pPr>
      <w:r>
        <w:t>167. Claim + two later sources: Climate Change Effects on Heat- and Cold-Related Mortality in the Netherlands: A Scenario-Based Integrated Environmental Health Impact Assessment</w:t>
      </w:r>
    </w:p>
    <w:p>
      <w:pPr>
        <w:pStyle w:val="SourceNote"/>
      </w:pPr>
      <w:r>
        <w:rPr>
          <w:b/>
        </w:rPr>
        <w:t>Group ID:</w:t>
      </w:r>
      <w:r>
        <w:t xml:space="preserve"> group-83b585d52255fc9b4455</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Exploring decarbonisation strategies in the Southern-European region of Catalonia through a multi-scenario assessment — https://doi.org/10.1016/j.esr.2026.102184</w:t>
      </w:r>
    </w:p>
    <w:p>
      <w:pPr/>
      <w:r>
        <w:rPr>
          <w:b/>
        </w:rPr>
        <w:t>Later source:</w:t>
      </w:r>
      <w:r>
        <w:t xml:space="preserve"> Heat-related health impacts across national mitigation and urban adaptation scenarios in European cities - Data — https://doi.org/10.5281/zenodo.20666093</w:t>
      </w:r>
    </w:p>
    <w:p>
      <w:pPr>
        <w:pStyle w:val="SourceNote"/>
      </w:pPr>
      <w:r>
        <w:rPr>
          <w:b/>
        </w:rPr>
        <w:t>Review status:</w:t>
      </w:r>
      <w:r>
        <w:t xml:space="preserve"> unchecked — possible relationship only</w:t>
      </w:r>
    </w:p>
    <w:p>
      <w:pPr>
        <w:pStyle w:val="Heading2"/>
      </w:pPr>
      <w:r>
        <w:t>168. Claim + two later sources: Scenario planning: An alternative approach to European Commission for combating antimicrobial resistance by 2050</w:t>
      </w:r>
    </w:p>
    <w:p>
      <w:pPr>
        <w:pStyle w:val="SourceNote"/>
      </w:pPr>
      <w:r>
        <w:rPr>
          <w:b/>
        </w:rPr>
        <w:t>Group ID:</w:t>
      </w:r>
      <w:r>
        <w:t xml:space="preserve"> group-7630331f13db9b364a97</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Achievements, priorities and strategies in pediatric nephrology in Europe — https://openalex.org/W7135161588</w:t>
      </w:r>
    </w:p>
    <w:p>
      <w:pPr>
        <w:pStyle w:val="SourceNote"/>
      </w:pPr>
      <w:r>
        <w:rPr>
          <w:b/>
        </w:rPr>
        <w:t>Review status:</w:t>
      </w:r>
      <w:r>
        <w:t xml:space="preserve"> unchecked — possible relationship only</w:t>
      </w:r>
    </w:p>
    <w:p>
      <w:pPr>
        <w:pStyle w:val="Heading2"/>
      </w:pPr>
      <w:r>
        <w:t>169.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170. Claim + two later sources: Are the EU climate ambitions reflected on member-state level for greenhouse gas reductions and renewable energy consumption shares?</w:t>
      </w:r>
    </w:p>
    <w:p>
      <w:pPr>
        <w:pStyle w:val="SourceNote"/>
      </w:pPr>
      <w:r>
        <w:rPr>
          <w:b/>
        </w:rPr>
        <w:t>Group ID:</w:t>
      </w:r>
      <w:r>
        <w:t xml:space="preserve"> group-ec77748f54e6c2e474b3</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Accessible Tourism After the European Accessibility Act: Signalling in Hotels and Private Accommodation Across Four European Union Countries — https://doi.org/10.3390/tourhosp7100343</w:t>
      </w:r>
    </w:p>
    <w:p>
      <w:pPr>
        <w:pStyle w:val="SourceNote"/>
      </w:pPr>
      <w:r>
        <w:rPr>
          <w:b/>
        </w:rPr>
        <w:t>Review status:</w:t>
      </w:r>
      <w:r>
        <w:t xml:space="preserve"> unchecked — possible relationship only</w:t>
      </w:r>
    </w:p>
    <w:p>
      <w:pPr>
        <w:pStyle w:val="Heading2"/>
      </w:pPr>
      <w:r>
        <w:t>171. Claim + two later sources: How climate, migration ability and habitat fragmentation affect the projected future distribution of European beech</w:t>
      </w:r>
    </w:p>
    <w:p>
      <w:pPr>
        <w:pStyle w:val="SourceNote"/>
      </w:pPr>
      <w:r>
        <w:rPr>
          <w:b/>
        </w:rPr>
        <w:t>Group ID:</w:t>
      </w:r>
      <w:r>
        <w:t xml:space="preserve"> group-6909c21c5f5e4d85722b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Marine fish ranges are expanding and shifting deeper across the European continental shelf — https://doi.org/10.1038/s41467-026-74371-8</w:t>
      </w:r>
    </w:p>
    <w:p>
      <w:pPr/>
      <w:r>
        <w:rPr>
          <w:b/>
        </w:rPr>
        <w:t>Later source:</w:t>
      </w:r>
      <w:r>
        <w:t xml:space="preserve"> Taxus tree-ring chronologies from southern England reveal western European hydroclimate changes over the past three centuries — https://doi.org/10.1007/s00382-025-07601-2</w:t>
      </w:r>
    </w:p>
    <w:p>
      <w:pPr>
        <w:pStyle w:val="SourceNote"/>
      </w:pPr>
      <w:r>
        <w:rPr>
          <w:b/>
        </w:rPr>
        <w:t>Review status:</w:t>
      </w:r>
      <w:r>
        <w:t xml:space="preserve"> unchecked — possible relationship only</w:t>
      </w:r>
    </w:p>
    <w:p>
      <w:pPr>
        <w:pStyle w:val="Heading2"/>
      </w:pPr>
      <w:r>
        <w:t>172. Claim + two later sources: Least cost energy system pathways towards 100% renewable energy in Ireland by 2050</w:t>
      </w:r>
    </w:p>
    <w:p>
      <w:pPr>
        <w:pStyle w:val="SourceNote"/>
      </w:pPr>
      <w:r>
        <w:rPr>
          <w:b/>
        </w:rPr>
        <w:t>Group ID:</w:t>
      </w:r>
      <w:r>
        <w:t xml:space="preserve"> group-10240d7eba462d179c5d</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Oncoplastic breast surgery in Europe — https://doi.org/10.21037/gs-23-380</w:t>
      </w:r>
    </w:p>
    <w:p>
      <w:pPr/>
      <w:r>
        <w:rPr>
          <w:b/>
        </w:rPr>
        <w:t>Later source:</w:t>
      </w:r>
      <w:r>
        <w:t xml:space="preserve"> Precedent in the system of the European Convention on Human Rights — https://doi.org/10.4324/9781003264262-15</w:t>
      </w:r>
    </w:p>
    <w:p>
      <w:pPr>
        <w:pStyle w:val="SourceNote"/>
      </w:pPr>
      <w:r>
        <w:rPr>
          <w:b/>
        </w:rPr>
        <w:t>Review status:</w:t>
      </w:r>
      <w:r>
        <w:t xml:space="preserve"> unchecked — possible relationship only</w:t>
      </w:r>
    </w:p>
    <w:p>
      <w:pPr>
        <w:pStyle w:val="Heading2"/>
      </w:pPr>
      <w:r>
        <w:t>173. Claim + two later sources: The Deliberative Practice of Vision Mobility 2050: Vision-making for Sustainable Mobility in the Region of Munich?</w:t>
      </w:r>
    </w:p>
    <w:p>
      <w:pPr>
        <w:pStyle w:val="SourceNote"/>
      </w:pPr>
      <w:r>
        <w:rPr>
          <w:b/>
        </w:rPr>
        <w:t>Group ID:</w:t>
      </w:r>
      <w:r>
        <w:t xml:space="preserve"> group-8ae797bd07cf197ecf58</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Learning in European Administrative Networks: a process to all or only to a few? — https://doi.org/10.1017/s0143814x24000011</w:t>
      </w:r>
    </w:p>
    <w:p>
      <w:pPr/>
      <w:r>
        <w:rPr>
          <w:b/>
        </w:rPr>
        <w:t>Later source:</w:t>
      </w:r>
      <w:r>
        <w:t xml:space="preserve"> Sustainability and competition policy in Europe: recent developments — https://doi.org/10.1093/jeclap/lpae063</w:t>
      </w:r>
    </w:p>
    <w:p>
      <w:pPr>
        <w:pStyle w:val="SourceNote"/>
      </w:pPr>
      <w:r>
        <w:rPr>
          <w:b/>
        </w:rPr>
        <w:t>Review status:</w:t>
      </w:r>
      <w:r>
        <w:t xml:space="preserve"> unchecked — possible relationship only</w:t>
      </w:r>
    </w:p>
    <w:p>
      <w:pPr>
        <w:pStyle w:val="Heading2"/>
      </w:pPr>
      <w:r>
        <w:t>174. Claim + two later sources: The role of district heating systems to provide balancing services in the European Union</w:t>
      </w:r>
    </w:p>
    <w:p>
      <w:pPr>
        <w:pStyle w:val="SourceNote"/>
      </w:pPr>
      <w:r>
        <w:rPr>
          <w:b/>
        </w:rPr>
        <w:t>Group ID:</w:t>
      </w:r>
      <w:r>
        <w:t xml:space="preserve"> group-31fcda2d0d72e7c726d6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Smart Energy and Energy Communities: A Review of Innovation Proposals for Global and Local Sustainability — https://doi.org/10.15446/sicel.v12.121196</w:t>
      </w:r>
    </w:p>
    <w:p>
      <w:pPr/>
      <w:r>
        <w:rPr>
          <w:b/>
        </w:rPr>
        <w:t>Later source:</w:t>
      </w:r>
      <w:r>
        <w:t xml:space="preserve"> SARIMA models for power evolution in photovoltaic systems — https://doi.org/10.56294/saludcyt20251971</w:t>
      </w:r>
    </w:p>
    <w:p>
      <w:pPr>
        <w:pStyle w:val="SourceNote"/>
      </w:pPr>
      <w:r>
        <w:rPr>
          <w:b/>
        </w:rPr>
        <w:t>Review status:</w:t>
      </w:r>
      <w:r>
        <w:t xml:space="preserve"> unchecked — possible relationship only</w:t>
      </w:r>
    </w:p>
    <w:p>
      <w:pPr>
        <w:pStyle w:val="Heading2"/>
      </w:pPr>
      <w:r>
        <w:t>175.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possible relationship only</w:t>
      </w:r>
    </w:p>
    <w:p>
      <w:pPr>
        <w:pStyle w:val="Heading2"/>
      </w:pPr>
      <w:r>
        <w:t>176. Claim + two later sources: Scenarios for selected maritime economic functions</w:t>
      </w:r>
    </w:p>
    <w:p>
      <w:pPr>
        <w:pStyle w:val="SourceNote"/>
      </w:pPr>
      <w:r>
        <w:rPr>
          <w:b/>
        </w:rPr>
        <w:t>Group ID:</w:t>
      </w:r>
      <w:r>
        <w:t xml:space="preserve"> group-f356508a4da2e27a4493</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Current Status of the Algae Production Industry in Europe: An Emerging Sector of the Blue Bioeconomy — https://doi.org/10.3389/fmars.2020.626389</w:t>
      </w:r>
    </w:p>
    <w:p>
      <w:pPr>
        <w:pStyle w:val="SourceNote"/>
      </w:pPr>
      <w:r>
        <w:rPr>
          <w:b/>
        </w:rPr>
        <w:t>Review status:</w:t>
      </w:r>
      <w:r>
        <w:t xml:space="preserve"> unchecked — possible relationship only</w:t>
      </w:r>
    </w:p>
    <w:p>
      <w:pPr>
        <w:pStyle w:val="Heading2"/>
      </w:pPr>
      <w:r>
        <w:t>177. Claim + two later sources: Towards Europe 2035 - In Search of the Archimedean Screw: FOCUS in Perspective</w:t>
      </w:r>
    </w:p>
    <w:p>
      <w:pPr>
        <w:pStyle w:val="SourceNote"/>
      </w:pPr>
      <w:r>
        <w:rPr>
          <w:b/>
        </w:rPr>
        <w:t>Group ID:</w:t>
      </w:r>
      <w:r>
        <w:t xml:space="preserve"> group-2997c97102fd34c1511d</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PUBLIC SECURITY AS AN ADMINISTRATIVE FUNCTION IN THE EUROPEAN UNION. A MULTILEVEL GOVERNANCE APPROACH — https://doi.org/10.13165/pspo-25-38-01-02</w:t>
      </w:r>
    </w:p>
    <w:p>
      <w:pPr/>
      <w:r>
        <w:rPr>
          <w:b/>
        </w:rPr>
        <w:t>Later source:</w:t>
      </w:r>
      <w:r>
        <w:t xml:space="preserve"> NATO’s evolution and European security dynamics — https://doi.org/10.1007/s44282-026-00594-1</w:t>
      </w:r>
    </w:p>
    <w:p>
      <w:pPr>
        <w:pStyle w:val="SourceNote"/>
      </w:pPr>
      <w:r>
        <w:rPr>
          <w:b/>
        </w:rPr>
        <w:t>Review status:</w:t>
      </w:r>
      <w:r>
        <w:t xml:space="preserve"> unchecked — possible relationship only</w:t>
      </w:r>
    </w:p>
    <w:p>
      <w:pPr>
        <w:pStyle w:val="Heading2"/>
      </w:pPr>
      <w:r>
        <w:t>178. Claim + two later sources: Towards an assessment of adaptive capacity of the European agricultural sector to droughts</w:t>
      </w:r>
    </w:p>
    <w:p>
      <w:pPr>
        <w:pStyle w:val="SourceNote"/>
      </w:pPr>
      <w:r>
        <w:rPr>
          <w:b/>
        </w:rPr>
        <w:t>Group ID:</w:t>
      </w:r>
      <w:r>
        <w:t xml:space="preserve"> group-26503cf10387e0eaa652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EMULATION OF A NUMERICAL URBAN MODEL TO CREATE HIGH-RESOLUTION NEAR SURFACE AIR TEMPERATURE OVER EUROPEAN CITIES — https://doi.org/10.22541/essoar.173671231.11835703/v1</w:t>
      </w:r>
    </w:p>
    <w:p>
      <w:pPr/>
      <w:r>
        <w:rPr>
          <w:b/>
        </w:rPr>
        <w:t>Later source:</w:t>
      </w:r>
      <w:r>
        <w:t xml:space="preserve"> High resolution maps of European agricultural indicators — https://doi.org/10.5194/egusphere-egu25-16510</w:t>
      </w:r>
    </w:p>
    <w:p>
      <w:pPr>
        <w:pStyle w:val="SourceNote"/>
      </w:pPr>
      <w:r>
        <w:rPr>
          <w:b/>
        </w:rPr>
        <w:t>Review status:</w:t>
      </w:r>
      <w:r>
        <w:t xml:space="preserve"> unchecked — possible relationship only</w:t>
      </w:r>
    </w:p>
    <w:p>
      <w:pPr>
        <w:pStyle w:val="Heading2"/>
      </w:pPr>
      <w:r>
        <w:t>179.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group-511ba903d2e10f434e77</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Precise Editing of Indolines at Different Positions via SET and CMD Pathways — https://doi.org/10.1021/jacsau.6c00050</w:t>
      </w:r>
    </w:p>
    <w:p>
      <w:pPr/>
      <w:r>
        <w:rPr>
          <w:b/>
        </w:rPr>
        <w:t>Later source:</w:t>
      </w:r>
      <w:r>
        <w:t xml:space="preserve"> Factors Influencing Participation in Student Evaluation of Teaching (SETs): A Quality Improvement Analysis — https://doi.org/10.1002/jdd.70303</w:t>
      </w:r>
    </w:p>
    <w:p>
      <w:pPr>
        <w:pStyle w:val="SourceNote"/>
      </w:pPr>
      <w:r>
        <w:rPr>
          <w:b/>
        </w:rPr>
        <w:t>Review status:</w:t>
      </w:r>
      <w:r>
        <w:t xml:space="preserve"> unchecked — possible relationship only</w:t>
      </w:r>
    </w:p>
    <w:p>
      <w:pPr>
        <w:pStyle w:val="Heading2"/>
      </w:pPr>
      <w:r>
        <w:t>180. Claim + two later sources: One step ahead? The use of foresight by Czech and Slovak non-governmental organizations</w:t>
      </w:r>
    </w:p>
    <w:p>
      <w:pPr>
        <w:pStyle w:val="SourceNote"/>
      </w:pPr>
      <w:r>
        <w:rPr>
          <w:b/>
        </w:rPr>
        <w:t>Group ID:</w:t>
      </w:r>
      <w:r>
        <w:t xml:space="preserve"> group-2bc333f213a83c6abcba</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The End of Bourgeois Humanism and the Mindfulness of Nature in Adorno’s Writings of the 1950s and 1960s — https://doi.org/10.65272/978-88-6977-570-3_5</w:t>
      </w:r>
    </w:p>
    <w:p>
      <w:pPr/>
      <w:r>
        <w:rPr>
          <w:b/>
        </w:rPr>
        <w:t>Later source:</w:t>
      </w:r>
      <w:r>
        <w:t xml:space="preserve"> Rethinking Automation and the Future of Work with Hannah Arendt — https://doi.org/10.1007/s10551-025-05991-1</w:t>
      </w:r>
    </w:p>
    <w:p>
      <w:pPr>
        <w:pStyle w:val="SourceNote"/>
      </w:pPr>
      <w:r>
        <w:rPr>
          <w:b/>
        </w:rPr>
        <w:t>Review status:</w:t>
      </w:r>
      <w:r>
        <w:t xml:space="preserve"> unchecked — possible relationship only</w:t>
      </w:r>
    </w:p>
    <w:p>
      <w:pPr>
        <w:pStyle w:val="Heading2"/>
      </w:pPr>
      <w:r>
        <w:t>181.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182.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183.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184. Claim + two later sources: How much does climate change threaten European forest tree species distributions?</w:t>
      </w:r>
    </w:p>
    <w:p>
      <w:pPr>
        <w:pStyle w:val="SourceNote"/>
      </w:pPr>
      <w:r>
        <w:rPr>
          <w:b/>
        </w:rPr>
        <w:t>Group ID:</w:t>
      </w:r>
      <w:r>
        <w:t xml:space="preserve"> group-feb7e4bb6a708d81f38d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Shamonda virus in Europe: an emerging threat, the potential role of Culicoides and the need for preparedness. — https://doi.org/10.12834/vetit.4095.42263.1</w:t>
      </w:r>
    </w:p>
    <w:p>
      <w:pPr/>
      <w:r>
        <w:rPr>
          <w:b/>
        </w:rPr>
        <w:t>Later source:</w:t>
      </w:r>
      <w:r>
        <w:t xml:space="preserve"> A scoping review of human health co-benefits of forest-based climate change mitigation in Europe — https://doi.org/10.1016/j.envint.2024.108593</w:t>
      </w:r>
    </w:p>
    <w:p>
      <w:pPr>
        <w:pStyle w:val="SourceNote"/>
      </w:pPr>
      <w:r>
        <w:rPr>
          <w:b/>
        </w:rPr>
        <w:t>Review status:</w:t>
      </w:r>
      <w:r>
        <w:t xml:space="preserve"> unchecked — possible relationship only</w:t>
      </w:r>
    </w:p>
    <w:p>
      <w:pPr>
        <w:pStyle w:val="Heading2"/>
      </w:pPr>
      <w:r>
        <w:t>185. Claim + two later sources: European Road Safety Policy 2016-2020: A Forecast on Topics and Activities</w:t>
      </w:r>
    </w:p>
    <w:p>
      <w:pPr>
        <w:pStyle w:val="SourceNote"/>
      </w:pPr>
      <w:r>
        <w:rPr>
          <w:b/>
        </w:rPr>
        <w:t>Group ID:</w:t>
      </w:r>
      <w:r>
        <w:t xml:space="preserve"> group-344d2c1aae1d9c232bf8</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LEGISLATIVE DEVELOPMENTS AND THE EUROPEAN GREEN DEAL: LESSONS LEARNED — https://doi.org/10.36007/5383.2026.289</w:t>
      </w:r>
    </w:p>
    <w:p>
      <w:pPr>
        <w:pStyle w:val="SourceNote"/>
      </w:pPr>
      <w:r>
        <w:rPr>
          <w:b/>
        </w:rPr>
        <w:t>Review status:</w:t>
      </w:r>
      <w:r>
        <w:t xml:space="preserve"> unchecked — possible relationship only</w:t>
      </w:r>
    </w:p>
    <w:p>
      <w:pPr>
        <w:pStyle w:val="Heading2"/>
      </w:pPr>
      <w:r>
        <w:t>186. Claim + two later sources: ECONOMIC GROWTH PROJECTION FOR EUROPEAN UNION BY 2030</w:t>
      </w:r>
    </w:p>
    <w:p>
      <w:pPr>
        <w:pStyle w:val="SourceNote"/>
      </w:pPr>
      <w:r>
        <w:rPr>
          <w:b/>
        </w:rPr>
        <w:t>Group ID:</w:t>
      </w:r>
      <w:r>
        <w:t xml:space="preserve"> group-90c69ae67133f76369cb</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Institutional Development of Family-owned Businesses in Japan: A European Perspective — https://doi.org/10.25105/ijsmebs.v1i4.20500</w:t>
      </w:r>
    </w:p>
    <w:p>
      <w:pPr>
        <w:pStyle w:val="SourceNote"/>
      </w:pPr>
      <w:r>
        <w:rPr>
          <w:b/>
        </w:rPr>
        <w:t>Review status:</w:t>
      </w:r>
      <w:r>
        <w:t xml:space="preserve"> unchecked — possible relationship only</w:t>
      </w:r>
    </w:p>
    <w:p>
      <w:pPr>
        <w:pStyle w:val="Heading2"/>
      </w:pPr>
      <w:r>
        <w:t>187. Claim + two later sources: Which way to net zero? a comparative analysis of seven UK 2050 decarbonisation pathways</w:t>
      </w:r>
    </w:p>
    <w:p>
      <w:pPr>
        <w:pStyle w:val="SourceNote"/>
      </w:pPr>
      <w:r>
        <w:rPr>
          <w:b/>
        </w:rPr>
        <w:t>Group ID:</w:t>
      </w:r>
      <w:r>
        <w:t xml:space="preserve"> group-89103bd310664a4c5bf0</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Persistent Identifiers in Germany: Key Findings of a Nationwide Survey — https://doi.org/10.5334/dsj-2026-028</w:t>
      </w:r>
    </w:p>
    <w:p>
      <w:pPr/>
      <w:r>
        <w:rPr>
          <w:b/>
        </w:rPr>
        <w:t>Later source:</w:t>
      </w:r>
      <w:r>
        <w:t xml:space="preserve"> Should Firms Avoid Relying on Key Employees? Evidence From Inventors — https://doi.org/10.1111/eufm.70014</w:t>
      </w:r>
    </w:p>
    <w:p>
      <w:pPr>
        <w:pStyle w:val="SourceNote"/>
      </w:pPr>
      <w:r>
        <w:rPr>
          <w:b/>
        </w:rPr>
        <w:t>Review status:</w:t>
      </w:r>
      <w:r>
        <w:t xml:space="preserve"> unchecked — possible relationship only</w:t>
      </w:r>
    </w:p>
    <w:p>
      <w:pPr>
        <w:pStyle w:val="Heading2"/>
      </w:pPr>
      <w:r>
        <w:t>188. Claim + two later sources: Interpreting long-term energy scenarios and the role of bioenergy in Germany</w:t>
      </w:r>
    </w:p>
    <w:p>
      <w:pPr>
        <w:pStyle w:val="SourceNote"/>
      </w:pPr>
      <w:r>
        <w:rPr>
          <w:b/>
        </w:rPr>
        <w:t>Group ID:</w:t>
      </w:r>
      <w:r>
        <w:t xml:space="preserve"> group-a702f960c49d22128771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The Securitization of Islam in the Context of European Identityand the Attitudes of Europeans Towards Muslim Immigrants and Refugees — https://doi.org/10.34739/dsd.2024.02.02</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189. Claim + two later sources: Czech Republic as A Deferring Factor for European Union to Achieve Climate Change Measures</w:t>
      </w:r>
    </w:p>
    <w:p>
      <w:pPr>
        <w:pStyle w:val="SourceNote"/>
      </w:pPr>
      <w:r>
        <w:rPr>
          <w:b/>
        </w:rPr>
        <w:t>Group ID:</w:t>
      </w:r>
      <w:r>
        <w:t xml:space="preserve"> group-fdc3ed0a539daf0dee3b</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Contemporary European conducting process: educational models — https://doi.org/10.34064/khnum1-72.05</w:t>
      </w:r>
    </w:p>
    <w:p>
      <w:pPr>
        <w:pStyle w:val="SourceNote"/>
      </w:pPr>
      <w:r>
        <w:rPr>
          <w:b/>
        </w:rPr>
        <w:t>Review status:</w:t>
      </w:r>
      <w:r>
        <w:t xml:space="preserve"> unchecked — possible relationship only</w:t>
      </w:r>
    </w:p>
    <w:p>
      <w:pPr>
        <w:pStyle w:val="Heading2"/>
      </w:pPr>
      <w:r>
        <w:t>190. Claim + two later sources: Potential stocks and increments of woody biomass in the European Union under different management and climate scenarios</w:t>
      </w:r>
    </w:p>
    <w:p>
      <w:pPr>
        <w:pStyle w:val="SourceNote"/>
      </w:pPr>
      <w:r>
        <w:rPr>
          <w:b/>
        </w:rPr>
        <w:t>Group ID:</w:t>
      </w:r>
      <w:r>
        <w:t xml:space="preserve"> group-511161772e681b4b8469</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Accelerating biomass loss from forest disturbances across Europe — https://doi.org/10.1038/s41561-026-02032-y</w:t>
      </w:r>
    </w:p>
    <w:p>
      <w:pPr/>
      <w:r>
        <w:rPr>
          <w:b/>
        </w:rPr>
        <w:t>Later source:</w:t>
      </w:r>
      <w:r>
        <w:t xml:space="preserve"> The Role of Wood Density Variation and Biomass Allocation in Accurate Forest Carbon Stock Estimation of European Beech (Fagus sylvatica L.) Mountain Forests — https://doi.org/10.3390/f15030404</w:t>
      </w:r>
    </w:p>
    <w:p>
      <w:pPr>
        <w:pStyle w:val="SourceNote"/>
      </w:pPr>
      <w:r>
        <w:rPr>
          <w:b/>
        </w:rPr>
        <w:t>Review status:</w:t>
      </w:r>
      <w:r>
        <w:t xml:space="preserve"> unchecked — possible relationship only</w:t>
      </w:r>
    </w:p>
    <w:p>
      <w:pPr>
        <w:pStyle w:val="Heading2"/>
      </w:pPr>
      <w:r>
        <w:t>191. Claim + two later sources: Foresight on the future of public research metrology in Europe</w:t>
      </w:r>
    </w:p>
    <w:p>
      <w:pPr>
        <w:pStyle w:val="SourceNote"/>
      </w:pPr>
      <w:r>
        <w:rPr>
          <w:b/>
        </w:rPr>
        <w:t>Group ID:</w:t>
      </w:r>
      <w:r>
        <w:t xml:space="preserve"> group-e30dac9086e0620366b5</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Characteristics of special purpose acquisition companies as a new challenge in European markets — https://doi.org/10.5937/bizinfo2401089d</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192. Claim + two later sources: Crisis futures: The affects and temporalities of economic collapse in Iceland</w:t>
      </w:r>
    </w:p>
    <w:p>
      <w:pPr>
        <w:pStyle w:val="SourceNote"/>
      </w:pPr>
      <w:r>
        <w:rPr>
          <w:b/>
        </w:rPr>
        <w:t>Group ID:</w:t>
      </w:r>
      <w:r>
        <w:t xml:space="preserve"> group-a9670ab7fab1ea5f19e7</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"Happy those for whom the fold of ...": Intention and interpretation in the unfinished Romantic poetic text — https://openalex.org/W7135642000</w:t>
      </w:r>
    </w:p>
    <w:p>
      <w:pPr/>
      <w:r>
        <w:rPr>
          <w:b/>
        </w:rPr>
        <w:t>Later source:</w:t>
      </w:r>
      <w:r>
        <w:t xml:space="preserve"> The unfinished business of Church history — https://doi.org/10.4102/ve.v42i1.2329</w:t>
      </w:r>
    </w:p>
    <w:p>
      <w:pPr>
        <w:pStyle w:val="SourceNote"/>
      </w:pPr>
      <w:r>
        <w:rPr>
          <w:b/>
        </w:rPr>
        <w:t>Review status:</w:t>
      </w:r>
      <w:r>
        <w:t xml:space="preserve"> unchecked — possible relationship only</w:t>
      </w:r>
    </w:p>
    <w:p>
      <w:pPr>
        <w:pStyle w:val="Heading2"/>
      </w:pPr>
      <w:r>
        <w:t>193. Claim + two later sources: The perspectives of development of high-speed rail network in the European Union till</w:t>
        <w:br/>
        <w:t>the year 2050</w:t>
      </w:r>
    </w:p>
    <w:p>
      <w:pPr>
        <w:pStyle w:val="SourceNote"/>
      </w:pPr>
      <w:r>
        <w:rPr>
          <w:b/>
        </w:rPr>
        <w:t>Group ID:</w:t>
      </w:r>
      <w:r>
        <w:t xml:space="preserve"> group-688f9ebdafa1eed59b31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Selecting and analysing climate change adaptation measures at six research sites across Europe — https://doi.org/10.5194/nhess-21-2145-2021</w:t>
      </w:r>
    </w:p>
    <w:p>
      <w:pPr/>
      <w:r>
        <w:rPr>
          <w:b/>
        </w:rPr>
        <w:t>Later source:</w:t>
      </w:r>
      <w:r>
        <w:t xml:space="preserve"> Treatment and Outcome in Children With Tuberculous Meningitis: A Multicenter Pediatric Tuberculosis Network European Trials Group Study — https://doi.org/10.1093/cid/ciab982</w:t>
      </w:r>
    </w:p>
    <w:p>
      <w:pPr>
        <w:pStyle w:val="SourceNote"/>
      </w:pPr>
      <w:r>
        <w:rPr>
          <w:b/>
        </w:rPr>
        <w:t>Review status:</w:t>
      </w:r>
      <w:r>
        <w:t xml:space="preserve"> unchecked — possible relationship only</w:t>
      </w:r>
    </w:p>
    <w:p>
      <w:pPr>
        <w:pStyle w:val="Heading2"/>
      </w:pPr>
      <w:r>
        <w:t>194. Claim + two later sources: Long-term vision of rural areas in Hungary, focusing on foresights</w:t>
      </w:r>
    </w:p>
    <w:p>
      <w:pPr>
        <w:pStyle w:val="SourceNote"/>
      </w:pPr>
      <w:r>
        <w:rPr>
          <w:b/>
        </w:rPr>
        <w:t>Group ID:</w:t>
      </w:r>
      <w:r>
        <w:t xml:space="preserve"> group-65324a9a3b61c905122d</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Nutritional therapy of post-stroke dysphagia patients, with special reference to the role of dietitians in multidisciplinary teams: A Hungarian study — https://doi.org/10.1556/2066.2025.00068</w:t>
      </w:r>
    </w:p>
    <w:p>
      <w:pPr>
        <w:pStyle w:val="SourceNote"/>
      </w:pPr>
      <w:r>
        <w:rPr>
          <w:b/>
        </w:rPr>
        <w:t>Review status:</w:t>
      </w:r>
      <w:r>
        <w:t xml:space="preserve"> unchecked — possible relationship only</w:t>
      </w:r>
    </w:p>
    <w:p>
      <w:pPr>
        <w:pStyle w:val="Heading2"/>
      </w:pPr>
      <w:r>
        <w:t>195. Claim + two later sources: European human‐dominated landscapes provide ample space for the recolonization of large carnivore populations under future land change scenarios</w:t>
      </w:r>
    </w:p>
    <w:p>
      <w:pPr>
        <w:pStyle w:val="SourceNote"/>
      </w:pPr>
      <w:r>
        <w:rPr>
          <w:b/>
        </w:rPr>
        <w:t>Group ID:</w:t>
      </w:r>
      <w:r>
        <w:t xml:space="preserve"> group-3086d43b3ef92fbe4f7f</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Tipping points and farmer decision-making in European permanent grassland (PG) agricultural systems — https://doi.org/10.1016/j.jrurstud.2024.103364</w:t>
      </w:r>
    </w:p>
    <w:p>
      <w:pPr/>
      <w:r>
        <w:rPr>
          <w:b/>
        </w:rPr>
        <w:t>Later source:</w:t>
      </w:r>
      <w:r>
        <w:t xml:space="preserve"> Land surface phenology for the characterization of Mediterranean permanent grasslands — https://doi.org/10.1007/s11119-024-10215-z</w:t>
      </w:r>
    </w:p>
    <w:p>
      <w:pPr>
        <w:pStyle w:val="SourceNote"/>
      </w:pPr>
      <w:r>
        <w:rPr>
          <w:b/>
        </w:rPr>
        <w:t>Review status:</w:t>
      </w:r>
      <w:r>
        <w:t xml:space="preserve"> unchecked — possible relationship only</w:t>
      </w:r>
    </w:p>
    <w:p>
      <w:pPr>
        <w:pStyle w:val="Heading2"/>
      </w:pPr>
      <w:r>
        <w:t>196. Claim + two later sources: Quantifying the sensitivity of european power systems to energy scenarios and climate change projections</w:t>
      </w:r>
    </w:p>
    <w:p>
      <w:pPr>
        <w:pStyle w:val="SourceNote"/>
      </w:pPr>
      <w:r>
        <w:rPr>
          <w:b/>
        </w:rPr>
        <w:t>Group ID:</w:t>
      </w:r>
      <w:r>
        <w:t xml:space="preserve"> group-170592e0ec6640b465c7</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Spatial shifts of seasonal vegetation cycles in Europe over time — https://doi.org/10.5194/egusphere-egu25-11953</w:t>
      </w:r>
    </w:p>
    <w:p>
      <w:pPr/>
      <w:r>
        <w:rPr>
          <w:b/>
        </w:rPr>
        <w:t>Later source:</w:t>
      </w:r>
      <w:r>
        <w:t xml:space="preserve"> The spatiotemporal dynamics of COVID-19 in Europe: time-series clustering maps 5 distinct trajectories to spatial patterns — https://doi.org/10.1186/s12963-025-00405-w</w:t>
      </w:r>
    </w:p>
    <w:p>
      <w:pPr>
        <w:pStyle w:val="SourceNote"/>
      </w:pPr>
      <w:r>
        <w:rPr>
          <w:b/>
        </w:rPr>
        <w:t>Review status:</w:t>
      </w:r>
      <w:r>
        <w:t xml:space="preserve"> unchecked — possible relationship only</w:t>
      </w:r>
    </w:p>
    <w:p>
      <w:pPr>
        <w:pStyle w:val="Heading2"/>
      </w:pPr>
      <w:r>
        <w:t>197. Claim + two later sources: After-crisis Scenarios for the European Regions</w:t>
      </w:r>
    </w:p>
    <w:p>
      <w:pPr>
        <w:pStyle w:val="SourceNote"/>
      </w:pPr>
      <w:r>
        <w:rPr>
          <w:b/>
        </w:rPr>
        <w:t>Group ID:</w:t>
      </w:r>
      <w:r>
        <w:t xml:space="preserve"> group-d2eb864ee39774a7f4bd</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The New European Bauhaus Academy: a novel skills, knowledge and innovation platform to boost sustainable construction within the built environment — https://doi.org/10.5281/zenodo.20586709</w:t>
      </w:r>
    </w:p>
    <w:p>
      <w:pPr/>
      <w:r>
        <w:rPr>
          <w:b/>
        </w:rPr>
        <w:t>Later source:</w:t>
      </w:r>
      <w:r>
        <w:t xml:space="preserve"> Public perception of dermatologists in Europe — https://openalex.org/W7171337581</w:t>
      </w:r>
    </w:p>
    <w:p>
      <w:pPr>
        <w:pStyle w:val="SourceNote"/>
      </w:pPr>
      <w:r>
        <w:rPr>
          <w:b/>
        </w:rPr>
        <w:t>Review status:</w:t>
      </w:r>
      <w:r>
        <w:t xml:space="preserve"> unchecked — possible relationship only</w:t>
      </w:r>
    </w:p>
    <w:p>
      <w:pPr>
        <w:pStyle w:val="Heading2"/>
      </w:pPr>
      <w:r>
        <w:t>198.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possible relationship only</w:t>
      </w:r>
    </w:p>
    <w:p>
      <w:pPr>
        <w:pStyle w:val="Heading2"/>
      </w:pPr>
      <w:r>
        <w:t>199. Claim + two later sources: Analytical support to foresighting EU roles as a Global Security Actor</w:t>
      </w:r>
    </w:p>
    <w:p>
      <w:pPr>
        <w:pStyle w:val="SourceNote"/>
      </w:pPr>
      <w:r>
        <w:rPr>
          <w:b/>
        </w:rPr>
        <w:t>Group ID:</w:t>
      </w:r>
      <w:r>
        <w:t xml:space="preserve"> group-e7d07994583e19cc3f5a</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Logistics Security in Transport and Decision-making Problems in the Management of European Satellite Resources in Space — https://doi.org/10.54740/ros.2025.063</w:t>
      </w:r>
    </w:p>
    <w:p>
      <w:pPr>
        <w:pStyle w:val="SourceNote"/>
      </w:pPr>
      <w:r>
        <w:rPr>
          <w:b/>
        </w:rPr>
        <w:t>Review status:</w:t>
      </w:r>
      <w:r>
        <w:t xml:space="preserve"> unchecked — possible relationship only</w:t>
      </w:r>
    </w:p>
    <w:p>
      <w:pPr>
        <w:pStyle w:val="Heading2"/>
      </w:pPr>
      <w:r>
        <w:t>200. Claim + two later sources: Scenarios for European agricultural policymaking in the era of digitalisation</w:t>
      </w:r>
    </w:p>
    <w:p>
      <w:pPr>
        <w:pStyle w:val="SourceNote"/>
      </w:pPr>
      <w:r>
        <w:rPr>
          <w:b/>
        </w:rPr>
        <w:t>Group ID:</w:t>
      </w:r>
      <w:r>
        <w:t xml:space="preserve"> group-e5092bbdc7d7207f2c44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Is Digitalization Alone Enough for Tax Revenue Mobilization Across Europe and Asia? — https://doi.org/10.24912/je.v31i2.4056</w:t>
      </w:r>
    </w:p>
    <w:p>
      <w:pPr/>
      <w:r>
        <w:rPr>
          <w:b/>
        </w:rPr>
        <w:t>Later source:</w:t>
      </w:r>
      <w:r>
        <w:t xml:space="preserve"> Understanding Driver Distraction : Key Performance Indicator Findings from Baseline and Trendline in 4 European Countries — https://openalex.org/W7137534956</w:t>
      </w:r>
    </w:p>
    <w:p>
      <w:pPr>
        <w:pStyle w:val="SourceNote"/>
      </w:pPr>
      <w:r>
        <w:rPr>
          <w:b/>
        </w:rPr>
        <w:t>Review status:</w:t>
      </w:r>
      <w:r>
        <w:t xml:space="preserve"> unchecked — possible relationship only</w:t>
      </w:r>
    </w:p>
    <w:p>
      <w:pPr>
        <w:pStyle w:val="Heading2"/>
      </w:pPr>
      <w:r>
        <w:t>201. Claim + two later sources: STRATEGIC DIRECTIONS OF DEVELOPMENT OF THE POLISH POWER SECTOR IN THE LIGHT OF CLIMATE AND ENERGY POLICY OF THE EUROPEAN UNION</w:t>
      </w:r>
    </w:p>
    <w:p>
      <w:pPr>
        <w:pStyle w:val="SourceNote"/>
      </w:pPr>
      <w:r>
        <w:rPr>
          <w:b/>
        </w:rPr>
        <w:t>Group ID:</w:t>
      </w:r>
      <w:r>
        <w:t xml:space="preserve"> group-bdd335acd105b496ce33</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Analysis of Demand-Driven Operation in an Existing Biogas Plant Under Polish Electricity Market Conditions — https://doi.org/10.3390/en19133119</w:t>
      </w:r>
    </w:p>
    <w:p>
      <w:pPr>
        <w:pStyle w:val="SourceNote"/>
      </w:pPr>
      <w:r>
        <w:rPr>
          <w:b/>
        </w:rPr>
        <w:t>Review status:</w:t>
      </w:r>
      <w:r>
        <w:t xml:space="preserve"> unchecked — possible relationship only</w:t>
      </w:r>
    </w:p>
    <w:p>
      <w:pPr>
        <w:pStyle w:val="Heading2"/>
      </w:pPr>
      <w:r>
        <w:t>202. Claim + two later sources: MARKET DRIVEN POWER PLANT INVESTMENT PERSPECTIVES IN EUROPE: CLIMATE POLICY AND TECHNOLOGY SCENARIOS UNTIL 2050 IN THE MODEL EMELIE-ESY</w:t>
      </w:r>
    </w:p>
    <w:p>
      <w:pPr>
        <w:pStyle w:val="SourceNote"/>
      </w:pPr>
      <w:r>
        <w:rPr>
          <w:b/>
        </w:rPr>
        <w:t>Group ID:</w:t>
      </w:r>
      <w:r>
        <w:t xml:space="preserve"> group-93d9c2b3190b2dacf5f7</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Stochastic Models of Electricity Consumption — https://doi.org/10.17150/2713-1734.2024.6(1).31-46</w:t>
      </w:r>
    </w:p>
    <w:p>
      <w:pPr>
        <w:pStyle w:val="SourceNote"/>
      </w:pPr>
      <w:r>
        <w:rPr>
          <w:b/>
        </w:rPr>
        <w:t>Review status:</w:t>
      </w:r>
      <w:r>
        <w:t xml:space="preserve"> unchecked — possible relationship only</w:t>
      </w:r>
    </w:p>
    <w:p>
      <w:pPr>
        <w:pStyle w:val="Heading2"/>
      </w:pPr>
      <w:r>
        <w:t>203.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group-8271259b72fce10a6694</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Pathways to meeting growing electricity demand through expanding customer choice: a review of emerging hybrid power choice policies and practices — https://doi.org/10.3389/fsuep.2026.1766514</w:t>
      </w:r>
    </w:p>
    <w:p>
      <w:pPr>
        <w:pStyle w:val="SourceNote"/>
      </w:pPr>
      <w:r>
        <w:rPr>
          <w:b/>
        </w:rPr>
        <w:t>Review status:</w:t>
      </w:r>
      <w:r>
        <w:t xml:space="preserve"> unchecked — possible relationship only</w:t>
      </w:r>
    </w:p>
    <w:p>
      <w:pPr>
        <w:pStyle w:val="Heading2"/>
      </w:pPr>
      <w:r>
        <w:t>204. Claim + two later sources: Policy Modelling for Ambitious Energy Efficiency Investment in the EU Residential Buildings</w:t>
      </w:r>
    </w:p>
    <w:p>
      <w:pPr>
        <w:pStyle w:val="SourceNote"/>
      </w:pPr>
      <w:r>
        <w:rPr>
          <w:b/>
        </w:rPr>
        <w:t>Group ID:</w:t>
      </w:r>
      <w:r>
        <w:t xml:space="preserve"> group-10e291833cf7685067a1</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Empirical research of foreign direct investments efficiency in the European Union on the edge of pandemic outbreak — https://doi.org/10.1371/journal.pone.0313161</w:t>
      </w:r>
    </w:p>
    <w:p>
      <w:pPr/>
      <w:r>
        <w:rPr>
          <w:b/>
        </w:rPr>
        <w:t>Later source:</w:t>
      </w:r>
      <w:r>
        <w:t xml:space="preserve"> Editorial: Ex situ conservation of plant genetic resources in Europe – A journey through history, mission, challenges and future opportunities — https://doi.org/10.46265/genresj.blds6319</w:t>
      </w:r>
    </w:p>
    <w:p>
      <w:pPr>
        <w:pStyle w:val="SourceNote"/>
      </w:pPr>
      <w:r>
        <w:rPr>
          <w:b/>
        </w:rPr>
        <w:t>Review status:</w:t>
      </w:r>
      <w:r>
        <w:t xml:space="preserve"> unchecked — possible relationship only</w:t>
      </w:r>
    </w:p>
    <w:p>
      <w:pPr>
        <w:pStyle w:val="Heading2"/>
      </w:pPr>
      <w:r>
        <w:t>205. Claim + two later sources: A New Climate for Europe: 2030 Climate Targets Must Be More Ambitious</w:t>
      </w:r>
    </w:p>
    <w:p>
      <w:pPr>
        <w:pStyle w:val="SourceNote"/>
      </w:pPr>
      <w:r>
        <w:rPr>
          <w:b/>
        </w:rPr>
        <w:t>Group ID:</w:t>
      </w:r>
      <w:r>
        <w:t xml:space="preserve"> group-2c85a88d49125f30593b</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The 2026 Europe report of the Lancet Countdown on health and climate change: narrowing window for decisive health action — https://doi.org/10.1016/s2468-2667(26)00025-3</w:t>
      </w:r>
    </w:p>
    <w:p>
      <w:pPr/>
      <w:r>
        <w:rPr>
          <w:b/>
        </w:rPr>
        <w:t>Later source:</w:t>
      </w:r>
      <w:r>
        <w:t xml:space="preserve"> Simulating Nature Futures Pathways for Europe using a Nexus Modelling Framework — https://doi.org/10.5281/zenodo.22918966</w:t>
      </w:r>
    </w:p>
    <w:p>
      <w:pPr>
        <w:pStyle w:val="SourceNote"/>
      </w:pPr>
      <w:r>
        <w:rPr>
          <w:b/>
        </w:rPr>
        <w:t>Review status:</w:t>
      </w:r>
      <w:r>
        <w:t xml:space="preserve"> unchecked — possible relationship only</w:t>
      </w:r>
    </w:p>
    <w:p>
      <w:pPr>
        <w:pStyle w:val="Heading2"/>
      </w:pPr>
      <w:r>
        <w:t>206. Claim + two later sources: Dutch Public health Foresight study 2018/20</w:t>
      </w:r>
    </w:p>
    <w:p>
      <w:pPr>
        <w:pStyle w:val="SourceNote"/>
      </w:pPr>
      <w:r>
        <w:rPr>
          <w:b/>
        </w:rPr>
        <w:t>Group ID:</w:t>
      </w:r>
      <w:r>
        <w:t xml:space="preserve"> group-de61c650db018e97a61b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Seeking the Cause of Dementia: An Analysis of Correlation Leading to Hypotheses for Causation and the Grok-Ritchie Dementia Protocol — https://doi.org/10.5281/zenodo.19362993</w:t>
      </w:r>
    </w:p>
    <w:p>
      <w:pPr>
        <w:pStyle w:val="SourceNote"/>
      </w:pPr>
      <w:r>
        <w:rPr>
          <w:b/>
        </w:rPr>
        <w:t>Review status:</w:t>
      </w:r>
      <w:r>
        <w:t xml:space="preserve"> unchecked — possible relationship only</w:t>
      </w:r>
    </w:p>
    <w:p>
      <w:pPr>
        <w:pStyle w:val="Heading2"/>
      </w:pPr>
      <w:r>
        <w:t>207. Claim + two later sources: Constructing Resilient Futures: Integrating UK multi-stakeholder transport and energy resilience for 2050</w:t>
      </w:r>
    </w:p>
    <w:p>
      <w:pPr>
        <w:pStyle w:val="SourceNote"/>
      </w:pPr>
      <w:r>
        <w:rPr>
          <w:b/>
        </w:rPr>
        <w:t>Group ID:</w:t>
      </w:r>
      <w:r>
        <w:t xml:space="preserve"> group-f8eb019d0aa5c3ab4503</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Online Interest in Radical Islam and Terrorist Attacks — https://doi.org/10.1515/peps-2024-0054</w:t>
      </w:r>
    </w:p>
    <w:p>
      <w:pPr/>
      <w:r>
        <w:rPr>
          <w:b/>
        </w:rPr>
        <w:t>Later source:</w:t>
      </w:r>
      <w:r>
        <w:t xml:space="preserve"> PREVENTION OF TERRORIST ATTACKS ON CRITICAL INFRASTRUCTURE ON THE EXAMPLE OF AN AIRPORT — https://doi.org/10.29119/1641-3466.2025.216.13</w:t>
      </w:r>
    </w:p>
    <w:p>
      <w:pPr>
        <w:pStyle w:val="SourceNote"/>
      </w:pPr>
      <w:r>
        <w:rPr>
          <w:b/>
        </w:rPr>
        <w:t>Review status:</w:t>
      </w:r>
      <w:r>
        <w:t xml:space="preserve"> unchecked — possible relationship only</w:t>
      </w:r>
    </w:p>
    <w:p>
      <w:pPr>
        <w:pStyle w:val="Heading2"/>
      </w:pPr>
      <w:r>
        <w:t>208. Claim + two later sources: An Agent-Based Assessment of Land Use and Ecosystem Changes in Traditional Agricultural Landscape of Portugal</w:t>
      </w:r>
    </w:p>
    <w:p>
      <w:pPr>
        <w:pStyle w:val="SourceNote"/>
      </w:pPr>
      <w:r>
        <w:rPr>
          <w:b/>
        </w:rPr>
        <w:t>Group ID:</w:t>
      </w:r>
      <w:r>
        <w:t xml:space="preserve"> group-eb955d850f24e9f93ee7</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The impact of protected areas on mammal conservation in Europe — https://openalex.org/W7135676786</w:t>
      </w:r>
    </w:p>
    <w:p>
      <w:pPr>
        <w:pStyle w:val="SourceNote"/>
      </w:pPr>
      <w:r>
        <w:rPr>
          <w:b/>
        </w:rPr>
        <w:t>Review status:</w:t>
      </w:r>
      <w:r>
        <w:t xml:space="preserve"> unchecked — possible relationship only</w:t>
      </w:r>
    </w:p>
    <w:p>
      <w:pPr>
        <w:pStyle w:val="Heading2"/>
      </w:pPr>
      <w:r>
        <w:t>209. Claim + two later sources: A history of futures: A review of scenario use in water policy studies in the Netherlands</w:t>
      </w:r>
    </w:p>
    <w:p>
      <w:pPr>
        <w:pStyle w:val="SourceNote"/>
      </w:pPr>
      <w:r>
        <w:rPr>
          <w:b/>
        </w:rPr>
        <w:t>Group ID:</w:t>
      </w:r>
      <w:r>
        <w:t xml:space="preserve"> group-5b558553800abab81f0a</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Assessing the energy security of European Union countries from two perspectives – A new integrated approach based on MCDM methods — https://doi.org/10.1016/j.apenergy.2023.121443</w:t>
      </w:r>
    </w:p>
    <w:p>
      <w:pPr/>
      <w:r>
        <w:rPr>
          <w:b/>
        </w:rPr>
        <w:t>Later source:</w:t>
      </w:r>
      <w:r>
        <w:t xml:space="preserve"> Approval of artificial intelligence and machine learning-based medical devices in the USA and Europe (2015–20): a comparative analysis — https://doi.org/10.1016/s2589-7500(20)30292-2</w:t>
      </w:r>
    </w:p>
    <w:p>
      <w:pPr>
        <w:pStyle w:val="SourceNote"/>
      </w:pPr>
      <w:r>
        <w:rPr>
          <w:b/>
        </w:rPr>
        <w:t>Review status:</w:t>
      </w:r>
      <w:r>
        <w:t xml:space="preserve"> unchecked — possible relationship only</w:t>
      </w:r>
    </w:p>
    <w:p>
      <w:pPr>
        <w:pStyle w:val="Heading2"/>
      </w:pPr>
      <w:r>
        <w:t>210. Claim + two later sources: Anticipatory governance for newcomers: lessons learned from the UK, the Netherlands, Finland, and Korea</w:t>
      </w:r>
    </w:p>
    <w:p>
      <w:pPr>
        <w:pStyle w:val="SourceNote"/>
      </w:pPr>
      <w:r>
        <w:rPr>
          <w:b/>
        </w:rPr>
        <w:t>Group ID:</w:t>
      </w:r>
      <w:r>
        <w:t xml:space="preserve"> group-f40e6add07e5cd2e8e1d</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Educating and raising public awareness about floods with uniformed high-water marks — https://doi.org/10.5194/ems2025-48</w:t>
      </w:r>
    </w:p>
    <w:p>
      <w:pPr/>
      <w:r>
        <w:rPr>
          <w:b/>
        </w:rPr>
        <w:t>Later source:</w:t>
      </w:r>
      <w:r>
        <w:t xml:space="preserve"> I CAN SPEAK: LOCAL GOVERNMENT REPRESENTATIVES TO EDUCATE THE PUBLIC TO SPEAK ENGLISH — https://openalex.org/W7216915950</w:t>
      </w:r>
    </w:p>
    <w:p>
      <w:pPr>
        <w:pStyle w:val="SourceNote"/>
      </w:pPr>
      <w:r>
        <w:rPr>
          <w:b/>
        </w:rPr>
        <w:t>Review status:</w:t>
      </w:r>
      <w:r>
        <w:t xml:space="preserve"> unchecked — possible relationship only</w:t>
      </w:r>
    </w:p>
    <w:p>
      <w:pPr>
        <w:pStyle w:val="Heading2"/>
      </w:pPr>
      <w:r>
        <w:t>211.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possible relationship only</w:t>
      </w:r>
    </w:p>
    <w:p>
      <w:pPr>
        <w:pStyle w:val="Heading2"/>
      </w:pPr>
      <w:r>
        <w:t>212. Claim + two later sources: Governance barriers to sustainable energy transitions – Assessing Ireland's capacity towards marine energy futures</w:t>
      </w:r>
    </w:p>
    <w:p>
      <w:pPr>
        <w:pStyle w:val="SourceNote"/>
      </w:pPr>
      <w:r>
        <w:rPr>
          <w:b/>
        </w:rPr>
        <w:t>Group ID:</w:t>
      </w:r>
      <w:r>
        <w:t xml:space="preserve"> group-a0ffc18e9d6d9ceef432</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The Governance Context for Adaptive Heritage Reuse: A Review and Typology of Fifteen European Countries — https://doi.org/10.1080/17567505.2022.2153201</w:t>
      </w:r>
    </w:p>
    <w:p>
      <w:pPr/>
      <w:r>
        <w:rPr>
          <w:b/>
        </w:rPr>
        <w:t>Later source:</w:t>
      </w:r>
      <w:r>
        <w:t xml:space="preserve"> Offshore outsourcing of innovation by SMEs: a 4F perspective of governance — https://doi.org/10.1108/scm-09-2020-0486</w:t>
      </w:r>
    </w:p>
    <w:p>
      <w:pPr>
        <w:pStyle w:val="SourceNote"/>
      </w:pPr>
      <w:r>
        <w:rPr>
          <w:b/>
        </w:rPr>
        <w:t>Review status:</w:t>
      </w:r>
      <w:r>
        <w:t xml:space="preserve"> unchecked — possible relationship only</w:t>
      </w:r>
    </w:p>
    <w:p>
      <w:pPr>
        <w:pStyle w:val="Heading2"/>
      </w:pPr>
      <w:r>
        <w:t>213. Claim + two later sources: Developments in Energy use for Transport in 27 European Union Countries through 2030</w:t>
      </w:r>
    </w:p>
    <w:p>
      <w:pPr>
        <w:pStyle w:val="SourceNote"/>
      </w:pPr>
      <w:r>
        <w:rPr>
          <w:b/>
        </w:rPr>
        <w:t>Group ID:</w:t>
      </w:r>
      <w:r>
        <w:t xml:space="preserve"> group-cbb1f22acf7fcc8804af</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Global value chains and the redistribution of GHG emissions: The case of Czechia — https://doi.org/10.1016/j.rspp.2026.100338</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214. Claim + two later sources: Impact of Quasi‐Idealized Future Land Cover Scenarios at High Latitudes in Complex Terrain</w:t>
      </w:r>
    </w:p>
    <w:p>
      <w:pPr>
        <w:pStyle w:val="SourceNote"/>
      </w:pPr>
      <w:r>
        <w:rPr>
          <w:b/>
        </w:rPr>
        <w:t>Group ID:</w:t>
      </w:r>
      <w:r>
        <w:t xml:space="preserve"> group-e83284bd25cfcaf99e1b</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Human West Nile Virus infections in Europe: weather or climate? — https://doi.org/10.5194/egusphere-egu26-18547</w:t>
      </w:r>
    </w:p>
    <w:p>
      <w:pPr>
        <w:pStyle w:val="SourceNote"/>
      </w:pPr>
      <w:r>
        <w:rPr>
          <w:b/>
        </w:rPr>
        <w:t>Review status:</w:t>
      </w:r>
      <w:r>
        <w:t xml:space="preserve"> unchecked — possible relationship only</w:t>
      </w:r>
    </w:p>
    <w:p>
      <w:pPr>
        <w:pStyle w:val="Heading2"/>
      </w:pPr>
      <w:r>
        <w:t>215. Claim + two later sources: International migration by 2030: impact of immigration policies scenarios on growth and employment</w:t>
      </w:r>
    </w:p>
    <w:p>
      <w:pPr>
        <w:pStyle w:val="SourceNote"/>
      </w:pPr>
      <w:r>
        <w:rPr>
          <w:b/>
        </w:rPr>
        <w:t>Group ID:</w:t>
      </w:r>
      <w:r>
        <w:t xml:space="preserve"> group-2ef45ba421cc4fcfe1c8</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Listening, Learning, and Letting Go: History and Impact of Fund for Shared Insight, 2014-2026 — https://openalex.org/W7220885628</w:t>
      </w:r>
    </w:p>
    <w:p>
      <w:pPr/>
      <w:r>
        <w:rPr>
          <w:b/>
        </w:rPr>
        <w:t>Later source:</w:t>
      </w:r>
      <w:r>
        <w:t xml:space="preserve"> Exceptionality and Common Features of Migration Law in the Age Of Mass Migration * — https://doi.org/10.4324/9781003560937-19</w:t>
      </w:r>
    </w:p>
    <w:p>
      <w:pPr>
        <w:pStyle w:val="SourceNote"/>
      </w:pPr>
      <w:r>
        <w:rPr>
          <w:b/>
        </w:rPr>
        <w:t>Review status:</w:t>
      </w:r>
      <w:r>
        <w:t xml:space="preserve"> unchecked — possible relationship only</w:t>
      </w:r>
    </w:p>
    <w:p>
      <w:pPr>
        <w:pStyle w:val="Heading2"/>
      </w:pPr>
      <w:r>
        <w:t>216. Claim + two later sources: Will climate change affect the electricity production sector? A European study</w:t>
      </w:r>
    </w:p>
    <w:p>
      <w:pPr>
        <w:pStyle w:val="SourceNote"/>
      </w:pPr>
      <w:r>
        <w:rPr>
          <w:b/>
        </w:rPr>
        <w:t>Group ID:</w:t>
      </w:r>
      <w:r>
        <w:t xml:space="preserve"> group-822f6e2d29298993c5a1</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A data-driven framework for the temporal extrapolation of annual water withdrawals for hydrological modelling — https://doi.org/10.5194/egusphere-egu25-11405</w:t>
      </w:r>
    </w:p>
    <w:p>
      <w:pPr/>
      <w:r>
        <w:rPr>
          <w:b/>
        </w:rPr>
        <w:t>Later source:</w:t>
      </w:r>
      <w:r>
        <w:t xml:space="preserve"> Perspectives of Electricity Production from Biogas in the European Union — https://doi.org/10.3390/en17051169</w:t>
      </w:r>
    </w:p>
    <w:p>
      <w:pPr>
        <w:pStyle w:val="SourceNote"/>
      </w:pPr>
      <w:r>
        <w:rPr>
          <w:b/>
        </w:rPr>
        <w:t>Review status:</w:t>
      </w:r>
      <w:r>
        <w:t xml:space="preserve"> unchecked — possible relationship only</w:t>
      </w:r>
    </w:p>
    <w:p>
      <w:pPr>
        <w:pStyle w:val="Heading2"/>
      </w:pPr>
      <w:r>
        <w:t>217. Claim + two later sources: Animal Health Surveillance in Scotland in 2030: Using Scenario Planning to Develop Strategies in the Context of “Brexit”</w:t>
      </w:r>
    </w:p>
    <w:p>
      <w:pPr>
        <w:pStyle w:val="SourceNote"/>
      </w:pPr>
      <w:r>
        <w:rPr>
          <w:b/>
        </w:rPr>
        <w:t>Group ID:</w:t>
      </w:r>
      <w:r>
        <w:t xml:space="preserve"> group-0832bcda09861b65ebc5</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Music Creation as a Tool for Postpartum Mothers — https://doi.org/10.20381/ruor-32316</w:t>
      </w:r>
    </w:p>
    <w:p>
      <w:pPr>
        <w:pStyle w:val="SourceNote"/>
      </w:pPr>
      <w:r>
        <w:rPr>
          <w:b/>
        </w:rPr>
        <w:t>Review status:</w:t>
      </w:r>
      <w:r>
        <w:t xml:space="preserve"> unchecked — possible relationship only</w:t>
      </w:r>
    </w:p>
    <w:p>
      <w:pPr>
        <w:pStyle w:val="Heading2"/>
      </w:pPr>
      <w:r>
        <w:t>218. Claim + two later sources: Superconductivity and the environment: a Roadmap</w:t>
      </w:r>
    </w:p>
    <w:p>
      <w:pPr>
        <w:pStyle w:val="SourceNote"/>
      </w:pPr>
      <w:r>
        <w:rPr>
          <w:b/>
        </w:rPr>
        <w:t>Group ID:</w:t>
      </w:r>
      <w:r>
        <w:t xml:space="preserve"> group-9f31693245f69d548199</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flowVS: channel-specific variance stabilization in flow cytometry — https://doi.org/10.1186/s12859-016-1083-9</w:t>
      </w:r>
    </w:p>
    <w:p>
      <w:pPr>
        <w:pStyle w:val="SourceNote"/>
      </w:pPr>
      <w:r>
        <w:rPr>
          <w:b/>
        </w:rPr>
        <w:t>Review status:</w:t>
      </w:r>
      <w:r>
        <w:t xml:space="preserve"> unchecked — possible relationship only</w:t>
      </w:r>
    </w:p>
    <w:p>
      <w:pPr>
        <w:pStyle w:val="Heading2"/>
      </w:pPr>
      <w:r>
        <w:t>219. Claim + two later sources: Foresight in Public Administration: Methods and Perspectives of Implementation in Ukraine</w:t>
      </w:r>
    </w:p>
    <w:p>
      <w:pPr>
        <w:pStyle w:val="SourceNote"/>
      </w:pPr>
      <w:r>
        <w:rPr>
          <w:b/>
        </w:rPr>
        <w:t>Group ID:</w:t>
      </w:r>
      <w:r>
        <w:t xml:space="preserve"> group-b7aa2778cea047eaf4da</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Methodological guidelines for practical works in the "System software" academic discipline — https://openalex.org/W7199565614</w:t>
      </w:r>
    </w:p>
    <w:p>
      <w:pPr>
        <w:pStyle w:val="SourceNote"/>
      </w:pPr>
      <w:r>
        <w:rPr>
          <w:b/>
        </w:rPr>
        <w:t>Review status:</w:t>
      </w:r>
      <w:r>
        <w:t xml:space="preserve"> unchecked — possible relationship only</w:t>
      </w:r>
    </w:p>
    <w:p>
      <w:pPr>
        <w:pStyle w:val="Heading2"/>
      </w:pPr>
      <w:r>
        <w:t>220. Claim + two later sources: Energy Efficiency Vision 2050: How will new societal trends influence future energy demand in the European countries?</w:t>
      </w:r>
    </w:p>
    <w:p>
      <w:pPr>
        <w:pStyle w:val="SourceNote"/>
      </w:pPr>
      <w:r>
        <w:rPr>
          <w:b/>
        </w:rPr>
        <w:t>Group ID:</w:t>
      </w:r>
      <w:r>
        <w:t xml:space="preserve"> group-f85ac607280daa2b73b4</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The (worst) laws of the land: the concept of legislative basket cases, legislative backsliding and public administration in Central-Eastern Europe — https://doi.org/10.1080/01442872.2025.2501741</w:t>
      </w:r>
    </w:p>
    <w:p>
      <w:pPr/>
      <w:r>
        <w:rPr>
          <w:b/>
        </w:rPr>
        <w:t>Later source:</w:t>
      </w:r>
      <w:r>
        <w:t xml:space="preserve"> Future sea level rise dominates changes in worst case extreme sea levels along the global coastline by 2100 — https://doi.org/10.1088/1748-9326/acb504</w:t>
      </w:r>
    </w:p>
    <w:p>
      <w:pPr>
        <w:pStyle w:val="SourceNote"/>
      </w:pPr>
      <w:r>
        <w:rPr>
          <w:b/>
        </w:rPr>
        <w:t>Review status:</w:t>
      </w:r>
      <w:r>
        <w:t xml:space="preserve"> unchecked — possible relationship only</w:t>
      </w:r>
    </w:p>
    <w:p>
      <w:pPr>
        <w:pStyle w:val="Heading2"/>
      </w:pPr>
      <w:r>
        <w:t>221. Claim + two later sources: Energy system transition and macroeconomic impacts of a European decarbonization action towards a below 2 °C climate stabilization</w:t>
      </w:r>
    </w:p>
    <w:p>
      <w:pPr>
        <w:pStyle w:val="SourceNote"/>
      </w:pPr>
      <w:r>
        <w:rPr>
          <w:b/>
        </w:rPr>
        <w:t>Group ID:</w:t>
      </w:r>
      <w:r>
        <w:t xml:space="preserve"> group-c778ace47271f7144243</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Firm's emission reduction effectiveness and the influence of the five institutional dimensions of the quintuple helix model: European evidence — https://doi.org/10.1111/beer.12662</w:t>
      </w:r>
    </w:p>
    <w:p>
      <w:pPr>
        <w:pStyle w:val="SourceNote"/>
      </w:pPr>
      <w:r>
        <w:rPr>
          <w:b/>
        </w:rPr>
        <w:t>Review status:</w:t>
      </w:r>
      <w:r>
        <w:t xml:space="preserve"> unchecked — possible relationship only</w:t>
      </w:r>
    </w:p>
    <w:p>
      <w:pPr>
        <w:pStyle w:val="Heading2"/>
      </w:pPr>
      <w:r>
        <w:t>222. Claim + two later sources: Burden of pancreatic cancer along with attributable risk factors in Europe between 1990 and 2019, and projections until 2039</w:t>
      </w:r>
    </w:p>
    <w:p>
      <w:pPr>
        <w:pStyle w:val="SourceNote"/>
      </w:pPr>
      <w:r>
        <w:rPr>
          <w:b/>
        </w:rPr>
        <w:t>Group ID:</w:t>
      </w:r>
      <w:r>
        <w:t xml:space="preserve"> group-707c50505f31905ab998</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Biological data derived from European weather radars — https://doi.org/10.1038/s41597-025-04641-5</w:t>
      </w:r>
    </w:p>
    <w:p>
      <w:pPr/>
      <w:r>
        <w:rPr>
          <w:b/>
        </w:rPr>
        <w:t>Later source:</w:t>
      </w:r>
      <w:r>
        <w:t xml:space="preserve"> High resolution assessment of air quality and health in Europe under different climate mitigation scenarios — https://doi.org/10.1038/s41467-025-60449-2</w:t>
      </w:r>
    </w:p>
    <w:p>
      <w:pPr>
        <w:pStyle w:val="SourceNote"/>
      </w:pPr>
      <w:r>
        <w:rPr>
          <w:b/>
        </w:rPr>
        <w:t>Review status:</w:t>
      </w:r>
      <w:r>
        <w:t xml:space="preserve"> unchecked — possible relationship only</w:t>
      </w:r>
    </w:p>
    <w:p>
      <w:pPr>
        <w:pStyle w:val="Heading2"/>
      </w:pPr>
      <w:r>
        <w:t>223. Claim + two later sources: Securing a bioenergy future without imports</w:t>
      </w:r>
    </w:p>
    <w:p>
      <w:pPr>
        <w:pStyle w:val="SourceNote"/>
      </w:pPr>
      <w:r>
        <w:rPr>
          <w:b/>
        </w:rPr>
        <w:t>Group ID:</w:t>
      </w:r>
      <w:r>
        <w:t xml:space="preserve"> group-baf6f146e01aa3bda59e</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A systematic review of modeling approaches for flexible energy resources — https://doi.org/10.1016/j.rser.2023.113541</w:t>
      </w:r>
    </w:p>
    <w:p>
      <w:pPr/>
      <w:r>
        <w:rPr>
          <w:b/>
        </w:rPr>
        <w:t>Later source:</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pStyle w:val="SourceNote"/>
      </w:pPr>
      <w:r>
        <w:rPr>
          <w:b/>
        </w:rPr>
        <w:t>Review status:</w:t>
      </w:r>
      <w:r>
        <w:t xml:space="preserve"> unchecked — possible relationship only</w:t>
      </w:r>
    </w:p>
    <w:p>
      <w:pPr>
        <w:pStyle w:val="Heading2"/>
      </w:pPr>
      <w:r>
        <w:t>224. Claim + two later sources: Shifts, turning points and inertia exploring long-term industry trends in European transport</w:t>
      </w:r>
    </w:p>
    <w:p>
      <w:pPr>
        <w:pStyle w:val="SourceNote"/>
      </w:pPr>
      <w:r>
        <w:rPr>
          <w:b/>
        </w:rPr>
        <w:t>Group ID:</w:t>
      </w:r>
      <w:r>
        <w:t xml:space="preserve"> group-39ef329e317ce543a292</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Simulating the Impact of Employment Growth on Poverty: Implications for the European Social Targets — https://doi.org/10.17645/si.9903</w:t>
      </w:r>
    </w:p>
    <w:p>
      <w:pPr>
        <w:pStyle w:val="SourceNote"/>
      </w:pPr>
      <w:r>
        <w:rPr>
          <w:b/>
        </w:rPr>
        <w:t>Review status:</w:t>
      </w:r>
      <w:r>
        <w:t xml:space="preserve"> unchecked — possible relationship only</w:t>
      </w:r>
    </w:p>
    <w:p>
      <w:pPr>
        <w:pStyle w:val="Heading2"/>
      </w:pPr>
      <w:r>
        <w:t>225. Claim + two later sources: Electricity Spot Market Design 2030-2050</w:t>
      </w:r>
    </w:p>
    <w:p>
      <w:pPr>
        <w:pStyle w:val="SourceNote"/>
      </w:pPr>
      <w:r>
        <w:rPr>
          <w:b/>
        </w:rPr>
        <w:t>Group ID:</w:t>
      </w:r>
      <w:r>
        <w:t xml:space="preserve"> group-3375f250a0d37d3f927a</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Urban Nature Plans: Strategic Tool for Integrated Biodiversity and Climate Planning in German Cities — https://doi.org/10.2148/benv.51.4.569</w:t>
      </w:r>
    </w:p>
    <w:p>
      <w:pPr/>
      <w:r>
        <w:rPr>
          <w:b/>
        </w:rPr>
        <w:t>Later source:</w:t>
      </w:r>
      <w:r>
        <w:t xml:space="preserve"> The Impact of the Russian-Ukrainian War on Europe and the German Leadership — https://doi.org/10.35757/stp.2025.53.3.02</w:t>
      </w:r>
    </w:p>
    <w:p>
      <w:pPr>
        <w:pStyle w:val="SourceNote"/>
      </w:pPr>
      <w:r>
        <w:rPr>
          <w:b/>
        </w:rPr>
        <w:t>Review status:</w:t>
      </w:r>
      <w:r>
        <w:t xml:space="preserve"> unchecked — possible relationship only</w:t>
      </w:r>
    </w:p>
    <w:p>
      <w:pPr>
        <w:pStyle w:val="Heading2"/>
      </w:pPr>
      <w:r>
        <w:t>226. Claim + two later sources: Centre-Periphery Relations in Europe: Demographic Aspect</w:t>
      </w:r>
    </w:p>
    <w:p>
      <w:pPr>
        <w:pStyle w:val="SourceNote"/>
      </w:pPr>
      <w:r>
        <w:rPr>
          <w:b/>
        </w:rPr>
        <w:t>Group ID:</w:t>
      </w:r>
      <w:r>
        <w:t xml:space="preserve"> group-653aa1c1e0687c47693b</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Osteoporosis in Europe: a compendium of country-specific reports — https://doi.org/10.1007/s11657-021-00969-8</w:t>
      </w:r>
    </w:p>
    <w:p>
      <w:pPr/>
      <w:r>
        <w:rPr>
          <w:b/>
        </w:rPr>
        <w:t>Later source:</w:t>
      </w:r>
      <w:r>
        <w:t xml:space="preserve"> COVID-19 in Europe: from outbreak to vaccination — https://doi.org/10.1186/s12889-022-14454-5</w:t>
      </w:r>
    </w:p>
    <w:p>
      <w:pPr>
        <w:pStyle w:val="SourceNote"/>
      </w:pPr>
      <w:r>
        <w:rPr>
          <w:b/>
        </w:rPr>
        <w:t>Review status:</w:t>
      </w:r>
      <w:r>
        <w:t xml:space="preserve"> unchecked — possible relationship only</w:t>
      </w:r>
    </w:p>
    <w:p>
      <w:pPr>
        <w:pStyle w:val="Heading2"/>
      </w:pPr>
      <w:r>
        <w:t>227.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228. Claim + two later sources: Assessing the future medical cost burden for the European health systems under alternative exposure-to-risks scenarios</w:t>
      </w:r>
    </w:p>
    <w:p>
      <w:pPr>
        <w:pStyle w:val="SourceNote"/>
      </w:pPr>
      <w:r>
        <w:rPr>
          <w:b/>
        </w:rPr>
        <w:t>Group ID:</w:t>
      </w:r>
      <w:r>
        <w:t xml:space="preserve"> group-c0dc32275adf821b1dfc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Association between healthcare resources, healthcare systems, and population health in European countries — https://doi.org/10.1186/s12913-024-11743-0</w:t>
      </w:r>
    </w:p>
    <w:p>
      <w:pPr/>
      <w:r>
        <w:rPr>
          <w:b/>
        </w:rPr>
        <w:t>Later source:</w:t>
      </w:r>
      <w:r>
        <w:t xml:space="preserve"> Exploring the Dichotomy: The Impact of Private Healthcare Investment on Public Healthcare Quality in Europe — https://doi.org/10.37355/kd-2025-09</w:t>
      </w:r>
    </w:p>
    <w:p>
      <w:pPr>
        <w:pStyle w:val="SourceNote"/>
      </w:pPr>
      <w:r>
        <w:rPr>
          <w:b/>
        </w:rPr>
        <w:t>Review status:</w:t>
      </w:r>
      <w:r>
        <w:t xml:space="preserve"> unchecked — possible relationship only</w:t>
      </w:r>
    </w:p>
    <w:p>
      <w:pPr>
        <w:pStyle w:val="Heading2"/>
      </w:pPr>
      <w:r>
        <w:t>229. Claim + two later sources: FRESHER: Challenges and opportunities for building Health/Healthy futures</w:t>
      </w:r>
    </w:p>
    <w:p>
      <w:pPr>
        <w:pStyle w:val="SourceNote"/>
      </w:pPr>
      <w:r>
        <w:rPr>
          <w:b/>
        </w:rPr>
        <w:t>Group ID:</w:t>
      </w:r>
      <w:r>
        <w:t xml:space="preserve"> group-22251209852aab315ae5</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Techno-economic evaluation of an elastic composite phase change material for building envelopes — https://doi.org/10.1016/j.tsep.2026.104727</w:t>
      </w:r>
    </w:p>
    <w:p>
      <w:pPr/>
      <w:r>
        <w:rPr>
          <w:b/>
        </w:rPr>
        <w:t>Later source:</w:t>
      </w:r>
      <w:r>
        <w:t xml:space="preserve"> Experimental characterization of the thermophysical properties of some selected phase change materials for building applications: Critical input data for numerical simulations — https://doi.org/10.1016/j.est.2025.115463</w:t>
      </w:r>
    </w:p>
    <w:p>
      <w:pPr>
        <w:pStyle w:val="SourceNote"/>
      </w:pPr>
      <w:r>
        <w:rPr>
          <w:b/>
        </w:rPr>
        <w:t>Review status:</w:t>
      </w:r>
      <w:r>
        <w:t xml:space="preserve"> unchecked — possible relationship only</w:t>
      </w:r>
    </w:p>
    <w:p>
      <w:pPr>
        <w:pStyle w:val="Heading2"/>
      </w:pPr>
      <w:r>
        <w:t>230.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231. Claim + two later sources: A scenario-planning approach to human resources for health: the case of community pharmacists in Portugal</w:t>
      </w:r>
    </w:p>
    <w:p>
      <w:pPr>
        <w:pStyle w:val="SourceNote"/>
      </w:pPr>
      <w:r>
        <w:rPr>
          <w:b/>
        </w:rPr>
        <w:t>Group ID:</w:t>
      </w:r>
      <w:r>
        <w:t xml:space="preserve"> group-ff44b8c2dc5346514d43</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Design Policy Mapping in Europe — https://openalex.org/W7215223829</w:t>
      </w:r>
    </w:p>
    <w:p>
      <w:pPr>
        <w:pStyle w:val="SourceNote"/>
      </w:pPr>
      <w:r>
        <w:rPr>
          <w:b/>
        </w:rPr>
        <w:t>Review status:</w:t>
      </w:r>
      <w:r>
        <w:t xml:space="preserve"> unchecked — possible relationship only</w:t>
      </w:r>
    </w:p>
    <w:p>
      <w:pPr>
        <w:pStyle w:val="Heading2"/>
      </w:pPr>
      <w:r>
        <w:t>232. Claim + two later sources: The northern hemisphere circumglobal teleconnection in a seasonal forecast model and its relationship to European summer forecast skill</w:t>
      </w:r>
    </w:p>
    <w:p>
      <w:pPr>
        <w:pStyle w:val="SourceNote"/>
      </w:pPr>
      <w:r>
        <w:rPr>
          <w:b/>
        </w:rPr>
        <w:t>Group ID:</w:t>
      </w:r>
      <w:r>
        <w:t xml:space="preserve"> group-e805c40646ce91ed2def</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Predicting current and future distribution of the common waxbill using a mechanistic modelling approach — https://doi.org/10.1101/2025.11.16.688699</w:t>
      </w:r>
    </w:p>
    <w:p>
      <w:pPr/>
      <w:r>
        <w:rPr>
          <w:b/>
        </w:rPr>
        <w:t>Later source:</w:t>
      </w:r>
      <w:r>
        <w:t xml:space="preserve"> The evolving story of Borrelia burgdorferi sensu lato transmission in Europe — https://doi.org/10.1007/s00436-022-07445-3</w:t>
      </w:r>
    </w:p>
    <w:p>
      <w:pPr>
        <w:pStyle w:val="SourceNote"/>
      </w:pPr>
      <w:r>
        <w:rPr>
          <w:b/>
        </w:rPr>
        <w:t>Review status:</w:t>
      </w:r>
      <w:r>
        <w:t xml:space="preserve"> unchecked — possible relationship only</w:t>
      </w:r>
    </w:p>
    <w:p>
      <w:pPr>
        <w:pStyle w:val="Heading2"/>
      </w:pPr>
      <w:r>
        <w:t>233.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234. Claim + two later sources: Integrating foresight into government. Is it possible? Is it likely?</w:t>
      </w:r>
    </w:p>
    <w:p>
      <w:pPr>
        <w:pStyle w:val="SourceNote"/>
      </w:pPr>
      <w:r>
        <w:rPr>
          <w:b/>
        </w:rPr>
        <w:t>Group ID:</w:t>
      </w:r>
      <w:r>
        <w:t xml:space="preserve"> group-f198ee04b7620b628895</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Genome-wide analyses of ADHD identify 27 risk loci, refine the genetic architecture and implicate several cognitive domains — https://doi.org/10.1038/s41588-022-01285-8</w:t>
      </w:r>
    </w:p>
    <w:p>
      <w:pPr/>
      <w:r>
        <w:rPr>
          <w:b/>
        </w:rPr>
        <w:t>Later source:</w:t>
      </w:r>
      <w:r>
        <w:t xml:space="preserve"> A named entity recognition framework using transformers to identify relevant clinical findings from mammographic radiological reports — https://doi.org/10.1117/12.2670228</w:t>
      </w:r>
    </w:p>
    <w:p>
      <w:pPr>
        <w:pStyle w:val="SourceNote"/>
      </w:pPr>
      <w:r>
        <w:rPr>
          <w:b/>
        </w:rPr>
        <w:t>Review status:</w:t>
      </w:r>
      <w:r>
        <w:t xml:space="preserve"> unchecked — possible relationship only</w:t>
      </w:r>
    </w:p>
    <w:p>
      <w:pPr>
        <w:pStyle w:val="Heading2"/>
      </w:pPr>
      <w:r>
        <w:t>235. Claim + two later sources: An exploratory policy analysis of electric vehicle sales competition and sensitivity to infrastructure in Europe</w:t>
      </w:r>
    </w:p>
    <w:p>
      <w:pPr>
        <w:pStyle w:val="SourceNote"/>
      </w:pPr>
      <w:r>
        <w:rPr>
          <w:b/>
        </w:rPr>
        <w:t>Group ID:</w:t>
      </w:r>
      <w:r>
        <w:t xml:space="preserve"> group-ed18dec6ff3b51d3fbde</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 Charging Infrastructure and Electrification Dynamics in Europe: A Descriptive Assessment of Infrastructure Strain — https://doi.org/10.3390/en19092063</w:t>
      </w:r>
    </w:p>
    <w:p>
      <w:pPr/>
      <w:r>
        <w:rPr>
          <w:b/>
        </w:rPr>
        <w:t>Later source:</w:t>
      </w:r>
      <w:r>
        <w:t xml:space="preserve"> Electric Mobility and Smart Mobility Concepts—Restrained Uptake in German Cities — https://doi.org/10.3390/wevj10040081</w:t>
      </w:r>
    </w:p>
    <w:p>
      <w:pPr>
        <w:pStyle w:val="SourceNote"/>
      </w:pPr>
      <w:r>
        <w:rPr>
          <w:b/>
        </w:rPr>
        <w:t>Review status:</w:t>
      </w:r>
      <w:r>
        <w:t xml:space="preserve"> unchecked — possible relationship only</w:t>
      </w:r>
    </w:p>
    <w:p>
      <w:pPr>
        <w:pStyle w:val="Heading2"/>
      </w:pPr>
      <w:r>
        <w:t>236. Claim + two later sources: CORPORATE FORESIGHT AND ASSESSMENT OF INNOVATIVE ACTIVITY OF INDUSTRIAL ENTERPRISES</w:t>
      </w:r>
    </w:p>
    <w:p>
      <w:pPr>
        <w:pStyle w:val="SourceNote"/>
      </w:pPr>
      <w:r>
        <w:rPr>
          <w:b/>
        </w:rPr>
        <w:t>Group ID:</w:t>
      </w:r>
      <w:r>
        <w:t xml:space="preserve"> group-13b45bad2d930701bc80</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Strategic foresight and management of energy security in Jordan : The mediating role of strategic agility — https://openalex.org/W7166258236</w:t>
      </w:r>
    </w:p>
    <w:p>
      <w:pPr>
        <w:pStyle w:val="SourceNote"/>
      </w:pPr>
      <w:r>
        <w:rPr>
          <w:b/>
        </w:rPr>
        <w:t>Review status:</w:t>
      </w:r>
      <w:r>
        <w:t xml:space="preserve"> unchecked — possible relationship only</w:t>
      </w:r>
    </w:p>
    <w:p>
      <w:pPr>
        <w:pStyle w:val="Heading2"/>
      </w:pPr>
      <w:r>
        <w:t>237. Claim + two later sources: Varying soil moisture–atmosphere feedbacks explain divergent temperature extremes and precipitation projections in central Europe</w:t>
      </w:r>
    </w:p>
    <w:p>
      <w:pPr>
        <w:pStyle w:val="SourceNote"/>
      </w:pPr>
      <w:r>
        <w:rPr>
          <w:b/>
        </w:rPr>
        <w:t>Group ID:</w:t>
      </w:r>
      <w:r>
        <w:t xml:space="preserve"> group-9d58c51677e1375f4339</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Civilizational Temperature: A CRTI-Based Heuristic Exploration of Long-Term System Dynamics (1000 BCE–2025 CE) — https://doi.org/10.5281/zenodo.19058865</w:t>
      </w:r>
    </w:p>
    <w:p>
      <w:pPr/>
      <w:r>
        <w:rPr>
          <w:b/>
        </w:rPr>
        <w:t>Later source:</w:t>
      </w:r>
      <w:r>
        <w:t xml:space="preserve"> Regional climate projections using a deep-learning–based model-ranking and downscaling framework: application to European climate zones — https://doi.org/10.1007/s11356-025-36872-9</w:t>
      </w:r>
    </w:p>
    <w:p>
      <w:pPr>
        <w:pStyle w:val="SourceNote"/>
      </w:pPr>
      <w:r>
        <w:rPr>
          <w:b/>
        </w:rPr>
        <w:t>Review status:</w:t>
      </w:r>
      <w:r>
        <w:t xml:space="preserve"> unchecked — possible relationship only</w:t>
      </w:r>
    </w:p>
    <w:p>
      <w:pPr>
        <w:pStyle w:val="Heading2"/>
      </w:pPr>
      <w:r>
        <w:t>238.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239. Claim + two later sources: Long-term outlook for wood construction in Europe</w:t>
      </w:r>
    </w:p>
    <w:p>
      <w:pPr>
        <w:pStyle w:val="SourceNote"/>
      </w:pPr>
      <w:r>
        <w:rPr>
          <w:b/>
        </w:rPr>
        <w:t>Group ID:</w:t>
      </w:r>
      <w:r>
        <w:t xml:space="preserve"> group-b1b50dc31e024bfcb877</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Value creation and competitiveness in small European markets — https://doi.org/10.5281/zenodo.19133639</w:t>
      </w:r>
    </w:p>
    <w:p>
      <w:pPr/>
      <w:r>
        <w:rPr>
          <w:b/>
        </w:rPr>
        <w:t>Later source:</w:t>
      </w:r>
      <w:r>
        <w:t xml:space="preserve"> Market analysis for Superhood Oy's European expansion — https://openalex.org/W7162354352</w:t>
      </w:r>
    </w:p>
    <w:p>
      <w:pPr>
        <w:pStyle w:val="SourceNote"/>
      </w:pPr>
      <w:r>
        <w:rPr>
          <w:b/>
        </w:rPr>
        <w:t>Review status:</w:t>
      </w:r>
      <w:r>
        <w:t xml:space="preserve"> unchecked — possible relationship only</w:t>
      </w:r>
    </w:p>
    <w:p>
      <w:pPr>
        <w:pStyle w:val="Heading2"/>
      </w:pPr>
      <w:r>
        <w:t>240. Claim + two later sources: A ‘futures’ approach towards the wellbeing of future generations in Wales and beyond</w:t>
      </w:r>
    </w:p>
    <w:p>
      <w:pPr>
        <w:pStyle w:val="SourceNote"/>
      </w:pPr>
      <w:r>
        <w:rPr>
          <w:b/>
        </w:rPr>
        <w:t>Group ID:</w:t>
      </w:r>
      <w:r>
        <w:t xml:space="preserve"> group-bd4804e882c07b94a54d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A Short Review about Predicting the Dew Point Pressure for Gas Condensate Reservoirs by Empirical Correlations — https://doi.org/10.5281/zenodo.8195449</w:t>
      </w:r>
    </w:p>
    <w:p>
      <w:pPr/>
      <w:r>
        <w:rPr>
          <w:b/>
        </w:rPr>
        <w:t>Later source:</w:t>
      </w:r>
      <w:r>
        <w:t xml:space="preserve"> Physicians' perception about predictors of opioid abuse in patients with chronic non-cancer pain: a Delphi study — https://doi.org/10.3389/fpain.2023.1269018</w:t>
      </w:r>
    </w:p>
    <w:p>
      <w:pPr>
        <w:pStyle w:val="SourceNote"/>
      </w:pPr>
      <w:r>
        <w:rPr>
          <w:b/>
        </w:rPr>
        <w:t>Review status:</w:t>
      </w:r>
      <w:r>
        <w:t xml:space="preserve"> unchecked — possible relationship only</w:t>
      </w:r>
    </w:p>
    <w:p>
      <w:pPr>
        <w:pStyle w:val="Heading2"/>
      </w:pPr>
      <w:r>
        <w:t>241.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242. Claim + two later sources: The Future of Visitor Attractions in The Netherlands</w:t>
      </w:r>
    </w:p>
    <w:p>
      <w:pPr>
        <w:pStyle w:val="SourceNote"/>
      </w:pPr>
      <w:r>
        <w:rPr>
          <w:b/>
        </w:rPr>
        <w:t>Group ID:</w:t>
      </w:r>
      <w:r>
        <w:t xml:space="preserve"> group-84127334bc53bee5f709</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Sports Marketing as a Tool for Creating an Image of Leading European Football Clubs — https://doi.org/10.15611/2022.29.9.03</w:t>
      </w:r>
    </w:p>
    <w:p>
      <w:pPr>
        <w:pStyle w:val="SourceNote"/>
      </w:pPr>
      <w:r>
        <w:rPr>
          <w:b/>
        </w:rPr>
        <w:t>Review status:</w:t>
      </w:r>
      <w:r>
        <w:t xml:space="preserve"> unchecked — possible relationship only</w:t>
      </w:r>
    </w:p>
    <w:p>
      <w:pPr>
        <w:pStyle w:val="Heading2"/>
      </w:pPr>
      <w:r>
        <w:t>243. Claim + two later sources: Using Scenarios to Assess Policy Mixes for Resource Efficiency and Eco-Innovation in Different Fiscal Policy Frameworks</w:t>
      </w:r>
    </w:p>
    <w:p>
      <w:pPr>
        <w:pStyle w:val="SourceNote"/>
      </w:pPr>
      <w:r>
        <w:rPr>
          <w:b/>
        </w:rPr>
        <w:t>Group ID:</w:t>
      </w:r>
      <w:r>
        <w:t xml:space="preserve"> group-792404cc13e6f41baba3</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possible relationship only</w:t>
      </w:r>
    </w:p>
    <w:p>
      <w:pPr>
        <w:pStyle w:val="Heading2"/>
      </w:pPr>
      <w:r>
        <w:t>244. Claim + two later sources: Spatial Simulation of Codesigned Land Cover Change Scenarios in New England: Alternative Futures and Their Consequences for Conservation Priorities</w:t>
      </w:r>
    </w:p>
    <w:p>
      <w:pPr>
        <w:pStyle w:val="SourceNote"/>
      </w:pPr>
      <w:r>
        <w:rPr>
          <w:b/>
        </w:rPr>
        <w:t>Group ID:</w:t>
      </w:r>
      <w:r>
        <w:t xml:space="preserve"> group-ed97c3c445945be6be5a</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to Prepare a Manuscript — https://doi.org/10.1097/nur.0000000000000973</w:t>
      </w:r>
    </w:p>
    <w:p>
      <w:pPr/>
      <w:r>
        <w:rPr>
          <w:b/>
        </w:rPr>
        <w:t>Later source:</w:t>
      </w:r>
      <w:r>
        <w:t xml:space="preserve"> Can AI help authors prepare better risk science manuscripts? — https://doi.org/10.1111/risa.70055</w:t>
      </w:r>
    </w:p>
    <w:p>
      <w:pPr>
        <w:pStyle w:val="SourceNote"/>
      </w:pPr>
      <w:r>
        <w:rPr>
          <w:b/>
        </w:rPr>
        <w:t>Review status:</w:t>
      </w:r>
      <w:r>
        <w:t xml:space="preserve"> unchecked — possible relationship only</w:t>
      </w:r>
    </w:p>
    <w:p>
      <w:pPr>
        <w:pStyle w:val="Heading2"/>
      </w:pPr>
      <w:r>
        <w:t>245. Claim + two later sources: Futuring European industry: assessing the ManuFuture road towards EU re-industrialization</w:t>
      </w:r>
    </w:p>
    <w:p>
      <w:pPr>
        <w:pStyle w:val="SourceNote"/>
      </w:pPr>
      <w:r>
        <w:rPr>
          <w:b/>
        </w:rPr>
        <w:t>Group ID:</w:t>
      </w:r>
      <w:r>
        <w:t xml:space="preserve"> group-bb3965057977a839919e</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Industrial energy transformation and multi-level governance: evidence from Germany — https://doi.org/10.32846/2306-9716/2026.eco.3-66.30</w:t>
      </w:r>
    </w:p>
    <w:p>
      <w:pPr/>
      <w:r>
        <w:rPr>
          <w:b/>
        </w:rPr>
        <w:t>Later source:</w:t>
      </w:r>
      <w:r>
        <w:t xml:space="preserve"> A network analysis of systemic risk in the European banking sector — https://doi.org/10.1007/s10203-026-00600-w</w:t>
      </w:r>
    </w:p>
    <w:p>
      <w:pPr>
        <w:pStyle w:val="SourceNote"/>
      </w:pPr>
      <w:r>
        <w:rPr>
          <w:b/>
        </w:rPr>
        <w:t>Review status:</w:t>
      </w:r>
      <w:r>
        <w:t xml:space="preserve"> unchecked — possible relationship only</w:t>
      </w:r>
    </w:p>
    <w:p>
      <w:pPr>
        <w:pStyle w:val="Heading2"/>
      </w:pPr>
      <w:r>
        <w:t>246. Claim + two later sources: THREE INVESTMENT SCENARIOS FOR  FUTURE NUCLEAR REACTORS IN EUROPE</w:t>
      </w:r>
    </w:p>
    <w:p>
      <w:pPr>
        <w:pStyle w:val="SourceNote"/>
      </w:pPr>
      <w:r>
        <w:rPr>
          <w:b/>
        </w:rPr>
        <w:t>Group ID:</w:t>
      </w:r>
      <w:r>
        <w:t xml:space="preserve"> group-b2fe5adcacc176537121</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Atomic rivers. The (Un)sustainability of nuclear power in an age of climate change — https://doi.org/10.1016/j.enpol.2025.114631</w:t>
      </w:r>
    </w:p>
    <w:p>
      <w:pPr>
        <w:pStyle w:val="SourceNote"/>
      </w:pPr>
      <w:r>
        <w:rPr>
          <w:b/>
        </w:rPr>
        <w:t>Review status:</w:t>
      </w:r>
      <w:r>
        <w:t xml:space="preserve"> unchecked — possible relationship only</w:t>
      </w:r>
    </w:p>
    <w:p>
      <w:pPr>
        <w:pStyle w:val="Heading2"/>
      </w:pPr>
      <w:r>
        <w:t>247. Claim + two later sources: A road map for explorative scenario creation on Belgian rail freight transport development</w:t>
      </w:r>
    </w:p>
    <w:p>
      <w:pPr>
        <w:pStyle w:val="SourceNote"/>
      </w:pPr>
      <w:r>
        <w:rPr>
          <w:b/>
        </w:rPr>
        <w:t>Group ID:</w:t>
      </w:r>
      <w:r>
        <w:t xml:space="preserve"> group-918f9938057c917aff93</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An Analysis of Interdisciplinary Thematic Clusters and Evolutionary Paths in Research on AI Music Creation — https://doi.org/10.17548/ksaf.2026.06.30.285</w:t>
      </w:r>
    </w:p>
    <w:p>
      <w:pPr/>
      <w:r>
        <w:rPr>
          <w:b/>
        </w:rPr>
        <w:t>Later source:</w:t>
      </w:r>
      <w:r>
        <w:t xml:space="preserve"> Integrating Global Knowledge for Dual Value Creation An Interdisciplinary Framework for Practice-Informed Social Entrepreneurship Education — https://doi.org/10.20381/ruor-32260</w:t>
      </w:r>
    </w:p>
    <w:p>
      <w:pPr>
        <w:pStyle w:val="SourceNote"/>
      </w:pPr>
      <w:r>
        <w:rPr>
          <w:b/>
        </w:rPr>
        <w:t>Review status:</w:t>
      </w:r>
      <w:r>
        <w:t xml:space="preserve"> unchecked — possible relationship only</w:t>
      </w:r>
    </w:p>
    <w:p>
      <w:pPr>
        <w:pStyle w:val="Heading2"/>
      </w:pPr>
      <w:r>
        <w:t>248. Claim + two later sources: Three scenarios for industrial relations in Europe</w:t>
      </w:r>
    </w:p>
    <w:p>
      <w:pPr>
        <w:pStyle w:val="SourceNote"/>
      </w:pPr>
      <w:r>
        <w:rPr>
          <w:b/>
        </w:rPr>
        <w:t>Group ID:</w:t>
      </w:r>
      <w:r>
        <w:t xml:space="preserve"> group-a4826e838145dc50f525</w:t>
      </w:r>
    </w:p>
    <w:p>
      <w:pPr>
        <w:pStyle w:val="SourceNote"/>
      </w:pPr>
      <w:r>
        <w:rPr>
          <w:b/>
        </w:rPr>
        <w:t>Original source:</w:t>
      </w:r>
      <w:r>
        <w:t xml:space="preserve"> https://doi.org/10.1111/j.1564-913x.2015.00221.x</w:t>
      </w:r>
    </w:p>
    <w:p>
      <w:pPr/>
      <w:r>
        <w:rPr>
          <w:b/>
        </w:rPr>
        <w:t>Original future claim:</w:t>
      </w:r>
      <w:r>
        <w:t xml:space="preserve">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Labour Market Policy and Industrial Relations in the Netherlands — https://doi.org/10.1093/oxfordhb/9780198875499.013.38</w:t>
      </w:r>
    </w:p>
    <w:p>
      <w:pPr/>
      <w:r>
        <w:rPr>
          <w:b/>
        </w:rPr>
        <w:t>Later source:</w:t>
      </w:r>
      <w:r>
        <w:t xml:space="preserve"> Devolution and Industrial Relations: An Overview — https://doi.org/10.1111/irj.70007</w:t>
      </w:r>
    </w:p>
    <w:p>
      <w:pPr>
        <w:pStyle w:val="SourceNote"/>
      </w:pPr>
      <w:r>
        <w:rPr>
          <w:b/>
        </w:rPr>
        <w:t>Review status:</w:t>
      </w:r>
      <w:r>
        <w:t xml:space="preserve"> unchecked — possible relationship only</w:t>
      </w:r>
    </w:p>
    <w:p>
      <w:pPr>
        <w:pStyle w:val="Heading2"/>
      </w:pPr>
      <w:r>
        <w:t>249.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250. Claim + two later sources: Fiscal sustainability and the accuracy of macroeconomic forecasts: Do supranational forecasts rather than government forecasts make a difference?</w:t>
      </w:r>
    </w:p>
    <w:p>
      <w:pPr>
        <w:pStyle w:val="SourceNote"/>
      </w:pPr>
      <w:r>
        <w:rPr>
          <w:b/>
        </w:rPr>
        <w:t>Group ID:</w:t>
      </w:r>
      <w:r>
        <w:t xml:space="preserve"> group-498f13486d6395e8614c</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European anthropogenic AFOLU greenhouse gas emissions: a review and benchmark data — https://doi.org/10.5194/essd-12-961-2020</w:t>
      </w:r>
    </w:p>
    <w:p>
      <w:pPr/>
      <w:r>
        <w:rPr>
          <w:b/>
        </w:rPr>
        <w:t>Later source:</w:t>
      </w:r>
      <w:r>
        <w:t xml:space="preserve"> The development of cycling in European countries since 1990 — https://doi.org/10.18757/ejtir.2021.21.2.5411</w:t>
      </w:r>
    </w:p>
    <w:p>
      <w:pPr>
        <w:pStyle w:val="SourceNote"/>
      </w:pPr>
      <w:r>
        <w:rPr>
          <w:b/>
        </w:rPr>
        <w:t>Review status:</w:t>
      </w:r>
      <w:r>
        <w:t xml:space="preserve"> unchecked — possible relationship only</w:t>
      </w:r>
    </w:p>
    <w:p>
      <w:pPr>
        <w:pStyle w:val="Heading2"/>
      </w:pPr>
      <w:r>
        <w:t>251. Claim + two later sources: Shared Socio-economic Pathways for European agriculture and food systems: The Eur-Agri-SSPs</w:t>
      </w:r>
    </w:p>
    <w:p>
      <w:pPr>
        <w:pStyle w:val="SourceNote"/>
      </w:pPr>
      <w:r>
        <w:rPr>
          <w:b/>
        </w:rPr>
        <w:t>Group ID:</w:t>
      </w:r>
      <w:r>
        <w:t xml:space="preserve"> group-759767af802046fe9713</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Multicentre evaluation of a selective isolation protocol for detection of mcr-positive E. coli and Salmonella spp. in food-producing animals and meat — https://doi.org/10.1111/lam.13717</w:t>
      </w:r>
    </w:p>
    <w:p>
      <w:pPr/>
      <w:r>
        <w:rPr>
          <w:b/>
        </w:rPr>
        <w:t>Later source:</w:t>
      </w:r>
      <w:r>
        <w:t xml:space="preserve"> Implementation of a pan-European ecosystem and an interoperable platform for Smart and Healthy Ageing in Europe: An Innovation Action research protocol — https://doi.org/10.12688/openreseurope.14827.1</w:t>
      </w:r>
    </w:p>
    <w:p>
      <w:pPr>
        <w:pStyle w:val="SourceNote"/>
      </w:pPr>
      <w:r>
        <w:rPr>
          <w:b/>
        </w:rPr>
        <w:t>Review status:</w:t>
      </w:r>
      <w:r>
        <w:t xml:space="preserve"> unchecked — possible relationship only</w:t>
      </w:r>
    </w:p>
    <w:p>
      <w:pPr>
        <w:pStyle w:val="Heading2"/>
      </w:pPr>
      <w:r>
        <w:t>252. Claim + two later sources: Flexible electricity generation, grid exchange and storage for the transition to a 100% renewable energy system in Europe</w:t>
      </w:r>
    </w:p>
    <w:p>
      <w:pPr>
        <w:pStyle w:val="SourceNote"/>
      </w:pPr>
      <w:r>
        <w:rPr>
          <w:b/>
        </w:rPr>
        <w:t>Group ID:</w:t>
      </w:r>
      <w:r>
        <w:t xml:space="preserve"> group-0baf416bcea760699085</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D8.2: 'Just' transition pathway &amp; intermediate targets — https://doi.org/10.5281/zenodo.20486783</w:t>
      </w:r>
    </w:p>
    <w:p>
      <w:pPr/>
      <w:r>
        <w:rPr>
          <w:b/>
        </w:rPr>
        <w:t>Later source:</w:t>
      </w:r>
      <w:r>
        <w:t xml:space="preserve"> European Circular Economy Structural Typology Based on Multivariate Analysis of Latent Dimensions and Transition Pathways — https://doi.org/10.1002/sd.71629</w:t>
      </w:r>
    </w:p>
    <w:p>
      <w:pPr>
        <w:pStyle w:val="SourceNote"/>
      </w:pPr>
      <w:r>
        <w:rPr>
          <w:b/>
        </w:rPr>
        <w:t>Review status:</w:t>
      </w:r>
      <w:r>
        <w:t xml:space="preserve"> unchecked — possible relationship only</w:t>
      </w:r>
    </w:p>
    <w:p>
      <w:pPr>
        <w:pStyle w:val="Heading2"/>
      </w:pPr>
      <w:r>
        <w:t>253. Claim + two later sources: Consequences of Enduring Low Fertility – A German Case Study. Demographic Projections and Implications for Different Policy Fields</w:t>
      </w:r>
    </w:p>
    <w:p>
      <w:pPr>
        <w:pStyle w:val="SourceNote"/>
      </w:pPr>
      <w:r>
        <w:rPr>
          <w:b/>
        </w:rPr>
        <w:t>Group ID:</w:t>
      </w:r>
      <w:r>
        <w:t xml:space="preserve"> group-8cfd1c12e855e8160b3b</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Ageing and ocular problems — https://doi.org/10.1556/2066.2021.00042</w:t>
      </w:r>
    </w:p>
    <w:p>
      <w:pPr/>
      <w:r>
        <w:rPr>
          <w:b/>
        </w:rPr>
        <w:t>Later source:</w:t>
      </w:r>
      <w:r>
        <w:t xml:space="preserve"> Central and Peripheral Neuromuscular Adaptations to Ageing — https://doi.org/10.3390/jcm9030741</w:t>
      </w:r>
    </w:p>
    <w:p>
      <w:pPr>
        <w:pStyle w:val="SourceNote"/>
      </w:pPr>
      <w:r>
        <w:rPr>
          <w:b/>
        </w:rPr>
        <w:t>Review status:</w:t>
      </w:r>
      <w:r>
        <w:t xml:space="preserve"> unchecked — possible relationship only</w:t>
      </w:r>
    </w:p>
    <w:p>
      <w:pPr>
        <w:pStyle w:val="Heading2"/>
      </w:pPr>
      <w:r>
        <w:t>254. Claim + two later sources: A look into the future of the COVID-19 pandemic in Europe: an expert consultation</w:t>
      </w:r>
    </w:p>
    <w:p>
      <w:pPr>
        <w:pStyle w:val="SourceNote"/>
      </w:pPr>
      <w:r>
        <w:rPr>
          <w:b/>
        </w:rPr>
        <w:t>Group ID:</w:t>
      </w:r>
      <w:r>
        <w:t xml:space="preserve"> group-2df3ef5891816910148c</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Later source:</w:t>
      </w:r>
      <w:r>
        <w:t xml:space="preserve"> Aligning regional development processes in the Republic of Moldova with European Union standards and practices: perspectives and challenges — https://doi.org/10.59295/dnwe2025.13</w:t>
      </w:r>
    </w:p>
    <w:p>
      <w:pPr>
        <w:pStyle w:val="SourceNote"/>
      </w:pPr>
      <w:r>
        <w:rPr>
          <w:b/>
        </w:rPr>
        <w:t>Review status:</w:t>
      </w:r>
      <w:r>
        <w:t xml:space="preserve"> unchecked — possible relationship only</w:t>
      </w:r>
    </w:p>
    <w:p>
      <w:pPr>
        <w:pStyle w:val="Heading2"/>
      </w:pPr>
      <w:r>
        <w:t>255.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group-44264db1b939cc121336</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Assessment of Trends and Uncertainties in the Atmospheric Boundary Layer Height Estimated Using Radiosounding Observations over Europe — https://doi.org/10.3390/atmos12030301</w:t>
      </w:r>
    </w:p>
    <w:p>
      <w:pPr>
        <w:pStyle w:val="SourceNote"/>
      </w:pPr>
      <w:r>
        <w:rPr>
          <w:b/>
        </w:rPr>
        <w:t>Review status:</w:t>
      </w:r>
      <w:r>
        <w:t xml:space="preserve"> unchecked — possible relationship only</w:t>
      </w:r>
    </w:p>
    <w:p>
      <w:pPr>
        <w:pStyle w:val="Heading2"/>
      </w:pPr>
      <w:r>
        <w:t>256.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257. Claim + two later sources: Shaping the ‘Energy Union': between national positions and governance innovation in EU energy and climate policy</w:t>
      </w:r>
    </w:p>
    <w:p>
      <w:pPr>
        <w:pStyle w:val="SourceNote"/>
      </w:pPr>
      <w:r>
        <w:rPr>
          <w:b/>
        </w:rPr>
        <w:t>Group ID:</w:t>
      </w:r>
      <w:r>
        <w:t xml:space="preserve"> group-892e4df11f92275a84fa</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A New Idea(l) for Europe: Report on the Future of Cosmopolitanism in Europe — https://doi.org/10.17185/duepublico/74426</w:t>
      </w:r>
    </w:p>
    <w:p>
      <w:pPr>
        <w:pStyle w:val="SourceNote"/>
      </w:pPr>
      <w:r>
        <w:rPr>
          <w:b/>
        </w:rPr>
        <w:t>Review status:</w:t>
      </w:r>
      <w:r>
        <w:t xml:space="preserve"> unchecked — possible relationship only</w:t>
      </w:r>
    </w:p>
    <w:p>
      <w:pPr>
        <w:pStyle w:val="Heading2"/>
      </w:pPr>
      <w:r>
        <w:t>258. Claim + two later sources: Trends and Possible Future Developments in Global Forest-Product Markets—Implications for the Swedish Forest Sector</w:t>
      </w:r>
    </w:p>
    <w:p>
      <w:pPr>
        <w:pStyle w:val="SourceNote"/>
      </w:pPr>
      <w:r>
        <w:rPr>
          <w:b/>
        </w:rPr>
        <w:t>Group ID:</w:t>
      </w:r>
      <w:r>
        <w:t xml:space="preserve"> group-c2e22009ddb9e2414803</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Uncertainty quantification for overshoots of tipping thresholds — https://doi.org/10.5194/esd-16-1153-2025</w:t>
      </w:r>
    </w:p>
    <w:p>
      <w:pPr/>
      <w:r>
        <w:rPr>
          <w:b/>
        </w:rPr>
        <w:t>Later source:</w:t>
      </w:r>
      <w:r>
        <w:t xml:space="preserve"> Editorial: Critical perspectives in times of uncertainty — https://doi.org/10.1108/dpm-08-2025-435</w:t>
      </w:r>
    </w:p>
    <w:p>
      <w:pPr>
        <w:pStyle w:val="SourceNote"/>
      </w:pPr>
      <w:r>
        <w:rPr>
          <w:b/>
        </w:rPr>
        <w:t>Review status:</w:t>
      </w:r>
      <w:r>
        <w:t xml:space="preserve"> unchecked — possible relationship only</w:t>
      </w:r>
    </w:p>
    <w:p>
      <w:pPr>
        <w:pStyle w:val="Heading2"/>
      </w:pPr>
      <w:r>
        <w:t>259. Claim + two later sources: Energy Portfolio of the Eastern Poland Macroregion in the European Union</w:t>
      </w:r>
    </w:p>
    <w:p>
      <w:pPr>
        <w:pStyle w:val="SourceNote"/>
      </w:pPr>
      <w:r>
        <w:rPr>
          <w:b/>
        </w:rPr>
        <w:t>Group ID:</w:t>
      </w:r>
      <w:r>
        <w:t xml:space="preserve"> group-c751a0d72aedc1193aa8</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The predictors of party group bargaining success in the European Parliament — https://doi.org/10.1177/14651165261423104</w:t>
      </w:r>
    </w:p>
    <w:p>
      <w:pPr/>
      <w:r>
        <w:rPr>
          <w:b/>
        </w:rPr>
        <w:t>Later source:</w:t>
      </w:r>
      <w:r>
        <w:t xml:space="preserve"> Housing affordability and poverty in Europe: on the deteriorating position of market renters — https://doi.org/10.1017/s0047279423000703</w:t>
      </w:r>
    </w:p>
    <w:p>
      <w:pPr>
        <w:pStyle w:val="SourceNote"/>
      </w:pPr>
      <w:r>
        <w:rPr>
          <w:b/>
        </w:rPr>
        <w:t>Review status:</w:t>
      </w:r>
      <w:r>
        <w:t xml:space="preserve"> unchecked — possible relationship only</w:t>
      </w:r>
    </w:p>
    <w:p>
      <w:pPr>
        <w:pStyle w:val="Heading2"/>
      </w:pPr>
      <w:r>
        <w:t>260. Claim + two later sources: Future air quality in Europe: a multi-model assessment of projected exposure to ozone</w:t>
      </w:r>
    </w:p>
    <w:p>
      <w:pPr>
        <w:pStyle w:val="SourceNote"/>
      </w:pPr>
      <w:r>
        <w:rPr>
          <w:b/>
        </w:rPr>
        <w:t>Group ID:</w:t>
      </w:r>
      <w:r>
        <w:t xml:space="preserve"> group-3e5da3dfcc08d6453b44</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Air pollution and innovation — https://doi.org/10.1016/j.jeem.2024.103102</w:t>
      </w:r>
    </w:p>
    <w:p>
      <w:pPr/>
      <w:r>
        <w:rPr>
          <w:b/>
        </w:rPr>
        <w:t>Later source:</w:t>
      </w:r>
      <w:r>
        <w:t xml:space="preserve"> Geographic sources of ozone air pollution and mortality burden in Europe — https://doi.org/10.1038/s41591-024-02976-x</w:t>
      </w:r>
    </w:p>
    <w:p>
      <w:pPr>
        <w:pStyle w:val="SourceNote"/>
      </w:pPr>
      <w:r>
        <w:rPr>
          <w:b/>
        </w:rPr>
        <w:t>Review status:</w:t>
      </w:r>
      <w:r>
        <w:t xml:space="preserve"> unchecked — possible relationship only</w:t>
      </w:r>
    </w:p>
    <w:p>
      <w:pPr>
        <w:pStyle w:val="Heading2"/>
      </w:pPr>
      <w:r>
        <w:t>261. Claim + two later sources: The future of trade unions in Croatia – various stakeholders’ perspectives</w:t>
      </w:r>
    </w:p>
    <w:p>
      <w:pPr>
        <w:pStyle w:val="SourceNote"/>
      </w:pPr>
      <w:r>
        <w:rPr>
          <w:b/>
        </w:rPr>
        <w:t>Group ID:</w:t>
      </w:r>
      <w:r>
        <w:t xml:space="preserve"> group-de43ce8f979df97d41de</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Trump's Trade Gambit: Chaos as a Calculated Strategy — https://doi.org/10.1177/00207020261439150</w:t>
      </w:r>
    </w:p>
    <w:p>
      <w:pPr/>
      <w:r>
        <w:rPr>
          <w:b/>
        </w:rPr>
        <w:t>Later source:</w:t>
      </w:r>
      <w:r>
        <w:t xml:space="preserve"> From Stigma to Support: Exploring Perceptions of Menstrual Leave Policies in European Workplaces — https://doi.org/10.1111/gwao.70256</w:t>
      </w:r>
    </w:p>
    <w:p>
      <w:pPr>
        <w:pStyle w:val="SourceNote"/>
      </w:pPr>
      <w:r>
        <w:rPr>
          <w:b/>
        </w:rPr>
        <w:t>Review status:</w:t>
      </w:r>
      <w:r>
        <w:t xml:space="preserve"> unchecked — possible relationship only</w:t>
      </w:r>
    </w:p>
    <w:p>
      <w:pPr>
        <w:pStyle w:val="Heading2"/>
      </w:pPr>
      <w:r>
        <w:t>262. Claim + two later sources: Agent‐Based Modeling of Alternative Futures in the British Land Use System</w:t>
      </w:r>
    </w:p>
    <w:p>
      <w:pPr>
        <w:pStyle w:val="SourceNote"/>
      </w:pPr>
      <w:r>
        <w:rPr>
          <w:b/>
        </w:rPr>
        <w:t>Group ID:</w:t>
      </w:r>
      <w:r>
        <w:t xml:space="preserve"> group-3073cb6e7bfb7850caaf</w:t>
      </w:r>
    </w:p>
    <w:p>
      <w:pPr>
        <w:pStyle w:val="SourceNote"/>
      </w:pPr>
      <w:r>
        <w:rPr>
          <w:b/>
        </w:rPr>
        <w:t>Original source:</w:t>
      </w:r>
      <w:r>
        <w:t xml:space="preserve"> https://doi.org/10.1029/2022ef002905</w:t>
      </w:r>
    </w:p>
    <w:p>
      <w:pPr/>
      <w:r>
        <w:rPr>
          <w:b/>
        </w:rPr>
        <w:t>Original future claim:</w:t>
      </w:r>
      <w:r>
        <w:t xml:space="preserve">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UK livestock futures: co-designing Shared Socioeconomic Pathways — https://doi.org/10.1007/s10113-026-02625-8</w:t>
      </w:r>
    </w:p>
    <w:p>
      <w:pPr/>
      <w:r>
        <w:rPr>
          <w:b/>
        </w:rPr>
        <w:t>Later source:</w:t>
      </w:r>
      <w:r>
        <w:t xml:space="preserve"> Abstract DP015: Integrating Systemic and Socio-economic Factors Into Stroke Prognostic Models: Findings From the ELAN International Survey — https://doi.org/10.1161/str.57.suppl_1.dp015</w:t>
      </w:r>
    </w:p>
    <w:p>
      <w:pPr>
        <w:pStyle w:val="SourceNote"/>
      </w:pPr>
      <w:r>
        <w:rPr>
          <w:b/>
        </w:rPr>
        <w:t>Review status:</w:t>
      </w:r>
      <w:r>
        <w:t xml:space="preserve"> unchecked — possible relationship only</w:t>
      </w:r>
    </w:p>
    <w:p>
      <w:pPr>
        <w:pStyle w:val="Heading2"/>
      </w:pPr>
      <w:r>
        <w:t>263. Claim + two later sources: Toward a Diagnostic Tool for Organizational Ethical Culture With Futures Thinking and Scenario Planning</w:t>
      </w:r>
    </w:p>
    <w:p>
      <w:pPr>
        <w:pStyle w:val="SourceNote"/>
      </w:pPr>
      <w:r>
        <w:rPr>
          <w:b/>
        </w:rPr>
        <w:t>Group ID:</w:t>
      </w:r>
      <w:r>
        <w:t xml:space="preserve"> group-cd418560fe3e31c5dec9</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Mapping the Evidence on Antimicrobial Resistance Transmission in Mass Gatherings: A Scoping Review — https://doi.org/10.17605/osf.io/9hq5t</w:t>
      </w:r>
    </w:p>
    <w:p>
      <w:pPr/>
      <w:r>
        <w:rPr>
          <w:b/>
        </w:rPr>
        <w:t>Later source:</w:t>
      </w:r>
      <w:r>
        <w:t xml:space="preserve"> Improved LEACH Model with Efficient Data Gathering Scheme for Mobile Internet of Things — https://doi.org/10.1109/icngcs64900.2025.11183334</w:t>
      </w:r>
    </w:p>
    <w:p>
      <w:pPr>
        <w:pStyle w:val="SourceNote"/>
      </w:pPr>
      <w:r>
        <w:rPr>
          <w:b/>
        </w:rPr>
        <w:t>Review status:</w:t>
      </w:r>
      <w:r>
        <w:t xml:space="preserve"> unchecked — possible relationship only</w:t>
      </w:r>
    </w:p>
    <w:p>
      <w:pPr>
        <w:pStyle w:val="Heading2"/>
      </w:pPr>
      <w:r>
        <w:t>264. Claim + two later sources: Scenarios for the Development of Multimodal Transport in the TRITIA Cross-Border Area</w:t>
      </w:r>
    </w:p>
    <w:p>
      <w:pPr>
        <w:pStyle w:val="SourceNote"/>
      </w:pPr>
      <w:r>
        <w:rPr>
          <w:b/>
        </w:rPr>
        <w:t>Group ID:</w:t>
      </w:r>
      <w:r>
        <w:t xml:space="preserve"> group-e62e486ade7bde1f1e4f</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Soil Governance in current European Union Law and in the European Green Deal — https://doi.org/10.1016/j.soisec.2022.100053</w:t>
      </w:r>
    </w:p>
    <w:p>
      <w:pPr/>
      <w:r>
        <w:rPr>
          <w:b/>
        </w:rPr>
        <w:t>Later source:</w:t>
      </w:r>
      <w:r>
        <w:t xml:space="preserve"> Nature-Based Solutions in Urban Areas: A European Analysis — https://doi.org/10.3390/app13010168</w:t>
      </w:r>
    </w:p>
    <w:p>
      <w:pPr>
        <w:pStyle w:val="SourceNote"/>
      </w:pPr>
      <w:r>
        <w:rPr>
          <w:b/>
        </w:rPr>
        <w:t>Review status:</w:t>
      </w:r>
      <w:r>
        <w:t xml:space="preserve"> unchecked — possible relationship only</w:t>
      </w:r>
    </w:p>
    <w:p>
      <w:pPr>
        <w:pStyle w:val="Heading2"/>
      </w:pPr>
      <w:r>
        <w:t>265. Claim + two later sources: Central Europe: Possible Scenarios</w:t>
      </w:r>
    </w:p>
    <w:p>
      <w:pPr>
        <w:pStyle w:val="SourceNote"/>
      </w:pPr>
      <w:r>
        <w:rPr>
          <w:b/>
        </w:rPr>
        <w:t>Group ID:</w:t>
      </w:r>
      <w:r>
        <w:t xml:space="preserve"> group-70fea2ed92a133192813</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Meeting Users’ Needs in National Health Information Infrastructures - Lessons from the Case of Germany — https://doi.org/10.24251/hicss.2026.448</w:t>
      </w:r>
    </w:p>
    <w:p>
      <w:pPr>
        <w:pStyle w:val="SourceNote"/>
      </w:pPr>
      <w:r>
        <w:rPr>
          <w:b/>
        </w:rPr>
        <w:t>Review status:</w:t>
      </w:r>
      <w:r>
        <w:t xml:space="preserve"> unchecked — possible relationship only</w:t>
      </w:r>
    </w:p>
    <w:p>
      <w:pPr>
        <w:pStyle w:val="Heading2"/>
      </w:pPr>
      <w:r>
        <w:t>266. Claim + two later sources: Cross-border climate vulnerabilities of the European Union to drought</w:t>
      </w:r>
    </w:p>
    <w:p>
      <w:pPr>
        <w:pStyle w:val="SourceNote"/>
      </w:pPr>
      <w:r>
        <w:rPr>
          <w:b/>
        </w:rPr>
        <w:t>Group ID:</w:t>
      </w:r>
      <w:r>
        <w:t xml:space="preserve"> group-94816b19f01866aba4cd</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Drought Impacts on Agricultural Production Across EU Regions — https://doi.org/10.1007/s40797-026-00379-0</w:t>
      </w:r>
    </w:p>
    <w:p>
      <w:pPr>
        <w:pStyle w:val="SourceNote"/>
      </w:pPr>
      <w:r>
        <w:rPr>
          <w:b/>
        </w:rPr>
        <w:t>Review status:</w:t>
      </w:r>
      <w:r>
        <w:t xml:space="preserve"> unchecked — possible relationship only</w:t>
      </w:r>
    </w:p>
    <w:p>
      <w:pPr>
        <w:pStyle w:val="Heading2"/>
      </w:pPr>
      <w:r>
        <w:t>267.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268. Claim + two later sources: Energy transition scenarios: What policies, societal attitudes, and technology developments will realize the EU Green Deal?</w:t>
      </w:r>
    </w:p>
    <w:p>
      <w:pPr>
        <w:pStyle w:val="SourceNote"/>
      </w:pPr>
      <w:r>
        <w:rPr>
          <w:b/>
        </w:rPr>
        <w:t>Group ID:</w:t>
      </w:r>
      <w:r>
        <w:t xml:space="preserve"> group-b4c8363bd667656b4b6c</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‘They Take Our Healthcare’: Health and Attitudes towards Immigration in Europe — https://doi.org/10.1177/00104140251342932</w:t>
      </w:r>
    </w:p>
    <w:p>
      <w:pPr>
        <w:pStyle w:val="SourceNote"/>
      </w:pPr>
      <w:r>
        <w:rPr>
          <w:b/>
        </w:rPr>
        <w:t>Review status:</w:t>
      </w:r>
      <w:r>
        <w:t xml:space="preserve"> unchecked — possible relationship only</w:t>
      </w:r>
    </w:p>
    <w:p>
      <w:pPr>
        <w:pStyle w:val="Heading2"/>
      </w:pPr>
      <w:r>
        <w:t>269. Claim + two later sources: Five transition pathways to renewable energy futures—scenarios from a Delphi study on key drivers and policy options</w:t>
      </w:r>
    </w:p>
    <w:p>
      <w:pPr>
        <w:pStyle w:val="SourceNote"/>
      </w:pPr>
      <w:r>
        <w:rPr>
          <w:b/>
        </w:rPr>
        <w:t>Group ID:</w:t>
      </w:r>
      <w:r>
        <w:t xml:space="preserve"> group-df4bf4129d58d2b5a30a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Renewable Energy, Sustainable Business Models, and Decarbonization in the European Union: Comparative Analysis of Corporate Sustainability Reports — https://doi.org/10.3390/su17083646</w:t>
      </w:r>
    </w:p>
    <w:p>
      <w:pPr/>
      <w:r>
        <w:rPr>
          <w:b/>
        </w:rPr>
        <w:t>Later source:</w:t>
      </w:r>
      <w:r>
        <w:t xml:space="preserve"> Five models and ten predictors for energy costs on farms in the European Union — https://doi.org/10.1515/opag-2025-0441</w:t>
      </w:r>
    </w:p>
    <w:p>
      <w:pPr>
        <w:pStyle w:val="SourceNote"/>
      </w:pPr>
      <w:r>
        <w:rPr>
          <w:b/>
        </w:rPr>
        <w:t>Review status:</w:t>
      </w:r>
      <w:r>
        <w:t xml:space="preserve"> unchecked — possible relationship only</w:t>
      </w:r>
    </w:p>
    <w:p>
      <w:pPr>
        <w:pStyle w:val="Heading2"/>
      </w:pPr>
      <w:r>
        <w:t>270. Claim + two later sources: European Union, transnational terrorism and the strategic choice of counterterrorism policies in democratic countries</w:t>
      </w:r>
    </w:p>
    <w:p>
      <w:pPr>
        <w:pStyle w:val="SourceNote"/>
      </w:pPr>
      <w:r>
        <w:rPr>
          <w:b/>
        </w:rPr>
        <w:t>Group ID:</w:t>
      </w:r>
      <w:r>
        <w:t xml:space="preserve"> group-d75a48a0a97a1ce16ce3</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Role of the European Union and the Council of Europe in Promoting Democracy: The Case of the South Caucasus States — https://doi.org/10.54503/2579-2903-2026.1-183</w:t>
      </w:r>
    </w:p>
    <w:p>
      <w:pPr/>
      <w:r>
        <w:rPr>
          <w:b/>
        </w:rPr>
        <w:t>Later source:</w:t>
      </w:r>
      <w:r>
        <w:t xml:space="preserve"> The impacts of scandal-based coalition terminations on voters — https://doi.org/10.1017/s1475676526101194</w:t>
      </w:r>
    </w:p>
    <w:p>
      <w:pPr>
        <w:pStyle w:val="SourceNote"/>
      </w:pPr>
      <w:r>
        <w:rPr>
          <w:b/>
        </w:rPr>
        <w:t>Review status:</w:t>
      </w:r>
      <w:r>
        <w:t xml:space="preserve"> unchecked — possible relationship only</w:t>
      </w:r>
    </w:p>
    <w:p>
      <w:pPr>
        <w:pStyle w:val="Heading2"/>
      </w:pPr>
      <w:r>
        <w:t>271. Claim + two later sources: Biotechnology versus agroecology: Entrenchments and surprise at a 2030 forecast scenario workshop</w:t>
      </w:r>
    </w:p>
    <w:p>
      <w:pPr>
        <w:pStyle w:val="SourceNote"/>
      </w:pPr>
      <w:r>
        <w:rPr>
          <w:b/>
        </w:rPr>
        <w:t>Group ID:</w:t>
      </w:r>
      <w:r>
        <w:t xml:space="preserve"> group-d2b3466245cf95b2f024</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Experience on Training among the Participants of Teaching Methodology and Assessment — https://doi.org/10.3329/cmoshmcj.v23i1.78514</w:t>
      </w:r>
    </w:p>
    <w:p>
      <w:pPr>
        <w:pStyle w:val="SourceNote"/>
      </w:pPr>
      <w:r>
        <w:rPr>
          <w:b/>
        </w:rPr>
        <w:t>Review status:</w:t>
      </w:r>
      <w:r>
        <w:t xml:space="preserve"> unchecked — possible relationship only</w:t>
      </w:r>
    </w:p>
    <w:p>
      <w:pPr>
        <w:pStyle w:val="Heading2"/>
      </w:pPr>
      <w:r>
        <w:t>272. Claim + two later sources: Occupational Structure in European Countries: What do Forecasts Predict?</w:t>
      </w:r>
    </w:p>
    <w:p>
      <w:pPr>
        <w:pStyle w:val="SourceNote"/>
      </w:pPr>
      <w:r>
        <w:rPr>
          <w:b/>
        </w:rPr>
        <w:t>Group ID:</w:t>
      </w:r>
      <w:r>
        <w:t xml:space="preserve"> group-3d5e00cb5a51a97e9eee</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Digital communication and occupational well-being in 25 European countries — https://doi.org/10.1007/s10111-026-00902-4</w:t>
      </w:r>
    </w:p>
    <w:p>
      <w:pPr/>
      <w:r>
        <w:rPr>
          <w:b/>
        </w:rPr>
        <w:t>Later source:</w:t>
      </w:r>
      <w:r>
        <w:t xml:space="preserve"> Telework and Occupational Segregation in Europe — https://doi.org/10.3390/economies13100292</w:t>
      </w:r>
    </w:p>
    <w:p>
      <w:pPr>
        <w:pStyle w:val="SourceNote"/>
      </w:pPr>
      <w:r>
        <w:rPr>
          <w:b/>
        </w:rPr>
        <w:t>Review status:</w:t>
      </w:r>
      <w:r>
        <w:t xml:space="preserve"> unchecked — possible relationship only</w:t>
      </w:r>
    </w:p>
    <w:p>
      <w:pPr>
        <w:pStyle w:val="Heading2"/>
      </w:pPr>
      <w:r>
        <w:t>273. Claim + two later sources: What energy infrastructure will be needed by 2050 in the EU to support 1.5°C scenarios?</w:t>
      </w:r>
    </w:p>
    <w:p>
      <w:pPr>
        <w:pStyle w:val="SourceNote"/>
      </w:pPr>
      <w:r>
        <w:rPr>
          <w:b/>
        </w:rPr>
        <w:t>Group ID:</w:t>
      </w:r>
      <w:r>
        <w:t xml:space="preserve"> group-a1add20492c58bd2ca79</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Energy and Emission Disutilities of Transport Modes Under Transport Innovation in the European Union — https://doi.org/10.3390/en19051346</w:t>
      </w:r>
    </w:p>
    <w:p>
      <w:pPr/>
      <w:r>
        <w:rPr>
          <w:b/>
        </w:rPr>
        <w:t>Later source:</w:t>
      </w:r>
      <w:r>
        <w:t xml:space="preserve"> Sustainability of the European Energy System: The Evolution of the Energy Transition, Renewable Energy, and Energy Conservation — https://doi.org/10.3390/su18084046</w:t>
      </w:r>
    </w:p>
    <w:p>
      <w:pPr>
        <w:pStyle w:val="SourceNote"/>
      </w:pPr>
      <w:r>
        <w:rPr>
          <w:b/>
        </w:rPr>
        <w:t>Review status:</w:t>
      </w:r>
      <w:r>
        <w:t xml:space="preserve"> unchecked — possible relationship only</w:t>
      </w:r>
    </w:p>
    <w:p>
      <w:pPr>
        <w:pStyle w:val="Heading2"/>
      </w:pPr>
      <w:r>
        <w:t>274. Claim + two later sources: About global forecast of European Parliament TO 2035</w:t>
      </w:r>
    </w:p>
    <w:p>
      <w:pPr>
        <w:pStyle w:val="SourceNote"/>
      </w:pPr>
      <w:r>
        <w:rPr>
          <w:b/>
        </w:rPr>
        <w:t>Group ID:</w:t>
      </w:r>
      <w:r>
        <w:t xml:space="preserve"> group-7aa621cb267db0d2dec7</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Parabolic Modeling Forecasts of Space and Time European Hydropower Production — https://doi.org/10.3390/pr12061098</w:t>
      </w:r>
    </w:p>
    <w:p>
      <w:pPr/>
      <w:r>
        <w:rPr>
          <w:b/>
        </w:rPr>
        <w:t>Later source:</w:t>
      </w:r>
      <w:r>
        <w:t xml:space="preserve"> European Mortality Forecasts: Are the Targets Still Moving? — https://doi.org/10.1007/978-3-030-42472-5_9</w:t>
      </w:r>
    </w:p>
    <w:p>
      <w:pPr>
        <w:pStyle w:val="SourceNote"/>
      </w:pPr>
      <w:r>
        <w:rPr>
          <w:b/>
        </w:rPr>
        <w:t>Review status:</w:t>
      </w:r>
      <w:r>
        <w:t xml:space="preserve"> unchecked — possible relationship only</w:t>
      </w:r>
    </w:p>
    <w:p>
      <w:pPr>
        <w:pStyle w:val="Heading2"/>
      </w:pPr>
      <w:r>
        <w:t>275. Claim + two later sources: Assessing the impacts of technology improvements on the deployment of marine energy in Europe with an energy system perspective</w:t>
      </w:r>
    </w:p>
    <w:p>
      <w:pPr>
        <w:pStyle w:val="SourceNote"/>
      </w:pPr>
      <w:r>
        <w:rPr>
          <w:b/>
        </w:rPr>
        <w:t>Group ID:</w:t>
      </w:r>
      <w:r>
        <w:t xml:space="preserve"> group-f0b5c3020b53bf76c8ab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Long‐term changes in taxonomic and functional composition of European marine fish communities — https://doi.org/10.1111/ecog.07234</w:t>
      </w:r>
    </w:p>
    <w:p>
      <w:pPr/>
      <w:r>
        <w:rPr>
          <w:b/>
        </w:rPr>
        <w:t>Later source:</w:t>
      </w:r>
      <w:r>
        <w:t xml:space="preserve"> The role of the marine research infrastructures in the European marine observation landscape: present and future perspectives — https://doi.org/10.3389/fmars.2023.1047251</w:t>
      </w:r>
    </w:p>
    <w:p>
      <w:pPr>
        <w:pStyle w:val="SourceNote"/>
      </w:pPr>
      <w:r>
        <w:rPr>
          <w:b/>
        </w:rPr>
        <w:t>Review status:</w:t>
      </w:r>
      <w:r>
        <w:t xml:space="preserve"> unchecked — possible relationship only</w:t>
      </w:r>
    </w:p>
    <w:p>
      <w:pPr>
        <w:pStyle w:val="Heading2"/>
      </w:pPr>
      <w:r>
        <w:t>276. Claim + two later sources: Implementing Systemic Innovation Strategies for a More Sustainable Future: The Case of Three Overseas Countries and Territories</w:t>
      </w:r>
    </w:p>
    <w:p>
      <w:pPr>
        <w:pStyle w:val="SourceNote"/>
      </w:pPr>
      <w:r>
        <w:rPr>
          <w:b/>
        </w:rPr>
        <w:t>Group ID:</w:t>
      </w:r>
      <w:r>
        <w:t xml:space="preserve"> group-f8add8d43edc2118d3b8</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The next episode for narrative foresight — https://doi.org/10.1016/j.futures.2026.103876</w:t>
      </w:r>
    </w:p>
    <w:p>
      <w:pPr/>
      <w:r>
        <w:rPr>
          <w:b/>
        </w:rPr>
        <w:t>Later source:</w:t>
      </w:r>
      <w:r>
        <w:t xml:space="preserve"> Designing a pluriversal foresight epistemology and schematic, an essay — https://doi.org/10.1186/s40309-026-00296-6</w:t>
      </w:r>
    </w:p>
    <w:p>
      <w:pPr>
        <w:pStyle w:val="SourceNote"/>
      </w:pPr>
      <w:r>
        <w:rPr>
          <w:b/>
        </w:rPr>
        <w:t>Review status:</w:t>
      </w:r>
      <w:r>
        <w:t xml:space="preserve"> unchecked — possible relationship only</w:t>
      </w:r>
    </w:p>
    <w:p>
      <w:pPr>
        <w:pStyle w:val="Heading2"/>
      </w:pPr>
      <w:r>
        <w:t>277. Claim + two later sources: Dynamics of the land use, land use change, and forestry sink in the European Union: the impacts of energy and climate targets for 2030</w:t>
      </w:r>
    </w:p>
    <w:p>
      <w:pPr>
        <w:pStyle w:val="SourceNote"/>
      </w:pPr>
      <w:r>
        <w:rPr>
          <w:b/>
        </w:rPr>
        <w:t>Group ID:</w:t>
      </w:r>
      <w:r>
        <w:t xml:space="preserve"> group-74a4331b749a5ab7c2ba</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Transformation of Peatland Management Toward Climate Targets in Europe — https://doi.org/10.34133/ehs.0239</w:t>
      </w:r>
    </w:p>
    <w:p>
      <w:pPr>
        <w:pStyle w:val="SourceNote"/>
      </w:pPr>
      <w:r>
        <w:rPr>
          <w:b/>
        </w:rPr>
        <w:t>Review status:</w:t>
      </w:r>
      <w:r>
        <w:t xml:space="preserve"> unchecked — possible relationship only</w:t>
      </w:r>
    </w:p>
    <w:p>
      <w:pPr>
        <w:pStyle w:val="Heading2"/>
      </w:pPr>
      <w:r>
        <w:t>278. Claim + two later sources: The future of the drug phenomenon and drug monitoring in Europe until 2030</w:t>
      </w:r>
    </w:p>
    <w:p>
      <w:pPr>
        <w:pStyle w:val="SourceNote"/>
      </w:pPr>
      <w:r>
        <w:rPr>
          <w:b/>
        </w:rPr>
        <w:t>Group ID:</w:t>
      </w:r>
      <w:r>
        <w:t xml:space="preserve"> group-41c810e4e7b3f03467e5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Bridging the gap between research and decision making: A European survey to enhance cooperation in wastewater-based epidemiology (WBE) for illicit drugs — https://doi.org/10.1016/j.puhe.2025.02.009</w:t>
      </w:r>
    </w:p>
    <w:p>
      <w:pPr/>
      <w:r>
        <w:rPr>
          <w:b/>
        </w:rPr>
        <w:t>Later source:</w:t>
      </w:r>
      <w:r>
        <w:t xml:space="preserve"> Using time in prison as an ideal opportunity to treat Hepatitis C - PIONEER Framework Proposal — https://doi.org/10.18176/resp.00109</w:t>
      </w:r>
    </w:p>
    <w:p>
      <w:pPr>
        <w:pStyle w:val="SourceNote"/>
      </w:pPr>
      <w:r>
        <w:rPr>
          <w:b/>
        </w:rPr>
        <w:t>Review status:</w:t>
      </w:r>
      <w:r>
        <w:t xml:space="preserve"> unchecked — possible relationship only</w:t>
      </w:r>
    </w:p>
    <w:p>
      <w:pPr>
        <w:pStyle w:val="Heading2"/>
      </w:pPr>
      <w:r>
        <w:t>279. Claim + two later sources: Macrofinancial linkages in Europe: Evidence from quantile local projections</w:t>
      </w:r>
    </w:p>
    <w:p>
      <w:pPr>
        <w:pStyle w:val="SourceNote"/>
      </w:pPr>
      <w:r>
        <w:rPr>
          <w:b/>
        </w:rPr>
        <w:t>Group ID:</w:t>
      </w:r>
      <w:r>
        <w:t xml:space="preserve"> group-edb1fd94d9b831a35477</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Extreme weather in Europe: Determinants and economic impact — https://doi.org/10.1016/j.euroecorev.2026.105327</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280. Claim + two later sources: Future Precipitation Scenarios over Italy</w:t>
      </w:r>
    </w:p>
    <w:p>
      <w:pPr>
        <w:pStyle w:val="SourceNote"/>
      </w:pPr>
      <w:r>
        <w:rPr>
          <w:b/>
        </w:rPr>
        <w:t>Group ID:</w:t>
      </w:r>
      <w:r>
        <w:t xml:space="preserve"> group-93b85515d8cc78ebe96a</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European Ground Motion Service: GNSS model 2015-2025 (vector), Europe, 2-yearly, Oct. 2026 — https://doi.org/10.2909/836a384f-bcd1-4da3-9ed8-ac2f1f292c55</w:t>
      </w:r>
    </w:p>
    <w:p>
      <w:pPr/>
      <w:r>
        <w:rPr>
          <w:b/>
        </w:rPr>
        <w:t>Later source:</w:t>
      </w:r>
      <w:r>
        <w:t xml:space="preserve"> Merging modelled and reported flood impacts in Europe in a combined flood event catalogue for 1950–2020 — https://doi.org/10.5194/hess-28-3983-2024</w:t>
      </w:r>
    </w:p>
    <w:p>
      <w:pPr>
        <w:pStyle w:val="SourceNote"/>
      </w:pPr>
      <w:r>
        <w:rPr>
          <w:b/>
        </w:rPr>
        <w:t>Review status:</w:t>
      </w:r>
      <w:r>
        <w:t xml:space="preserve"> unchecked — possible relationship only</w:t>
      </w:r>
    </w:p>
    <w:p>
      <w:pPr>
        <w:pStyle w:val="Heading2"/>
      </w:pPr>
      <w:r>
        <w:t>281. Claim + two later sources: Foresighting organizational learning equilibrium in European universities</w:t>
      </w:r>
    </w:p>
    <w:p>
      <w:pPr>
        <w:pStyle w:val="SourceNote"/>
      </w:pPr>
      <w:r>
        <w:rPr>
          <w:b/>
        </w:rPr>
        <w:t>Group ID:</w:t>
      </w:r>
      <w:r>
        <w:t xml:space="preserve"> group-149d813cfee5259137a8</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Effects of Climate Change on Areas Suitable for Maize Cultivation and Aflatoxin Contamination in Europe — https://doi.org/10.3390/toxins15100599</w:t>
      </w:r>
    </w:p>
    <w:p>
      <w:pPr/>
      <w:r>
        <w:rPr>
          <w:b/>
        </w:rPr>
        <w:t>Later source:</w:t>
      </w:r>
      <w:r>
        <w:t xml:space="preserve"> What should European nephrology do with the new CKD-EPI equation? — https://doi.org/10.1093/ndt/gfac254</w:t>
      </w:r>
    </w:p>
    <w:p>
      <w:pPr>
        <w:pStyle w:val="SourceNote"/>
      </w:pPr>
      <w:r>
        <w:rPr>
          <w:b/>
        </w:rPr>
        <w:t>Review status:</w:t>
      </w:r>
      <w:r>
        <w:t xml:space="preserve"> unchecked — possible relationship only</w:t>
      </w:r>
    </w:p>
    <w:p>
      <w:pPr>
        <w:pStyle w:val="Heading2"/>
      </w:pPr>
      <w:r>
        <w:t>282. Claim + two later sources: Backcasting scenarios for Finland 2050 of low emissions</w:t>
      </w:r>
    </w:p>
    <w:p>
      <w:pPr>
        <w:pStyle w:val="SourceNote"/>
      </w:pPr>
      <w:r>
        <w:rPr>
          <w:b/>
        </w:rPr>
        <w:t>Group ID:</w:t>
      </w:r>
      <w:r>
        <w:t xml:space="preserve"> group-4ba949d822bfde4713aa</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Bronchiectasis in Europe: data on disease characteristics from the European Bronchiectasis registry (EMBARC) — https://doi.org/10.1016/s2213-2600(23)00093-0</w:t>
      </w:r>
    </w:p>
    <w:p>
      <w:pPr/>
      <w:r>
        <w:rPr>
          <w:b/>
        </w:rPr>
        <w:t>Later source:</w:t>
      </w:r>
      <w:r>
        <w:t xml:space="preserve"> Environmental Restrictions on the Exercise of Land Rights: European Experience — https://doi.org/10.33687/ijae.009.00.3963</w:t>
      </w:r>
    </w:p>
    <w:p>
      <w:pPr>
        <w:pStyle w:val="SourceNote"/>
      </w:pPr>
      <w:r>
        <w:rPr>
          <w:b/>
        </w:rPr>
        <w:t>Review status:</w:t>
      </w:r>
      <w:r>
        <w:t xml:space="preserve"> unchecked — possible relationship only</w:t>
      </w:r>
    </w:p>
    <w:p>
      <w:pPr>
        <w:pStyle w:val="Heading2"/>
      </w:pPr>
      <w:r>
        <w:t>283.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284. Claim + two later sources: Towards net zero CO2 in 2050: An emission reduction pathway for organic soils in Germany</w:t>
      </w:r>
    </w:p>
    <w:p>
      <w:pPr>
        <w:pStyle w:val="SourceNote"/>
      </w:pPr>
      <w:r>
        <w:rPr>
          <w:b/>
        </w:rPr>
        <w:t>Group ID:</w:t>
      </w:r>
      <w:r>
        <w:t xml:space="preserve"> group-76f28ace58ab5862e8be</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Energy pathway variety and the progress of the energy transition in European countries — https://doi.org/10.48550/arxiv.2609.09607</w:t>
      </w:r>
    </w:p>
    <w:p>
      <w:pPr/>
      <w:r>
        <w:rPr>
          <w:b/>
        </w:rPr>
        <w:t>Later source:</w:t>
      </w:r>
      <w:r>
        <w:t xml:space="preserve"> Women’s Leadership in Organizations as a Pathway to Ukraine’s European Integration — https://doi.org/10.32983/2222-4459-2024-11-377-386</w:t>
      </w:r>
    </w:p>
    <w:p>
      <w:pPr>
        <w:pStyle w:val="SourceNote"/>
      </w:pPr>
      <w:r>
        <w:rPr>
          <w:b/>
        </w:rPr>
        <w:t>Review status:</w:t>
      </w:r>
      <w:r>
        <w:t xml:space="preserve"> unchecked — possible relationship only</w:t>
      </w:r>
    </w:p>
    <w:p>
      <w:pPr>
        <w:pStyle w:val="Heading2"/>
      </w:pPr>
      <w:r>
        <w:t>285. Claim + two later sources: Conservation biology research priorities for 2050: A Central-Eastern European perspective</w:t>
      </w:r>
    </w:p>
    <w:p>
      <w:pPr>
        <w:pStyle w:val="SourceNote"/>
      </w:pPr>
      <w:r>
        <w:rPr>
          <w:b/>
        </w:rPr>
        <w:t>Group ID:</w:t>
      </w:r>
      <w:r>
        <w:t xml:space="preserve"> group-db705d6e42977be5e468</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Inventory and analysis of foresight studies on European livestock production systems: The D1.5 delivrable for the STEP-UP project — https://openalex.org/W7212105644</w:t>
      </w:r>
    </w:p>
    <w:p>
      <w:pPr>
        <w:pStyle w:val="SourceNote"/>
      </w:pPr>
      <w:r>
        <w:rPr>
          <w:b/>
        </w:rPr>
        <w:t>Review status:</w:t>
      </w:r>
      <w:r>
        <w:t xml:space="preserve"> unchecked — possible relationship only</w:t>
      </w:r>
    </w:p>
    <w:p>
      <w:pPr>
        <w:pStyle w:val="Heading2"/>
      </w:pPr>
      <w:r>
        <w:t>286. Claim + two later sources: Financing Innovations for the Renewable Energy Transition in Europe</w:t>
      </w:r>
    </w:p>
    <w:p>
      <w:pPr>
        <w:pStyle w:val="SourceNote"/>
      </w:pPr>
      <w:r>
        <w:rPr>
          <w:b/>
        </w:rPr>
        <w:t>Group ID:</w:t>
      </w:r>
      <w:r>
        <w:t xml:space="preserve"> group-76509a76b7eebe738f10</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The Governance and Funding of European Rearmament — https://doi.org/10.2478/ie-2025-0041</w:t>
      </w:r>
    </w:p>
    <w:p>
      <w:pPr/>
      <w:r>
        <w:rPr>
          <w:b/>
        </w:rPr>
        <w:t>Later source:</w:t>
      </w:r>
      <w:r>
        <w:t xml:space="preserve"> Comparison of Excise Duties in the Member States of the European Union — https://openalex.org/W7128985412</w:t>
      </w:r>
    </w:p>
    <w:p>
      <w:pPr>
        <w:pStyle w:val="SourceNote"/>
      </w:pPr>
      <w:r>
        <w:rPr>
          <w:b/>
        </w:rPr>
        <w:t>Review status:</w:t>
      </w:r>
      <w:r>
        <w:t xml:space="preserve"> unchecked — possible relationship only</w:t>
      </w:r>
    </w:p>
    <w:p>
      <w:pPr>
        <w:pStyle w:val="Heading2"/>
      </w:pPr>
      <w:r>
        <w:t>287. Claim + two later sources: The Selection of Intermodal Transport System Scenarios in the Function of Southeastern Europe Regional Development</w:t>
      </w:r>
    </w:p>
    <w:p>
      <w:pPr>
        <w:pStyle w:val="SourceNote"/>
      </w:pPr>
      <w:r>
        <w:rPr>
          <w:b/>
        </w:rPr>
        <w:t>Group ID:</w:t>
      </w:r>
      <w:r>
        <w:t xml:space="preserve"> group-16dcd893b971bc5a3184</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Assessing the effects of restoration and conservation on gaseous carbon fluxes and climate mitigation potential across six European coastal wetlands — https://doi.org/10.1016/j.ecoleng.2026.108080</w:t>
      </w:r>
    </w:p>
    <w:p>
      <w:pPr/>
      <w:r>
        <w:rPr>
          <w:b/>
        </w:rPr>
        <w:t>Later source:</w:t>
      </w:r>
      <w:r>
        <w:t xml:space="preserve"> Potential for Expanding Sorghum Production in Europe in the Face of Climate Change — https://doi.org/10.1029/2025ef007503</w:t>
      </w:r>
    </w:p>
    <w:p>
      <w:pPr>
        <w:pStyle w:val="SourceNote"/>
      </w:pPr>
      <w:r>
        <w:rPr>
          <w:b/>
        </w:rPr>
        <w:t>Review status:</w:t>
      </w:r>
      <w:r>
        <w:t xml:space="preserve"> unchecked — possible relationship only</w:t>
      </w:r>
    </w:p>
    <w:p>
      <w:pPr>
        <w:pStyle w:val="Heading2"/>
      </w:pPr>
      <w:r>
        <w:t>288. Claim + two later sources: Medium-term forecast of European economic sustainable growth using Markov chains</w:t>
      </w:r>
    </w:p>
    <w:p>
      <w:pPr>
        <w:pStyle w:val="SourceNote"/>
      </w:pPr>
      <w:r>
        <w:rPr>
          <w:b/>
        </w:rPr>
        <w:t>Group ID:</w:t>
      </w:r>
      <w:r>
        <w:t xml:space="preserve"> group-c46bb4fe94e17b599134</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Digitalisation and Economic Growth in the European Union — https://doi.org/10.3390/electronics12071718</w:t>
      </w:r>
    </w:p>
    <w:p>
      <w:pPr/>
      <w:r>
        <w:rPr>
          <w:b/>
        </w:rPr>
        <w:t>Later source:</w:t>
      </w:r>
      <w:r>
        <w:t xml:space="preserve"> The impact of international economic sanctions on national economic growth. — https://openalex.org/W7125359130</w:t>
      </w:r>
    </w:p>
    <w:p>
      <w:pPr>
        <w:pStyle w:val="SourceNote"/>
      </w:pPr>
      <w:r>
        <w:rPr>
          <w:b/>
        </w:rPr>
        <w:t>Review status:</w:t>
      </w:r>
      <w:r>
        <w:t xml:space="preserve"> unchecked — possible relationship only</w:t>
      </w:r>
    </w:p>
    <w:p>
      <w:pPr>
        <w:pStyle w:val="Heading2"/>
      </w:pPr>
      <w:r>
        <w:t>289. Claim + two later sources: What We Hope, What We Fear, What We Expect: Possible Scenarios for the Future of the Eurozone</w:t>
      </w:r>
    </w:p>
    <w:p>
      <w:pPr>
        <w:pStyle w:val="SourceNote"/>
      </w:pPr>
      <w:r>
        <w:rPr>
          <w:b/>
        </w:rPr>
        <w:t>Group ID:</w:t>
      </w:r>
      <w:r>
        <w:t xml:space="preserve"> group-124276965cd7f0717978</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European Reform Movements and the Making of the International Congress, 1840–1860 — https://doi.org/10.1080/07075332.2020.1808506</w:t>
      </w:r>
    </w:p>
    <w:p>
      <w:pPr/>
      <w:r>
        <w:rPr>
          <w:b/>
        </w:rPr>
        <w:t>Later source:</w:t>
      </w:r>
      <w:r>
        <w:t xml:space="preserve"> Economic Reforms and the Burdens of Transition — https://doi.org/10.1017/9781108752466.005</w:t>
      </w:r>
    </w:p>
    <w:p>
      <w:pPr>
        <w:pStyle w:val="SourceNote"/>
      </w:pPr>
      <w:r>
        <w:rPr>
          <w:b/>
        </w:rPr>
        <w:t>Review status:</w:t>
      </w:r>
      <w:r>
        <w:t xml:space="preserve"> unchecked — possible relationship only</w:t>
      </w:r>
    </w:p>
    <w:p>
      <w:pPr>
        <w:pStyle w:val="Heading2"/>
      </w:pPr>
      <w:r>
        <w:t>290.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291. Claim + two later sources: Transport demand evolution in Europe – factors of change, scenarios and challenges</w:t>
      </w:r>
    </w:p>
    <w:p>
      <w:pPr>
        <w:pStyle w:val="SourceNote"/>
      </w:pPr>
      <w:r>
        <w:rPr>
          <w:b/>
        </w:rPr>
        <w:t>Group ID:</w:t>
      </w:r>
      <w:r>
        <w:t xml:space="preserve"> group-c25b95bbfff8f85bafe1</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Effects of Digitalization on Labor Market Development in Transport Sector in Post- Covid Environment — https://doi.org/10.37075/2023.4/ea.2023.4.05</w:t>
      </w:r>
    </w:p>
    <w:p>
      <w:pPr>
        <w:pStyle w:val="SourceNote"/>
      </w:pPr>
      <w:r>
        <w:rPr>
          <w:b/>
        </w:rPr>
        <w:t>Review status:</w:t>
      </w:r>
      <w:r>
        <w:t xml:space="preserve"> unchecked — possible relationship only</w:t>
      </w:r>
    </w:p>
    <w:p>
      <w:pPr>
        <w:pStyle w:val="Heading2"/>
      </w:pPr>
      <w:r>
        <w:t>292.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possible relationship only</w:t>
      </w:r>
    </w:p>
    <w:p>
      <w:pPr>
        <w:pStyle w:val="Heading2"/>
      </w:pPr>
      <w:r>
        <w:t>293. Claim + two later sources: Long-Term Hydrocarbon Trade Options for the Maghreb Region and Europe—Renewable Energy Based Synthetic Fuels for a Net Zero Emissions World</w:t>
      </w:r>
    </w:p>
    <w:p>
      <w:pPr>
        <w:pStyle w:val="SourceNote"/>
      </w:pPr>
      <w:r>
        <w:rPr>
          <w:b/>
        </w:rPr>
        <w:t>Group ID:</w:t>
      </w:r>
      <w:r>
        <w:t xml:space="preserve"> group-f4695c241f02dc7c62f9</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Implementation of the WACC Notice and challenges in determining the VHCN risk premium — https://openalex.org/W7124128098</w:t>
      </w:r>
    </w:p>
    <w:p>
      <w:pPr/>
      <w:r>
        <w:rPr>
          <w:b/>
        </w:rPr>
        <w:t>Later source:</w:t>
      </w:r>
      <w:r>
        <w:t xml:space="preserve"> The relationship between the application of corporate sustainability policy and the weighted average cost of capital: examples of European countries — https://doi.org/10.29119/1641-3466.2024.202.8</w:t>
      </w:r>
    </w:p>
    <w:p>
      <w:pPr>
        <w:pStyle w:val="SourceNote"/>
      </w:pPr>
      <w:r>
        <w:rPr>
          <w:b/>
        </w:rPr>
        <w:t>Review status:</w:t>
      </w:r>
      <w:r>
        <w:t xml:space="preserve"> unchecked — possible relationship only</w:t>
      </w:r>
    </w:p>
    <w:p>
      <w:pPr>
        <w:pStyle w:val="Heading2"/>
      </w:pPr>
      <w:r>
        <w:t>294. Claim + two later sources: Exploring the Future of Universities Through Experimental Foresight</w:t>
      </w:r>
    </w:p>
    <w:p>
      <w:pPr>
        <w:pStyle w:val="SourceNote"/>
      </w:pPr>
      <w:r>
        <w:rPr>
          <w:b/>
        </w:rPr>
        <w:t>Group ID:</w:t>
      </w:r>
      <w:r>
        <w:t xml:space="preserve"> group-f271df44074c235a7f21</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Becoming a forerunner in foresight : Key elements of success in organizational foresight — https://openalex.org/W3175285991</w:t>
      </w:r>
    </w:p>
    <w:p>
      <w:pPr/>
      <w:r>
        <w:rPr>
          <w:b/>
        </w:rPr>
        <w:t>Later source:</w:t>
      </w:r>
      <w:r>
        <w:t xml:space="preserve"> Creativity, proactivity, and foresight — https://doi.org/10.1016/j.techfore.2021.121215</w:t>
      </w:r>
    </w:p>
    <w:p>
      <w:pPr>
        <w:pStyle w:val="SourceNote"/>
      </w:pPr>
      <w:r>
        <w:rPr>
          <w:b/>
        </w:rPr>
        <w:t>Review status:</w:t>
      </w:r>
      <w:r>
        <w:t xml:space="preserve"> unchecked — possible relationship only</w:t>
      </w:r>
    </w:p>
    <w:p>
      <w:pPr>
        <w:pStyle w:val="Heading2"/>
      </w:pPr>
      <w:r>
        <w:t>295. Claim + two later sources: Modelling the European Union Sustainability Transition: A Soft-Linking Approach</w:t>
      </w:r>
    </w:p>
    <w:p>
      <w:pPr>
        <w:pStyle w:val="SourceNote"/>
      </w:pPr>
      <w:r>
        <w:rPr>
          <w:b/>
        </w:rPr>
        <w:t>Group ID:</w:t>
      </w:r>
      <w:r>
        <w:t xml:space="preserve"> group-46265428f5a2f2897f4e</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IMPLEMENTASI EUROPEAN GREEN DEAL (EGD) TERKAIT KEBIJAKAN GREEN ECONOMY DI UNI EROPA TAHUN 2020-2024 — https://openalex.org/W7153397118</w:t>
      </w:r>
    </w:p>
    <w:p>
      <w:pPr/>
      <w:r>
        <w:rPr>
          <w:b/>
        </w:rPr>
        <w:t>Later source:</w:t>
      </w:r>
      <w:r>
        <w:t xml:space="preserve"> The European Green Deal (EGD) in the public opinion – assessment of awareness of environmental pollution and threats to health and life — https://doi.org/10.34659/eis.2026.97.2.1157</w:t>
      </w:r>
    </w:p>
    <w:p>
      <w:pPr>
        <w:pStyle w:val="SourceNote"/>
      </w:pPr>
      <w:r>
        <w:rPr>
          <w:b/>
        </w:rPr>
        <w:t>Review status:</w:t>
      </w:r>
      <w:r>
        <w:t xml:space="preserve"> unchecked — possible relationship only</w:t>
      </w:r>
    </w:p>
    <w:p>
      <w:pPr>
        <w:pStyle w:val="Heading2"/>
      </w:pPr>
      <w:r>
        <w:t>296. Claim + two later sources: Time banks, co-production and foresight: intertwined towards an alternative future</w:t>
      </w:r>
    </w:p>
    <w:p>
      <w:pPr>
        <w:pStyle w:val="SourceNote"/>
      </w:pPr>
      <w:r>
        <w:rPr>
          <w:b/>
        </w:rPr>
        <w:t>Group ID:</w:t>
      </w:r>
      <w:r>
        <w:t xml:space="preserve"> group-4f821bd3426036aefc52</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Willingness, motivators and barriers to time bank participation: A scoping review — https://doi.org/10.1371/journal.pone.0322760</w:t>
      </w:r>
    </w:p>
    <w:p>
      <w:pPr>
        <w:pStyle w:val="SourceNote"/>
      </w:pPr>
      <w:r>
        <w:rPr>
          <w:b/>
        </w:rPr>
        <w:t>Review status:</w:t>
      </w:r>
      <w:r>
        <w:t xml:space="preserve"> unchecked — possible relationship only</w:t>
      </w:r>
    </w:p>
    <w:p>
      <w:pPr>
        <w:pStyle w:val="Heading2"/>
      </w:pPr>
      <w:r>
        <w:t>297.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possible relationship only</w:t>
      </w:r>
    </w:p>
    <w:p>
      <w:pPr>
        <w:pStyle w:val="Heading2"/>
      </w:pPr>
      <w:r>
        <w:t>298. Claim + two later sources: Charging the future: Roadmaps and value tensions for mainstreaming prosumerism to 2030 and 2050</w:t>
      </w:r>
    </w:p>
    <w:p>
      <w:pPr>
        <w:pStyle w:val="SourceNote"/>
      </w:pPr>
      <w:r>
        <w:rPr>
          <w:b/>
        </w:rPr>
        <w:t>Group ID:</w:t>
      </w:r>
      <w:r>
        <w:t xml:space="preserve"> group-df3236ee1b2d1d62bb5c</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Discrimination of two-highlight versus single-highlight phantom echoes by bottlenose dolphins ( Tursiops truncatus ) — https://doi.org/10.1121/10.0043763</w:t>
      </w:r>
    </w:p>
    <w:p>
      <w:pPr/>
      <w:r>
        <w:rPr>
          <w:b/>
        </w:rPr>
        <w:t>Later source:</w:t>
      </w:r>
      <w:r>
        <w:t xml:space="preserve"> Three-dimensional third medium contact model for hyperelastic contact and pneumatically actuated systems — https://doi.org/10.48550/arxiv.2512.03181</w:t>
      </w:r>
    </w:p>
    <w:p>
      <w:pPr>
        <w:pStyle w:val="SourceNote"/>
      </w:pPr>
      <w:r>
        <w:rPr>
          <w:b/>
        </w:rPr>
        <w:t>Review status:</w:t>
      </w:r>
      <w:r>
        <w:t xml:space="preserve"> unchecked — possible relationship only</w:t>
      </w:r>
    </w:p>
    <w:p>
      <w:pPr>
        <w:pStyle w:val="Heading2"/>
      </w:pPr>
      <w:r>
        <w:t>299. Claim + two later sources: Organic farming in the European Union – perspectives for 2030</w:t>
      </w:r>
    </w:p>
    <w:p>
      <w:pPr>
        <w:pStyle w:val="SourceNote"/>
      </w:pPr>
      <w:r>
        <w:rPr>
          <w:b/>
        </w:rPr>
        <w:t>Group ID:</w:t>
      </w:r>
      <w:r>
        <w:t xml:space="preserve"> group-1bc0020be0a8fc01a993</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The Scramble for Europe — https://doi.org/10.1093/9780197781470.001.0001</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300.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group-796e17de2270e6385311</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Robust data integration methods for understanding associations between climate change and hantavirus infection in Europe are needed: A systematic-narrative hybrid literature review — https://doi.org/10.1016/j.envc.2026.101486</w:t>
      </w:r>
    </w:p>
    <w:p>
      <w:pPr/>
      <w:r>
        <w:rPr>
          <w:b/>
        </w:rPr>
        <w:t>Later source:</w:t>
      </w:r>
      <w:r>
        <w:t xml:space="preserve"> Climate Change Threatens Micronutrient Density of European Winter Wheat — https://doi.org/10.1002/advs.202513322</w:t>
      </w:r>
    </w:p>
    <w:p>
      <w:pPr>
        <w:pStyle w:val="SourceNote"/>
      </w:pPr>
      <w:r>
        <w:rPr>
          <w:b/>
        </w:rPr>
        <w:t>Review status:</w:t>
      </w:r>
      <w:r>
        <w:t xml:space="preserve"> unchecked — possible relationship only</w:t>
      </w:r>
    </w:p>
    <w:p>
      <w:pPr>
        <w:pStyle w:val="Heading2"/>
      </w:pPr>
      <w:r>
        <w:t>301. Claim + two later sources: Estimation and Forecasts for the Share of Renewable Energy Consumption in Final Energy Consumption by 2020 in the European Union</w:t>
      </w:r>
    </w:p>
    <w:p>
      <w:pPr>
        <w:pStyle w:val="SourceNote"/>
      </w:pPr>
      <w:r>
        <w:rPr>
          <w:b/>
        </w:rPr>
        <w:t>Group ID:</w:t>
      </w:r>
      <w:r>
        <w:t xml:space="preserve"> group-2592aff9c7c0bd217e4d</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European Economic Forecast — https://doi.org/10.2765/0071034</w:t>
      </w:r>
    </w:p>
    <w:p>
      <w:pPr>
        <w:pStyle w:val="SourceNote"/>
      </w:pPr>
      <w:r>
        <w:rPr>
          <w:b/>
        </w:rPr>
        <w:t>Review status:</w:t>
      </w:r>
      <w:r>
        <w:t xml:space="preserve"> unchecked — possible relationship only</w:t>
      </w:r>
    </w:p>
    <w:p>
      <w:pPr>
        <w:pStyle w:val="Heading2"/>
      </w:pPr>
      <w:r>
        <w:t>302.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303. Claim + two later sources: EUROPEAN UNION STRATEGIC AUTONOMY IN THE CONTEXT OF THE CONFERENCE ON THE FUTURE OF EUROPE</w:t>
      </w:r>
    </w:p>
    <w:p>
      <w:pPr>
        <w:pStyle w:val="SourceNote"/>
      </w:pPr>
      <w:r>
        <w:rPr>
          <w:b/>
        </w:rPr>
        <w:t>Group ID:</w:t>
      </w:r>
      <w:r>
        <w:t xml:space="preserve"> group-86103db568027b42ddf1</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Legal, Ethical, and Social Issues of AI and Law Enforcement in Europe — https://doi.org/10.1017/9781009367783.022</w:t>
      </w:r>
    </w:p>
    <w:p>
      <w:pPr/>
      <w:r>
        <w:rPr>
          <w:b/>
        </w:rPr>
        <w:t>Later source:</w:t>
      </w:r>
      <w:r>
        <w:t xml:space="preserve"> The European Union Development Policy and Achieving Sustainable Development Goals (SDGs) of the United Nations — https://doi.org/10.4018/979-8-3693-1742-6.ch020</w:t>
      </w:r>
    </w:p>
    <w:p>
      <w:pPr>
        <w:pStyle w:val="SourceNote"/>
      </w:pPr>
      <w:r>
        <w:rPr>
          <w:b/>
        </w:rPr>
        <w:t>Review status:</w:t>
      </w:r>
      <w:r>
        <w:t xml:space="preserve"> unchecked — possible relationship only</w:t>
      </w:r>
    </w:p>
    <w:p>
      <w:pPr>
        <w:pStyle w:val="Heading2"/>
      </w:pPr>
      <w:r>
        <w:t>304. Claim + two later sources: Assessing Energy Descent Scenarios for the Ecological Transition in Spain 2020–2030</w:t>
      </w:r>
    </w:p>
    <w:p>
      <w:pPr>
        <w:pStyle w:val="SourceNote"/>
      </w:pPr>
      <w:r>
        <w:rPr>
          <w:b/>
        </w:rPr>
        <w:t>Group ID:</w:t>
      </w:r>
      <w:r>
        <w:t xml:space="preserve"> group-5f1a4c156e77ec030da9</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Predictiveness and drivers of highly pathogenic avian influenza outbreaks in Europe — https://doi.org/10.1038/s41598-025-04624-x</w:t>
      </w:r>
    </w:p>
    <w:p>
      <w:pPr>
        <w:pStyle w:val="SourceNote"/>
      </w:pPr>
      <w:r>
        <w:rPr>
          <w:b/>
        </w:rPr>
        <w:t>Review status:</w:t>
      </w:r>
      <w:r>
        <w:t xml:space="preserve"> unchecked — possible relationship only</w:t>
      </w:r>
    </w:p>
    <w:p>
      <w:pPr>
        <w:pStyle w:val="Heading2"/>
      </w:pPr>
      <w:r>
        <w:t>305. Claim + two later sources: Future prospects for personal security in travel by public transport</w:t>
      </w:r>
    </w:p>
    <w:p>
      <w:pPr>
        <w:pStyle w:val="SourceNote"/>
      </w:pPr>
      <w:r>
        <w:rPr>
          <w:b/>
        </w:rPr>
        <w:t>Group ID:</w:t>
      </w:r>
      <w:r>
        <w:t xml:space="preserve"> group-62c5f6b7b43277958536</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PRACTICAL APPROACHES TO DEVELOPING CREATIVE THINKING IN PRESCHOOL CHILDREN: A NARRATIVE REVIEW — https://doi.org/10.5281/zenodo.23090972</w:t>
      </w:r>
    </w:p>
    <w:p>
      <w:pPr>
        <w:pStyle w:val="SourceNote"/>
      </w:pPr>
      <w:r>
        <w:rPr>
          <w:b/>
        </w:rPr>
        <w:t>Review status:</w:t>
      </w:r>
      <w:r>
        <w:t xml:space="preserve"> unchecked — possible relationship only</w:t>
      </w:r>
    </w:p>
    <w:p>
      <w:pPr>
        <w:pStyle w:val="Heading2"/>
      </w:pPr>
      <w:r>
        <w:t>306. Claim + two later sources: A Mismatch in Future Narratives? A Comparative Analysis Between Energy Futures in Policy and of Citizens</w:t>
      </w:r>
    </w:p>
    <w:p>
      <w:pPr>
        <w:pStyle w:val="SourceNote"/>
      </w:pPr>
      <w:r>
        <w:rPr>
          <w:b/>
        </w:rPr>
        <w:t>Group ID:</w:t>
      </w:r>
      <w:r>
        <w:t xml:space="preserve"> group-60b84e6d1bfa3bec450e</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Narrative as Strategy: A Study on Central-Local Interaction in China's Tobacco Control Policy — https://doi.org/10.62787/jmhm.v4i3.377</w:t>
      </w:r>
    </w:p>
    <w:p>
      <w:pPr/>
      <w:r>
        <w:rPr>
          <w:b/>
        </w:rPr>
        <w:t>Later source:</w:t>
      </w:r>
      <w:r>
        <w:t xml:space="preserve"> The Plastic Excise Policy Debate in Indonesia: A Narrative Policy Analysis ApproachThe Plastic Excise Policy Debate in Indonesia: A Narrative Policy Analysis Approach — https://doi.org/10.51505/ijebmr.2025.9523</w:t>
      </w:r>
    </w:p>
    <w:p>
      <w:pPr>
        <w:pStyle w:val="SourceNote"/>
      </w:pPr>
      <w:r>
        <w:rPr>
          <w:b/>
        </w:rPr>
        <w:t>Review status:</w:t>
      </w:r>
      <w:r>
        <w:t xml:space="preserve"> unchecked — possible relationship only</w:t>
      </w:r>
    </w:p>
    <w:p>
      <w:pPr>
        <w:pStyle w:val="Heading2"/>
      </w:pPr>
      <w:r>
        <w:t>307. Claim + two later sources: Past and Future Trends in Refugee Migration on the Regional Level in Germany – An Analysis and Projection of Labor Market Effects</w:t>
      </w:r>
    </w:p>
    <w:p>
      <w:pPr>
        <w:pStyle w:val="SourceNote"/>
      </w:pPr>
      <w:r>
        <w:rPr>
          <w:b/>
        </w:rPr>
        <w:t>Group ID:</w:t>
      </w:r>
      <w:r>
        <w:t xml:space="preserve"> group-8c7fe1866c98df043761</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Institutional context and the employment effects of artificial intelligence in European SMEs — https://doi.org/10.1016/j.telpol.2026.103336</w:t>
      </w:r>
    </w:p>
    <w:p>
      <w:pPr/>
      <w:r>
        <w:rPr>
          <w:b/>
        </w:rPr>
        <w:t>Later source:</w:t>
      </w:r>
      <w:r>
        <w:t xml:space="preserve"> Regional economic impact of the Next Generation European Union recovery plan — https://doi.org/10.1016/j.pirs.2025.100105</w:t>
      </w:r>
    </w:p>
    <w:p>
      <w:pPr>
        <w:pStyle w:val="SourceNote"/>
      </w:pPr>
      <w:r>
        <w:rPr>
          <w:b/>
        </w:rPr>
        <w:t>Review status:</w:t>
      </w:r>
      <w:r>
        <w:t xml:space="preserve"> unchecked — possible relationship only</w:t>
      </w:r>
    </w:p>
    <w:p>
      <w:pPr>
        <w:pStyle w:val="Heading2"/>
      </w:pPr>
      <w:r>
        <w:t>308. Claim + two later sources: The EU Decarbonisation Roadmap 2050—What way to walk?</w:t>
      </w:r>
    </w:p>
    <w:p>
      <w:pPr>
        <w:pStyle w:val="SourceNote"/>
      </w:pPr>
      <w:r>
        <w:rPr>
          <w:b/>
        </w:rPr>
        <w:t>Group ID:</w:t>
      </w:r>
      <w:r>
        <w:t xml:space="preserve"> group-6fcc95e031c2804c367d</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The clean development mechanism in Eastern Europe: an in-depth exploration — https://doi.org/10.1007/s11356-022-20988-3</w:t>
      </w:r>
    </w:p>
    <w:p>
      <w:pPr/>
      <w:r>
        <w:rPr>
          <w:b/>
        </w:rPr>
        <w:t>Later source:</w:t>
      </w:r>
      <w:r>
        <w:t xml:space="preserve"> 2014 European guideline on the management of syphilis — https://doi.org/10.1111/jdv.12734</w:t>
      </w:r>
    </w:p>
    <w:p>
      <w:pPr>
        <w:pStyle w:val="SourceNote"/>
      </w:pPr>
      <w:r>
        <w:rPr>
          <w:b/>
        </w:rPr>
        <w:t>Review status:</w:t>
      </w:r>
      <w:r>
        <w:t xml:space="preserve"> unchecked — possible relationship only</w:t>
      </w:r>
    </w:p>
    <w:p>
      <w:pPr>
        <w:pStyle w:val="Heading2"/>
      </w:pPr>
      <w:r>
        <w:t>309. Claim + two later sources: Food futures: system transitions towards UK food security</w:t>
      </w:r>
    </w:p>
    <w:p>
      <w:pPr>
        <w:pStyle w:val="SourceNote"/>
      </w:pPr>
      <w:r>
        <w:rPr>
          <w:b/>
        </w:rPr>
        <w:t>Group ID:</w:t>
      </w:r>
      <w:r>
        <w:t xml:space="preserve"> group-8f1d23a72887ff784beb</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Carbon capture and utilization under EU law: impermanent storage of CO2 in products and pre-combustion carbon capture — https://doi.org/10.1093/jwelb/jwae009</w:t>
      </w:r>
    </w:p>
    <w:p>
      <w:pPr/>
      <w:r>
        <w:rPr>
          <w:b/>
        </w:rPr>
        <w:t>Later source:</w:t>
      </w:r>
      <w:r>
        <w:t xml:space="preserve"> Article 89 — https://doi.org/10.1093/law/9780192864536.003.0110</w:t>
      </w:r>
    </w:p>
    <w:p>
      <w:pPr>
        <w:pStyle w:val="SourceNote"/>
      </w:pPr>
      <w:r>
        <w:rPr>
          <w:b/>
        </w:rPr>
        <w:t>Review status:</w:t>
      </w:r>
      <w:r>
        <w:t xml:space="preserve"> unchecked — possible relationship only</w:t>
      </w:r>
    </w:p>
    <w:p>
      <w:pPr>
        <w:pStyle w:val="Heading2"/>
      </w:pPr>
      <w:r>
        <w:t>310. Claim + two later sources: Scenario forecasting of consumption of main organic livestock products in Ukraine</w:t>
      </w:r>
    </w:p>
    <w:p>
      <w:pPr>
        <w:pStyle w:val="SourceNote"/>
      </w:pPr>
      <w:r>
        <w:rPr>
          <w:b/>
        </w:rPr>
        <w:t>Group ID:</w:t>
      </w:r>
      <w:r>
        <w:t xml:space="preserve"> group-c85685d63f0e0fb81f50</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When climate risk affects the systemic risk of the insurance sector: ∆CoVaR forecasting — https://doi.org/10.1007/s00477-026-03350-8</w:t>
      </w:r>
    </w:p>
    <w:p>
      <w:pPr>
        <w:pStyle w:val="SourceNote"/>
      </w:pPr>
      <w:r>
        <w:rPr>
          <w:b/>
        </w:rPr>
        <w:t>Review status:</w:t>
      </w:r>
      <w:r>
        <w:t xml:space="preserve"> unchecked — possible relationship only</w:t>
      </w:r>
    </w:p>
    <w:p>
      <w:pPr>
        <w:pStyle w:val="Heading2"/>
      </w:pPr>
      <w:r>
        <w:t>311. Claim + two later sources: European electricity sector decarbonization under different levels of foresight</w:t>
      </w:r>
    </w:p>
    <w:p>
      <w:pPr>
        <w:pStyle w:val="SourceNote"/>
      </w:pPr>
      <w:r>
        <w:rPr>
          <w:b/>
        </w:rPr>
        <w:t>Group ID:</w:t>
      </w:r>
      <w:r>
        <w:t xml:space="preserve"> group-3cc191e10f147b1fc256</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The European Union and the Wider Europe — https://doi.org/10.1017/9781009230322.017</w:t>
      </w:r>
    </w:p>
    <w:p>
      <w:pPr/>
      <w:r>
        <w:rPr>
          <w:b/>
        </w:rPr>
        <w:t>Later source:</w:t>
      </w:r>
      <w:r>
        <w:t xml:space="preserve"> European Integration and the Treaties on European Union — https://doi.org/10.1017/9781009230322.008</w:t>
      </w:r>
    </w:p>
    <w:p>
      <w:pPr>
        <w:pStyle w:val="SourceNote"/>
      </w:pPr>
      <w:r>
        <w:rPr>
          <w:b/>
        </w:rPr>
        <w:t>Review status:</w:t>
      </w:r>
      <w:r>
        <w:t xml:space="preserve"> unchecked — possible relationship only</w:t>
      </w:r>
    </w:p>
    <w:p>
      <w:pPr>
        <w:pStyle w:val="Heading2"/>
      </w:pPr>
      <w:r>
        <w:t>312.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313. Claim + two later sources: Central-East European employees on the labour market of London</w:t>
      </w:r>
    </w:p>
    <w:p>
      <w:pPr>
        <w:pStyle w:val="SourceNote"/>
      </w:pPr>
      <w:r>
        <w:rPr>
          <w:b/>
        </w:rPr>
        <w:t>Group ID:</w:t>
      </w:r>
      <w:r>
        <w:t xml:space="preserve"> group-388964dc67841b40b97e</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Cross‐border dimensions of Arctic climate change impacts and implications for Europe — https://doi.org/10.1002/wcc.905</w:t>
      </w:r>
    </w:p>
    <w:p>
      <w:pPr>
        <w:pStyle w:val="SourceNote"/>
      </w:pPr>
      <w:r>
        <w:rPr>
          <w:b/>
        </w:rPr>
        <w:t>Review status:</w:t>
      </w:r>
      <w:r>
        <w:t xml:space="preserve"> unchecked — possible relationship only</w:t>
      </w:r>
    </w:p>
    <w:p>
      <w:pPr>
        <w:pStyle w:val="Heading2"/>
      </w:pPr>
      <w:r>
        <w:t>314. Claim + two later sources: Scenarios of Automated Mobility in Austria: Implications for Future Transport Policy</w:t>
      </w:r>
    </w:p>
    <w:p>
      <w:pPr>
        <w:pStyle w:val="SourceNote"/>
      </w:pPr>
      <w:r>
        <w:rPr>
          <w:b/>
        </w:rPr>
        <w:t>Group ID:</w:t>
      </w:r>
      <w:r>
        <w:t xml:space="preserve"> group-a40905e0adc7bf3e849a</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Europe's way from natural gas to green hydrogen: Modeling and simulation of the transforming European gas transport infrastructure — https://doi.org/10.1016/j.ijhydene.2025.04.408</w:t>
      </w:r>
    </w:p>
    <w:p>
      <w:pPr>
        <w:pStyle w:val="SourceNote"/>
      </w:pPr>
      <w:r>
        <w:rPr>
          <w:b/>
        </w:rPr>
        <w:t>Review status:</w:t>
      </w:r>
      <w:r>
        <w:t xml:space="preserve"> unchecked — possible relationship only</w:t>
      </w:r>
    </w:p>
    <w:p>
      <w:pPr>
        <w:pStyle w:val="Heading2"/>
      </w:pPr>
      <w:r>
        <w:t>315. Claim + two later sources: Long term impact of residue management on soil organic carbon stocks and nitrous oxide emissions from European croplands</w:t>
      </w:r>
    </w:p>
    <w:p>
      <w:pPr>
        <w:pStyle w:val="SourceNote"/>
      </w:pPr>
      <w:r>
        <w:rPr>
          <w:b/>
        </w:rPr>
        <w:t>Group ID:</w:t>
      </w:r>
      <w:r>
        <w:t xml:space="preserve"> group-dcea2bc5111b3fe1a165</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Biophysical climate responses to albedo management for wheat residue retention, cover crops, and pale wheat across European croplands — https://doi.org/10.5194/egusphere-egu26-9895</w:t>
      </w:r>
    </w:p>
    <w:p>
      <w:pPr/>
      <w:r>
        <w:rPr>
          <w:b/>
        </w:rPr>
        <w:t>Later source:</w:t>
      </w:r>
      <w:r>
        <w:t xml:space="preserve"> Associations between landscape-scale cereal residue management and local biodiversity in Europe — https://doi.org/10.1016/j.agee.2026.110664</w:t>
      </w:r>
    </w:p>
    <w:p>
      <w:pPr>
        <w:pStyle w:val="SourceNote"/>
      </w:pPr>
      <w:r>
        <w:rPr>
          <w:b/>
        </w:rPr>
        <w:t>Review status:</w:t>
      </w:r>
      <w:r>
        <w:t xml:space="preserve"> unchecked — possible relationship only</w:t>
      </w:r>
    </w:p>
    <w:p>
      <w:pPr>
        <w:pStyle w:val="Heading2"/>
      </w:pPr>
      <w:r>
        <w:t>316. Claim + two later sources: Renewables in the European power system and the impact on system rotational inertia</w:t>
      </w:r>
    </w:p>
    <w:p>
      <w:pPr>
        <w:pStyle w:val="SourceNote"/>
      </w:pPr>
      <w:r>
        <w:rPr>
          <w:b/>
        </w:rPr>
        <w:t>Group ID:</w:t>
      </w:r>
      <w:r>
        <w:t xml:space="preserve"> group-c9587ffef6218db158a0</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ETS Price Signal in the Power Sector: Evidence on Decarbonisation and Policy Overlap — https://doi.org/10.32388/iogu7j</w:t>
      </w:r>
    </w:p>
    <w:p>
      <w:pPr/>
      <w:r>
        <w:rPr>
          <w:b/>
        </w:rPr>
        <w:t>Later source:</w:t>
      </w:r>
      <w:r>
        <w:t xml:space="preserve"> Discourse vs. Decarbonisation: Tracking the Alignment Between EU Climate Rhetoric and National Energy Patterns — https://doi.org/10.3390/en18195304</w:t>
      </w:r>
    </w:p>
    <w:p>
      <w:pPr>
        <w:pStyle w:val="SourceNote"/>
      </w:pPr>
      <w:r>
        <w:rPr>
          <w:b/>
        </w:rPr>
        <w:t>Review status:</w:t>
      </w:r>
      <w:r>
        <w:t xml:space="preserve"> unchecked — possible relationship only</w:t>
      </w:r>
    </w:p>
    <w:p>
      <w:pPr>
        <w:pStyle w:val="Heading2"/>
      </w:pPr>
      <w:r>
        <w:t>317. Claim + two later sources: Assessing the prospective resource base for enhanced geothermal systems in Europe</w:t>
      </w:r>
    </w:p>
    <w:p>
      <w:pPr>
        <w:pStyle w:val="SourceNote"/>
      </w:pPr>
      <w:r>
        <w:rPr>
          <w:b/>
        </w:rPr>
        <w:t>Group ID:</w:t>
      </w:r>
      <w:r>
        <w:t xml:space="preserve"> group-19e0840fb8bb69874773</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Enhanced geothermal systems for clean firm energy generation — https://doi.org/10.1038/s44359-024-00019-9</w:t>
      </w:r>
    </w:p>
    <w:p>
      <w:pPr>
        <w:pStyle w:val="SourceNote"/>
      </w:pPr>
      <w:r>
        <w:rPr>
          <w:b/>
        </w:rPr>
        <w:t>Review status:</w:t>
      </w:r>
      <w:r>
        <w:t xml:space="preserve"> unchecked — possible relationship only</w:t>
      </w:r>
    </w:p>
    <w:p>
      <w:pPr>
        <w:pStyle w:val="Heading2"/>
      </w:pPr>
      <w:r>
        <w:t>318.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319. Claim + two later sources: Scenario planning as communicative action: Lessons from participatory exercises conducted for the Scottish livestock industry</w:t>
      </w:r>
    </w:p>
    <w:p>
      <w:pPr>
        <w:pStyle w:val="SourceNote"/>
      </w:pPr>
      <w:r>
        <w:rPr>
          <w:b/>
        </w:rPr>
        <w:t>Group ID:</w:t>
      </w:r>
      <w:r>
        <w:t xml:space="preserve"> group-a495d23f1cb58982fb8c</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Corporate Sustainability Adoption in the Hospitality Industry: A Case Study of Tourist Hotels in Sri Lanka — https://doi.org/10.47772/ijriss.2024.809007</w:t>
      </w:r>
    </w:p>
    <w:p>
      <w:pPr>
        <w:pStyle w:val="SourceNote"/>
      </w:pPr>
      <w:r>
        <w:rPr>
          <w:b/>
        </w:rPr>
        <w:t>Review status:</w:t>
      </w:r>
      <w:r>
        <w:t xml:space="preserve"> unchecked — possible relationship only</w:t>
      </w:r>
    </w:p>
    <w:p>
      <w:pPr>
        <w:pStyle w:val="Heading2"/>
      </w:pPr>
      <w:r>
        <w:t>320. Claim + two later sources: Toward Identification of the Priority Lines of Research in Nanotechnology on the Basis of the Technology Foresight NT for Podlaskie 2020</w:t>
      </w:r>
    </w:p>
    <w:p>
      <w:pPr>
        <w:pStyle w:val="SourceNote"/>
      </w:pPr>
      <w:r>
        <w:rPr>
          <w:b/>
        </w:rPr>
        <w:t>Group ID:</w:t>
      </w:r>
      <w:r>
        <w:t xml:space="preserve"> group-ffb5c12eaa3ae4542b49</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From Reaction to Foresight: EUPHA’s vision for health security in Europe — https://doi.org/10.1093/eurpub/ckaf071</w:t>
      </w:r>
    </w:p>
    <w:p>
      <w:pPr/>
      <w:r>
        <w:rPr>
          <w:b/>
        </w:rPr>
        <w:t>Later source:</w:t>
      </w:r>
      <w:r>
        <w:t xml:space="preserve"> Article: Project FORESIGHT and Return on Investment — https://doi.org/10.4324/9780429318528-14</w:t>
      </w:r>
    </w:p>
    <w:p>
      <w:pPr>
        <w:pStyle w:val="SourceNote"/>
      </w:pPr>
      <w:r>
        <w:rPr>
          <w:b/>
        </w:rPr>
        <w:t>Review status:</w:t>
      </w:r>
      <w:r>
        <w:t xml:space="preserve"> unchecked — possible relationship only</w:t>
      </w:r>
    </w:p>
    <w:p>
      <w:pPr>
        <w:pStyle w:val="Heading2"/>
      </w:pPr>
      <w:r>
        <w:t>321. Claim + two later sources: Foresight technologies of economic systems: evidence from the tourism sector of Ukraine</w:t>
      </w:r>
    </w:p>
    <w:p>
      <w:pPr>
        <w:pStyle w:val="SourceNote"/>
      </w:pPr>
      <w:r>
        <w:rPr>
          <w:b/>
        </w:rPr>
        <w:t>Group ID:</w:t>
      </w:r>
      <w:r>
        <w:t xml:space="preserve"> group-9656dff343fc15e7eb8d</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Criminal Liability Arising from the Use of Artificial Intelligence Applications — https://doi.org/10.5281/zenodo.19810638</w:t>
      </w:r>
    </w:p>
    <w:p>
      <w:pPr/>
      <w:r>
        <w:rPr>
          <w:b/>
        </w:rPr>
        <w:t>Later source:</w:t>
      </w:r>
      <w:r>
        <w:t xml:space="preserve"> THE CHARACTERISTICS OF LOSSES ARISING FROM THE MISUSE OF DEBTORS' PERSONAL DATA IN ONLINE LENDING AGREEMENTS — https://doi.org/10.28946/lexl.v8i1.3827</w:t>
      </w:r>
    </w:p>
    <w:p>
      <w:pPr>
        <w:pStyle w:val="SourceNote"/>
      </w:pPr>
      <w:r>
        <w:rPr>
          <w:b/>
        </w:rPr>
        <w:t>Review status:</w:t>
      </w:r>
      <w:r>
        <w:t xml:space="preserve"> unchecked — possible relationship only</w:t>
      </w:r>
    </w:p>
    <w:p>
      <w:pPr>
        <w:pStyle w:val="Heading2"/>
      </w:pPr>
      <w:r>
        <w:t>322. Claim + two later sources: The Dutch Public Health Foresight Study 2018: an example of a comprehensive foresight exercise</w:t>
      </w:r>
    </w:p>
    <w:p>
      <w:pPr>
        <w:pStyle w:val="SourceNote"/>
      </w:pPr>
      <w:r>
        <w:rPr>
          <w:b/>
        </w:rPr>
        <w:t>Group ID:</w:t>
      </w:r>
      <w:r>
        <w:t xml:space="preserve"> group-bc0af2a3eae6e562e902</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Short-term thinking, long-term costs: How managerial myopia undermines green innovation — https://doi.org/10.4102/sajbm.v57i1.5337</w:t>
      </w:r>
    </w:p>
    <w:p>
      <w:pPr/>
      <w:r>
        <w:rPr>
          <w:b/>
        </w:rPr>
        <w:t>Later source:</w:t>
      </w:r>
      <w:r>
        <w:t xml:space="preserve"> Conclusions…and Beginnings — https://doi.org/10.4324/9781003733386-7</w:t>
      </w:r>
    </w:p>
    <w:p>
      <w:pPr>
        <w:pStyle w:val="SourceNote"/>
      </w:pPr>
      <w:r>
        <w:rPr>
          <w:b/>
        </w:rPr>
        <w:t>Review status:</w:t>
      </w:r>
      <w:r>
        <w:t xml:space="preserve"> unchecked — possible relationship only</w:t>
      </w:r>
    </w:p>
    <w:p>
      <w:pPr>
        <w:pStyle w:val="Heading2"/>
      </w:pPr>
      <w:r>
        <w:t>323. Claim + two later sources: The future of the Mediterranean agri-food systems: Trends and perspectives from a Delphi survey</w:t>
      </w:r>
    </w:p>
    <w:p>
      <w:pPr>
        <w:pStyle w:val="SourceNote"/>
      </w:pPr>
      <w:r>
        <w:rPr>
          <w:b/>
        </w:rPr>
        <w:t>Group ID:</w:t>
      </w:r>
      <w:r>
        <w:t xml:space="preserve"> group-337212b440821fd9a136</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Identifying and Ranking the Eight Risks of AI for Each of the Six Main AI-Focused Fintech Business Models — https://doi.org/10.1007/978-3-032-18109-1_7</w:t>
      </w:r>
    </w:p>
    <w:p>
      <w:pPr/>
      <w:r>
        <w:rPr>
          <w:b/>
        </w:rPr>
        <w:t>Later source:</w:t>
      </w:r>
      <w:r>
        <w:t xml:space="preserve"> Using a counterfactual thinking intervention to improve safe driving intentions and identifying strategies to avoid distracted driving in college students: A pilot study — https://doi.org/10.1016/j.trf.2026.103666</w:t>
      </w:r>
    </w:p>
    <w:p>
      <w:pPr>
        <w:pStyle w:val="SourceNote"/>
      </w:pPr>
      <w:r>
        <w:rPr>
          <w:b/>
        </w:rPr>
        <w:t>Review status:</w:t>
      </w:r>
      <w:r>
        <w:t xml:space="preserve"> unchecked — possible relationship only</w:t>
      </w:r>
    </w:p>
    <w:p>
      <w:pPr>
        <w:pStyle w:val="Heading2"/>
      </w:pPr>
      <w:r>
        <w:t>324. Claim + two later sources: Implementing Dynamics of Immigration Integration in Labor Force Participation Projection in EU28</w:t>
      </w:r>
    </w:p>
    <w:p>
      <w:pPr>
        <w:pStyle w:val="SourceNote"/>
      </w:pPr>
      <w:r>
        <w:rPr>
          <w:b/>
        </w:rPr>
        <w:t>Group ID:</w:t>
      </w:r>
      <w:r>
        <w:t xml:space="preserve"> group-fdc3209370375e7fd674</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burden of informal family caregiving in Europe, 2000–2050: a microsimulation modelling study — https://doi.org/10.1016/j.lanepe.2025.101295</w:t>
      </w:r>
    </w:p>
    <w:p>
      <w:pPr/>
      <w:r>
        <w:rPr>
          <w:b/>
        </w:rPr>
        <w:t>Later source:</w:t>
      </w:r>
      <w:r>
        <w:t xml:space="preserve"> MicSim, a microsimulation model for population dynamics — https://doi.org/10.21203/rs.3.rs-2986170/v1</w:t>
      </w:r>
    </w:p>
    <w:p>
      <w:pPr>
        <w:pStyle w:val="SourceNote"/>
      </w:pPr>
      <w:r>
        <w:rPr>
          <w:b/>
        </w:rPr>
        <w:t>Review status:</w:t>
      </w:r>
      <w:r>
        <w:t xml:space="preserve"> unchecked — possible relationship only</w:t>
      </w:r>
    </w:p>
    <w:p>
      <w:pPr>
        <w:pStyle w:val="Heading2"/>
      </w:pPr>
      <w:r>
        <w:t>325. Claim + two later sources: Towards the European Union's Foreign Policy 2025 – Taking Stock of the Dahrendorf Foresight Project</w:t>
      </w:r>
    </w:p>
    <w:p>
      <w:pPr>
        <w:pStyle w:val="SourceNote"/>
      </w:pPr>
      <w:r>
        <w:rPr>
          <w:b/>
        </w:rPr>
        <w:t>Group ID:</w:t>
      </w:r>
      <w:r>
        <w:t xml:space="preserve"> group-40ed1f2c6c5dee0e3ef8</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Analysis of the current state of sewage sludge treatment from the perspective of current European directives — https://doi.org/10.1186/s12302-025-01097-7</w:t>
      </w:r>
    </w:p>
    <w:p>
      <w:pPr/>
      <w:r>
        <w:rPr>
          <w:b/>
        </w:rPr>
        <w:t>Later source:</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pStyle w:val="SourceNote"/>
      </w:pPr>
      <w:r>
        <w:rPr>
          <w:b/>
        </w:rPr>
        <w:t>Review status:</w:t>
      </w:r>
      <w:r>
        <w:t xml:space="preserve"> unchecked — possible relationship only</w:t>
      </w:r>
    </w:p>
    <w:p>
      <w:pPr>
        <w:pStyle w:val="Heading2"/>
      </w:pPr>
      <w:r>
        <w:t>326. Claim + two later sources: Prospects of labour migration pressure in Algeria, Morocco, Tunisia and Turkey</w:t>
      </w:r>
    </w:p>
    <w:p>
      <w:pPr>
        <w:pStyle w:val="SourceNote"/>
      </w:pPr>
      <w:r>
        <w:rPr>
          <w:b/>
        </w:rPr>
        <w:t>Group ID:</w:t>
      </w:r>
      <w:r>
        <w:t xml:space="preserve"> group-6d38ef6a946f724489ed</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Probabilistic storyline attribution using machine learning — https://doi.org/10.1088/3049-4753/aea4b7</w:t>
      </w:r>
    </w:p>
    <w:p>
      <w:pPr/>
      <w:r>
        <w:rPr>
          <w:b/>
        </w:rPr>
        <w:t>Later source:</w:t>
      </w:r>
      <w:r>
        <w:t xml:space="preserve"> Storyline Trees: Hierarchical Representations for Long-Form Narratives — https://doi.org/10.48550/arxiv.2606.20900</w:t>
      </w:r>
    </w:p>
    <w:p>
      <w:pPr>
        <w:pStyle w:val="SourceNote"/>
      </w:pPr>
      <w:r>
        <w:rPr>
          <w:b/>
        </w:rPr>
        <w:t>Review status:</w:t>
      </w:r>
      <w:r>
        <w:t xml:space="preserve"> unchecked — possible relationship only</w:t>
      </w:r>
    </w:p>
    <w:p>
      <w:pPr>
        <w:pStyle w:val="Heading2"/>
      </w:pPr>
      <w:r>
        <w:t>327.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328.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329. Claim + two later sources: The Public Health Status and Foresight report 2014: Four normative perspectives on a healthier Netherlands in 2040</w:t>
      </w:r>
    </w:p>
    <w:p>
      <w:pPr>
        <w:pStyle w:val="SourceNote"/>
      </w:pPr>
      <w:r>
        <w:rPr>
          <w:b/>
        </w:rPr>
        <w:t>Group ID:</w:t>
      </w:r>
      <w:r>
        <w:t xml:space="preserve"> group-433c3615469702dbf038</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Design Policy Mapping in Europe — https://openalex.org/W7215223829</w:t>
      </w:r>
    </w:p>
    <w:p>
      <w:pPr>
        <w:pStyle w:val="SourceNote"/>
      </w:pPr>
      <w:r>
        <w:rPr>
          <w:b/>
        </w:rPr>
        <w:t>Review status:</w:t>
      </w:r>
      <w:r>
        <w:t xml:space="preserve"> unchecked — possible relationship only</w:t>
      </w:r>
    </w:p>
    <w:p>
      <w:pPr>
        <w:pStyle w:val="Heading2"/>
      </w:pPr>
      <w:r>
        <w:t>330. Claim + two later sources: Secular stagnation – are we stuck in Summers' long winter?</w:t>
      </w:r>
    </w:p>
    <w:p>
      <w:pPr>
        <w:pStyle w:val="SourceNote"/>
      </w:pPr>
      <w:r>
        <w:rPr>
          <w:b/>
        </w:rPr>
        <w:t>Group ID:</w:t>
      </w:r>
      <w:r>
        <w:t xml:space="preserve"> group-5304f4cf73c44b61a849</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Impact of fiscal sustainability on economic growth in Kenya — https://doi.org/10.65748/fiqf-2026-0001</w:t>
      </w:r>
    </w:p>
    <w:p>
      <w:pPr/>
      <w:r>
        <w:rPr>
          <w:b/>
        </w:rPr>
        <w:t>Later source:</w:t>
      </w:r>
      <w:r>
        <w:t xml:space="preserve"> Fiscal Policy, Debt Management and Economic Growth in Nigeria — https://doi.org/10.47772/ijriss.2026.100500380</w:t>
      </w:r>
    </w:p>
    <w:p>
      <w:pPr>
        <w:pStyle w:val="SourceNote"/>
      </w:pPr>
      <w:r>
        <w:rPr>
          <w:b/>
        </w:rPr>
        <w:t>Review status:</w:t>
      </w:r>
      <w:r>
        <w:t xml:space="preserve"> unchecked — possible relationship only</w:t>
      </w:r>
    </w:p>
    <w:p>
      <w:pPr>
        <w:pStyle w:val="Heading2"/>
      </w:pPr>
      <w:r>
        <w:t>331.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group-4902d067c63189001a7d</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‘Learning lessons’: discussion, concluding thoughts and recommendations — https://doi.org/10.1332/policypress/9781447363385.003.0007</w:t>
      </w:r>
    </w:p>
    <w:p>
      <w:pPr>
        <w:pStyle w:val="SourceNote"/>
      </w:pPr>
      <w:r>
        <w:rPr>
          <w:b/>
        </w:rPr>
        <w:t>Review status:</w:t>
      </w:r>
      <w:r>
        <w:t xml:space="preserve"> unchecked — possible relationship only</w:t>
      </w:r>
    </w:p>
    <w:p>
      <w:pPr>
        <w:pStyle w:val="Heading2"/>
      </w:pPr>
      <w:r>
        <w:t>332. Claim + two later sources: (Re)politicization of climate change mitigating projects: environmental forms and motives of the Seine Nord Europe canal</w:t>
      </w:r>
    </w:p>
    <w:p>
      <w:pPr>
        <w:pStyle w:val="SourceNote"/>
      </w:pPr>
      <w:r>
        <w:rPr>
          <w:b/>
        </w:rPr>
        <w:t>Group ID:</w:t>
      </w:r>
      <w:r>
        <w:t xml:space="preserve"> group-189cafda90f8d6190dd4</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Place-based leadership and environmental conflicts in the European Union — https://doi.org/10.1080/00343404.2025.2486644</w:t>
      </w:r>
    </w:p>
    <w:p>
      <w:pPr/>
      <w:r>
        <w:rPr>
          <w:b/>
        </w:rPr>
        <w:t>Later source:</w:t>
      </w:r>
      <w:r>
        <w:t xml:space="preserve"> Environmental education on the European Green Deal. Implications and promotion of the concept through different channels in Romania — https://doi.org/10.33727/jriss.2025.1.20:193-203</w:t>
      </w:r>
    </w:p>
    <w:p>
      <w:pPr>
        <w:pStyle w:val="SourceNote"/>
      </w:pPr>
      <w:r>
        <w:rPr>
          <w:b/>
        </w:rPr>
        <w:t>Review status:</w:t>
      </w:r>
      <w:r>
        <w:t xml:space="preserve"> unchecked — possible relationship only</w:t>
      </w:r>
    </w:p>
    <w:p>
      <w:pPr>
        <w:pStyle w:val="Heading2"/>
      </w:pPr>
      <w:r>
        <w:t>333.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334.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335.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possible relationship only</w:t>
      </w:r>
    </w:p>
    <w:p>
      <w:pPr>
        <w:pStyle w:val="Heading2"/>
      </w:pPr>
      <w:r>
        <w:t>336.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337. Claim + two later sources: Balancing GHG mitigation and land-use conflicts: Alternative Northern European energy system scenarios</w:t>
      </w:r>
    </w:p>
    <w:p>
      <w:pPr>
        <w:pStyle w:val="SourceNote"/>
      </w:pPr>
      <w:r>
        <w:rPr>
          <w:b/>
        </w:rPr>
        <w:t>Group ID:</w:t>
      </w:r>
      <w:r>
        <w:t xml:space="preserve"> group-fa52fd482db3eeacb9c7</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Endogenous transformation of land transport in Europe for different climate targets — https://doi.org/10.1016/j.enconman.2025.120203</w:t>
      </w:r>
    </w:p>
    <w:p>
      <w:pPr>
        <w:pStyle w:val="SourceNote"/>
      </w:pPr>
      <w:r>
        <w:rPr>
          <w:b/>
        </w:rPr>
        <w:t>Review status:</w:t>
      </w:r>
      <w:r>
        <w:t xml:space="preserve"> unchecked — possible relationship only</w:t>
      </w:r>
    </w:p>
    <w:p>
      <w:pPr>
        <w:pStyle w:val="Heading2"/>
      </w:pPr>
      <w:r>
        <w:t>338.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339. Claim + two later sources: Scenarios for population health inequalities in 2030 in Europe: the EURO-HEALTHY project experience</w:t>
      </w:r>
    </w:p>
    <w:p>
      <w:pPr>
        <w:pStyle w:val="SourceNote"/>
      </w:pPr>
      <w:r>
        <w:rPr>
          <w:b/>
        </w:rPr>
        <w:t>Group ID:</w:t>
      </w:r>
      <w:r>
        <w:t xml:space="preserve"> group-b94b3fcb1dfdd11a8619</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Europe as a subject and object of epistemic reflection — https://doi.org/10.30574/wjarr.2025.27.1.2547</w:t>
      </w:r>
    </w:p>
    <w:p>
      <w:pPr>
        <w:pStyle w:val="SourceNote"/>
      </w:pPr>
      <w:r>
        <w:rPr>
          <w:b/>
        </w:rPr>
        <w:t>Review status:</w:t>
      </w:r>
      <w:r>
        <w:t xml:space="preserve"> unchecked — possible relationship only</w:t>
      </w:r>
    </w:p>
    <w:p>
      <w:pPr>
        <w:pStyle w:val="Heading2"/>
      </w:pPr>
      <w:r>
        <w:t>340. Claim + two later sources: Long-term scenarios for reaching climate targets and energy security in UK</w:t>
      </w:r>
    </w:p>
    <w:p>
      <w:pPr>
        <w:pStyle w:val="SourceNote"/>
      </w:pPr>
      <w:r>
        <w:rPr>
          <w:b/>
        </w:rPr>
        <w:t>Group ID:</w:t>
      </w:r>
      <w:r>
        <w:t xml:space="preserve"> group-7c0c5a8302e92af13e5c</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 seasonal two-factor model for solar energy production: A climate extreme events analysis — https://doi.org/10.1016/j.eneco.2025.108611</w:t>
      </w:r>
    </w:p>
    <w:p>
      <w:pPr/>
      <w:r>
        <w:rPr>
          <w:b/>
        </w:rPr>
        <w:t>Later source:</w:t>
      </w:r>
      <w:r>
        <w:t xml:space="preserve"> Energy and Clean Air Policies Will Overcome the Adverse Effect of Climate Change and Reduce China's Ozone Pollution in the Future: The Insight From a New Two‐Stage Model — https://doi.org/10.1029/2024jd043182</w:t>
      </w:r>
    </w:p>
    <w:p>
      <w:pPr>
        <w:pStyle w:val="SourceNote"/>
      </w:pPr>
      <w:r>
        <w:rPr>
          <w:b/>
        </w:rPr>
        <w:t>Review status:</w:t>
      </w:r>
      <w:r>
        <w:t xml:space="preserve"> unchecked — possible relationship only</w:t>
      </w:r>
    </w:p>
    <w:p>
      <w:pPr>
        <w:pStyle w:val="Heading2"/>
      </w:pPr>
      <w:r>
        <w:t>341. Claim + two later sources: How far away is hydrogen? Its role in the medium and long-term decarbonisation of the European energy system</w:t>
      </w:r>
    </w:p>
    <w:p>
      <w:pPr>
        <w:pStyle w:val="SourceNote"/>
      </w:pPr>
      <w:r>
        <w:rPr>
          <w:b/>
        </w:rPr>
        <w:t>Group ID:</w:t>
      </w:r>
      <w:r>
        <w:t xml:space="preserve"> group-f75b7cf8b32866ead73c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Monitoring the impact of EU F-gas regulation on HFC-134a emissions through a comparison of top-down and bottom-up estimates — https://doi.org/10.1186/s12302-025-01081-1</w:t>
      </w:r>
    </w:p>
    <w:p>
      <w:pPr/>
      <w:r>
        <w:rPr>
          <w:b/>
        </w:rPr>
        <w:t>Later source:</w:t>
      </w:r>
      <w:r>
        <w:t xml:space="preserve"> TIMES-Europe: An Integrated Energy System Model for Analyzing Europe’s Energy and Climate Challenges — https://doi.org/10.1007/s10666-024-09976-8</w:t>
      </w:r>
    </w:p>
    <w:p>
      <w:pPr>
        <w:pStyle w:val="SourceNote"/>
      </w:pPr>
      <w:r>
        <w:rPr>
          <w:b/>
        </w:rPr>
        <w:t>Review status:</w:t>
      </w:r>
      <w:r>
        <w:t xml:space="preserve"> unchecked — possible relationship only</w:t>
      </w:r>
    </w:p>
    <w:p>
      <w:pPr>
        <w:pStyle w:val="Heading2"/>
      </w:pPr>
      <w:r>
        <w:t>342. Claim + two later sources: Renewable and Sustainable Energy Transitions for Countries with Different Climates and Renewable Energy Sources Potentials</w:t>
      </w:r>
    </w:p>
    <w:p>
      <w:pPr>
        <w:pStyle w:val="SourceNote"/>
      </w:pPr>
      <w:r>
        <w:rPr>
          <w:b/>
        </w:rPr>
        <w:t>Group ID:</w:t>
      </w:r>
      <w:r>
        <w:t xml:space="preserve"> group-f00bf4ad38101740e4ae</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Developing a European Psychotherapy Consortium (EPoC): Towards adopting a single-item self-report outcome measure across European countries — https://doi.org/10.32872/cpe.13827</w:t>
      </w:r>
    </w:p>
    <w:p>
      <w:pPr/>
      <w:r>
        <w:rPr>
          <w:b/>
        </w:rPr>
        <w:t>Later source:</w:t>
      </w:r>
      <w:r>
        <w:t xml:space="preserve"> Understanding Public Support for European Protected Areas: A Review of the Literature and Proposing a New Approach for Policy Makers — https://doi.org/10.3390/land11050733</w:t>
      </w:r>
    </w:p>
    <w:p>
      <w:pPr>
        <w:pStyle w:val="SourceNote"/>
      </w:pPr>
      <w:r>
        <w:rPr>
          <w:b/>
        </w:rPr>
        <w:t>Review status:</w:t>
      </w:r>
      <w:r>
        <w:t xml:space="preserve"> unchecked — possible relationship only</w:t>
      </w:r>
    </w:p>
    <w:p>
      <w:pPr>
        <w:pStyle w:val="Heading2"/>
      </w:pPr>
      <w:r>
        <w:t>343. Claim + two later sources: Socio-technical transitions in UK electricity: part 1 – history, actors and pathways</w:t>
      </w:r>
    </w:p>
    <w:p>
      <w:pPr>
        <w:pStyle w:val="SourceNote"/>
      </w:pPr>
      <w:r>
        <w:rPr>
          <w:b/>
        </w:rPr>
        <w:t>Group ID:</w:t>
      </w:r>
      <w:r>
        <w:t xml:space="preserve"> group-b3361994a5273aef9a48</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Gender Norms and Leadership Exclusion with a Focus on Women’s Pathways to Power in Southern Nigeria — https://openalex.org/W7216889169</w:t>
      </w:r>
    </w:p>
    <w:p>
      <w:pPr>
        <w:pStyle w:val="SourceNote"/>
      </w:pPr>
      <w:r>
        <w:rPr>
          <w:b/>
        </w:rPr>
        <w:t>Review status:</w:t>
      </w:r>
      <w:r>
        <w:t xml:space="preserve"> unchecked — possible relationship only</w:t>
      </w:r>
    </w:p>
    <w:p>
      <w:pPr>
        <w:pStyle w:val="Heading2"/>
      </w:pPr>
      <w:r>
        <w:t>344. Claim + two later sources: THE EUROPEAN MIGRATION CRISIS – ECONOMIC AND POLITICAL FACTORS AND CHALLENGES FOR THE FUTURE</w:t>
      </w:r>
    </w:p>
    <w:p>
      <w:pPr>
        <w:pStyle w:val="SourceNote"/>
      </w:pPr>
      <w:r>
        <w:rPr>
          <w:b/>
        </w:rPr>
        <w:t>Group ID:</w:t>
      </w:r>
      <w:r>
        <w:t xml:space="preserve"> group-829e1e45db7ca87973a1</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China-Central and Eastern European Countries Cooperation: Challenges and Restart — https://doi.org/10.18485/iipe_dijalozi_kina.2024.4.2.ch20</w:t>
      </w:r>
    </w:p>
    <w:p>
      <w:pPr/>
      <w:r>
        <w:rPr>
          <w:b/>
        </w:rPr>
        <w:t>Later source:</w:t>
      </w:r>
      <w:r>
        <w:t xml:space="preserve"> Reflections on Economic Governance in the Central European Countries — https://doi.org/10.54237/profnet.2024.znecogov_37</w:t>
      </w:r>
    </w:p>
    <w:p>
      <w:pPr>
        <w:pStyle w:val="SourceNote"/>
      </w:pPr>
      <w:r>
        <w:rPr>
          <w:b/>
        </w:rPr>
        <w:t>Review status:</w:t>
      </w:r>
      <w:r>
        <w:t xml:space="preserve"> unchecked — possible relationship only</w:t>
      </w:r>
    </w:p>
    <w:p>
      <w:pPr>
        <w:pStyle w:val="Heading2"/>
      </w:pPr>
      <w:r>
        <w:t>345. Claim + two later sources: Future population ageing and productivity in Finland under different education and fertility scenarios</w:t>
      </w:r>
    </w:p>
    <w:p>
      <w:pPr>
        <w:pStyle w:val="SourceNote"/>
      </w:pPr>
      <w:r>
        <w:rPr>
          <w:b/>
        </w:rPr>
        <w:t>Group ID:</w:t>
      </w:r>
      <w:r>
        <w:t xml:space="preserve"> group-ad176a205e8f1780958f</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MULTIDIMENSIONAL LOCAL RESILIENCE – ANALYSIS OF ENVIRONMENTAL, DEMOGRAPHIC AND INFRASTRUCTURAL FACTORS — https://doi.org/10.29119/1641-3466.2026.244.3</w:t>
      </w:r>
    </w:p>
    <w:p>
      <w:pPr/>
      <w:r>
        <w:rPr>
          <w:b/>
        </w:rPr>
        <w:t>Later source:</w:t>
      </w:r>
      <w:r>
        <w:t xml:space="preserve"> Distinct profiles of free speech support and their demographic, ideological, and epistemic characteristics — https://doi.org/10.1016/j.paid.2026.114009</w:t>
      </w:r>
    </w:p>
    <w:p>
      <w:pPr>
        <w:pStyle w:val="SourceNote"/>
      </w:pPr>
      <w:r>
        <w:rPr>
          <w:b/>
        </w:rPr>
        <w:t>Review status:</w:t>
      </w:r>
      <w:r>
        <w:t xml:space="preserve"> unchecked — possible relationship only</w:t>
      </w:r>
    </w:p>
    <w:p>
      <w:pPr>
        <w:pStyle w:val="Heading2"/>
      </w:pPr>
      <w:r>
        <w:t>346. Claim + two later sources: Are the European manufacturing and energy sectors on track for achieving net-zero emissions in 2050? An empirical analysis</w:t>
      </w:r>
    </w:p>
    <w:p>
      <w:pPr>
        <w:pStyle w:val="SourceNote"/>
      </w:pPr>
      <w:r>
        <w:rPr>
          <w:b/>
        </w:rPr>
        <w:t>Group ID:</w:t>
      </w:r>
      <w:r>
        <w:t xml:space="preserve"> group-a12cddb68a9f3cd8d4ae</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Achieving SDG 7 in the European Union: The Impact of Institutions and Macroeconomic Factors on Energy Conservation — https://doi.org/10.1002/sd.71042</w:t>
      </w:r>
    </w:p>
    <w:p>
      <w:pPr>
        <w:pStyle w:val="SourceNote"/>
      </w:pPr>
      <w:r>
        <w:rPr>
          <w:b/>
        </w:rPr>
        <w:t>Review status:</w:t>
      </w:r>
      <w:r>
        <w:t xml:space="preserve"> unchecked — possible relationship only</w:t>
      </w:r>
    </w:p>
    <w:p>
      <w:pPr>
        <w:pStyle w:val="Heading2"/>
      </w:pPr>
      <w:r>
        <w:t>347. Claim + two later sources: Scenarios for renewable energy deployment in North African countries and electricity exchange with Europe – A modelbased analysis for 2050</w:t>
      </w:r>
    </w:p>
    <w:p>
      <w:pPr>
        <w:pStyle w:val="SourceNote"/>
      </w:pPr>
      <w:r>
        <w:rPr>
          <w:b/>
        </w:rPr>
        <w:t>Group ID:</w:t>
      </w:r>
      <w:r>
        <w:t xml:space="preserve"> group-bc70564065637ddcfb15</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Geopolitical risk and renewable energy capacity deployment: the moderating role of institutional quality in selected European Union economies — https://doi.org/10.17605/osf.io/b76ny</w:t>
      </w:r>
    </w:p>
    <w:p>
      <w:pPr>
        <w:pStyle w:val="SourceNote"/>
      </w:pPr>
      <w:r>
        <w:rPr>
          <w:b/>
        </w:rPr>
        <w:t>Review status:</w:t>
      </w:r>
      <w:r>
        <w:t xml:space="preserve"> unchecked — possible relationship only</w:t>
      </w:r>
    </w:p>
    <w:p>
      <w:pPr>
        <w:pStyle w:val="Heading2"/>
      </w:pPr>
      <w:r>
        <w:t>348. Claim + two later sources: ClimateEU, scale-free climate normals, historical time series, and future projections for Europe</w:t>
      </w:r>
    </w:p>
    <w:p>
      <w:pPr>
        <w:pStyle w:val="SourceNote"/>
      </w:pPr>
      <w:r>
        <w:rPr>
          <w:b/>
        </w:rPr>
        <w:t>Group ID:</w:t>
      </w:r>
      <w:r>
        <w:t xml:space="preserve"> group-0a48edb710aa1039e190</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In temperate Europe, fire is already here: The case of The Netherlands — https://doi.org/10.1007/s13280-023-01960-y</w:t>
      </w:r>
    </w:p>
    <w:p>
      <w:pPr/>
      <w:r>
        <w:rPr>
          <w:b/>
        </w:rPr>
        <w:t>Later source:</w:t>
      </w:r>
      <w:r>
        <w:t xml:space="preserve"> The European Nucleotide Archive in 2024 — https://doi.org/10.1093/nar/gkae975</w:t>
      </w:r>
    </w:p>
    <w:p>
      <w:pPr>
        <w:pStyle w:val="SourceNote"/>
      </w:pPr>
      <w:r>
        <w:rPr>
          <w:b/>
        </w:rPr>
        <w:t>Review status:</w:t>
      </w:r>
      <w:r>
        <w:t xml:space="preserve"> unchecked — possible relationship only</w:t>
      </w:r>
    </w:p>
    <w:p>
      <w:pPr>
        <w:pStyle w:val="Heading2"/>
      </w:pPr>
      <w:r>
        <w:t>349. Claim + two later sources: Brexit and Its Impact on Poland’s Policy Towards Europe – An Attempt to Forecast</w:t>
      </w:r>
    </w:p>
    <w:p>
      <w:pPr>
        <w:pStyle w:val="SourceNote"/>
      </w:pPr>
      <w:r>
        <w:rPr>
          <w:b/>
        </w:rPr>
        <w:t>Group ID:</w:t>
      </w:r>
      <w:r>
        <w:t xml:space="preserve"> group-d2b05d7fec5c9af0efdc</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Differentiating early European psychobiography—An Eastern European contribution. — https://doi.org/10.1037/hop0000317</w:t>
      </w:r>
    </w:p>
    <w:p>
      <w:pPr/>
      <w:r>
        <w:rPr>
          <w:b/>
        </w:rPr>
        <w:t>Later source:</w:t>
      </w:r>
      <w:r>
        <w:t xml:space="preserve"> Freedom of Expression and speech threatened in Europe — https://doi.org/10.52224/21845263/rev45a4</w:t>
      </w:r>
    </w:p>
    <w:p>
      <w:pPr>
        <w:pStyle w:val="SourceNote"/>
      </w:pPr>
      <w:r>
        <w:rPr>
          <w:b/>
        </w:rPr>
        <w:t>Review status:</w:t>
      </w:r>
      <w:r>
        <w:t xml:space="preserve"> unchecked — possible relationship only</w:t>
      </w:r>
    </w:p>
    <w:p>
      <w:pPr>
        <w:pStyle w:val="Heading2"/>
      </w:pPr>
      <w:r>
        <w:t>350. Claim + two later sources: The use of probabilistic weather generator information for climate change adaptation in the UK water sector</w:t>
      </w:r>
    </w:p>
    <w:p>
      <w:pPr>
        <w:pStyle w:val="SourceNote"/>
      </w:pPr>
      <w:r>
        <w:rPr>
          <w:b/>
        </w:rPr>
        <w:t>Group ID:</w:t>
      </w:r>
      <w:r>
        <w:t xml:space="preserve"> group-9434fd0e59879986ccf1</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Response to Comment on “Soluble Receptor for Advanced Glycation End Products and Incident Hypertension in REGARDS” — https://doi.org/10.1093/ajh/hpaf229</w:t>
      </w:r>
    </w:p>
    <w:p>
      <w:pPr/>
      <w:r>
        <w:rPr>
          <w:b/>
        </w:rPr>
        <w:t>Later source:</w:t>
      </w:r>
      <w:r>
        <w:t xml:space="preserve"> Interpretation of Second Law of Thermodynamics in Extended Procedures for the Exploitation of the Entropy Inequality: Korteweg Fluids and Strain-Gradient Elasticity as Examples — https://doi.org/10.3390/e26040293</w:t>
      </w:r>
    </w:p>
    <w:p>
      <w:pPr>
        <w:pStyle w:val="SourceNote"/>
      </w:pPr>
      <w:r>
        <w:rPr>
          <w:b/>
        </w:rPr>
        <w:t>Review status:</w:t>
      </w:r>
      <w:r>
        <w:t xml:space="preserve"> unchecked — possible relationship only</w:t>
      </w:r>
    </w:p>
    <w:p>
      <w:pPr>
        <w:pStyle w:val="Heading2"/>
      </w:pPr>
      <w:r>
        <w:t>351. Claim + two later sources: Renewable jet fuel supply scenarios in the European Union in 2021–2030 in the context of proposed biofuel policy and competing biomass demand</w:t>
      </w:r>
    </w:p>
    <w:p>
      <w:pPr>
        <w:pStyle w:val="SourceNote"/>
      </w:pPr>
      <w:r>
        <w:rPr>
          <w:b/>
        </w:rPr>
        <w:t>Group ID:</w:t>
      </w:r>
      <w:r>
        <w:t xml:space="preserve"> group-0ec5897daf286682441d</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Effects of different renewable electricity diffusion paths and restricted european cooperation on Europe's hydrogen supply — https://doi.org/10.1016/j.esr.2024.101589</w:t>
      </w:r>
    </w:p>
    <w:p>
      <w:pPr/>
      <w:r>
        <w:rPr>
          <w:b/>
        </w:rPr>
        <w:t>Later source:</w:t>
      </w:r>
      <w:r>
        <w:t xml:space="preserve"> A review of product safety regulations in the European Union — https://doi.org/10.1365/s43439-022-00057-8</w:t>
      </w:r>
    </w:p>
    <w:p>
      <w:pPr>
        <w:pStyle w:val="SourceNote"/>
      </w:pPr>
      <w:r>
        <w:rPr>
          <w:b/>
        </w:rPr>
        <w:t>Review status:</w:t>
      </w:r>
      <w:r>
        <w:t xml:space="preserve"> unchecked — possible relationship only</w:t>
      </w:r>
    </w:p>
    <w:p>
      <w:pPr>
        <w:pStyle w:val="Heading2"/>
      </w:pPr>
      <w:r>
        <w:t>352. Claim + two later sources: Making sense of the future: visions and transition pathways of laypeople and professionals from six EU countries</w:t>
      </w:r>
    </w:p>
    <w:p>
      <w:pPr>
        <w:pStyle w:val="SourceNote"/>
      </w:pPr>
      <w:r>
        <w:rPr>
          <w:b/>
        </w:rPr>
        <w:t>Group ID:</w:t>
      </w:r>
      <w:r>
        <w:t xml:space="preserve"> group-26a277e0abd549e7ce97</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Evaluation of Operational Performance of Major European International Airports with Data Envelopment — https://doi.org/10.30518/jav.1639240</w:t>
      </w:r>
    </w:p>
    <w:p>
      <w:pPr>
        <w:pStyle w:val="SourceNote"/>
      </w:pPr>
      <w:r>
        <w:rPr>
          <w:b/>
        </w:rPr>
        <w:t>Review status:</w:t>
      </w:r>
      <w:r>
        <w:t xml:space="preserve"> unchecked — possible relationship only</w:t>
      </w:r>
    </w:p>
    <w:p>
      <w:pPr>
        <w:pStyle w:val="Heading2"/>
      </w:pPr>
      <w:r>
        <w:t>353.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354. Claim + two later sources: Futurescapes: expectations in Europe for relative effectiveness evidence for drugs in 2020</w:t>
      </w:r>
    </w:p>
    <w:p>
      <w:pPr>
        <w:pStyle w:val="SourceNote"/>
      </w:pPr>
      <w:r>
        <w:rPr>
          <w:b/>
        </w:rPr>
        <w:t>Group ID:</w:t>
      </w:r>
      <w:r>
        <w:t xml:space="preserve"> group-76b0be7333c039703bcd</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Seasonal Climate Change in Europe Over the Last Thousand Years as a Social Challenge — https://doi.org/10.1093/acrefore/9780190228620.013.980</w:t>
      </w:r>
    </w:p>
    <w:p>
      <w:pPr/>
      <w:r>
        <w:rPr>
          <w:b/>
        </w:rPr>
        <w:t>Later source:</w:t>
      </w:r>
      <w:r>
        <w:t xml:space="preserve"> A Governance Analysis of BEFIT: How the Member States’ Wish to Obtain more Regulatory Authority is Driving a Revolution — https://doi.org/10.54648/ecta2023025</w:t>
      </w:r>
    </w:p>
    <w:p>
      <w:pPr>
        <w:pStyle w:val="SourceNote"/>
      </w:pPr>
      <w:r>
        <w:rPr>
          <w:b/>
        </w:rPr>
        <w:t>Review status:</w:t>
      </w:r>
      <w:r>
        <w:t xml:space="preserve"> unchecked — possible relationship only</w:t>
      </w:r>
    </w:p>
    <w:p>
      <w:pPr>
        <w:pStyle w:val="Heading2"/>
      </w:pPr>
      <w:r>
        <w:t>355. Claim + two later sources: The impact of EU Climate/Energy policies on Belgium’s energy dependence up to 2050</w:t>
      </w:r>
    </w:p>
    <w:p>
      <w:pPr>
        <w:pStyle w:val="SourceNote"/>
      </w:pPr>
      <w:r>
        <w:rPr>
          <w:b/>
        </w:rPr>
        <w:t>Group ID:</w:t>
      </w:r>
      <w:r>
        <w:t xml:space="preserve"> group-09f1d4b49e777ebb1e04</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 rôle du commerce pour une adaptation résiliente au changement climatique dans l’agriculture africaine — https://doi.org/10.3917/edd.363.0041</w:t>
      </w:r>
    </w:p>
    <w:p>
      <w:pPr/>
      <w:r>
        <w:rPr>
          <w:b/>
        </w:rPr>
        <w:t>Later source:</w:t>
      </w:r>
      <w:r>
        <w:t xml:space="preserve"> Cabanes, huttes, cases et autres chaumières… Les mots et les images de l’“infra-construction” dans l’Antiquité — https://doi.org/10.4000/15na1</w:t>
      </w:r>
    </w:p>
    <w:p>
      <w:pPr>
        <w:pStyle w:val="SourceNote"/>
      </w:pPr>
      <w:r>
        <w:rPr>
          <w:b/>
        </w:rPr>
        <w:t>Review status:</w:t>
      </w:r>
      <w:r>
        <w:t xml:space="preserve"> unchecked — possible relationship only</w:t>
      </w:r>
    </w:p>
    <w:p>
      <w:pPr>
        <w:pStyle w:val="Heading2"/>
      </w:pPr>
      <w:r>
        <w:t>356. Claim + two later sources: The Future of European Labour Law and the Right to Employability</w:t>
      </w:r>
    </w:p>
    <w:p>
      <w:pPr>
        <w:pStyle w:val="SourceNote"/>
      </w:pPr>
      <w:r>
        <w:rPr>
          <w:b/>
        </w:rPr>
        <w:t>Group ID:</w:t>
      </w:r>
      <w:r>
        <w:t xml:space="preserve"> group-41f32b49dc5cf2b95b64</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European expert recommendations on clinical investigation and evaluation of high‐risk medical devices for children — https://doi.org/10.1111/apa.16919</w:t>
      </w:r>
    </w:p>
    <w:p>
      <w:pPr>
        <w:pStyle w:val="SourceNote"/>
      </w:pPr>
      <w:r>
        <w:rPr>
          <w:b/>
        </w:rPr>
        <w:t>Review status:</w:t>
      </w:r>
      <w:r>
        <w:t xml:space="preserve"> unchecked — possible relationship only</w:t>
      </w:r>
    </w:p>
    <w:p>
      <w:pPr>
        <w:pStyle w:val="Heading2"/>
      </w:pPr>
      <w:r>
        <w:t>357. Claim + two later sources: UK-EU RELATIONSHIP AFTER BREXIT: AN EXERCISE IN SCENARIO-BUILDING</w:t>
      </w:r>
    </w:p>
    <w:p>
      <w:pPr>
        <w:pStyle w:val="SourceNote"/>
      </w:pPr>
      <w:r>
        <w:rPr>
          <w:b/>
        </w:rPr>
        <w:t>Group ID:</w:t>
      </w:r>
      <w:r>
        <w:t xml:space="preserve"> group-334bbc355d1441e0ae7b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Unsettling mainstream academic debates on community-based energy governance: Exploring the Japanese experience — https://doi.org/10.1016/j.rser.2024.114994</w:t>
      </w:r>
    </w:p>
    <w:p>
      <w:pPr/>
      <w:r>
        <w:rPr>
          <w:b/>
        </w:rPr>
        <w:t>Later source:</w:t>
      </w:r>
      <w:r>
        <w:t xml:space="preserve"> Sustainable development in the European Union — https://doi.org/10.4324/9780429262081-25</w:t>
      </w:r>
    </w:p>
    <w:p>
      <w:pPr>
        <w:pStyle w:val="SourceNote"/>
      </w:pPr>
      <w:r>
        <w:rPr>
          <w:b/>
        </w:rPr>
        <w:t>Review status:</w:t>
      </w:r>
      <w:r>
        <w:t xml:space="preserve"> unchecked — possible relationship only</w:t>
      </w:r>
    </w:p>
    <w:p>
      <w:pPr>
        <w:pStyle w:val="Heading2"/>
      </w:pPr>
      <w:r>
        <w:t>358.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359. Claim + two later sources: Efficiency of the European Union farm types: Scenarios with and without the 2013 CAP measures</w:t>
      </w:r>
    </w:p>
    <w:p>
      <w:pPr>
        <w:pStyle w:val="SourceNote"/>
      </w:pPr>
      <w:r>
        <w:rPr>
          <w:b/>
        </w:rPr>
        <w:t>Group ID:</w:t>
      </w:r>
      <w:r>
        <w:t xml:space="preserve"> group-48684f5668d8179e2db6</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ANALYSIS OF FARMS IN ROMANIA IN THE CONTEXT OF THE EUROPEAN UNION — https://doi.org/10.46793/zbiep25.153ms</w:t>
      </w:r>
    </w:p>
    <w:p>
      <w:pPr>
        <w:pStyle w:val="SourceNote"/>
      </w:pPr>
      <w:r>
        <w:rPr>
          <w:b/>
        </w:rPr>
        <w:t>Review status:</w:t>
      </w:r>
      <w:r>
        <w:t xml:space="preserve"> unchecked — possible relationship only</w:t>
      </w:r>
    </w:p>
    <w:p>
      <w:pPr>
        <w:pStyle w:val="Heading2"/>
      </w:pPr>
      <w:r>
        <w:t>360. Claim + two later sources: Towards a decarbonised building stock by 2050: The meaning and the role of zero emission buildings (ZEBs) in Europe</w:t>
      </w:r>
    </w:p>
    <w:p>
      <w:pPr>
        <w:pStyle w:val="SourceNote"/>
      </w:pPr>
      <w:r>
        <w:rPr>
          <w:b/>
        </w:rPr>
        <w:t>Group ID:</w:t>
      </w:r>
      <w:r>
        <w:t xml:space="preserve"> group-2da713d83f2607caeff2</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A BIM–LCA Framework for Whole-Life Carbon Assessment Under EPBD: Scope Alignment, Functional Unit Robustness, and Cross-Tool Validation — https://doi.org/10.3390/app16062637</w:t>
      </w:r>
    </w:p>
    <w:p>
      <w:pPr>
        <w:pStyle w:val="SourceNote"/>
      </w:pPr>
      <w:r>
        <w:rPr>
          <w:b/>
        </w:rPr>
        <w:t>Review status:</w:t>
      </w:r>
      <w:r>
        <w:t xml:space="preserve"> unchecked — possible relationship only</w:t>
      </w:r>
    </w:p>
    <w:p>
      <w:pPr>
        <w:pStyle w:val="Heading2"/>
      </w:pPr>
      <w:r>
        <w:t>361. Claim + two later sources: New European socio-economic scenarios for climate change research: operationalising concepts to extend the shared socio-economic pathways</w:t>
      </w:r>
    </w:p>
    <w:p>
      <w:pPr>
        <w:pStyle w:val="SourceNote"/>
      </w:pPr>
      <w:r>
        <w:rPr>
          <w:b/>
        </w:rPr>
        <w:t>Group ID:</w:t>
      </w:r>
      <w:r>
        <w:t xml:space="preserve"> group-cb8e05d69feb7dfd4cf3</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Understanding and simulating cropland and non-cropland burning in Europe using the BASE (Burnt Area Simulator for Europe) model — https://doi.org/10.5194/bg-21-5539-2024</w:t>
      </w:r>
    </w:p>
    <w:p>
      <w:pPr>
        <w:pStyle w:val="SourceNote"/>
      </w:pPr>
      <w:r>
        <w:rPr>
          <w:b/>
        </w:rPr>
        <w:t>Review status:</w:t>
      </w:r>
      <w:r>
        <w:t xml:space="preserve"> unchecked — possible relationship only</w:t>
      </w:r>
    </w:p>
    <w:p>
      <w:pPr>
        <w:pStyle w:val="Heading2"/>
      </w:pPr>
      <w:r>
        <w:t>362. Claim + two later sources: On European metropolisation scenarios and the future course of metropolitan development in Poland</w:t>
      </w:r>
    </w:p>
    <w:p>
      <w:pPr>
        <w:pStyle w:val="SourceNote"/>
      </w:pPr>
      <w:r>
        <w:rPr>
          <w:b/>
        </w:rPr>
        <w:t>Group ID:</w:t>
      </w:r>
      <w:r>
        <w:t xml:space="preserve"> group-022be8f5b092ec2fdff7</w:t>
      </w:r>
    </w:p>
    <w:p>
      <w:pPr>
        <w:pStyle w:val="SourceNote"/>
      </w:pPr>
      <w:r>
        <w:rPr>
          <w:b/>
        </w:rPr>
        <w:t>Original source:</w:t>
      </w:r>
      <w:r>
        <w:t xml:space="preserve"> https://doi.org/10.7163/gpol.0008</w:t>
      </w:r>
    </w:p>
    <w:p>
      <w:pPr/>
      <w:r>
        <w:rPr>
          <w:b/>
        </w:rPr>
        <w:t>Original future claim:</w:t>
      </w:r>
      <w:r>
        <w:t xml:space="preserve">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pPr/>
      <w:r>
        <w:rPr>
          <w:b/>
        </w:rPr>
        <w:t>Later source:</w:t>
      </w:r>
      <w:r>
        <w:t xml:space="preserve"> Sustainability agreements in port terminals and competition policy: A European opening? — https://doi.org/10.1016/j.marpol.2026.107310</w:t>
      </w:r>
    </w:p>
    <w:p>
      <w:pPr/>
      <w:r>
        <w:rPr>
          <w:b/>
        </w:rPr>
        <w:t>Later source:</w:t>
      </w:r>
      <w:r>
        <w:t xml:space="preserve"> Tracing the Feminist Maternal in a European Context: A Review — https://doi.org/10.1017/hyp.2024.26</w:t>
      </w:r>
    </w:p>
    <w:p>
      <w:pPr>
        <w:pStyle w:val="SourceNote"/>
      </w:pPr>
      <w:r>
        <w:rPr>
          <w:b/>
        </w:rPr>
        <w:t>Review status:</w:t>
      </w:r>
      <w:r>
        <w:t xml:space="preserve"> unchecked — possible relationship only</w:t>
      </w:r>
    </w:p>
    <w:p>
      <w:pPr>
        <w:pStyle w:val="Heading2"/>
      </w:pPr>
      <w:r>
        <w:t>363. Claim + two later sources: Convergence of Population Structures of the European Union Member States—The Past and the Future</w:t>
      </w:r>
    </w:p>
    <w:p>
      <w:pPr>
        <w:pStyle w:val="SourceNote"/>
      </w:pPr>
      <w:r>
        <w:rPr>
          <w:b/>
        </w:rPr>
        <w:t>Group ID:</w:t>
      </w:r>
      <w:r>
        <w:t xml:space="preserve"> group-9f52cd2605f5cdbc3c1b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Different shades of demographic change : the uneven nature of population loss in Europe — https://openalex.org/W7134715160</w:t>
      </w:r>
    </w:p>
    <w:p>
      <w:pPr/>
      <w:r>
        <w:rPr>
          <w:b/>
        </w:rPr>
        <w:t>Later source:</w:t>
      </w:r>
      <w:r>
        <w:t xml:space="preserve"> Forecasting circular economy indicators: A Machine Learning study of European Union member states — https://doi.org/10.1016/j.jclepro.2026.147982</w:t>
      </w:r>
    </w:p>
    <w:p>
      <w:pPr>
        <w:pStyle w:val="SourceNote"/>
      </w:pPr>
      <w:r>
        <w:rPr>
          <w:b/>
        </w:rPr>
        <w:t>Review status:</w:t>
      </w:r>
      <w:r>
        <w:t xml:space="preserve"> unchecked — possible relationship only</w:t>
      </w:r>
    </w:p>
    <w:p>
      <w:pPr>
        <w:pStyle w:val="Heading2"/>
      </w:pPr>
      <w:r>
        <w:t>364. Claim + two later sources: More green infrastructure is required to maintain ecosystem services under current trends in land-use change in Europe</w:t>
      </w:r>
    </w:p>
    <w:p>
      <w:pPr>
        <w:pStyle w:val="SourceNote"/>
      </w:pPr>
      <w:r>
        <w:rPr>
          <w:b/>
        </w:rPr>
        <w:t>Group ID:</w:t>
      </w:r>
      <w:r>
        <w:t xml:space="preserve"> group-d1e359d72ce0b675772d</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Assessment of New Climate And Energy Targets for the Baltic States — https://doi.org/10.5709/ce.1897-9254.563</w:t>
      </w:r>
    </w:p>
    <w:p>
      <w:pPr>
        <w:pStyle w:val="SourceNote"/>
      </w:pPr>
      <w:r>
        <w:rPr>
          <w:b/>
        </w:rPr>
        <w:t>Review status:</w:t>
      </w:r>
      <w:r>
        <w:t xml:space="preserve"> unchecked — possible relationship only</w:t>
      </w:r>
    </w:p>
    <w:p>
      <w:pPr>
        <w:pStyle w:val="Heading2"/>
      </w:pPr>
      <w:r>
        <w:t>365. Claim + two later sources: Finland-Russia rail transport deregulation: future scenarios of market development</w:t>
      </w:r>
    </w:p>
    <w:p>
      <w:pPr>
        <w:pStyle w:val="SourceNote"/>
      </w:pPr>
      <w:r>
        <w:rPr>
          <w:b/>
        </w:rPr>
        <w:t>Group ID:</w:t>
      </w:r>
      <w:r>
        <w:t xml:space="preserve"> group-46a1cd04e6fa840add4a</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What kind of Europe do Europeans want? — https://doi.org/10.1080/01402382.2026.2662871</w:t>
      </w:r>
    </w:p>
    <w:p>
      <w:pPr/>
      <w:r>
        <w:rPr>
          <w:b/>
        </w:rPr>
        <w:t>Later source:</w:t>
      </w:r>
      <w:r>
        <w:t xml:space="preserve"> Prevalence of congenital heart defects in Europe, 2008–2015: A registry‐based study — https://doi.org/10.1002/bdr2.2117</w:t>
      </w:r>
    </w:p>
    <w:p>
      <w:pPr>
        <w:pStyle w:val="SourceNote"/>
      </w:pPr>
      <w:r>
        <w:rPr>
          <w:b/>
        </w:rPr>
        <w:t>Review status:</w:t>
      </w:r>
      <w:r>
        <w:t xml:space="preserve"> unchecked — possible relationship only</w:t>
      </w:r>
    </w:p>
    <w:p>
      <w:pPr>
        <w:pStyle w:val="Heading2"/>
      </w:pPr>
      <w:r>
        <w:t>366. Claim + two later sources: Futuribles of learning 2030 - Delphi supports the reform of the core curricula in Finland</w:t>
      </w:r>
    </w:p>
    <w:p>
      <w:pPr>
        <w:pStyle w:val="SourceNote"/>
      </w:pPr>
      <w:r>
        <w:rPr>
          <w:b/>
        </w:rPr>
        <w:t>Group ID:</w:t>
      </w:r>
      <w:r>
        <w:t xml:space="preserve"> group-fe03aae0b34e8ad1b632</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A Review of the AGE Barometer 2023: EU Good Practices and Barriers in the Empowerment of Elderly in the Labour Market - The Case of Hungary — https://doi.org/10.47225/mg/15/42/14315</w:t>
      </w:r>
    </w:p>
    <w:p>
      <w:pPr/>
      <w:r>
        <w:rPr>
          <w:b/>
        </w:rPr>
        <w:t>Later source:</w:t>
      </w:r>
      <w:r>
        <w:t xml:space="preserve"> COVID-19 and schooling: evaluation, assessment and accountability in times of crises—reacting quickly to explore key issues for policy, practice and research with the school barometer — https://doi.org/10.1007/s11092-020-09322-y</w:t>
      </w:r>
    </w:p>
    <w:p>
      <w:pPr>
        <w:pStyle w:val="SourceNote"/>
      </w:pPr>
      <w:r>
        <w:rPr>
          <w:b/>
        </w:rPr>
        <w:t>Review status:</w:t>
      </w:r>
      <w:r>
        <w:t xml:space="preserve"> unchecked — possible relationship only</w:t>
      </w:r>
    </w:p>
    <w:p>
      <w:pPr>
        <w:pStyle w:val="Heading2"/>
      </w:pPr>
      <w:r>
        <w:t>367. Claim + two later sources: Making or breaking climate targets: The AMPERE study on staged accession scenarios for climate policy</w:t>
      </w:r>
    </w:p>
    <w:p>
      <w:pPr>
        <w:pStyle w:val="SourceNote"/>
      </w:pPr>
      <w:r>
        <w:rPr>
          <w:b/>
        </w:rPr>
        <w:t>Group ID:</w:t>
      </w:r>
      <w:r>
        <w:t xml:space="preserve"> group-a657f4522af15e274d25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China Image Construction during the Covid-19 Epidemic: Multimodal Discourse Analysis based on the China-Related Front Cover of The Economist — https://doi.org/10.61935/asder.1.1.2023.p194</w:t>
      </w:r>
    </w:p>
    <w:p>
      <w:pPr>
        <w:pStyle w:val="SourceNote"/>
      </w:pPr>
      <w:r>
        <w:rPr>
          <w:b/>
        </w:rPr>
        <w:t>Review status:</w:t>
      </w:r>
      <w:r>
        <w:t xml:space="preserve"> unchecked — possible relationship only</w:t>
      </w:r>
    </w:p>
    <w:p>
      <w:pPr>
        <w:pStyle w:val="Heading2"/>
      </w:pPr>
      <w:r>
        <w:t>368.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369. Claim + two later sources: Potential for hydrogen and Power-to-Liquid in a low-carbon EU energy system using cost optimization</w:t>
      </w:r>
    </w:p>
    <w:p>
      <w:pPr>
        <w:pStyle w:val="SourceNote"/>
      </w:pPr>
      <w:r>
        <w:rPr>
          <w:b/>
        </w:rPr>
        <w:t>Group ID:</w:t>
      </w:r>
      <w:r>
        <w:t xml:space="preserve"> group-ab6d8c5114719b4177ae</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Can a wealth tax reduce CO2 emissions in Europe? — https://doi.org/10.1016/j.ecolecon.2026.109231</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370. Claim + two later sources: Multi-model ensemble simulations of olive pollen distribution in Europe in 2014: current status and outlook</w:t>
      </w:r>
    </w:p>
    <w:p>
      <w:pPr>
        <w:pStyle w:val="SourceNote"/>
      </w:pPr>
      <w:r>
        <w:rPr>
          <w:b/>
        </w:rPr>
        <w:t>Group ID:</w:t>
      </w:r>
      <w:r>
        <w:t xml:space="preserve"> group-347ecc1d03feea40c7b1</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Factors explaining adolescents’ digital skills in Europe — https://doi.org/10.1057/s41599-025-05241-9</w:t>
      </w:r>
    </w:p>
    <w:p>
      <w:pPr/>
      <w:r>
        <w:rPr>
          <w:b/>
        </w:rPr>
        <w:t>Later source:</w:t>
      </w:r>
      <w:r>
        <w:t xml:space="preserve"> Triple Collocation-Based Uncertainty Analysis and Data Fusion of Multi-Source Evapotranspiration Data Across China — https://doi.org/10.3390/atmos15121410</w:t>
      </w:r>
    </w:p>
    <w:p>
      <w:pPr>
        <w:pStyle w:val="SourceNote"/>
      </w:pPr>
      <w:r>
        <w:rPr>
          <w:b/>
        </w:rPr>
        <w:t>Review status:</w:t>
      </w:r>
      <w:r>
        <w:t xml:space="preserve"> unchecked — possible relationship only</w:t>
      </w:r>
    </w:p>
    <w:p>
      <w:pPr>
        <w:pStyle w:val="Heading2"/>
      </w:pPr>
      <w:r>
        <w:t>371.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372. Claim + two later sources: Soil Governance in current European Union Law and in the European Green Deal</w:t>
      </w:r>
    </w:p>
    <w:p>
      <w:pPr>
        <w:pStyle w:val="SourceNote"/>
      </w:pPr>
      <w:r>
        <w:rPr>
          <w:b/>
        </w:rPr>
        <w:t>Group ID:</w:t>
      </w:r>
      <w:r>
        <w:t xml:space="preserve"> group-1d2fa38f64774551efa2</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Critical materials and manufacturing: Comparing China, the European Union, Japan, and the United States — https://doi.org/10.1016/j.rcradv.2025.200250</w:t>
      </w:r>
    </w:p>
    <w:p>
      <w:pPr/>
      <w:r>
        <w:rPr>
          <w:b/>
        </w:rPr>
        <w:t>Later source:</w:t>
      </w:r>
      <w:r>
        <w:t xml:space="preserve"> A systematic review of regulatory strategies and transparency mandates in AI regulation in Europe, the United States, and Canada — https://doi.org/10.1017/dap.2024.54</w:t>
      </w:r>
    </w:p>
    <w:p>
      <w:pPr>
        <w:pStyle w:val="SourceNote"/>
      </w:pPr>
      <w:r>
        <w:rPr>
          <w:b/>
        </w:rPr>
        <w:t>Review status:</w:t>
      </w:r>
      <w:r>
        <w:t xml:space="preserve"> unchecked — possible relationship only</w:t>
      </w:r>
    </w:p>
    <w:p>
      <w:pPr>
        <w:pStyle w:val="Heading2"/>
      </w:pPr>
      <w:r>
        <w:t>373.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group-42492d149d40a047be18</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Housing affordability and poverty in Europe: on the deteriorating position of market renters — https://doi.org/10.1017/s0047279423000703</w:t>
      </w:r>
    </w:p>
    <w:p>
      <w:pPr/>
      <w:r>
        <w:rPr>
          <w:b/>
        </w:rPr>
        <w:t>Later source:</w:t>
      </w:r>
      <w:r>
        <w:t xml:space="preserve"> Storm and fire disturbances in Europe: Distribution and trends — https://doi.org/10.1111/gcb.15679</w:t>
      </w:r>
    </w:p>
    <w:p>
      <w:pPr>
        <w:pStyle w:val="SourceNote"/>
      </w:pPr>
      <w:r>
        <w:rPr>
          <w:b/>
        </w:rPr>
        <w:t>Review status:</w:t>
      </w:r>
      <w:r>
        <w:t xml:space="preserve"> unchecked — possible relationship only</w:t>
      </w:r>
    </w:p>
    <w:p>
      <w:pPr>
        <w:pStyle w:val="Heading2"/>
      </w:pPr>
      <w:r>
        <w:t>374.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group-493a87c30fc5e2dc427c</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Convergence of accounting systems through the lens of accounting theory and harmonization paradigms — https://doi.org/10.17072/1994-9960-2024-3-300-325</w:t>
      </w:r>
    </w:p>
    <w:p>
      <w:pPr>
        <w:pStyle w:val="SourceNote"/>
      </w:pPr>
      <w:r>
        <w:rPr>
          <w:b/>
        </w:rPr>
        <w:t>Review status:</w:t>
      </w:r>
      <w:r>
        <w:t xml:space="preserve"> unchecked — possible relationship only</w:t>
      </w:r>
    </w:p>
    <w:p>
      <w:pPr>
        <w:pStyle w:val="Heading2"/>
      </w:pPr>
      <w:r>
        <w:t>375. Claim + two later sources: Achieving agricultural greenhouse gas emission reductions in the EU post‐2030: What options do we have?</w:t>
      </w:r>
    </w:p>
    <w:p>
      <w:pPr>
        <w:pStyle w:val="SourceNote"/>
      </w:pPr>
      <w:r>
        <w:rPr>
          <w:b/>
        </w:rPr>
        <w:t>Group ID:</w:t>
      </w:r>
      <w:r>
        <w:t xml:space="preserve"> group-f340ea8201e3432825ba</w:t>
      </w:r>
    </w:p>
    <w:p>
      <w:pPr>
        <w:pStyle w:val="SourceNote"/>
      </w:pPr>
      <w:r>
        <w:rPr>
          <w:b/>
        </w:rPr>
        <w:t>Original source:</w:t>
      </w:r>
      <w:r>
        <w:t xml:space="preserve"> https://doi.org/10.1111/reel.12448</w:t>
      </w:r>
    </w:p>
    <w:p>
      <w:pPr/>
      <w:r>
        <w:rPr>
          <w:b/>
        </w:rPr>
        <w:t>Original future claim:</w:t>
      </w:r>
      <w:r>
        <w:t xml:space="preserve">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Monetary standardization in the European Union — https://doi.org/10.47772/ijriss.2026.10100071</w:t>
      </w:r>
    </w:p>
    <w:p>
      <w:pPr/>
      <w:r>
        <w:rPr>
          <w:b/>
        </w:rPr>
        <w:t>Later source:</w:t>
      </w:r>
      <w:r>
        <w:t xml:space="preserve"> Towards Hydrogen Law in the European Union and Europe? — https://doi.org/10.4324/9781003669654-18</w:t>
      </w:r>
    </w:p>
    <w:p>
      <w:pPr>
        <w:pStyle w:val="SourceNote"/>
      </w:pPr>
      <w:r>
        <w:rPr>
          <w:b/>
        </w:rPr>
        <w:t>Review status:</w:t>
      </w:r>
      <w:r>
        <w:t xml:space="preserve"> unchecked — possible relationship only</w:t>
      </w:r>
    </w:p>
    <w:p>
      <w:pPr>
        <w:pStyle w:val="Heading2"/>
      </w:pPr>
      <w:r>
        <w:t>376. Claim + two later sources: Carrying out a multi-model integrated assessment of European energy transition pathways: Challenges and benefits</w:t>
      </w:r>
    </w:p>
    <w:p>
      <w:pPr>
        <w:pStyle w:val="SourceNote"/>
      </w:pPr>
      <w:r>
        <w:rPr>
          <w:b/>
        </w:rPr>
        <w:t>Group ID:</w:t>
      </w:r>
      <w:r>
        <w:t xml:space="preserve"> group-d928a82647782f53055d</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Frailty assessment in kidney transplantation: insights from a European survey — https://doi.org/10.1093/ckj/sfag065</w:t>
      </w:r>
    </w:p>
    <w:p>
      <w:pPr/>
      <w:r>
        <w:rPr>
          <w:b/>
        </w:rPr>
        <w:t>Later source:</w:t>
      </w:r>
      <w:r>
        <w:t xml:space="preserve"> A European framework for the assessment of digital health technologies: conceptual advances, challenges, and future directions — https://doi.org/10.3389/fdgth.2026.1809237</w:t>
      </w:r>
    </w:p>
    <w:p>
      <w:pPr>
        <w:pStyle w:val="SourceNote"/>
      </w:pPr>
      <w:r>
        <w:rPr>
          <w:b/>
        </w:rPr>
        <w:t>Review status:</w:t>
      </w:r>
      <w:r>
        <w:t xml:space="preserve"> unchecked — possible relationship only</w:t>
      </w:r>
    </w:p>
    <w:p>
      <w:pPr>
        <w:pStyle w:val="Heading2"/>
      </w:pPr>
      <w:r>
        <w:t>377.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group-c32ec7ea24f4d7b0e8aa</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Mapping the European Negotiation Landscape: Insights from the 2025 European Negotiation Conference — https://doi.org/10.70714/x3jghe28</w:t>
      </w:r>
    </w:p>
    <w:p>
      <w:pPr>
        <w:pStyle w:val="SourceNote"/>
      </w:pPr>
      <w:r>
        <w:rPr>
          <w:b/>
        </w:rPr>
        <w:t>Review status:</w:t>
      </w:r>
      <w:r>
        <w:t xml:space="preserve"> unchecked — possible relationship only</w:t>
      </w:r>
    </w:p>
    <w:p>
      <w:pPr>
        <w:pStyle w:val="Heading2"/>
      </w:pPr>
      <w:r>
        <w:t>378. Claim + two later sources: Systemic Design for Policy-Making: Towards the Next Circular Regions</w:t>
      </w:r>
    </w:p>
    <w:p>
      <w:pPr>
        <w:pStyle w:val="SourceNote"/>
      </w:pPr>
      <w:r>
        <w:rPr>
          <w:b/>
        </w:rPr>
        <w:t>Group ID:</w:t>
      </w:r>
      <w:r>
        <w:t xml:space="preserve"> group-9b075c41fc6f521c488c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Business Model Innovation for Circular Transformation in the Built Environment — https://doi.org/10.1007/978-3-032-35104-3_109</w:t>
      </w:r>
    </w:p>
    <w:p>
      <w:pPr/>
      <w:r>
        <w:rPr>
          <w:b/>
        </w:rPr>
        <w:t>Later source:</w:t>
      </w:r>
      <w:r>
        <w:t xml:space="preserve"> ECONOMIC MONITORING OF THE CIRCULAR TRANSFORMATION AS A CHALLENGE FOR MECHANICAL ENGINEERING — https://openalex.org/W7215135237</w:t>
      </w:r>
    </w:p>
    <w:p>
      <w:pPr>
        <w:pStyle w:val="SourceNote"/>
      </w:pPr>
      <w:r>
        <w:rPr>
          <w:b/>
        </w:rPr>
        <w:t>Review status:</w:t>
      </w:r>
      <w:r>
        <w:t xml:space="preserve"> unchecked — possible relationship only</w:t>
      </w:r>
    </w:p>
    <w:p>
      <w:pPr>
        <w:pStyle w:val="Heading2"/>
      </w:pPr>
      <w:r>
        <w:t>379. Claim + two later sources: O4-2.1 Foresight tackling obesities: future choices</w:t>
      </w:r>
    </w:p>
    <w:p>
      <w:pPr>
        <w:pStyle w:val="SourceNote"/>
      </w:pPr>
      <w:r>
        <w:rPr>
          <w:b/>
        </w:rPr>
        <w:t>Group ID:</w:t>
      </w:r>
      <w:r>
        <w:t xml:space="preserve"> group-2fefaafb3c96dc227db9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Farmer flexibility concerning future rotation planning is affected by the framing of climate predictions — https://doi.org/10.1016/j.crm.2021.100356</w:t>
      </w:r>
    </w:p>
    <w:p>
      <w:pPr/>
      <w:r>
        <w:rPr>
          <w:b/>
        </w:rPr>
        <w:t>Later source:</w:t>
      </w:r>
      <w:r>
        <w:t xml:space="preserve"> Solar cycle prediction — https://doi.org/10.1007/s41116-020-0022-z</w:t>
      </w:r>
    </w:p>
    <w:p>
      <w:pPr>
        <w:pStyle w:val="SourceNote"/>
      </w:pPr>
      <w:r>
        <w:rPr>
          <w:b/>
        </w:rPr>
        <w:t>Review status:</w:t>
      </w:r>
      <w:r>
        <w:t xml:space="preserve"> unchecked — possible relationship only</w:t>
      </w:r>
    </w:p>
    <w:p>
      <w:pPr>
        <w:pStyle w:val="Heading2"/>
      </w:pPr>
      <w:r>
        <w:t>380. Claim + two later sources: A 2050 perspective on the role for carbon capture and storage in the European power system and industry sector</w:t>
      </w:r>
    </w:p>
    <w:p>
      <w:pPr>
        <w:pStyle w:val="SourceNote"/>
      </w:pPr>
      <w:r>
        <w:rPr>
          <w:b/>
        </w:rPr>
        <w:t>Group ID:</w:t>
      </w:r>
      <w:r>
        <w:t xml:space="preserve"> group-ccdc7715595be4e67ee4</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Modelling of Soil Multifunctionality Across Europe — https://doi.org/10.1111/sum.70147</w:t>
      </w:r>
    </w:p>
    <w:p>
      <w:pPr>
        <w:pStyle w:val="SourceNote"/>
      </w:pPr>
      <w:r>
        <w:rPr>
          <w:b/>
        </w:rPr>
        <w:t>Review status:</w:t>
      </w:r>
      <w:r>
        <w:t xml:space="preserve"> unchecked — possible relationship only</w:t>
      </w:r>
    </w:p>
    <w:p>
      <w:pPr>
        <w:pStyle w:val="Heading2"/>
      </w:pPr>
      <w:r>
        <w:t>381. Claim + two later sources: Impact of climate change on ozone-related mortality and morbidity in Europe</w:t>
      </w:r>
    </w:p>
    <w:p>
      <w:pPr>
        <w:pStyle w:val="SourceNote"/>
      </w:pPr>
      <w:r>
        <w:rPr>
          <w:b/>
        </w:rPr>
        <w:t>Group ID:</w:t>
      </w:r>
      <w:r>
        <w:t xml:space="preserve"> group-3d61103cff9f3e3005de</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New baselines, new extremes? Assessing the impact of reference periods on climate extremes in Central Europe — https://doi.org/10.5194/ems2025-601</w:t>
      </w:r>
    </w:p>
    <w:p>
      <w:pPr/>
      <w:r>
        <w:rPr>
          <w:b/>
        </w:rPr>
        <w:t>Later source:</w:t>
      </w:r>
      <w:r>
        <w:t xml:space="preserve"> Diverging trends in large floods across Europe in a warming climate — https://doi.org/10.1038/s43247-025-02734-y</w:t>
      </w:r>
    </w:p>
    <w:p>
      <w:pPr>
        <w:pStyle w:val="SourceNote"/>
      </w:pPr>
      <w:r>
        <w:rPr>
          <w:b/>
        </w:rPr>
        <w:t>Review status:</w:t>
      </w:r>
      <w:r>
        <w:t xml:space="preserve"> unchecked — possible relationship only</w:t>
      </w:r>
    </w:p>
    <w:p>
      <w:pPr>
        <w:pStyle w:val="Heading2"/>
      </w:pPr>
      <w:r>
        <w:t>382. Claim + two later sources: Perspectives from 2037—Can Environmental Impact Assessment be the Solution for an Early Consideration of Climate Change-related Impacts?</w:t>
      </w:r>
    </w:p>
    <w:p>
      <w:pPr>
        <w:pStyle w:val="SourceNote"/>
      </w:pPr>
      <w:r>
        <w:rPr>
          <w:b/>
        </w:rPr>
        <w:t>Group ID:</w:t>
      </w:r>
      <w:r>
        <w:t xml:space="preserve"> group-5864fc5c7fa04d206188</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Exploring the Narrative and Aesthetic Aspects of Huanglong Opera in Nong'an County Jilin Province China — https://doi.org/10.60027/ijsasr.2024.3930</w:t>
      </w:r>
    </w:p>
    <w:p>
      <w:pPr/>
      <w:r>
        <w:rPr>
          <w:b/>
        </w:rPr>
        <w:t>Later source:</w:t>
      </w:r>
      <w:r>
        <w:t xml:space="preserve"> Elaborating, sharing, narrating: a narrative analysis of three approaches to health communication — https://doi.org/10.1590/interface.230172</w:t>
      </w:r>
    </w:p>
    <w:p>
      <w:pPr>
        <w:pStyle w:val="SourceNote"/>
      </w:pPr>
      <w:r>
        <w:rPr>
          <w:b/>
        </w:rPr>
        <w:t>Review status:</w:t>
      </w:r>
      <w:r>
        <w:t xml:space="preserve"> unchecked — possible relationship only</w:t>
      </w:r>
    </w:p>
    <w:p>
      <w:pPr>
        <w:pStyle w:val="Heading2"/>
      </w:pPr>
      <w:r>
        <w:t>383.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384. Claim + two later sources: Forecasting turbulence in the Asian and European stock market using regime-switching models</w:t>
      </w:r>
    </w:p>
    <w:p>
      <w:pPr>
        <w:pStyle w:val="SourceNote"/>
      </w:pPr>
      <w:r>
        <w:rPr>
          <w:b/>
        </w:rPr>
        <w:t>Group ID:</w:t>
      </w:r>
      <w:r>
        <w:t xml:space="preserve"> group-9d33ff3811533c332ccf</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 https://openalex.org/W7164620270</w:t>
      </w:r>
    </w:p>
    <w:p>
      <w:pPr/>
      <w:r>
        <w:rPr>
          <w:b/>
        </w:rPr>
        <w:t>Later source:</w:t>
      </w:r>
      <w:r>
        <w:t xml:space="preserve"> An eXplainable early warning system to predict systemic financial crises — https://doi.org/10.1016/j.ribaf.2026.103591</w:t>
      </w:r>
    </w:p>
    <w:p>
      <w:pPr>
        <w:pStyle w:val="SourceNote"/>
      </w:pPr>
      <w:r>
        <w:rPr>
          <w:b/>
        </w:rPr>
        <w:t>Review status:</w:t>
      </w:r>
      <w:r>
        <w:t xml:space="preserve"> unchecked — possible relationship only</w:t>
      </w:r>
    </w:p>
    <w:p>
      <w:pPr>
        <w:pStyle w:val="Heading2"/>
      </w:pPr>
      <w:r>
        <w:t>385. Claim + two later sources: Modelling sustainable energy futures for the UK</w:t>
      </w:r>
    </w:p>
    <w:p>
      <w:pPr>
        <w:pStyle w:val="SourceNote"/>
      </w:pPr>
      <w:r>
        <w:rPr>
          <w:b/>
        </w:rPr>
        <w:t>Group ID:</w:t>
      </w:r>
      <w:r>
        <w:t xml:space="preserve"> group-2bd99c719c880fcaac1b</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Reducing the sign problem with line integrals — https://doi.org/10.1007/jhep02(2025)041</w:t>
      </w:r>
    </w:p>
    <w:p>
      <w:pPr/>
      <w:r>
        <w:rPr>
          <w:b/>
        </w:rPr>
        <w:t>Later source:</w:t>
      </w:r>
      <w:r>
        <w:t xml:space="preserve"> A Call to Action to Reduce the Need for a Medical Evaluation Prior to Exercise — https://doi.org/10.1249/jsr.0000000000001245</w:t>
      </w:r>
    </w:p>
    <w:p>
      <w:pPr>
        <w:pStyle w:val="SourceNote"/>
      </w:pPr>
      <w:r>
        <w:rPr>
          <w:b/>
        </w:rPr>
        <w:t>Review status:</w:t>
      </w:r>
      <w:r>
        <w:t xml:space="preserve"> unchecked — possible relationship only</w:t>
      </w:r>
    </w:p>
    <w:p>
      <w:pPr>
        <w:pStyle w:val="Heading2"/>
      </w:pPr>
      <w:r>
        <w:t>386. Claim + two later sources: Futures and foresight of Croatian cultural heritage</w:t>
      </w:r>
    </w:p>
    <w:p>
      <w:pPr>
        <w:pStyle w:val="SourceNote"/>
      </w:pPr>
      <w:r>
        <w:rPr>
          <w:b/>
        </w:rPr>
        <w:t>Group ID:</w:t>
      </w:r>
      <w:r>
        <w:t xml:space="preserve"> group-2d31dc6b3206a13f3c7f</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Two papal Europes: Benedict XVI, Francis and competing Christian imaginaries of Europe — https://doi.org/10.1080/14782804.2026.2718750</w:t>
      </w:r>
    </w:p>
    <w:p>
      <w:pPr/>
      <w:r>
        <w:rPr>
          <w:b/>
        </w:rPr>
        <w:t>Later source:</w:t>
      </w:r>
      <w:r>
        <w:t xml:space="preserve"> Predicting the Potential Spread of Diabrotica virgifera virgifera in Europe Using Climate-Based Spatial Risk Modeling — https://doi.org/10.3390/insects16101005</w:t>
      </w:r>
    </w:p>
    <w:p>
      <w:pPr>
        <w:pStyle w:val="SourceNote"/>
      </w:pPr>
      <w:r>
        <w:rPr>
          <w:b/>
        </w:rPr>
        <w:t>Review status:</w:t>
      </w:r>
      <w:r>
        <w:t xml:space="preserve"> unchecked — possible relationship only</w:t>
      </w:r>
    </w:p>
    <w:p>
      <w:pPr>
        <w:pStyle w:val="Heading2"/>
      </w:pPr>
      <w:r>
        <w:t>387. Claim + two later sources: Soft-linking of a behavioral model for transport with energy system cost optimization applied to hydrogen in EU</w:t>
      </w:r>
    </w:p>
    <w:p>
      <w:pPr>
        <w:pStyle w:val="SourceNote"/>
      </w:pPr>
      <w:r>
        <w:rPr>
          <w:b/>
        </w:rPr>
        <w:t>Group ID:</w:t>
      </w:r>
      <w:r>
        <w:t xml:space="preserve"> group-3d7048a92a72e29e04d9</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EU Energy Securitisation: Ukraine's Place in the European Energy System — https://doi.org/10.53317/2786-4774-2024-1-8</w:t>
      </w:r>
    </w:p>
    <w:p>
      <w:pPr/>
      <w:r>
        <w:rPr>
          <w:b/>
        </w:rPr>
        <w:t>Later source:</w:t>
      </w:r>
      <w:r>
        <w:t xml:space="preserve"> Investigation of European modular façade system utilizing renewable energy — https://doi.org/10.1093/ijlct/ctab101</w:t>
      </w:r>
    </w:p>
    <w:p>
      <w:pPr>
        <w:pStyle w:val="SourceNote"/>
      </w:pPr>
      <w:r>
        <w:rPr>
          <w:b/>
        </w:rPr>
        <w:t>Review status:</w:t>
      </w:r>
      <w:r>
        <w:t xml:space="preserve"> unchecked — possible relationship only</w:t>
      </w:r>
    </w:p>
    <w:p>
      <w:pPr>
        <w:pStyle w:val="Heading2"/>
      </w:pPr>
      <w:r>
        <w:t>388. Claim + two later sources: Facilitating transformative science education through futures thinking</w:t>
      </w:r>
    </w:p>
    <w:p>
      <w:pPr>
        <w:pStyle w:val="SourceNote"/>
      </w:pPr>
      <w:r>
        <w:rPr>
          <w:b/>
        </w:rPr>
        <w:t>Group ID:</w:t>
      </w:r>
      <w:r>
        <w:t xml:space="preserve"> group-c2efadae291ec355a6c2</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pStyle w:val="SourceNote"/>
      </w:pPr>
      <w:r>
        <w:rPr>
          <w:b/>
        </w:rPr>
        <w:t>Review status:</w:t>
      </w:r>
      <w:r>
        <w:t xml:space="preserve"> unchecked — possible relationship only</w:t>
      </w:r>
    </w:p>
    <w:p>
      <w:pPr>
        <w:pStyle w:val="Heading2"/>
      </w:pPr>
      <w:r>
        <w:t>389. Claim + two later sources: TRANSPORT PROJECT EVALUATION: FEASIBILITY RISK ASSESSMENT AND SCENARIO FORECASTING</w:t>
      </w:r>
    </w:p>
    <w:p>
      <w:pPr>
        <w:pStyle w:val="SourceNote"/>
      </w:pPr>
      <w:r>
        <w:rPr>
          <w:b/>
        </w:rPr>
        <w:t>Group ID:</w:t>
      </w:r>
      <w:r>
        <w:t xml:space="preserve"> group-d2f54daaf57e64b60f3c</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India and the World Press Freedom Index: A Critical Examination of Media Freedom in the World's Largest Democracy — https://doi.org/10.5281/zenodo.21851588</w:t>
      </w:r>
    </w:p>
    <w:p>
      <w:pPr/>
      <w:r>
        <w:rPr>
          <w:b/>
        </w:rPr>
        <w:t>Later source:</w:t>
      </w:r>
      <w:r>
        <w:t xml:space="preserve"> Exploring the Potential of Innovation on Rice Straw Fluff (RSF) in Roofing System — https://doi.org/10.32722/arcee.v4i02.5235</w:t>
      </w:r>
    </w:p>
    <w:p>
      <w:pPr>
        <w:pStyle w:val="SourceNote"/>
      </w:pPr>
      <w:r>
        <w:rPr>
          <w:b/>
        </w:rPr>
        <w:t>Review status:</w:t>
      </w:r>
      <w:r>
        <w:t xml:space="preserve"> unchecked — possible relationship only</w:t>
      </w:r>
    </w:p>
    <w:p>
      <w:pPr>
        <w:pStyle w:val="Heading2"/>
      </w:pPr>
      <w:r>
        <w:t>390. Claim + two later sources: Investigating European Union Decarbonization Strategies: Evaluating the Pathway to Carbon Neutrality by 2050</w:t>
      </w:r>
    </w:p>
    <w:p>
      <w:pPr>
        <w:pStyle w:val="SourceNote"/>
      </w:pPr>
      <w:r>
        <w:rPr>
          <w:b/>
        </w:rPr>
        <w:t>Group ID:</w:t>
      </w:r>
      <w:r>
        <w:t xml:space="preserve"> group-767c9e52b7a6f5dc2da7</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Functionally rich crop rotations increase calorie and macronutrient outputs across Europe — https://doi.org/10.1038/s43016-026-01293-5</w:t>
      </w:r>
    </w:p>
    <w:p>
      <w:pPr>
        <w:pStyle w:val="SourceNote"/>
      </w:pPr>
      <w:r>
        <w:rPr>
          <w:b/>
        </w:rPr>
        <w:t>Review status:</w:t>
      </w:r>
      <w:r>
        <w:t xml:space="preserve"> unchecked — possible relationship only</w:t>
      </w:r>
    </w:p>
    <w:p>
      <w:pPr>
        <w:pStyle w:val="Heading2"/>
      </w:pPr>
      <w:r>
        <w:t>391. Claim + two later sources: The European Unions Strategic Gas Supply Options and the Prevalence of the Southern Corridor</w:t>
      </w:r>
    </w:p>
    <w:p>
      <w:pPr>
        <w:pStyle w:val="SourceNote"/>
      </w:pPr>
      <w:r>
        <w:rPr>
          <w:b/>
        </w:rPr>
        <w:t>Group ID:</w:t>
      </w:r>
      <w:r>
        <w:t xml:space="preserve"> group-843ad46cf9790bf2b53d</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Predicting and preventing preterm birth in Europe: current challenges and gaps — https://doi.org/10.1080/14767058.2025.2547687</w:t>
      </w:r>
    </w:p>
    <w:p>
      <w:pPr/>
      <w:r>
        <w:rPr>
          <w:b/>
        </w:rPr>
        <w:t>Later source:</w:t>
      </w:r>
      <w:r>
        <w:t xml:space="preserve"> Pesticide Residues in Organic and Conventional Agricultural Soils across Europe: Measured and Predicted Concentrations — https://doi.org/10.1021/acs.est.3c09059</w:t>
      </w:r>
    </w:p>
    <w:p>
      <w:pPr>
        <w:pStyle w:val="SourceNote"/>
      </w:pPr>
      <w:r>
        <w:rPr>
          <w:b/>
        </w:rPr>
        <w:t>Review status:</w:t>
      </w:r>
      <w:r>
        <w:t xml:space="preserve"> unchecked — possible relationship only</w:t>
      </w:r>
    </w:p>
    <w:p>
      <w:pPr>
        <w:pStyle w:val="Heading2"/>
      </w:pPr>
      <w:r>
        <w:t>392.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393. Claim + two later sources: Climate change, extreme weather events, air pollution and respiratory health in Europe</w:t>
      </w:r>
    </w:p>
    <w:p>
      <w:pPr>
        <w:pStyle w:val="SourceNote"/>
      </w:pPr>
      <w:r>
        <w:rPr>
          <w:b/>
        </w:rPr>
        <w:t>Group ID:</w:t>
      </w:r>
      <w:r>
        <w:t xml:space="preserve"> group-d39860cc0cc2fac0b941</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The obstacles and changes in Sino-European trade routes in the twenty-first century due to climate change and geopolitical risks — https://doi.org/10.1057/s41599-026-08607-9</w:t>
      </w:r>
    </w:p>
    <w:p>
      <w:pPr>
        <w:pStyle w:val="SourceNote"/>
      </w:pPr>
      <w:r>
        <w:rPr>
          <w:b/>
        </w:rPr>
        <w:t>Review status:</w:t>
      </w:r>
      <w:r>
        <w:t xml:space="preserve"> unchecked — possible relationship only</w:t>
      </w:r>
    </w:p>
    <w:p>
      <w:pPr>
        <w:pStyle w:val="Heading2"/>
      </w:pPr>
      <w:r>
        <w:t>394. Claim + two later sources: Implementation of the 2030 sustainable development goals - affordable and clean energy in the European Union</w:t>
      </w:r>
    </w:p>
    <w:p>
      <w:pPr>
        <w:pStyle w:val="SourceNote"/>
      </w:pPr>
      <w:r>
        <w:rPr>
          <w:b/>
        </w:rPr>
        <w:t>Group ID:</w:t>
      </w:r>
      <w:r>
        <w:t xml:space="preserve"> group-fa28d16c2eb17d09d8b4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European protection order: the question of a predictive toolkit for the protection of victims of criminal offences — https://doi.org/10.24144/2788-6018.2024.02.109</w:t>
      </w:r>
    </w:p>
    <w:p>
      <w:pPr/>
      <w:r>
        <w:rPr>
          <w:b/>
        </w:rPr>
        <w:t>Later source:</w:t>
      </w:r>
      <w:r>
        <w:t xml:space="preserve"> Projecting traffic flows for road-based passenger transport in Europe for the analysis of climate impact — https://doi.org/10.1186/s12544-024-00652-2</w:t>
      </w:r>
    </w:p>
    <w:p>
      <w:pPr>
        <w:pStyle w:val="SourceNote"/>
      </w:pPr>
      <w:r>
        <w:rPr>
          <w:b/>
        </w:rPr>
        <w:t>Review status:</w:t>
      </w:r>
      <w:r>
        <w:t xml:space="preserve"> unchecked — possible relationship only</w:t>
      </w:r>
    </w:p>
    <w:p>
      <w:pPr>
        <w:pStyle w:val="Heading2"/>
      </w:pPr>
      <w:r>
        <w:t>395. Claim + two later sources: Focused Futures from Finland</w:t>
      </w:r>
    </w:p>
    <w:p>
      <w:pPr>
        <w:pStyle w:val="SourceNote"/>
      </w:pPr>
      <w:r>
        <w:rPr>
          <w:b/>
        </w:rPr>
        <w:t>Group ID:</w:t>
      </w:r>
      <w:r>
        <w:t xml:space="preserve"> group-d41f7bcfb10f7f3b5487</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end of China’s romance with Central and Eastern Europe — https://doi.org/10.1177/2059436421994442</w:t>
      </w:r>
    </w:p>
    <w:p>
      <w:pPr/>
      <w:r>
        <w:rPr>
          <w:b/>
        </w:rPr>
        <w:t>Later source:</w:t>
      </w:r>
      <w:r>
        <w:t xml:space="preserve"> European Union Litigation — https://doi.org/10.1515/ercl-2021-2028</w:t>
      </w:r>
    </w:p>
    <w:p>
      <w:pPr>
        <w:pStyle w:val="SourceNote"/>
      </w:pPr>
      <w:r>
        <w:rPr>
          <w:b/>
        </w:rPr>
        <w:t>Review status:</w:t>
      </w:r>
      <w:r>
        <w:t xml:space="preserve"> unchecked — possible relationship only</w:t>
      </w:r>
    </w:p>
    <w:p>
      <w:pPr>
        <w:pStyle w:val="Heading2"/>
      </w:pPr>
      <w:r>
        <w:t>396. Claim + two later sources: On the Future(s) of Energy Communities in the German Energy Transition: A Derivation of Transformation Pathways</w:t>
      </w:r>
    </w:p>
    <w:p>
      <w:pPr>
        <w:pStyle w:val="SourceNote"/>
      </w:pPr>
      <w:r>
        <w:rPr>
          <w:b/>
        </w:rPr>
        <w:t>Group ID:</w:t>
      </w:r>
      <w:r>
        <w:t xml:space="preserve"> group-2822a38dd1dc2bdaa1ab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The Changing Liberal World Order : Transatlantic Relations, Europe and Central Europe — https://openalex.org/W7213382557</w:t>
      </w:r>
    </w:p>
    <w:p>
      <w:pPr/>
      <w:r>
        <w:rPr>
          <w:b/>
        </w:rPr>
        <w:t>Later source:</w:t>
      </w:r>
      <w:r>
        <w:t xml:space="preserve"> The European Union: A Sui Generis Legal Order: Prospects for Development — https://doi.org/10.54237/profnet.2025.azsvlbffde_6</w:t>
      </w:r>
    </w:p>
    <w:p>
      <w:pPr>
        <w:pStyle w:val="SourceNote"/>
      </w:pPr>
      <w:r>
        <w:rPr>
          <w:b/>
        </w:rPr>
        <w:t>Review status:</w:t>
      </w:r>
      <w:r>
        <w:t xml:space="preserve"> unchecked — possible relationship only</w:t>
      </w:r>
    </w:p>
    <w:p>
      <w:pPr>
        <w:pStyle w:val="Heading2"/>
      </w:pPr>
      <w:r>
        <w:t>397. Claim + two later sources: Strategic European Integration Scenarios of Ukrainian and Polish Research, Education and Innovation Spaces</w:t>
      </w:r>
    </w:p>
    <w:p>
      <w:pPr>
        <w:pStyle w:val="SourceNote"/>
      </w:pPr>
      <w:r>
        <w:rPr>
          <w:b/>
        </w:rPr>
        <w:t>Group ID:</w:t>
      </w:r>
      <w:r>
        <w:t xml:space="preserve"> group-fdd4fcc5cc849bd4666b</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From Reaction to Foresight: EUPHA’s vision for health security in Europe — https://doi.org/10.1093/eurpub/ckaf071</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possible relationship only</w:t>
      </w:r>
    </w:p>
    <w:p>
      <w:pPr>
        <w:pStyle w:val="Heading2"/>
      </w:pPr>
      <w:r>
        <w:t>398.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399. Claim + two later sources: Foresighting addiction and lifestyles in Europe 2030+</w:t>
      </w:r>
    </w:p>
    <w:p>
      <w:pPr>
        <w:pStyle w:val="SourceNote"/>
      </w:pPr>
      <w:r>
        <w:rPr>
          <w:b/>
        </w:rPr>
        <w:t>Group ID:</w:t>
      </w:r>
      <w:r>
        <w:t xml:space="preserve"> group-0a3aeebdc97192058cdf</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Later source:</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pStyle w:val="SourceNote"/>
      </w:pPr>
      <w:r>
        <w:rPr>
          <w:b/>
        </w:rPr>
        <w:t>Review status:</w:t>
      </w:r>
      <w:r>
        <w:t xml:space="preserve"> unchecked — possible relationship only</w:t>
      </w:r>
    </w:p>
    <w:p>
      <w:pPr>
        <w:pStyle w:val="Heading2"/>
      </w:pPr>
      <w:r>
        <w:t>400. Claim + two later sources: The Future of Internationalization of Higher Education in Europe</w:t>
      </w:r>
    </w:p>
    <w:p>
      <w:pPr>
        <w:pStyle w:val="SourceNote"/>
      </w:pPr>
      <w:r>
        <w:rPr>
          <w:b/>
        </w:rPr>
        <w:t>Group ID:</w:t>
      </w:r>
      <w:r>
        <w:t xml:space="preserve"> group-a729b5540d78bf7eca7a</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Conceptualizing ‘quality of education’: an analysis of European political documents on education — https://doi.org/10.3389/feduc.2025.1463412</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401. Claim + two later sources: Situational analysis of EU renewable energy legislation</w:t>
      </w:r>
    </w:p>
    <w:p>
      <w:pPr>
        <w:pStyle w:val="SourceNote"/>
      </w:pPr>
      <w:r>
        <w:rPr>
          <w:b/>
        </w:rPr>
        <w:t>Group ID:</w:t>
      </w:r>
      <w:r>
        <w:t xml:space="preserve"> group-0f49292921e6580ace80</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Scenario-Building Papers for Europe 2030 - INTERNAL AND EXTERNAL DYNAMICS OF EUROPEAN INTEGRATION (DEBUE). — https://doi.org/10.5281/zenodo.17566447</w:t>
      </w:r>
    </w:p>
    <w:p>
      <w:pPr/>
      <w:r>
        <w:rPr>
          <w:b/>
        </w:rPr>
        <w:t>Later source:</w:t>
      </w:r>
      <w:r>
        <w:t xml:space="preserve"> The EU Internal Market in the Next Decade – Quo Vadis? — https://doi.org/10.1163/9789004712119</w:t>
      </w:r>
    </w:p>
    <w:p>
      <w:pPr>
        <w:pStyle w:val="SourceNote"/>
      </w:pPr>
      <w:r>
        <w:rPr>
          <w:b/>
        </w:rPr>
        <w:t>Review status:</w:t>
      </w:r>
      <w:r>
        <w:t xml:space="preserve"> unchecked — possible relationship only</w:t>
      </w:r>
    </w:p>
    <w:p>
      <w:pPr>
        <w:pStyle w:val="Heading2"/>
      </w:pPr>
      <w:r>
        <w:t>402.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group-41a0cad215b6a914579d</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Was there a notion of ‘enough’ in the European Green Deal? Sufficiency in the European Union’s sustainability discourse — https://doi.org/10.1108/sampj-10-2024-1103</w:t>
      </w:r>
    </w:p>
    <w:p>
      <w:pPr/>
      <w:r>
        <w:rPr>
          <w:b/>
        </w:rPr>
        <w:t>Later source:</w:t>
      </w:r>
      <w:r>
        <w:t xml:space="preserve"> Feasible solutions for sustainable diets with adequate protein intake : modelling diets for the Netherlands and Europe — https://doi.org/10.18174/681865</w:t>
      </w:r>
    </w:p>
    <w:p>
      <w:pPr>
        <w:pStyle w:val="SourceNote"/>
      </w:pPr>
      <w:r>
        <w:rPr>
          <w:b/>
        </w:rPr>
        <w:t>Review status:</w:t>
      </w:r>
      <w:r>
        <w:t xml:space="preserve"> unchecked — possible relationship only</w:t>
      </w:r>
    </w:p>
    <w:p>
      <w:pPr>
        <w:pStyle w:val="Heading2"/>
      </w:pPr>
      <w:r>
        <w:t>403. Claim + two later sources: Grassland futures in Great Britain – Productivity assessment and scenarios for land use change opportunities</w:t>
      </w:r>
    </w:p>
    <w:p>
      <w:pPr>
        <w:pStyle w:val="SourceNote"/>
      </w:pPr>
      <w:r>
        <w:rPr>
          <w:b/>
        </w:rPr>
        <w:t>Group ID:</w:t>
      </w:r>
      <w:r>
        <w:t xml:space="preserve"> group-6c3a7e893d5b49cbbe62</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Atmospheric methane removal as a third climate intervention: termination risks and air pollutant effects — https://doi.org/10.1038/s44168-026-00398-8</w:t>
      </w:r>
    </w:p>
    <w:p>
      <w:pPr/>
      <w:r>
        <w:rPr>
          <w:b/>
        </w:rPr>
        <w:t>Later source:</w:t>
      </w:r>
      <w:r>
        <w:t xml:space="preserve"> Climate Change Effects and Mechanisms on Nutritional Quality and Technological Performance of Major Agri-Food Products: A Critical Review — https://doi.org/10.1080/87559129.2026.2713621</w:t>
      </w:r>
    </w:p>
    <w:p>
      <w:pPr>
        <w:pStyle w:val="SourceNote"/>
      </w:pPr>
      <w:r>
        <w:rPr>
          <w:b/>
        </w:rPr>
        <w:t>Review status:</w:t>
      </w:r>
      <w:r>
        <w:t xml:space="preserve"> unchecked — possible relationship only</w:t>
      </w:r>
    </w:p>
    <w:p>
      <w:pPr>
        <w:pStyle w:val="Heading2"/>
      </w:pPr>
      <w:r>
        <w:t>404. Claim + two later sources: Demographic change and the European income distribution</w:t>
      </w:r>
    </w:p>
    <w:p>
      <w:pPr>
        <w:pStyle w:val="SourceNote"/>
      </w:pPr>
      <w:r>
        <w:rPr>
          <w:b/>
        </w:rPr>
        <w:t>Group ID:</w:t>
      </w:r>
      <w:r>
        <w:t xml:space="preserve"> group-fb6c095bd3599c0839e1</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key pillars of psychosocial disability: a European perspective on challenges and solutions — https://doi.org/10.3389/fpsyt.2025.1574301</w:t>
      </w:r>
    </w:p>
    <w:p>
      <w:pPr/>
      <w:r>
        <w:rPr>
          <w:b/>
        </w:rPr>
        <w:t>Later source:</w:t>
      </w:r>
      <w:r>
        <w:t xml:space="preserve"> Modelling the effect of context-specific greenhouse gas and nitrogen emission mitigation options in key European dairy farming systems — https://doi.org/10.1007/s13593-023-00940-6</w:t>
      </w:r>
    </w:p>
    <w:p>
      <w:pPr>
        <w:pStyle w:val="SourceNote"/>
      </w:pPr>
      <w:r>
        <w:rPr>
          <w:b/>
        </w:rPr>
        <w:t>Review status:</w:t>
      </w:r>
      <w:r>
        <w:t xml:space="preserve"> unchecked — possible relationship only</w:t>
      </w:r>
    </w:p>
    <w:p>
      <w:pPr>
        <w:pStyle w:val="Heading2"/>
      </w:pPr>
      <w:r>
        <w:t>405. Claim + two later sources: A decision support system to find the best water allocation strategies in a Mediterranean river basin in future scenarios of global change</w:t>
      </w:r>
    </w:p>
    <w:p>
      <w:pPr>
        <w:pStyle w:val="SourceNote"/>
      </w:pPr>
      <w:r>
        <w:rPr>
          <w:b/>
        </w:rPr>
        <w:t>Group ID:</w:t>
      </w:r>
      <w:r>
        <w:t xml:space="preserve"> group-7be4f631ad6d1a4cfc99</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Understanding and addressing the water footprint in the textile sector: A review — https://doi.org/10.1515/aut-2024-0004</w:t>
      </w:r>
    </w:p>
    <w:p>
      <w:pPr>
        <w:pStyle w:val="SourceNote"/>
      </w:pPr>
      <w:r>
        <w:rPr>
          <w:b/>
        </w:rPr>
        <w:t>Review status:</w:t>
      </w:r>
      <w:r>
        <w:t xml:space="preserve"> unchecked — possible relationship only</w:t>
      </w:r>
    </w:p>
    <w:p>
      <w:pPr>
        <w:pStyle w:val="Heading2"/>
      </w:pPr>
      <w:r>
        <w:t>406.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407. Claim + two later sources: Prediction of population with Alzheimer's disease in the European Union using a system dynamics model</w:t>
      </w:r>
    </w:p>
    <w:p>
      <w:pPr>
        <w:pStyle w:val="SourceNote"/>
      </w:pPr>
      <w:r>
        <w:rPr>
          <w:b/>
        </w:rPr>
        <w:t>Group ID:</w:t>
      </w:r>
      <w:r>
        <w:t xml:space="preserve"> group-930216d38f6c934a0b1d</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Projected number of osteoarthritis patients in Austria for the next decades – quantifying the necessity of treatment and prevention strategies in Europe — https://doi.org/10.1186/s12891-022-05091-5</w:t>
      </w:r>
    </w:p>
    <w:p>
      <w:pPr/>
      <w:r>
        <w:rPr>
          <w:b/>
        </w:rPr>
        <w:t>Later source:</w:t>
      </w:r>
      <w:r>
        <w:t xml:space="preserve"> Effects of Immigrants, Health, and Ageing on Economic Growth in the European Union — https://doi.org/10.3390/ijerph20010224</w:t>
      </w:r>
    </w:p>
    <w:p>
      <w:pPr>
        <w:pStyle w:val="SourceNote"/>
      </w:pPr>
      <w:r>
        <w:rPr>
          <w:b/>
        </w:rPr>
        <w:t>Review status:</w:t>
      </w:r>
      <w:r>
        <w:t xml:space="preserve"> unchecked — possible relationship only</w:t>
      </w:r>
    </w:p>
    <w:p>
      <w:pPr>
        <w:pStyle w:val="Heading2"/>
      </w:pPr>
      <w:r>
        <w:t>408.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unchecked — possible relationship only</w:t>
      </w:r>
    </w:p>
    <w:p>
      <w:pPr>
        <w:pStyle w:val="Heading2"/>
      </w:pPr>
      <w:r>
        <w:t>409. Claim + two later sources: Improved Consistency of Climate Projections over Europe after Accounting for Atmospheric Circulation Variability</w:t>
      </w:r>
    </w:p>
    <w:p>
      <w:pPr>
        <w:pStyle w:val="SourceNote"/>
      </w:pPr>
      <w:r>
        <w:rPr>
          <w:b/>
        </w:rPr>
        <w:t>Group ID:</w:t>
      </w:r>
      <w:r>
        <w:t xml:space="preserve"> group-819a178a72079fea97b2</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Climatological characteristics and atmospheric circulation associated with 3D heat wave types in European regions — https://doi.org/10.5194/egusphere-egu25-9748</w:t>
      </w:r>
    </w:p>
    <w:p>
      <w:pPr>
        <w:pStyle w:val="SourceNote"/>
      </w:pPr>
      <w:r>
        <w:rPr>
          <w:b/>
        </w:rPr>
        <w:t>Review status:</w:t>
      </w:r>
      <w:r>
        <w:t xml:space="preserve"> unchecked — possible relationship only</w:t>
      </w:r>
    </w:p>
    <w:p>
      <w:pPr>
        <w:pStyle w:val="Heading2"/>
      </w:pPr>
      <w:r>
        <w:t>410.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411. Claim + two later sources: Energy futures as societal futures: Co-evolutionary scenarios linking futures of society and decarbonized energy systems in Switzerland 2050</w:t>
      </w:r>
    </w:p>
    <w:p>
      <w:pPr>
        <w:pStyle w:val="SourceNote"/>
      </w:pPr>
      <w:r>
        <w:rPr>
          <w:b/>
        </w:rPr>
        <w:t>Group ID:</w:t>
      </w:r>
      <w:r>
        <w:t xml:space="preserve"> group-14a81d187a4a2da649e4</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Polyendocrine metabolic ovarian syndrome, the new name for polycystic ovary syndrome: a multistep global consensus process — https://doi.org/10.1016/s0140-6736(26)00717-8</w:t>
      </w:r>
    </w:p>
    <w:p>
      <w:pPr/>
      <w:r>
        <w:rPr>
          <w:b/>
        </w:rPr>
        <w:t>Later source:</w:t>
      </w:r>
      <w:r>
        <w:t xml:space="preserve"> Consensus-Based Resilience Assurance for System of Systems — https://doi.org/10.1109/access.2025.3535519</w:t>
      </w:r>
    </w:p>
    <w:p>
      <w:pPr>
        <w:pStyle w:val="SourceNote"/>
      </w:pPr>
      <w:r>
        <w:rPr>
          <w:b/>
        </w:rPr>
        <w:t>Review status:</w:t>
      </w:r>
      <w:r>
        <w:t xml:space="preserve"> unchecked — possible relationship only</w:t>
      </w:r>
    </w:p>
    <w:p>
      <w:pPr>
        <w:pStyle w:val="Heading2"/>
      </w:pPr>
      <w:r>
        <w:t>412. Claim + two later sources: Imaginary scenarios: Literature and Democracy in Europe</w:t>
      </w:r>
    </w:p>
    <w:p>
      <w:pPr>
        <w:pStyle w:val="SourceNote"/>
      </w:pPr>
      <w:r>
        <w:rPr>
          <w:b/>
        </w:rPr>
        <w:t>Group ID:</w:t>
      </w:r>
      <w:r>
        <w:t xml:space="preserve"> group-f6b927ab1a66985d7c1f</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Popular imaginative geographies and Brexit: Evidence from Mass Observation — https://doi.org/10.1111/tran.12444</w:t>
      </w:r>
    </w:p>
    <w:p>
      <w:pPr>
        <w:pStyle w:val="SourceNote"/>
      </w:pPr>
      <w:r>
        <w:rPr>
          <w:b/>
        </w:rPr>
        <w:t>Review status:</w:t>
      </w:r>
      <w:r>
        <w:t xml:space="preserve"> unchecked — possible relationship only</w:t>
      </w:r>
    </w:p>
    <w:p>
      <w:pPr>
        <w:pStyle w:val="Heading2"/>
      </w:pPr>
      <w:r>
        <w:t>413.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414. Claim + two later sources: The Boundaries of Scientific Innovation in the EU Green Deal Context</w:t>
      </w:r>
    </w:p>
    <w:p>
      <w:pPr>
        <w:pStyle w:val="SourceNote"/>
      </w:pPr>
      <w:r>
        <w:rPr>
          <w:b/>
        </w:rPr>
        <w:t>Group ID:</w:t>
      </w:r>
      <w:r>
        <w:t xml:space="preserve"> group-8d3ca834278adf88eec8</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Role of the European Parliament in Strengthening Democratic Representation in the European Union — https://doi.org/10.70670/sra.v4i1.2448</w:t>
      </w:r>
    </w:p>
    <w:p>
      <w:pPr/>
      <w:r>
        <w:rPr>
          <w:b/>
        </w:rPr>
        <w:t>Later source:</w:t>
      </w:r>
      <w:r>
        <w:t xml:space="preserve"> The New Role of the European Union and Its Global Projects — https://doi.org/10.46340/eppd.2026.13.3.2</w:t>
      </w:r>
    </w:p>
    <w:p>
      <w:pPr>
        <w:pStyle w:val="SourceNote"/>
      </w:pPr>
      <w:r>
        <w:rPr>
          <w:b/>
        </w:rPr>
        <w:t>Review status:</w:t>
      </w:r>
      <w:r>
        <w:t xml:space="preserve"> unchecked — possible relationship only</w:t>
      </w:r>
    </w:p>
    <w:p>
      <w:pPr>
        <w:pStyle w:val="Heading2"/>
      </w:pPr>
      <w:r>
        <w:t>415. Claim + two later sources: Neglected futures. Considering overlooked poverty in Europe</w:t>
      </w:r>
    </w:p>
    <w:p>
      <w:pPr>
        <w:pStyle w:val="SourceNote"/>
      </w:pPr>
      <w:r>
        <w:rPr>
          <w:b/>
        </w:rPr>
        <w:t>Group ID:</w:t>
      </w:r>
      <w:r>
        <w:t xml:space="preserve"> group-c2ffcfa342e7f8713050</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Dedicated versus mainstreaming approaches in local climate plans in Europe — https://doi.org/10.1016/j.rser.2019.05.014</w:t>
      </w:r>
    </w:p>
    <w:p>
      <w:pPr/>
      <w:r>
        <w:rPr>
          <w:b/>
        </w:rPr>
        <w:t>Later source:</w:t>
      </w:r>
      <w:r>
        <w:t xml:space="preserve"> Handbook of European Social Policy — https://doi.org/10.4337/9781783476466</w:t>
      </w:r>
    </w:p>
    <w:p>
      <w:pPr>
        <w:pStyle w:val="SourceNote"/>
      </w:pPr>
      <w:r>
        <w:rPr>
          <w:b/>
        </w:rPr>
        <w:t>Review status:</w:t>
      </w:r>
      <w:r>
        <w:t xml:space="preserve"> unchecked — possible relationship only</w:t>
      </w:r>
    </w:p>
    <w:p>
      <w:pPr>
        <w:pStyle w:val="Heading2"/>
      </w:pPr>
      <w:r>
        <w:t>416. Claim + two later sources: EUHFORIA: European heliospheric forecasting information asset</w:t>
      </w:r>
    </w:p>
    <w:p>
      <w:pPr>
        <w:pStyle w:val="SourceNote"/>
      </w:pPr>
      <w:r>
        <w:rPr>
          <w:b/>
        </w:rPr>
        <w:t>Group ID:</w:t>
      </w:r>
      <w:r>
        <w:t xml:space="preserve"> group-62ae67a767a631275fb4</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7.L. Workshop: New roles and innovative skill-mix in nursing across Europe: trends and lessons for implementation — https://doi.org/10.1093/eurpub/ckac129.446</w:t>
      </w:r>
    </w:p>
    <w:p>
      <w:pPr/>
      <w:r>
        <w:rPr>
          <w:b/>
        </w:rPr>
        <w:t>Later source:</w:t>
      </w:r>
      <w:r>
        <w:t xml:space="preserve"> The impact of Aeolus wind retrievals on ECMWF global weather forecasts — https://doi.org/10.1002/qj.4142</w:t>
      </w:r>
    </w:p>
    <w:p>
      <w:pPr>
        <w:pStyle w:val="SourceNote"/>
      </w:pPr>
      <w:r>
        <w:rPr>
          <w:b/>
        </w:rPr>
        <w:t>Review status:</w:t>
      </w:r>
      <w:r>
        <w:t xml:space="preserve"> unchecked — possible relationship only</w:t>
      </w:r>
    </w:p>
    <w:p>
      <w:pPr>
        <w:pStyle w:val="Heading2"/>
      </w:pPr>
      <w:r>
        <w:t>417. Claim + two later sources: Sociotechnical imaginaries of a secure future</w:t>
      </w:r>
    </w:p>
    <w:p>
      <w:pPr>
        <w:pStyle w:val="SourceNote"/>
      </w:pPr>
      <w:r>
        <w:rPr>
          <w:b/>
        </w:rPr>
        <w:t>Group ID:</w:t>
      </w:r>
      <w:r>
        <w:t xml:space="preserve"> group-4a67dce52fb88f7ebe56</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Electronic commerce patterns in Europe: Cluster analysis of online shopping intensity — https://doi.org/10.5937/mkng2501005b</w:t>
      </w:r>
    </w:p>
    <w:p>
      <w:pPr/>
      <w:r>
        <w:rPr>
          <w:b/>
        </w:rPr>
        <w:t>Later source:</w:t>
      </w:r>
      <w:r>
        <w:t xml:space="preserve"> Unraveling the European Agricultural Policy Sustainable Development Trajectory — https://doi.org/10.3390/land12091749</w:t>
      </w:r>
    </w:p>
    <w:p>
      <w:pPr>
        <w:pStyle w:val="SourceNote"/>
      </w:pPr>
      <w:r>
        <w:rPr>
          <w:b/>
        </w:rPr>
        <w:t>Review status:</w:t>
      </w:r>
      <w:r>
        <w:t xml:space="preserve"> unchecked — possible relationship only</w:t>
      </w:r>
    </w:p>
    <w:p>
      <w:pPr>
        <w:pStyle w:val="Heading2"/>
      </w:pPr>
      <w:r>
        <w:t>418. Claim + two later sources: Potential implications of future climate and land‐cover changes for the fate and distribution of persistent organic pollutants in Europe</w:t>
      </w:r>
    </w:p>
    <w:p>
      <w:pPr>
        <w:pStyle w:val="SourceNote"/>
      </w:pPr>
      <w:r>
        <w:rPr>
          <w:b/>
        </w:rPr>
        <w:t>Group ID:</w:t>
      </w:r>
      <w:r>
        <w:t xml:space="preserve"> group-a052efbf76726da53b52</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Twenty Years of Land Accounts in Europe — https://doi.org/10.3390/land13091350</w:t>
      </w:r>
    </w:p>
    <w:p>
      <w:pPr>
        <w:pStyle w:val="SourceNote"/>
      </w:pPr>
      <w:r>
        <w:rPr>
          <w:b/>
        </w:rPr>
        <w:t>Review status:</w:t>
      </w:r>
      <w:r>
        <w:t xml:space="preserve"> unchecked — possible relationship only</w:t>
      </w:r>
    </w:p>
    <w:p>
      <w:pPr>
        <w:pStyle w:val="Heading2"/>
      </w:pPr>
      <w:r>
        <w:t>419.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420. Claim + two later sources: EUropean Heliospheric FORecasting Information Asset 2.0</w:t>
      </w:r>
    </w:p>
    <w:p>
      <w:pPr>
        <w:pStyle w:val="SourceNote"/>
      </w:pPr>
      <w:r>
        <w:rPr>
          <w:b/>
        </w:rPr>
        <w:t>Group ID:</w:t>
      </w:r>
      <w:r>
        <w:t xml:space="preserve"> group-1f93d7a4c591564c9a8e</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Exploring Hybrid Forecasting Frameworks for Subseasonal Low Flow Predictions in the European Alps — https://doi.org/10.5194/egusphere-2025-3411</w:t>
      </w:r>
    </w:p>
    <w:p>
      <w:pPr/>
      <w:r>
        <w:rPr>
          <w:b/>
        </w:rPr>
        <w:t>Later source:</w:t>
      </w:r>
      <w:r>
        <w:t xml:space="preserve"> Explainable artificial intelligence for reliable water demand forecasting to increase trust in predictions — https://doi.org/10.1016/j.watres.2024.122779</w:t>
      </w:r>
    </w:p>
    <w:p>
      <w:pPr>
        <w:pStyle w:val="SourceNote"/>
      </w:pPr>
      <w:r>
        <w:rPr>
          <w:b/>
        </w:rPr>
        <w:t>Review status:</w:t>
      </w:r>
      <w:r>
        <w:t xml:space="preserve"> unchecked — possible relationship only</w:t>
      </w:r>
    </w:p>
    <w:p>
      <w:pPr>
        <w:pStyle w:val="Heading2"/>
      </w:pPr>
      <w:r>
        <w:t>421.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422. Claim + two later sources: Solar Photovoltaic Electricity Generation: A Lifeline for the European Coal Regions in Transition</w:t>
      </w:r>
    </w:p>
    <w:p>
      <w:pPr>
        <w:pStyle w:val="SourceNote"/>
      </w:pPr>
      <w:r>
        <w:rPr>
          <w:b/>
        </w:rPr>
        <w:t>Group ID:</w:t>
      </w:r>
      <w:r>
        <w:t xml:space="preserve"> group-4ca6cccf55553885299a</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Empowering whose future? A European policy analysis of children in energy poverty — https://doi.org/10.1016/j.erss.2023.103328</w:t>
      </w:r>
    </w:p>
    <w:p>
      <w:pPr/>
      <w:r>
        <w:rPr>
          <w:b/>
        </w:rPr>
        <w:t>Later source:</w:t>
      </w:r>
      <w:r>
        <w:t xml:space="preserve"> UKRAINE IN THE INTERNATIONAL ENERGY COORDINATE SYSTEM — https://doi.org/10.20998/2313-8890.2023.01.04</w:t>
      </w:r>
    </w:p>
    <w:p>
      <w:pPr>
        <w:pStyle w:val="SourceNote"/>
      </w:pPr>
      <w:r>
        <w:rPr>
          <w:b/>
        </w:rPr>
        <w:t>Review status:</w:t>
      </w:r>
      <w:r>
        <w:t xml:space="preserve"> unchecked — possible relationship only</w:t>
      </w:r>
    </w:p>
    <w:p>
      <w:pPr>
        <w:pStyle w:val="Heading2"/>
      </w:pPr>
      <w:r>
        <w:t>423. Claim + two later sources: When will European Muslim population be majority and in which country?</w:t>
      </w:r>
    </w:p>
    <w:p>
      <w:pPr>
        <w:pStyle w:val="SourceNote"/>
      </w:pPr>
      <w:r>
        <w:rPr>
          <w:b/>
        </w:rPr>
        <w:t>Group ID:</w:t>
      </w:r>
      <w:r>
        <w:t xml:space="preserve"> group-cf42276fd17d0242824d</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CSR and cost of debt in three European countries — https://doi.org/10.1007/s43621-026-03822-5</w:t>
      </w:r>
    </w:p>
    <w:p>
      <w:pPr>
        <w:pStyle w:val="SourceNote"/>
      </w:pPr>
      <w:r>
        <w:rPr>
          <w:b/>
        </w:rPr>
        <w:t>Review status:</w:t>
      </w:r>
      <w:r>
        <w:t xml:space="preserve"> unchecked — possible relationship only</w:t>
      </w:r>
    </w:p>
    <w:p>
      <w:pPr>
        <w:pStyle w:val="Heading2"/>
      </w:pPr>
      <w:r>
        <w:t>424. Claim + two later sources: Future life expectancy in 35 industrialised countries: projections with a Bayesian model ensemble</w:t>
      </w:r>
    </w:p>
    <w:p>
      <w:pPr>
        <w:pStyle w:val="SourceNote"/>
      </w:pPr>
      <w:r>
        <w:rPr>
          <w:b/>
        </w:rPr>
        <w:t>Group ID:</w:t>
      </w:r>
      <w:r>
        <w:t xml:space="preserve"> group-21f1989e11c426a2db46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Influence of social determinants of health in the evolution of the quality of life of older adults in Europe: A comparative analysis between men and women — https://doi.org/10.1057/s41599-024-02899-5</w:t>
      </w:r>
    </w:p>
    <w:p>
      <w:pPr/>
      <w:r>
        <w:rPr>
          <w:b/>
        </w:rPr>
        <w:t>Later source:</w:t>
      </w:r>
      <w:r>
        <w:t xml:space="preserve"> Deciphering the sex gap in global life expectancy: the impact of female-specific cancers 1990-2019 — https://doi.org/10.1093/jnci/djae191</w:t>
      </w:r>
    </w:p>
    <w:p>
      <w:pPr>
        <w:pStyle w:val="SourceNote"/>
      </w:pPr>
      <w:r>
        <w:rPr>
          <w:b/>
        </w:rPr>
        <w:t>Review status:</w:t>
      </w:r>
      <w:r>
        <w:t xml:space="preserve"> unchecked — possible relationship only</w:t>
      </w:r>
    </w:p>
    <w:p>
      <w:pPr>
        <w:pStyle w:val="Heading2"/>
      </w:pPr>
      <w:r>
        <w:t>425. Claim + two later sources: The Role of BECCS in Achieving Climate Neutrality in the European Union</w:t>
      </w:r>
    </w:p>
    <w:p>
      <w:pPr>
        <w:pStyle w:val="SourceNote"/>
      </w:pPr>
      <w:r>
        <w:rPr>
          <w:b/>
        </w:rPr>
        <w:t>Group ID:</w:t>
      </w:r>
      <w:r>
        <w:t xml:space="preserve"> group-e99ff2a608564cd9f63b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CLIMATE NEUTRALITY IN THE EUROPEAN UNION: LEGAL CHALLENGES AND NATIONAL STRATEGIES — https://doi.org/10.17721/apmv.2025.163.1.78-85</w:t>
      </w:r>
    </w:p>
    <w:p>
      <w:pPr/>
      <w:r>
        <w:rPr>
          <w:b/>
        </w:rPr>
        <w:t>Later source:</w:t>
      </w:r>
      <w:r>
        <w:t xml:space="preserve"> Cluster Analysis of the Transition to Climate Neutrality in the European Union — https://doi.org/10.1002/sd.70064</w:t>
      </w:r>
    </w:p>
    <w:p>
      <w:pPr>
        <w:pStyle w:val="SourceNote"/>
      </w:pPr>
      <w:r>
        <w:rPr>
          <w:b/>
        </w:rPr>
        <w:t>Review status:</w:t>
      </w:r>
      <w:r>
        <w:t xml:space="preserve"> unchecked — possible relationship only</w:t>
      </w:r>
    </w:p>
    <w:p>
      <w:pPr>
        <w:pStyle w:val="Heading2"/>
      </w:pPr>
      <w:r>
        <w:t>426. Claim + two later sources: Ecosystem service provision in a changing Europe: adapting to the impacts of combined climate and socio-economic change</w:t>
      </w:r>
    </w:p>
    <w:p>
      <w:pPr>
        <w:pStyle w:val="SourceNote"/>
      </w:pPr>
      <w:r>
        <w:rPr>
          <w:b/>
        </w:rPr>
        <w:t>Group ID:</w:t>
      </w:r>
      <w:r>
        <w:t xml:space="preserve"> group-98493d400b57fde4d7dd</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Di Fant et al., Opportunity windows accelerate action and expand options for climate adaptation in Europe_Online datasets — https://doi.org/10.6084/m9.figshare.31249858</w:t>
      </w:r>
    </w:p>
    <w:p>
      <w:pPr>
        <w:pStyle w:val="SourceNote"/>
      </w:pPr>
      <w:r>
        <w:rPr>
          <w:b/>
        </w:rPr>
        <w:t>Review status:</w:t>
      </w:r>
      <w:r>
        <w:t xml:space="preserve"> unchecked — possible relationship only</w:t>
      </w:r>
    </w:p>
    <w:p>
      <w:pPr>
        <w:pStyle w:val="Heading2"/>
      </w:pPr>
      <w:r>
        <w:t>427. Claim + two later sources: Future scenarios for a depressed region of England: the role of education in creating alternative futures</w:t>
      </w:r>
    </w:p>
    <w:p>
      <w:pPr>
        <w:pStyle w:val="SourceNote"/>
      </w:pPr>
      <w:r>
        <w:rPr>
          <w:b/>
        </w:rPr>
        <w:t>Group ID:</w:t>
      </w:r>
      <w:r>
        <w:t xml:space="preserve"> group-c35799e78a69048df98a</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Relationship between Seminars and Employee Performance in Level Four Hospitals in South-Rift Region, Kenya — https://doi.org/10.47772/ijriss.2024.8100084</w:t>
      </w:r>
    </w:p>
    <w:p>
      <w:pPr>
        <w:pStyle w:val="SourceNote"/>
      </w:pPr>
      <w:r>
        <w:rPr>
          <w:b/>
        </w:rPr>
        <w:t>Review status:</w:t>
      </w:r>
      <w:r>
        <w:t xml:space="preserve"> unchecked — possible relationship only</w:t>
      </w:r>
    </w:p>
    <w:p>
      <w:pPr>
        <w:pStyle w:val="Heading2"/>
      </w:pPr>
      <w:r>
        <w:t>428. Claim + two later sources: Future mobility in an ageing society – Where are we heading?</w:t>
      </w:r>
    </w:p>
    <w:p>
      <w:pPr>
        <w:pStyle w:val="SourceNote"/>
      </w:pPr>
      <w:r>
        <w:rPr>
          <w:b/>
        </w:rPr>
        <w:t>Group ID:</w:t>
      </w:r>
      <w:r>
        <w:t xml:space="preserve"> group-36bde5ec0d0d6c999c67</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The synergy of exercise and a planned diet in mitigating oxidative stress — https://doi.org/10.22271/journalofsport.2025.v10.i1d.3043</w:t>
      </w:r>
    </w:p>
    <w:p>
      <w:pPr/>
      <w:r>
        <w:rPr>
          <w:b/>
        </w:rPr>
        <w:t>Later source:</w:t>
      </w:r>
      <w:r>
        <w:t xml:space="preserve"> Bodily maps of exercise-induced feelings — https://doi.org/10.1038/s41598-025-07246-5</w:t>
      </w:r>
    </w:p>
    <w:p>
      <w:pPr>
        <w:pStyle w:val="SourceNote"/>
      </w:pPr>
      <w:r>
        <w:rPr>
          <w:b/>
        </w:rPr>
        <w:t>Review status:</w:t>
      </w:r>
      <w:r>
        <w:t xml:space="preserve"> unchecked — possible relationship only</w:t>
      </w:r>
    </w:p>
    <w:p>
      <w:pPr>
        <w:pStyle w:val="Heading2"/>
      </w:pPr>
      <w:r>
        <w:t>429. Claim + two later sources: Long‐term trends of Nordic power market: A review</w:t>
      </w:r>
    </w:p>
    <w:p>
      <w:pPr>
        <w:pStyle w:val="SourceNote"/>
      </w:pPr>
      <w:r>
        <w:rPr>
          <w:b/>
        </w:rPr>
        <w:t>Group ID:</w:t>
      </w:r>
      <w:r>
        <w:t xml:space="preserve"> group-adade4b46d61700789a8</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Oblique Impact Response of a Silicone-Rubber-Supported Steel Plate: Analytical Scaling, Explicit Finite Element Assessment, and Energy Transfer Mechanisms — https://doi.org/10.51584/ijrias.2026.11080192</w:t>
      </w:r>
    </w:p>
    <w:p>
      <w:pPr/>
      <w:r>
        <w:rPr>
          <w:b/>
        </w:rPr>
        <w:t>Later source:</w:t>
      </w:r>
      <w:r>
        <w:t xml:space="preserve"> Robust Assessments of Lithium Mining Impacts Embodied in Global Supply Chain Require Spatially Explicit Analyses — https://doi.org/10.1021/acs.est.4c12749</w:t>
      </w:r>
    </w:p>
    <w:p>
      <w:pPr>
        <w:pStyle w:val="SourceNote"/>
      </w:pPr>
      <w:r>
        <w:rPr>
          <w:b/>
        </w:rPr>
        <w:t>Review status:</w:t>
      </w:r>
      <w:r>
        <w:t xml:space="preserve"> unchecked — possible relationship only</w:t>
      </w:r>
    </w:p>
    <w:p>
      <w:pPr>
        <w:pStyle w:val="Heading2"/>
      </w:pPr>
      <w:r>
        <w:t>430. Claim + two later sources: The Economic Impact of Investment in Renewables in Croatia by 2030</w:t>
      </w:r>
    </w:p>
    <w:p>
      <w:pPr>
        <w:pStyle w:val="SourceNote"/>
      </w:pPr>
      <w:r>
        <w:rPr>
          <w:b/>
        </w:rPr>
        <w:t>Group ID:</w:t>
      </w:r>
      <w:r>
        <w:t xml:space="preserve"> group-781f0723aa5f814e58f5</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THE HUSSITE MOVEMENT IN THE CZECH REPUBLIC — https://doi.org/10.31470/2786-8583-2024-4-105-110</w:t>
      </w:r>
    </w:p>
    <w:p>
      <w:pPr/>
      <w:r>
        <w:rPr>
          <w:b/>
        </w:rPr>
        <w:t>Later source:</w:t>
      </w:r>
      <w:r>
        <w:t xml:space="preserve"> European policy of the Republic of Türkiye: stages, priorities, transformations — https://doi.org/10.17721/2524-048x.2025.32.1</w:t>
      </w:r>
    </w:p>
    <w:p>
      <w:pPr>
        <w:pStyle w:val="SourceNote"/>
      </w:pPr>
      <w:r>
        <w:rPr>
          <w:b/>
        </w:rPr>
        <w:t>Review status:</w:t>
      </w:r>
      <w:r>
        <w:t xml:space="preserve"> unchecked — possible relationship only</w:t>
      </w:r>
    </w:p>
    <w:p>
      <w:pPr>
        <w:pStyle w:val="Heading2"/>
      </w:pPr>
      <w:r>
        <w:t>431. Claim + two later sources: Use of Counterfactual Population Projections for Assessing the Demographic Determinants of Population Ageing</w:t>
      </w:r>
    </w:p>
    <w:p>
      <w:pPr>
        <w:pStyle w:val="SourceNote"/>
      </w:pPr>
      <w:r>
        <w:rPr>
          <w:b/>
        </w:rPr>
        <w:t>Group ID:</w:t>
      </w:r>
      <w:r>
        <w:t xml:space="preserve"> group-c0f205ac91831a73c304</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Regional Disparities in Ageing and Longevity in Nepal: A Comprehensive Analysis by Province and Ecological Zone — https://doi.org/10.3126/oj.v3i4.91080</w:t>
      </w:r>
    </w:p>
    <w:p>
      <w:pPr/>
      <w:r>
        <w:rPr>
          <w:b/>
        </w:rPr>
        <w:t>Later source:</w:t>
      </w:r>
      <w:r>
        <w:t xml:space="preserve"> Inconsistent findings of ageing across different feather-quality indices in a wild passerine — https://doi.org/10.32942/x28953</w:t>
      </w:r>
    </w:p>
    <w:p>
      <w:pPr>
        <w:pStyle w:val="SourceNote"/>
      </w:pPr>
      <w:r>
        <w:rPr>
          <w:b/>
        </w:rPr>
        <w:t>Review status:</w:t>
      </w:r>
      <w:r>
        <w:t xml:space="preserve"> unchecked — possible relationship only</w:t>
      </w:r>
    </w:p>
    <w:p>
      <w:pPr>
        <w:pStyle w:val="Heading2"/>
      </w:pPr>
      <w:r>
        <w:t>432.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group-2615ace3c8f22b57913e</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Corporate foresight among small- and medium-sized enterprises in forest-based bioeconomy: conceptual framework and empirical evidence from Finland — https://doi.org/10.1139/cjfr-2025-0274</w:t>
      </w:r>
    </w:p>
    <w:p>
      <w:pPr/>
      <w:r>
        <w:rPr>
          <w:b/>
        </w:rPr>
        <w:t>Later source:</w:t>
      </w:r>
      <w:r>
        <w:t xml:space="preserve"> Anticipating tomorrow: The role of corporate foresight and prospective sensemaking in managing digital changes by established organizations — https://doi.org/10.1111/emre.70054</w:t>
      </w:r>
    </w:p>
    <w:p>
      <w:pPr>
        <w:pStyle w:val="SourceNote"/>
      </w:pPr>
      <w:r>
        <w:rPr>
          <w:b/>
        </w:rPr>
        <w:t>Review status:</w:t>
      </w:r>
      <w:r>
        <w:t xml:space="preserve"> unchecked — possible relationship only</w:t>
      </w:r>
    </w:p>
    <w:p>
      <w:pPr>
        <w:pStyle w:val="Heading2"/>
      </w:pPr>
      <w:r>
        <w:t>433. Claim + two later sources: FORECASTED TRENDS IN CHANGES OF VEGETATION IN THE EUROPEAN PART OF RUSSIA IN CONNECTION WITH GLOBAL WARMING</w:t>
      </w:r>
    </w:p>
    <w:p>
      <w:pPr>
        <w:pStyle w:val="SourceNote"/>
      </w:pPr>
      <w:r>
        <w:rPr>
          <w:b/>
        </w:rPr>
        <w:t>Group ID:</w:t>
      </w:r>
      <w:r>
        <w:t xml:space="preserve"> group-d43e205f08d0bbf37240</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Climate-Adapted Potential Vegetation—A European Multiclass Model Estimating the Future Potential of Natural Vegetation — https://doi.org/10.3390/f14020239</w:t>
      </w:r>
    </w:p>
    <w:p>
      <w:pPr/>
      <w:r>
        <w:rPr>
          <w:b/>
        </w:rPr>
        <w:t>Later source:</w:t>
      </w:r>
      <w:r>
        <w:t xml:space="preserve"> Testing the Effect of Relative Pollen Productivity on the REVEALS Model: A Validated Reconstruction of Europe-Wide Holocene Vegetation — https://doi.org/10.3390/land12050986</w:t>
      </w:r>
    </w:p>
    <w:p>
      <w:pPr>
        <w:pStyle w:val="SourceNote"/>
      </w:pPr>
      <w:r>
        <w:rPr>
          <w:b/>
        </w:rPr>
        <w:t>Review status:</w:t>
      </w:r>
      <w:r>
        <w:t xml:space="preserve"> unchecked — possible relationship only</w:t>
      </w:r>
    </w:p>
    <w:p>
      <w:pPr>
        <w:pStyle w:val="Heading2"/>
      </w:pPr>
      <w:r>
        <w:t>434. Claim + two later sources: The role of transmission and energy storage in European decarbonization towards 2050</w:t>
      </w:r>
    </w:p>
    <w:p>
      <w:pPr>
        <w:pStyle w:val="SourceNote"/>
      </w:pPr>
      <w:r>
        <w:rPr>
          <w:b/>
        </w:rPr>
        <w:t>Group ID:</w:t>
      </w:r>
      <w:r>
        <w:t xml:space="preserve"> group-2ec80b56783aabfb9346</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The electricity system value of the local acceptance of onshore wind in Europe — https://openalex.org/W7148177161</w:t>
      </w:r>
    </w:p>
    <w:p>
      <w:pPr/>
      <w:r>
        <w:rPr>
          <w:b/>
        </w:rPr>
        <w:t>Later source:</w:t>
      </w:r>
      <w:r>
        <w:t xml:space="preserve"> Analysing drivers and interdependencies in European electricity markets using XAI — https://doi.org/10.48550/arxiv.2606.19118</w:t>
      </w:r>
    </w:p>
    <w:p>
      <w:pPr>
        <w:pStyle w:val="SourceNote"/>
      </w:pPr>
      <w:r>
        <w:rPr>
          <w:b/>
        </w:rPr>
        <w:t>Review status:</w:t>
      </w:r>
      <w:r>
        <w:t xml:space="preserve"> unchecked — possible relationship only</w:t>
      </w:r>
    </w:p>
    <w:p>
      <w:pPr>
        <w:pStyle w:val="Heading2"/>
      </w:pPr>
      <w:r>
        <w:t>435. Claim + two later sources: Strategies for emerging research and innovation futures</w:t>
      </w:r>
    </w:p>
    <w:p>
      <w:pPr>
        <w:pStyle w:val="SourceNote"/>
      </w:pPr>
      <w:r>
        <w:rPr>
          <w:b/>
        </w:rPr>
        <w:t>Group ID:</w:t>
      </w:r>
      <w:r>
        <w:t xml:space="preserve"> group-d734e93232bd53a1fd4b</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Light is Calling — https://doi.org/10.5117/9789089649966_ch06</w:t>
      </w:r>
    </w:p>
    <w:p>
      <w:pPr>
        <w:pStyle w:val="SourceNote"/>
      </w:pPr>
      <w:r>
        <w:rPr>
          <w:b/>
        </w:rPr>
        <w:t>Review status:</w:t>
      </w:r>
      <w:r>
        <w:t xml:space="preserve"> unchecked — possible relationship only</w:t>
      </w:r>
    </w:p>
    <w:p>
      <w:pPr>
        <w:pStyle w:val="Heading2"/>
      </w:pPr>
      <w:r>
        <w:t>436. Claim + two later sources: Consistent economic cross-sectoral climate change impact scenario analysis: Method and application to Austria</w:t>
      </w:r>
    </w:p>
    <w:p>
      <w:pPr>
        <w:pStyle w:val="SourceNote"/>
      </w:pPr>
      <w:r>
        <w:rPr>
          <w:b/>
        </w:rPr>
        <w:t>Group ID:</w:t>
      </w:r>
      <w:r>
        <w:t xml:space="preserve"> group-b30193ceb1cb4b0fa635</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Climate resilience of European wine regions — https://doi.org/10.1038/s41467-024-50549-w</w:t>
      </w:r>
    </w:p>
    <w:p>
      <w:pPr/>
      <w:r>
        <w:rPr>
          <w:b/>
        </w:rPr>
        <w:t>Later source:</w:t>
      </w:r>
      <w:r>
        <w:t xml:space="preserve"> The first map of crop sequence types in Europe over 2012–2018 — https://doi.org/10.5194/essd-15-5651-2023</w:t>
      </w:r>
    </w:p>
    <w:p>
      <w:pPr>
        <w:pStyle w:val="SourceNote"/>
      </w:pPr>
      <w:r>
        <w:rPr>
          <w:b/>
        </w:rPr>
        <w:t>Review status:</w:t>
      </w:r>
      <w:r>
        <w:t xml:space="preserve"> unchecked — possible relationship only</w:t>
      </w:r>
    </w:p>
    <w:p>
      <w:pPr>
        <w:pStyle w:val="Heading2"/>
      </w:pPr>
      <w:r>
        <w:t>437. Claim + two later sources: POPULATION FORECAST WITH THE DATA PROCESSING GROUP METHOD (GMDH) type NEURAL NETWORK FOR EUROPEAN UNION COUNTRIES</w:t>
      </w:r>
    </w:p>
    <w:p>
      <w:pPr>
        <w:pStyle w:val="SourceNote"/>
      </w:pPr>
      <w:r>
        <w:rPr>
          <w:b/>
        </w:rPr>
        <w:t>Group ID:</w:t>
      </w:r>
      <w:r>
        <w:t xml:space="preserve"> group-43034bb3d15eb9d834fc</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The Future of Money in Europe: Central Bank Digital Currencies? — https://openalex.org/W7215248674</w:t>
      </w:r>
    </w:p>
    <w:p>
      <w:pPr/>
      <w:r>
        <w:rPr>
          <w:b/>
        </w:rPr>
        <w:t>Later source:</w:t>
      </w:r>
      <w:r>
        <w:t xml:space="preserve"> An Analytical Approach to Comparing Actual Vs. Fundamental “Enterprise Value-to-EBITDA” Ratios on the US and European Stock Markets — https://doi.org/10.37075/faba.2025.2.08</w:t>
      </w:r>
    </w:p>
    <w:p>
      <w:pPr>
        <w:pStyle w:val="SourceNote"/>
      </w:pPr>
      <w:r>
        <w:rPr>
          <w:b/>
        </w:rPr>
        <w:t>Review status:</w:t>
      </w:r>
      <w:r>
        <w:t xml:space="preserve"> unchecked — possible relationship only</w:t>
      </w:r>
    </w:p>
    <w:p>
      <w:pPr>
        <w:pStyle w:val="Heading2"/>
      </w:pPr>
      <w:r>
        <w:t>438.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group-1e9e785c924904fbaf49</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Key сhallenges of EU environmental law arising from the European Green Deal — https://doi.org/10.24144/2307-3322.2026.94.2.29</w:t>
      </w:r>
    </w:p>
    <w:p>
      <w:pPr/>
      <w:r>
        <w:rPr>
          <w:b/>
        </w:rPr>
        <w:t>Later source:</w:t>
      </w:r>
      <w:r>
        <w:t xml:space="preserve"> European ATM Key Performance Metrics Evolution — https://doi.org/10.35116/aa.2024.0006</w:t>
      </w:r>
    </w:p>
    <w:p>
      <w:pPr>
        <w:pStyle w:val="SourceNote"/>
      </w:pPr>
      <w:r>
        <w:rPr>
          <w:b/>
        </w:rPr>
        <w:t>Review status:</w:t>
      </w:r>
      <w:r>
        <w:t xml:space="preserve"> unchecked — possible relationship only</w:t>
      </w:r>
    </w:p>
    <w:p>
      <w:pPr>
        <w:pStyle w:val="Heading2"/>
      </w:pPr>
      <w:r>
        <w:t>439. Claim + two later sources: The future of polarisation in Europe: relative cosmopolitanism and democracy</w:t>
      </w:r>
    </w:p>
    <w:p>
      <w:pPr>
        <w:pStyle w:val="SourceNote"/>
      </w:pPr>
      <w:r>
        <w:rPr>
          <w:b/>
        </w:rPr>
        <w:t>Group ID:</w:t>
      </w:r>
      <w:r>
        <w:t xml:space="preserve"> group-952eb4b9d6e10b02862a</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Polarisation beyond the Pandemic? — https://doi.org/10.17570/stj.2024.v10n1.18</w:t>
      </w:r>
    </w:p>
    <w:p>
      <w:pPr/>
      <w:r>
        <w:rPr>
          <w:b/>
        </w:rPr>
        <w:t>Later source:</w:t>
      </w:r>
      <w:r>
        <w:t xml:space="preserve"> Navigating Polarisation Malta’s two-party dynamics in the 2024 EU elections — https://doi.org/10.3917/e.poeu.086.0184</w:t>
      </w:r>
    </w:p>
    <w:p>
      <w:pPr>
        <w:pStyle w:val="SourceNote"/>
      </w:pPr>
      <w:r>
        <w:rPr>
          <w:b/>
        </w:rPr>
        <w:t>Review status:</w:t>
      </w:r>
      <w:r>
        <w:t xml:space="preserve"> unchecked — possible relationship only</w:t>
      </w:r>
    </w:p>
    <w:p>
      <w:pPr>
        <w:pStyle w:val="Heading2"/>
      </w:pPr>
      <w:r>
        <w:t>440. Claim + two later sources: Energy Scenario Analysis for the Nordic Transport Sector: A Critical Review</w:t>
      </w:r>
    </w:p>
    <w:p>
      <w:pPr>
        <w:pStyle w:val="SourceNote"/>
      </w:pPr>
      <w:r>
        <w:rPr>
          <w:b/>
        </w:rPr>
        <w:t>Group ID:</w:t>
      </w:r>
      <w:r>
        <w:t xml:space="preserve"> group-72c402caac072e01490b</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Downstream Diversification of Critical Mineral-Rich Countries — https://doi.org/10.1007/978-3-032-06139-3_1</w:t>
      </w:r>
    </w:p>
    <w:p>
      <w:pPr/>
      <w:r>
        <w:rPr>
          <w:b/>
        </w:rPr>
        <w:t>Later source:</w:t>
      </w:r>
      <w:r>
        <w:t xml:space="preserve"> Rethinking Economic Policies: Diversification and Governance Strategies to Address the Resource Curse in Mineral‐Rich Economies — https://doi.org/10.1111/nrm.70011</w:t>
      </w:r>
    </w:p>
    <w:p>
      <w:pPr>
        <w:pStyle w:val="SourceNote"/>
      </w:pPr>
      <w:r>
        <w:rPr>
          <w:b/>
        </w:rPr>
        <w:t>Review status:</w:t>
      </w:r>
      <w:r>
        <w:t xml:space="preserve"> unchecked — possible relationship only</w:t>
      </w:r>
    </w:p>
    <w:p>
      <w:pPr>
        <w:pStyle w:val="Heading2"/>
      </w:pPr>
      <w:r>
        <w:t>441. Claim + two later sources: Delphi Prospection on Additive Manufacturing in 2030: Implications for Education and Employment in Spain</w:t>
      </w:r>
    </w:p>
    <w:p>
      <w:pPr>
        <w:pStyle w:val="SourceNote"/>
      </w:pPr>
      <w:r>
        <w:rPr>
          <w:b/>
        </w:rPr>
        <w:t>Group ID:</w:t>
      </w:r>
      <w:r>
        <w:t xml:space="preserve"> group-199d430037c3a4011789</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Spain — https://doi.org/10.4324/9780429263736-8</w:t>
      </w:r>
    </w:p>
    <w:p>
      <w:pPr/>
      <w:r>
        <w:rPr>
          <w:b/>
        </w:rPr>
        <w:t>Later source:</w:t>
      </w:r>
      <w:r>
        <w:t xml:space="preserve"> EUROPEAN LONGITUDE PRIZES. I: LONGITUDE DETERMINATION IN THE SPANISH EMPIRE — https://doi.org/10.3724/sp.j.1440-2807.2020.03.03</w:t>
      </w:r>
    </w:p>
    <w:p>
      <w:pPr>
        <w:pStyle w:val="SourceNote"/>
      </w:pPr>
      <w:r>
        <w:rPr>
          <w:b/>
        </w:rPr>
        <w:t>Review status:</w:t>
      </w:r>
      <w:r>
        <w:t xml:space="preserve"> unchecked — possible relationship only</w:t>
      </w:r>
    </w:p>
    <w:p>
      <w:pPr>
        <w:pStyle w:val="Heading2"/>
      </w:pPr>
      <w:r>
        <w:t>442. Claim + two later sources: Suitability of European climate for the Asian tiger mosquito Aedes albopictus : recent trends and future scenarios</w:t>
      </w:r>
    </w:p>
    <w:p>
      <w:pPr>
        <w:pStyle w:val="SourceNote"/>
      </w:pPr>
      <w:r>
        <w:rPr>
          <w:b/>
        </w:rPr>
        <w:t>Group ID:</w:t>
      </w:r>
      <w:r>
        <w:t xml:space="preserve"> group-fb2b5bfc412e8abd774b</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#148 Impact of targeted screening in high-risk individuals and guideline-directed medical therapy on CKD burden in Europe: projections from IMPACT CKD — https://doi.org/10.1093/ndt/gfaf116.047</w:t>
      </w:r>
    </w:p>
    <w:p>
      <w:pPr/>
      <w:r>
        <w:rPr>
          <w:b/>
        </w:rPr>
        <w:t>Later source:</w:t>
      </w:r>
      <w:r>
        <w:t xml:space="preserve"> Estimating the potential risk of transmission of arboviruses in the Americas and Europe: a modelling study — https://doi.org/10.1016/s2542-5196(23)00252-8</w:t>
      </w:r>
    </w:p>
    <w:p>
      <w:pPr>
        <w:pStyle w:val="SourceNote"/>
      </w:pPr>
      <w:r>
        <w:rPr>
          <w:b/>
        </w:rPr>
        <w:t>Review status:</w:t>
      </w:r>
      <w:r>
        <w:t xml:space="preserve"> unchecked — possible relationship only</w:t>
      </w:r>
    </w:p>
    <w:p>
      <w:pPr>
        <w:pStyle w:val="Heading2"/>
      </w:pPr>
      <w:r>
        <w:t>443. Claim + two later sources: OPERATIONAL EARTHQUAKE FORECASTING. State of Knowledge and Guidelines for Utilization</w:t>
      </w:r>
    </w:p>
    <w:p>
      <w:pPr>
        <w:pStyle w:val="SourceNote"/>
      </w:pPr>
      <w:r>
        <w:rPr>
          <w:b/>
        </w:rPr>
        <w:t>Group ID:</w:t>
      </w:r>
      <w:r>
        <w:t xml:space="preserve"> group-77d8c9ca1efb52305029</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Modelling of the long-term evolution and performance of engineered barrier system — https://doi.org/10.1051/epjn/2022038</w:t>
      </w:r>
    </w:p>
    <w:p>
      <w:pPr>
        <w:pStyle w:val="SourceNote"/>
      </w:pPr>
      <w:r>
        <w:rPr>
          <w:b/>
        </w:rPr>
        <w:t>Review status:</w:t>
      </w:r>
      <w:r>
        <w:t xml:space="preserve"> unchecked — possible relationship only</w:t>
      </w:r>
    </w:p>
    <w:p>
      <w:pPr>
        <w:pStyle w:val="Heading2"/>
      </w:pPr>
      <w:r>
        <w:t>444. Claim + two later sources: The European Health Union: European Union’s Concern about Health for All. Concepts, Definition, and Scenarios</w:t>
      </w:r>
    </w:p>
    <w:p>
      <w:pPr>
        <w:pStyle w:val="SourceNote"/>
      </w:pPr>
      <w:r>
        <w:rPr>
          <w:b/>
        </w:rPr>
        <w:t>Group ID:</w:t>
      </w:r>
      <w:r>
        <w:t xml:space="preserve"> group-bfff8d1e48898be7923f</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Bridging the gap between research and decision making: A European survey to enhance cooperation in wastewater-based epidemiology (WBE) for illicit drugs — https://doi.org/10.1016/j.puhe.2025.02.009</w:t>
      </w:r>
    </w:p>
    <w:p>
      <w:pPr/>
      <w:r>
        <w:rPr>
          <w:b/>
        </w:rPr>
        <w:t>Later source:</w:t>
      </w:r>
      <w:r>
        <w:t xml:space="preserve"> Comparison of countries in the WHO European Region according to noncommunicable disease indicators by multi-criteria decision making methods — https://doi.org/10.32552/2025.actamedica.1067</w:t>
      </w:r>
    </w:p>
    <w:p>
      <w:pPr>
        <w:pStyle w:val="SourceNote"/>
      </w:pPr>
      <w:r>
        <w:rPr>
          <w:b/>
        </w:rPr>
        <w:t>Review status:</w:t>
      </w:r>
      <w:r>
        <w:t xml:space="preserve"> unchecked — possible relationship only</w:t>
      </w:r>
    </w:p>
    <w:p>
      <w:pPr>
        <w:pStyle w:val="Heading2"/>
      </w:pPr>
      <w:r>
        <w:t>445. Claim + two later sources: Ageing population and labour productivity in Bulgaria</w:t>
      </w:r>
    </w:p>
    <w:p>
      <w:pPr>
        <w:pStyle w:val="SourceNote"/>
      </w:pPr>
      <w:r>
        <w:rPr>
          <w:b/>
        </w:rPr>
        <w:t>Group ID:</w:t>
      </w:r>
      <w:r>
        <w:t xml:space="preserve"> group-a8a5884aa16d126763b1</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A REVIEW OF RECENT TRENDS TO INCREASE THE SHARE OF POST-CONSUMER PACKAGING WASTE TO RECYCLING IN EUROPE — https://doi.org/10.31025/2611-4135/2022.15198</w:t>
      </w:r>
    </w:p>
    <w:p>
      <w:pPr>
        <w:pStyle w:val="SourceNote"/>
      </w:pPr>
      <w:r>
        <w:rPr>
          <w:b/>
        </w:rPr>
        <w:t>Review status:</w:t>
      </w:r>
      <w:r>
        <w:t xml:space="preserve"> unchecked — possible relationship only</w:t>
      </w:r>
    </w:p>
    <w:p>
      <w:pPr>
        <w:pStyle w:val="Heading2"/>
      </w:pPr>
      <w:r>
        <w:t>446. Claim + two later sources: Analysing the potential of integrating wind and solar power in Europe using spatial optimisation under various scenarios</w:t>
      </w:r>
    </w:p>
    <w:p>
      <w:pPr>
        <w:pStyle w:val="SourceNote"/>
      </w:pPr>
      <w:r>
        <w:rPr>
          <w:b/>
        </w:rPr>
        <w:t>Group ID:</w:t>
      </w:r>
      <w:r>
        <w:t xml:space="preserve"> group-37f053c96a832184b4f6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The opportunities and potential of camelina in marginal land in Europe — https://doi.org/10.1016/j.indcrop.2024.118224</w:t>
      </w:r>
    </w:p>
    <w:p>
      <w:pPr/>
      <w:r>
        <w:rPr>
          <w:b/>
        </w:rPr>
        <w:t>Later source:</w:t>
      </w:r>
      <w:r>
        <w:t xml:space="preserve"> Disparities of Central and Eastern European Countries of European Union in innovation potential: A multi-criteria assessment — https://doi.org/10.1016/j.joitmc.2024.100282</w:t>
      </w:r>
    </w:p>
    <w:p>
      <w:pPr>
        <w:pStyle w:val="SourceNote"/>
      </w:pPr>
      <w:r>
        <w:rPr>
          <w:b/>
        </w:rPr>
        <w:t>Review status:</w:t>
      </w:r>
      <w:r>
        <w:t xml:space="preserve"> unchecked — possible relationship only</w:t>
      </w:r>
    </w:p>
    <w:p>
      <w:pPr>
        <w:pStyle w:val="Heading2"/>
      </w:pPr>
      <w:r>
        <w:t>447. Claim + two later sources: How Sustainable Development Goals interlinkages influence European Union countries’ progress towards the 2030 Agenda</w:t>
      </w:r>
    </w:p>
    <w:p>
      <w:pPr>
        <w:pStyle w:val="SourceNote"/>
      </w:pPr>
      <w:r>
        <w:rPr>
          <w:b/>
        </w:rPr>
        <w:t>Group ID:</w:t>
      </w:r>
      <w:r>
        <w:t xml:space="preserve"> group-c7f5bf8da4d3704eac9b</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Curbing the European Union’s global deforestation footprint through trade — https://doi.org/10.1080/1523908x.2025.2480696</w:t>
      </w:r>
    </w:p>
    <w:p>
      <w:pPr/>
      <w:r>
        <w:rPr>
          <w:b/>
        </w:rPr>
        <w:t>Later source:</w:t>
      </w:r>
      <w:r>
        <w:t xml:space="preserve"> Export Controls and the Green Agenda in the European Union — https://doi.org/10.1017/s0020589325000119</w:t>
      </w:r>
    </w:p>
    <w:p>
      <w:pPr>
        <w:pStyle w:val="SourceNote"/>
      </w:pPr>
      <w:r>
        <w:rPr>
          <w:b/>
        </w:rPr>
        <w:t>Review status:</w:t>
      </w:r>
      <w:r>
        <w:t xml:space="preserve"> unchecked — possible relationship only</w:t>
      </w:r>
    </w:p>
    <w:p>
      <w:pPr>
        <w:pStyle w:val="Heading2"/>
      </w:pPr>
      <w:r>
        <w:t>448. Claim + two later sources: Decoupling transport-related greenhouse gas emissions and economic growth in the European Union countries</w:t>
      </w:r>
    </w:p>
    <w:p>
      <w:pPr>
        <w:pStyle w:val="SourceNote"/>
      </w:pPr>
      <w:r>
        <w:rPr>
          <w:b/>
        </w:rPr>
        <w:t>Group ID:</w:t>
      </w:r>
      <w:r>
        <w:t xml:space="preserve"> group-41bfdb19426101bcdfb8</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A multi-model analysis of hydrogen uptake in a climate-neutral Europe — https://doi.org/10.1038/s41467-026-78681-9</w:t>
      </w:r>
    </w:p>
    <w:p>
      <w:pPr/>
      <w:r>
        <w:rPr>
          <w:b/>
        </w:rPr>
        <w:t>Later source:</w:t>
      </w:r>
      <w:r>
        <w:t xml:space="preserve"> The European Union — https://doi.org/10.1017/9781009293723.009</w:t>
      </w:r>
    </w:p>
    <w:p>
      <w:pPr>
        <w:pStyle w:val="SourceNote"/>
      </w:pPr>
      <w:r>
        <w:rPr>
          <w:b/>
        </w:rPr>
        <w:t>Review status:</w:t>
      </w:r>
      <w:r>
        <w:t xml:space="preserve"> unchecked — possible relationship only</w:t>
      </w:r>
    </w:p>
    <w:p>
      <w:pPr>
        <w:pStyle w:val="Heading2"/>
      </w:pPr>
      <w:r>
        <w:t>449. Claim + two later sources: CROATIAN RURAL FUTURES IN 2030: FOUR ALTERNATIVE SCENARIOS FOR POSTSOCIALIST COUNTRYSIDE IN THE NEWEST E.U. MEMBER STATE</w:t>
      </w:r>
    </w:p>
    <w:p>
      <w:pPr>
        <w:pStyle w:val="SourceNote"/>
      </w:pPr>
      <w:r>
        <w:rPr>
          <w:b/>
        </w:rPr>
        <w:t>Group ID:</w:t>
      </w:r>
      <w:r>
        <w:t xml:space="preserve"> group-0c39643dcf96959a74da</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Alternative Investment Funds: Regulation in European Union Law and Prospects for Implementation in Ukraine — https://doi.org/10.31359/1993-0909.2026.33.3.386</w:t>
      </w:r>
    </w:p>
    <w:p>
      <w:pPr/>
      <w:r>
        <w:rPr>
          <w:b/>
        </w:rPr>
        <w:t>Later source:</w:t>
      </w:r>
      <w:r>
        <w:t xml:space="preserve"> Right-wing and left-wing populists in the 2024 European Parliament elections in Germany: an analysis of the success of Alternative for Germany and Sahra Wagenknecht's Alliance — https://doi.org/10.31338/1641-2478pe.3.25.11</w:t>
      </w:r>
    </w:p>
    <w:p>
      <w:pPr>
        <w:pStyle w:val="SourceNote"/>
      </w:pPr>
      <w:r>
        <w:rPr>
          <w:b/>
        </w:rPr>
        <w:t>Review status:</w:t>
      </w:r>
      <w:r>
        <w:t xml:space="preserve"> unchecked — possible relationship only</w:t>
      </w:r>
    </w:p>
    <w:p>
      <w:pPr>
        <w:pStyle w:val="Heading2"/>
      </w:pPr>
      <w:r>
        <w:t>450. Claim + two later sources: Modelling street level PM 10 concentrations across Europe: source apportionment and possible futures</w:t>
      </w:r>
    </w:p>
    <w:p>
      <w:pPr>
        <w:pStyle w:val="SourceNote"/>
      </w:pPr>
      <w:r>
        <w:rPr>
          <w:b/>
        </w:rPr>
        <w:t>Group ID:</w:t>
      </w:r>
      <w:r>
        <w:t xml:space="preserve"> group-1b8b5953d2181f4f99bc</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Understanding and predicting the geographic distributions of phlebotomine sand flies in and around Europe — https://doi.org/10.1007/s10584-025-04009-z</w:t>
      </w:r>
    </w:p>
    <w:p>
      <w:pPr>
        <w:pStyle w:val="SourceNote"/>
      </w:pPr>
      <w:r>
        <w:rPr>
          <w:b/>
        </w:rPr>
        <w:t>Review status:</w:t>
      </w:r>
      <w:r>
        <w:t xml:space="preserve"> unchecked — possible relationship only</w:t>
      </w:r>
    </w:p>
    <w:p>
      <w:pPr>
        <w:pStyle w:val="Heading2"/>
      </w:pPr>
      <w:r>
        <w:t>451.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452. Claim + two later sources: Ensemble projections of future streamflow droughts in Europe</w:t>
      </w:r>
    </w:p>
    <w:p>
      <w:pPr>
        <w:pStyle w:val="SourceNote"/>
      </w:pPr>
      <w:r>
        <w:rPr>
          <w:b/>
        </w:rPr>
        <w:t>Group ID:</w:t>
      </w:r>
      <w:r>
        <w:t xml:space="preserve"> group-433bcdebfbd571ee0a7f</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a power system model with a hydrological model improves the representation of sub-monthly hydropower flexibility — https://doi.org/10.1016/j.apenergy.2025.126694</w:t>
      </w:r>
    </w:p>
    <w:p>
      <w:pPr/>
      <w:r>
        <w:rPr>
          <w:b/>
        </w:rPr>
        <w:t>Later source:</w:t>
      </w:r>
      <w:r>
        <w:t xml:space="preserve"> Coupling hydrological and sanitation datasets to simulate wastewater-derived contamination in European rivers: Model development and calibration — https://doi.org/10.1016/j.envsoft.2024.106049</w:t>
      </w:r>
    </w:p>
    <w:p>
      <w:pPr>
        <w:pStyle w:val="SourceNote"/>
      </w:pPr>
      <w:r>
        <w:rPr>
          <w:b/>
        </w:rPr>
        <w:t>Review status:</w:t>
      </w:r>
      <w:r>
        <w:t xml:space="preserve"> unchecked — possible relationship only</w:t>
      </w:r>
    </w:p>
    <w:p>
      <w:pPr>
        <w:pStyle w:val="Heading2"/>
      </w:pPr>
      <w:r>
        <w:t>453. Claim + two later sources: Brexit deal and demographics drag on long‐term outlook</w:t>
      </w:r>
    </w:p>
    <w:p>
      <w:pPr>
        <w:pStyle w:val="SourceNote"/>
      </w:pPr>
      <w:r>
        <w:rPr>
          <w:b/>
        </w:rPr>
        <w:t>Group ID:</w:t>
      </w:r>
      <w:r>
        <w:t xml:space="preserve"> group-632bb6a8a21a3c566b0a</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Damage — https://doi.org/10.1093/he/9780198949695.003.0035</w:t>
      </w:r>
    </w:p>
    <w:p>
      <w:pPr/>
      <w:r>
        <w:rPr>
          <w:b/>
        </w:rPr>
        <w:t>Later source:</w:t>
      </w:r>
      <w:r>
        <w:t xml:space="preserve"> A Study on Trade Damage and Trade Adjustment Assistance(TAA) — https://doi.org/10.18104/kalc.2023.38.1.31</w:t>
      </w:r>
    </w:p>
    <w:p>
      <w:pPr>
        <w:pStyle w:val="SourceNote"/>
      </w:pPr>
      <w:r>
        <w:rPr>
          <w:b/>
        </w:rPr>
        <w:t>Review status:</w:t>
      </w:r>
      <w:r>
        <w:t xml:space="preserve"> unchecked — possible relationship only</w:t>
      </w:r>
    </w:p>
    <w:p>
      <w:pPr>
        <w:pStyle w:val="Heading2"/>
      </w:pPr>
      <w:r>
        <w:t>454. Claim + two later sources: Analyst earnings forecast revision activity around profit warnings across four European countries</w:t>
      </w:r>
    </w:p>
    <w:p>
      <w:pPr>
        <w:pStyle w:val="SourceNote"/>
      </w:pPr>
      <w:r>
        <w:rPr>
          <w:b/>
        </w:rPr>
        <w:t>Group ID:</w:t>
      </w:r>
      <w:r>
        <w:t xml:space="preserve"> group-cf43ae99c513a0dcf1ca</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The effect of ESG disclosure on firm value in the European context — https://doi.org/10.1108/md-10-2024-2480</w:t>
      </w:r>
    </w:p>
    <w:p>
      <w:pPr/>
      <w:r>
        <w:rPr>
          <w:b/>
        </w:rPr>
        <w:t>Later source:</w:t>
      </w:r>
      <w:r>
        <w:t xml:space="preserve"> Artificial Intelligence (AI): Educational Implications, Limitations and Future of Learning in Higher Education in Oyo State — https://doi.org/10.52589/bjeldp-vjwdllek</w:t>
      </w:r>
    </w:p>
    <w:p>
      <w:pPr>
        <w:pStyle w:val="SourceNote"/>
      </w:pPr>
      <w:r>
        <w:rPr>
          <w:b/>
        </w:rPr>
        <w:t>Review status:</w:t>
      </w:r>
      <w:r>
        <w:t xml:space="preserve"> unchecked — possible relationship only</w:t>
      </w:r>
    </w:p>
    <w:p>
      <w:pPr>
        <w:pStyle w:val="Heading2"/>
      </w:pPr>
      <w:r>
        <w:t>455. Claim + two later sources: A multi-model, multi-scenario, and multi-domain analysis of regional climate projections for the Mediterranean</w:t>
      </w:r>
    </w:p>
    <w:p>
      <w:pPr>
        <w:pStyle w:val="SourceNote"/>
      </w:pPr>
      <w:r>
        <w:rPr>
          <w:b/>
        </w:rPr>
        <w:t>Group ID:</w:t>
      </w:r>
      <w:r>
        <w:t xml:space="preserve"> group-2eafb43bfa5f2f46961d</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Designing integrated and resilient multi-energy systems via multi-objective optimization and scenario analysis — https://doi.org/10.5194/egusphere-egu24-3162</w:t>
      </w:r>
    </w:p>
    <w:p>
      <w:pPr>
        <w:pStyle w:val="SourceNote"/>
      </w:pPr>
      <w:r>
        <w:rPr>
          <w:b/>
        </w:rPr>
        <w:t>Review status:</w:t>
      </w:r>
      <w:r>
        <w:t xml:space="preserve"> unchecked — possible relationship only</w:t>
      </w:r>
    </w:p>
    <w:p>
      <w:pPr>
        <w:pStyle w:val="Heading2"/>
      </w:pPr>
      <w:r>
        <w:t>456. Claim + two later sources: A comparison of low carbon investment needs between China and Europe in stringent climate policy scenarios</w:t>
      </w:r>
    </w:p>
    <w:p>
      <w:pPr>
        <w:pStyle w:val="SourceNote"/>
      </w:pPr>
      <w:r>
        <w:rPr>
          <w:b/>
        </w:rPr>
        <w:t>Group ID:</w:t>
      </w:r>
      <w:r>
        <w:t xml:space="preserve"> group-ac8432ba447e2ee18be0</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The micro-macro interplay of economic factors in late-life loneliness: Evidence from Europe and China — https://doi.org/10.3389/fpubh.2022.968411</w:t>
      </w:r>
    </w:p>
    <w:p>
      <w:pPr>
        <w:pStyle w:val="SourceNote"/>
      </w:pPr>
      <w:r>
        <w:rPr>
          <w:b/>
        </w:rPr>
        <w:t>Review status:</w:t>
      </w:r>
      <w:r>
        <w:t xml:space="preserve"> unchecked — possible relationship only</w:t>
      </w:r>
    </w:p>
    <w:p>
      <w:pPr>
        <w:pStyle w:val="Heading2"/>
      </w:pPr>
      <w:r>
        <w:t>457.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458.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459. Claim + two later sources: South East Europe electricity roadmap – modelling energy transition in the electricity sectors</w:t>
      </w:r>
    </w:p>
    <w:p>
      <w:pPr>
        <w:pStyle w:val="SourceNote"/>
      </w:pPr>
      <w:r>
        <w:rPr>
          <w:b/>
        </w:rPr>
        <w:t>Group ID:</w:t>
      </w:r>
      <w:r>
        <w:t xml:space="preserve"> group-80cd25d55c96c43fb569</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Unveiling the environmental impact of earthquakes in Europe — https://doi.org/10.1038/s41467-025-68120-6</w:t>
      </w:r>
    </w:p>
    <w:p>
      <w:pPr/>
      <w:r>
        <w:rPr>
          <w:b/>
        </w:rPr>
        <w:t>Later source:</w:t>
      </w:r>
      <w:r>
        <w:t xml:space="preserve"> Challenges in the micropropagation of economically important fruit species in Europe — https://doi.org/10.1007/s11240-025-03165-5</w:t>
      </w:r>
    </w:p>
    <w:p>
      <w:pPr>
        <w:pStyle w:val="SourceNote"/>
      </w:pPr>
      <w:r>
        <w:rPr>
          <w:b/>
        </w:rPr>
        <w:t>Review status:</w:t>
      </w:r>
      <w:r>
        <w:t xml:space="preserve"> unchecked — possible relationship only</w:t>
      </w:r>
    </w:p>
    <w:p>
      <w:pPr>
        <w:pStyle w:val="Heading2"/>
      </w:pPr>
      <w:r>
        <w:t>460.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possible relationship only</w:t>
      </w:r>
    </w:p>
    <w:p>
      <w:pPr>
        <w:pStyle w:val="Heading2"/>
      </w:pPr>
      <w:r>
        <w:t>461. Claim + two later sources: Imagining the future with citizens: participatory foresight and democratic policy design in Marcoussis, France</w:t>
      </w:r>
    </w:p>
    <w:p>
      <w:pPr>
        <w:pStyle w:val="SourceNote"/>
      </w:pPr>
      <w:r>
        <w:rPr>
          <w:b/>
        </w:rPr>
        <w:t>Group ID:</w:t>
      </w:r>
      <w:r>
        <w:t xml:space="preserve"> group-be882107ec92e006a06f</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Droughts in South East Europe (SEE): current picture, tendencies and impact — https://doi.org/10.5194/nhess-26-1305-2026</w:t>
      </w:r>
    </w:p>
    <w:p>
      <w:pPr/>
      <w:r>
        <w:rPr>
          <w:b/>
        </w:rPr>
        <w:t>Later source:</w:t>
      </w:r>
      <w:r>
        <w:t xml:space="preserve"> Continuing recovery of wolves in Europe — https://doi.org/10.1371/journal.pstr.0000158</w:t>
      </w:r>
    </w:p>
    <w:p>
      <w:pPr>
        <w:pStyle w:val="SourceNote"/>
      </w:pPr>
      <w:r>
        <w:rPr>
          <w:b/>
        </w:rPr>
        <w:t>Review status:</w:t>
      </w:r>
      <w:r>
        <w:t xml:space="preserve"> unchecked — possible relationship only</w:t>
      </w:r>
    </w:p>
    <w:p>
      <w:pPr>
        <w:pStyle w:val="Heading2"/>
      </w:pPr>
      <w:r>
        <w:t>462. Claim + two later sources: Brexit adds to gloom over long‐term growth prospects</w:t>
      </w:r>
    </w:p>
    <w:p>
      <w:pPr>
        <w:pStyle w:val="SourceNote"/>
      </w:pPr>
      <w:r>
        <w:rPr>
          <w:b/>
        </w:rPr>
        <w:t>Group ID:</w:t>
      </w:r>
      <w:r>
        <w:t xml:space="preserve"> group-d3b14fb5b58171eb007d</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Accurate medium-range global weather forecasting with 3D neural networks — https://doi.org/10.1038/s41586-023-06185-3</w:t>
      </w:r>
    </w:p>
    <w:p>
      <w:pPr/>
      <w:r>
        <w:rPr>
          <w:b/>
        </w:rPr>
        <w:t>Later source:</w:t>
      </w:r>
      <w:r>
        <w:t xml:space="preserve"> Global seasonal forecasts of marine heatwaves — https://doi.org/10.1038/s41586-022-04573-9</w:t>
      </w:r>
    </w:p>
    <w:p>
      <w:pPr>
        <w:pStyle w:val="SourceNote"/>
      </w:pPr>
      <w:r>
        <w:rPr>
          <w:b/>
        </w:rPr>
        <w:t>Review status:</w:t>
      </w:r>
      <w:r>
        <w:t xml:space="preserve"> unchecked — possible relationship only</w:t>
      </w:r>
    </w:p>
    <w:p>
      <w:pPr>
        <w:pStyle w:val="Heading2"/>
      </w:pPr>
      <w:r>
        <w:t>463. Claim + two later sources: The European forest sector: past and future carbon budget and fluxes under different management scenarios</w:t>
      </w:r>
    </w:p>
    <w:p>
      <w:pPr>
        <w:pStyle w:val="SourceNote"/>
      </w:pPr>
      <w:r>
        <w:rPr>
          <w:b/>
        </w:rPr>
        <w:t>Group ID:</w:t>
      </w:r>
      <w:r>
        <w:t xml:space="preserve"> group-73cadad0e76a3a1cd835</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Short Term Impacts of Harvesting 0perations on Soil Chemical Properties in a Mediterranean Oak Ecosystem — https://doi.org/10.5552/crojfe.2021.1100</w:t>
      </w:r>
    </w:p>
    <w:p>
      <w:pPr/>
      <w:r>
        <w:rPr>
          <w:b/>
        </w:rPr>
        <w:t>Later source:</w:t>
      </w:r>
      <w:r>
        <w:t xml:space="preserve"> Does harvest of the European grayling, Thymallus thymallus (Actinopterygii: Salmoniformes: Salmonidae), change over time with different intensity of fish stocking and fishing effort? — https://doi.org/10.3750/aiep/02643</w:t>
      </w:r>
    </w:p>
    <w:p>
      <w:pPr>
        <w:pStyle w:val="SourceNote"/>
      </w:pPr>
      <w:r>
        <w:rPr>
          <w:b/>
        </w:rPr>
        <w:t>Review status:</w:t>
      </w:r>
      <w:r>
        <w:t xml:space="preserve"> unchecked — possible relationship only</w:t>
      </w:r>
    </w:p>
    <w:p>
      <w:pPr>
        <w:pStyle w:val="Heading2"/>
      </w:pPr>
      <w:r>
        <w:t>464. Claim + two later sources: Foresight in Higher Education Institutions: Evidence from Poland</w:t>
      </w:r>
    </w:p>
    <w:p>
      <w:pPr>
        <w:pStyle w:val="SourceNote"/>
      </w:pPr>
      <w:r>
        <w:rPr>
          <w:b/>
        </w:rPr>
        <w:t>Group ID:</w:t>
      </w:r>
      <w:r>
        <w:t xml:space="preserve"> group-2c426b266a69793a1593</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3 Europe as the Crisis of Play — https://doi.org/10.1515/9781438499819-004</w:t>
      </w:r>
    </w:p>
    <w:p>
      <w:pPr/>
      <w:r>
        <w:rPr>
          <w:b/>
        </w:rPr>
        <w:t>Later source:</w:t>
      </w:r>
      <w:r>
        <w:t xml:space="preserve"> Animal Welfare Protocols and Labelling Schemes for Broilers in Europe — https://doi.org/10.3390/poultry4030029</w:t>
      </w:r>
    </w:p>
    <w:p>
      <w:pPr>
        <w:pStyle w:val="SourceNote"/>
      </w:pPr>
      <w:r>
        <w:rPr>
          <w:b/>
        </w:rPr>
        <w:t>Review status:</w:t>
      </w:r>
      <w:r>
        <w:t xml:space="preserve"> unchecked — possible relationship only</w:t>
      </w:r>
    </w:p>
    <w:p>
      <w:pPr>
        <w:pStyle w:val="Heading2"/>
      </w:pPr>
      <w:r>
        <w:t>465. Claim + two later sources: The Future of Rural Poland: the Main Trends and Possible Scenarios.</w:t>
      </w:r>
    </w:p>
    <w:p>
      <w:pPr>
        <w:pStyle w:val="SourceNote"/>
      </w:pPr>
      <w:r>
        <w:rPr>
          <w:b/>
        </w:rPr>
        <w:t>Group ID:</w:t>
      </w:r>
      <w:r>
        <w:t xml:space="preserve"> group-a6483900b89f6352ba22</w:t>
      </w:r>
    </w:p>
    <w:p>
      <w:pPr>
        <w:pStyle w:val="SourceNote"/>
      </w:pPr>
      <w:r>
        <w:rPr>
          <w:b/>
        </w:rPr>
        <w:t>Original source:</w:t>
      </w:r>
      <w:r>
        <w:t xml:space="preserve"> https://doi.org/10.1515/eec-2017-0004</w:t>
      </w:r>
    </w:p>
    <w:p>
      <w:pPr/>
      <w:r>
        <w:rPr>
          <w:b/>
        </w:rPr>
        <w:t>Original future claim:</w:t>
      </w:r>
      <w:r>
        <w:t xml:space="preserve">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Factors Explaining Employee Retention Challenges in European SMEs — https://doi.org/10.2478/picbe-2026-0175</w:t>
      </w:r>
    </w:p>
    <w:p>
      <w:pPr/>
      <w:r>
        <w:rPr>
          <w:b/>
        </w:rPr>
        <w:t>Later source:</w:t>
      </w:r>
      <w:r>
        <w:t xml:space="preserve"> AI, robots and innovation in European SMEs — https://doi.org/10.1007/s11187-025-01017-2</w:t>
      </w:r>
    </w:p>
    <w:p>
      <w:pPr>
        <w:pStyle w:val="SourceNote"/>
      </w:pPr>
      <w:r>
        <w:rPr>
          <w:b/>
        </w:rPr>
        <w:t>Review status:</w:t>
      </w:r>
      <w:r>
        <w:t xml:space="preserve"> unchecked — possible relationship only</w:t>
      </w:r>
    </w:p>
    <w:p>
      <w:pPr>
        <w:pStyle w:val="Heading2"/>
      </w:pPr>
      <w:r>
        <w:t>466. Claim + two later sources: Future Projections of Heat Mortality Risk for Major European Cities</w:t>
      </w:r>
    </w:p>
    <w:p>
      <w:pPr>
        <w:pStyle w:val="SourceNote"/>
      </w:pPr>
      <w:r>
        <w:rPr>
          <w:b/>
        </w:rPr>
        <w:t>Group ID:</w:t>
      </w:r>
      <w:r>
        <w:t xml:space="preserve"> group-d5bd395f2a2aafd3f270</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The impact of heat and cold on mortality and life expectancy in Europe, 2015–2024 — https://doi.org/10.1016/j.ehb.2026.101607</w:t>
      </w:r>
    </w:p>
    <w:p>
      <w:pPr/>
      <w:r>
        <w:rPr>
          <w:b/>
        </w:rPr>
        <w:t>Later source:</w:t>
      </w:r>
      <w:r>
        <w:t xml:space="preserve"> Trends in mortality and disability from ischaemic stroke in Europe, 1990-2023 — https://doi.org/10.1093/esj/aakag082</w:t>
      </w:r>
    </w:p>
    <w:p>
      <w:pPr>
        <w:pStyle w:val="SourceNote"/>
      </w:pPr>
      <w:r>
        <w:rPr>
          <w:b/>
        </w:rPr>
        <w:t>Review status:</w:t>
      </w:r>
      <w:r>
        <w:t xml:space="preserve"> unchecked — possible relationship only</w:t>
      </w:r>
    </w:p>
    <w:p>
      <w:pPr>
        <w:pStyle w:val="Heading2"/>
      </w:pPr>
      <w:r>
        <w:t>467. Claim + two later sources: Pathways to Deep Decarbonization in Italy</w:t>
      </w:r>
    </w:p>
    <w:p>
      <w:pPr>
        <w:pStyle w:val="SourceNote"/>
      </w:pPr>
      <w:r>
        <w:rPr>
          <w:b/>
        </w:rPr>
        <w:t>Group ID:</w:t>
      </w:r>
      <w:r>
        <w:t xml:space="preserve"> group-c36ace9d22f2d948625e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BOOK REVIEW: OPEN AND DISTANCE EDUCATION IN AUSTRALIA, EUROPE AND THE AMERICAS: NATIONAL PERSPECTIVES IN A DIGITAL AGE — https://openalex.org/W7167292450</w:t>
      </w:r>
    </w:p>
    <w:p>
      <w:pPr/>
      <w:r>
        <w:rPr>
          <w:b/>
        </w:rPr>
        <w:t>Later source:</w:t>
      </w:r>
      <w:r>
        <w:t xml:space="preserve"> Engagement of European Countries in the Implementation of the US Indo-Pacific Strategy (Part 2) — https://doi.org/10.22394/1726-1139-2023-12-9-33</w:t>
      </w:r>
    </w:p>
    <w:p>
      <w:pPr>
        <w:pStyle w:val="SourceNote"/>
      </w:pPr>
      <w:r>
        <w:rPr>
          <w:b/>
        </w:rPr>
        <w:t>Review status:</w:t>
      </w:r>
      <w:r>
        <w:t xml:space="preserve"> unchecked — possible relationship only</w:t>
      </w:r>
    </w:p>
    <w:p>
      <w:pPr>
        <w:pStyle w:val="Heading2"/>
      </w:pPr>
      <w:r>
        <w:t>468. Claim + two later sources: COVID-19 and European maritime futures: different pathways to deal with the pandemic</w:t>
      </w:r>
    </w:p>
    <w:p>
      <w:pPr>
        <w:pStyle w:val="SourceNote"/>
      </w:pPr>
      <w:r>
        <w:rPr>
          <w:b/>
        </w:rPr>
        <w:t>Group ID:</w:t>
      </w:r>
      <w:r>
        <w:t xml:space="preserve"> group-ad854bdb3b5690c7a3b2</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The role of Latvia's maritime spatial planning in promoting the European Green Deal — https://doi.org/10.7163/eu21.2022.42.4</w:t>
      </w:r>
    </w:p>
    <w:p>
      <w:pPr/>
      <w:r>
        <w:rPr>
          <w:b/>
        </w:rPr>
        <w:t>Later source:</w:t>
      </w:r>
      <w:r>
        <w:t xml:space="preserve"> Inventive Activity for Climate Change Mitigation: An Insight into the Maritime Industry — https://doi.org/10.3390/en16217403</w:t>
      </w:r>
    </w:p>
    <w:p>
      <w:pPr>
        <w:pStyle w:val="SourceNote"/>
      </w:pPr>
      <w:r>
        <w:rPr>
          <w:b/>
        </w:rPr>
        <w:t>Review status:</w:t>
      </w:r>
      <w:r>
        <w:t xml:space="preserve"> unchecked — possible relationship only</w:t>
      </w:r>
    </w:p>
    <w:p>
      <w:pPr>
        <w:pStyle w:val="Heading2"/>
      </w:pPr>
      <w:r>
        <w:t>469. Claim + two later sources: The Impact of Decarbonization Scenarios on Air Quality and Human Health in Poland—Analysis of Scenarios up to 2050</w:t>
      </w:r>
    </w:p>
    <w:p>
      <w:pPr>
        <w:pStyle w:val="SourceNote"/>
      </w:pPr>
      <w:r>
        <w:rPr>
          <w:b/>
        </w:rPr>
        <w:t>Group ID:</w:t>
      </w:r>
      <w:r>
        <w:t xml:space="preserve"> group-420808e1dfed02494e6b</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Pro-environmental behaviour in Europe — https://openalex.org/W7213476392</w:t>
      </w:r>
    </w:p>
    <w:p>
      <w:pPr/>
      <w:r>
        <w:rPr>
          <w:b/>
        </w:rPr>
        <w:t>Later source:</w:t>
      </w:r>
      <w:r>
        <w:t xml:space="preserve"> A Europe-wide characterization of the external exposome: A spatio-temporal analysis — https://doi.org/10.1016/j.envint.2025.109542</w:t>
      </w:r>
    </w:p>
    <w:p>
      <w:pPr>
        <w:pStyle w:val="SourceNote"/>
      </w:pPr>
      <w:r>
        <w:rPr>
          <w:b/>
        </w:rPr>
        <w:t>Review status:</w:t>
      </w:r>
      <w:r>
        <w:t xml:space="preserve"> unchecked — possible relationship only</w:t>
      </w:r>
    </w:p>
    <w:p>
      <w:pPr>
        <w:pStyle w:val="Heading2"/>
      </w:pPr>
      <w:r>
        <w:t>470. Claim + two later sources: Regional growth and disparities in a post‐COVID Europe: A new normality scenario</w:t>
      </w:r>
    </w:p>
    <w:p>
      <w:pPr>
        <w:pStyle w:val="SourceNote"/>
      </w:pPr>
      <w:r>
        <w:rPr>
          <w:b/>
        </w:rPr>
        <w:t>Group ID:</w:t>
      </w:r>
      <w:r>
        <w:t xml:space="preserve"> group-3e7350d5d12e9469cb6f</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Futureproofing the healthcare workforce in Europe: understanding and addressing psychological distress and occupational outcomes — https://doi.org/10.1016/j.lanepe.2025.101463</w:t>
      </w:r>
    </w:p>
    <w:p>
      <w:pPr/>
      <w:r>
        <w:rPr>
          <w:b/>
        </w:rPr>
        <w:t>Later source:</w:t>
      </w:r>
      <w:r>
        <w:t xml:space="preserve"> Understanding and addressing shortfalls in European wild bee data — https://doi.org/10.1016/j.biocon.2024.110455</w:t>
      </w:r>
    </w:p>
    <w:p>
      <w:pPr>
        <w:pStyle w:val="SourceNote"/>
      </w:pPr>
      <w:r>
        <w:rPr>
          <w:b/>
        </w:rPr>
        <w:t>Review status:</w:t>
      </w:r>
      <w:r>
        <w:t xml:space="preserve"> unchecked — possible relationship only</w:t>
      </w:r>
    </w:p>
    <w:p>
      <w:pPr>
        <w:pStyle w:val="Heading2"/>
      </w:pPr>
      <w:r>
        <w:t>471. Claim + two later sources: Developing scenarios for the Norwegian travel industry 2025</w:t>
      </w:r>
    </w:p>
    <w:p>
      <w:pPr>
        <w:pStyle w:val="SourceNote"/>
      </w:pPr>
      <w:r>
        <w:rPr>
          <w:b/>
        </w:rPr>
        <w:t>Group ID:</w:t>
      </w:r>
      <w:r>
        <w:t xml:space="preserve"> group-771ec15b0d1fa227ce7e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Education–work transition: skill gaps in the construction industry — https://doi.org/10.3389/fbuil.2025.1623609</w:t>
      </w:r>
    </w:p>
    <w:p>
      <w:pPr>
        <w:pStyle w:val="SourceNote"/>
      </w:pPr>
      <w:r>
        <w:rPr>
          <w:b/>
        </w:rPr>
        <w:t>Review status:</w:t>
      </w:r>
      <w:r>
        <w:t xml:space="preserve"> unchecked — possible relationship only</w:t>
      </w:r>
    </w:p>
    <w:p>
      <w:pPr>
        <w:pStyle w:val="Heading2"/>
      </w:pPr>
      <w:r>
        <w:t>472. Claim + two later sources: Investigating scenario planning – a European tourism perspective</w:t>
      </w:r>
    </w:p>
    <w:p>
      <w:pPr>
        <w:pStyle w:val="SourceNote"/>
      </w:pPr>
      <w:r>
        <w:rPr>
          <w:b/>
        </w:rPr>
        <w:t>Group ID:</w:t>
      </w:r>
      <w:r>
        <w:t xml:space="preserve"> group-1f8cf886a83bfbf4f8c0</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An assessment of the state of conservation planning in Europe — https://doi.org/10.1098/rstb.2023.0015</w:t>
      </w:r>
    </w:p>
    <w:p>
      <w:pPr/>
      <w:r>
        <w:rPr>
          <w:b/>
        </w:rPr>
        <w:t>Later source:</w:t>
      </w:r>
      <w:r>
        <w:t xml:space="preserve"> Launching a European Employee Stock Ownership Plan (European ESOP) — https://doi.org/10.1108/jpeo-06-2024-0010</w:t>
      </w:r>
    </w:p>
    <w:p>
      <w:pPr>
        <w:pStyle w:val="SourceNote"/>
      </w:pPr>
      <w:r>
        <w:rPr>
          <w:b/>
        </w:rPr>
        <w:t>Review status:</w:t>
      </w:r>
      <w:r>
        <w:t xml:space="preserve"> unchecked — possible relationship only</w:t>
      </w:r>
    </w:p>
    <w:p>
      <w:pPr>
        <w:pStyle w:val="Heading2"/>
      </w:pPr>
      <w:r>
        <w:t>473. Claim + two later sources: Integrating field data into individual-based models of the migration of European eel larvae</w:t>
      </w:r>
    </w:p>
    <w:p>
      <w:pPr>
        <w:pStyle w:val="SourceNote"/>
      </w:pPr>
      <w:r>
        <w:rPr>
          <w:b/>
        </w:rPr>
        <w:t>Group ID:</w:t>
      </w:r>
      <w:r>
        <w:t xml:space="preserve"> group-0b49f70b5fff782a8ff2</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Impact of the model representation of PBL and convection on the PM concentrations over Europe — https://doi.org/10.5194/egusphere-egu21-2417</w:t>
      </w:r>
    </w:p>
    <w:p>
      <w:pPr/>
      <w:r>
        <w:rPr>
          <w:b/>
        </w:rPr>
        <w:t>Later source:</w:t>
      </w:r>
      <w:r>
        <w:t xml:space="preserve"> Comparison of four inverse modelling systems applied to the estimation of HFC-125, HFC-134a, and SF 6 emissions over Europe — https://doi.org/10.5194/acp-17-10651-2017</w:t>
      </w:r>
    </w:p>
    <w:p>
      <w:pPr>
        <w:pStyle w:val="SourceNote"/>
      </w:pPr>
      <w:r>
        <w:rPr>
          <w:b/>
        </w:rPr>
        <w:t>Review status:</w:t>
      </w:r>
      <w:r>
        <w:t xml:space="preserve"> unchecked — possible relationship only</w:t>
      </w:r>
    </w:p>
    <w:p>
      <w:pPr>
        <w:pStyle w:val="Heading2"/>
      </w:pPr>
      <w:r>
        <w:t>474. Claim + two later sources: Wild cards in transport</w:t>
      </w:r>
    </w:p>
    <w:p>
      <w:pPr>
        <w:pStyle w:val="SourceNote"/>
      </w:pPr>
      <w:r>
        <w:rPr>
          <w:b/>
        </w:rPr>
        <w:t>Group ID:</w:t>
      </w:r>
      <w:r>
        <w:t xml:space="preserve"> group-e52c676f62e802afe755</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Virome landscape of wild rodents and shrews in Central China — https://doi.org/10.1186/s40168-025-02059-0</w:t>
      </w:r>
    </w:p>
    <w:p>
      <w:pPr>
        <w:pStyle w:val="SourceNote"/>
      </w:pPr>
      <w:r>
        <w:rPr>
          <w:b/>
        </w:rPr>
        <w:t>Review status:</w:t>
      </w:r>
      <w:r>
        <w:t xml:space="preserve"> unchecked — possible relationship only</w:t>
      </w:r>
    </w:p>
    <w:p>
      <w:pPr>
        <w:pStyle w:val="Heading2"/>
      </w:pPr>
      <w:r>
        <w:t>475. Claim + two later sources: Perspective of comprehensive and comprehensible multi-model energy and climate science in Europe</w:t>
      </w:r>
    </w:p>
    <w:p>
      <w:pPr>
        <w:pStyle w:val="SourceNote"/>
      </w:pPr>
      <w:r>
        <w:rPr>
          <w:b/>
        </w:rPr>
        <w:t>Group ID:</w:t>
      </w:r>
      <w:r>
        <w:t xml:space="preserve"> group-c9cdc1bbb48a8d41cbfe</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Colombia, COVID-19, and the Colonial Trap: Reflections on the Politics of Knowledge Production — https://doi.org/10.1177/0094582x241311803</w:t>
      </w:r>
    </w:p>
    <w:p>
      <w:pPr/>
      <w:r>
        <w:rPr>
          <w:b/>
        </w:rPr>
        <w:t>Later source:</w:t>
      </w:r>
      <w:r>
        <w:t xml:space="preserve"> Muslims in Europe and Covid-19 — https://doi.org/10.5617/jais.10871</w:t>
      </w:r>
    </w:p>
    <w:p>
      <w:pPr>
        <w:pStyle w:val="SourceNote"/>
      </w:pPr>
      <w:r>
        <w:rPr>
          <w:b/>
        </w:rPr>
        <w:t>Review status:</w:t>
      </w:r>
      <w:r>
        <w:t xml:space="preserve"> unchecked — possible relationship only</w:t>
      </w:r>
    </w:p>
    <w:p>
      <w:pPr>
        <w:pStyle w:val="Heading2"/>
      </w:pPr>
      <w:r>
        <w:t>476. Claim + two later sources: Realising transition pathways for a more electric, low-carbon energy system in the United Kingdom: Challenges, insights and opportunities</w:t>
      </w:r>
    </w:p>
    <w:p>
      <w:pPr>
        <w:pStyle w:val="SourceNote"/>
      </w:pPr>
      <w:r>
        <w:rPr>
          <w:b/>
        </w:rPr>
        <w:t>Group ID:</w:t>
      </w:r>
      <w:r>
        <w:t xml:space="preserve"> group-46559baccc5d4346d710</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Open-Source AI and Market Competition: Why the United Kingdom Is Well Placed to Promote Openness as Competition Policy — https://doi.org/10.2139/ssrn.7431620</w:t>
      </w:r>
    </w:p>
    <w:p>
      <w:pPr/>
      <w:r>
        <w:rPr>
          <w:b/>
        </w:rPr>
        <w:t>Later source:</w:t>
      </w:r>
      <w:r>
        <w:t xml:space="preserve"> United Kingdom — https://doi.org/10.1093/9780197758847.003.0031</w:t>
      </w:r>
    </w:p>
    <w:p>
      <w:pPr>
        <w:pStyle w:val="SourceNote"/>
      </w:pPr>
      <w:r>
        <w:rPr>
          <w:b/>
        </w:rPr>
        <w:t>Review status:</w:t>
      </w:r>
      <w:r>
        <w:t xml:space="preserve"> unchecked — possible relationship only</w:t>
      </w:r>
    </w:p>
    <w:p>
      <w:pPr>
        <w:pStyle w:val="Heading2"/>
      </w:pPr>
      <w:r>
        <w:t>477. Claim + two later sources: By 2050 the Mitigation Effects of EU Forests Could Nearly Double through Climate Smart Forestry</w:t>
      </w:r>
    </w:p>
    <w:p>
      <w:pPr>
        <w:pStyle w:val="SourceNote"/>
      </w:pPr>
      <w:r>
        <w:rPr>
          <w:b/>
        </w:rPr>
        <w:t>Group ID:</w:t>
      </w:r>
      <w:r>
        <w:t xml:space="preserve"> group-1485a39ff89749745b4a</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Harmonisation of Corporate Income Tax Incentives in SADC: Addressing the Challenges Posed by the Sovereign Right of SADC Member States to Set Their Own Economic and Tax Policies — https://doi.org/10.25159/2522-3062/15912</w:t>
      </w:r>
    </w:p>
    <w:p>
      <w:pPr>
        <w:pStyle w:val="SourceNote"/>
      </w:pPr>
      <w:r>
        <w:rPr>
          <w:b/>
        </w:rPr>
        <w:t>Review status:</w:t>
      </w:r>
      <w:r>
        <w:t xml:space="preserve"> unchecked — possible relationship only</w:t>
      </w:r>
    </w:p>
    <w:p>
      <w:pPr>
        <w:pStyle w:val="Heading2"/>
      </w:pPr>
      <w:r>
        <w:t>478.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479. Claim + two later sources: Towards the 2030 Agenda: Measuring the Progress of the European Union Countries through the SDGs Achievement Index</w:t>
      </w:r>
    </w:p>
    <w:p>
      <w:pPr>
        <w:pStyle w:val="SourceNote"/>
      </w:pPr>
      <w:r>
        <w:rPr>
          <w:b/>
        </w:rPr>
        <w:t>Group ID:</w:t>
      </w:r>
      <w:r>
        <w:t xml:space="preserve"> group-9ca9b453797b0473647d</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The Effect of Crop Diversification and Season on Microbial Carbon Use Efficiency Across a European Pedoclimatic Gradient — https://doi.org/10.1111/ejss.70078</w:t>
      </w:r>
    </w:p>
    <w:p>
      <w:pPr/>
      <w:r>
        <w:rPr>
          <w:b/>
        </w:rPr>
        <w:t>Later source:</w:t>
      </w:r>
      <w:r>
        <w:t xml:space="preserve"> Novel integrated risk index reveals uneven impact of climate change on fascioliasis risk across Africa and Europe — https://doi.org/10.64898/2025.12.04.692276</w:t>
      </w:r>
    </w:p>
    <w:p>
      <w:pPr>
        <w:pStyle w:val="SourceNote"/>
      </w:pPr>
      <w:r>
        <w:rPr>
          <w:b/>
        </w:rPr>
        <w:t>Review status:</w:t>
      </w:r>
      <w:r>
        <w:t xml:space="preserve"> unchecked — possible relationship only</w:t>
      </w:r>
    </w:p>
    <w:p>
      <w:pPr>
        <w:pStyle w:val="Heading2"/>
      </w:pPr>
      <w:r>
        <w:t>480. Claim + two later sources: Enabling forecasts of environmental exposure to chemicals in European agriculture under global change</w:t>
      </w:r>
    </w:p>
    <w:p>
      <w:pPr>
        <w:pStyle w:val="SourceNote"/>
      </w:pPr>
      <w:r>
        <w:rPr>
          <w:b/>
        </w:rPr>
        <w:t>Group ID:</w:t>
      </w:r>
      <w:r>
        <w:t xml:space="preserve"> group-c6039adccbce4177eed6</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Evolution of Equality as a Constitutional Principle in Romania: European Union Membership Impacts and Current Challenges — https://doi.org/10.62733/2026.1.9-31</w:t>
      </w:r>
    </w:p>
    <w:p>
      <w:pPr/>
      <w:r>
        <w:rPr>
          <w:b/>
        </w:rPr>
        <w:t>Later source:</w:t>
      </w:r>
      <w:r>
        <w:t xml:space="preserve"> Marine Protected Areas for Europe (MPA Europe) — https://doi.org/10.3897/rio.12.e218514</w:t>
      </w:r>
    </w:p>
    <w:p>
      <w:pPr>
        <w:pStyle w:val="SourceNote"/>
      </w:pPr>
      <w:r>
        <w:rPr>
          <w:b/>
        </w:rPr>
        <w:t>Review status:</w:t>
      </w:r>
      <w:r>
        <w:t xml:space="preserve"> unchecked — possible relationship only</w:t>
      </w:r>
    </w:p>
    <w:p>
      <w:pPr>
        <w:pStyle w:val="Heading2"/>
      </w:pPr>
      <w:r>
        <w:t>481. Claim + two later sources: Climate change mitigation: evidences from the European scenario</w:t>
      </w:r>
    </w:p>
    <w:p>
      <w:pPr>
        <w:pStyle w:val="SourceNote"/>
      </w:pPr>
      <w:r>
        <w:rPr>
          <w:b/>
        </w:rPr>
        <w:t>Group ID:</w:t>
      </w:r>
      <w:r>
        <w:t xml:space="preserve"> group-3165f690b109a8af32cd</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Mapping urban CO2 emission spatiotemporal dynamics in Europe via a nighttime light composite index — https://doi.org/10.1038/s42949-026-00437-7</w:t>
      </w:r>
    </w:p>
    <w:p>
      <w:pPr>
        <w:pStyle w:val="SourceNote"/>
      </w:pPr>
      <w:r>
        <w:rPr>
          <w:b/>
        </w:rPr>
        <w:t>Review status:</w:t>
      </w:r>
      <w:r>
        <w:t xml:space="preserve"> unchecked — possible relationship only</w:t>
      </w:r>
    </w:p>
    <w:p>
      <w:pPr>
        <w:pStyle w:val="Heading2"/>
      </w:pPr>
      <w:r>
        <w:t>482. Claim + two later sources: Seeds of good anthropocenes: developing sustainability scenarios for Northern Europe</w:t>
      </w:r>
    </w:p>
    <w:p>
      <w:pPr>
        <w:pStyle w:val="SourceNote"/>
      </w:pPr>
      <w:r>
        <w:rPr>
          <w:b/>
        </w:rPr>
        <w:t>Group ID:</w:t>
      </w:r>
      <w:r>
        <w:t xml:space="preserve"> group-b518b19aedeb2cc9b992</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Measuring disparities in air transport access across Europe: An inequality, vulnerability and dependence approach — https://doi.org/10.1016/j.tra.2022.11.016</w:t>
      </w:r>
    </w:p>
    <w:p>
      <w:pPr>
        <w:pStyle w:val="SourceNote"/>
      </w:pPr>
      <w:r>
        <w:rPr>
          <w:b/>
        </w:rPr>
        <w:t>Review status:</w:t>
      </w:r>
      <w:r>
        <w:t xml:space="preserve"> unchecked — possible relationship only</w:t>
      </w:r>
    </w:p>
    <w:p>
      <w:pPr>
        <w:pStyle w:val="Heading2"/>
      </w:pPr>
      <w:r>
        <w:t>483. Claim + two later sources: PROJEKCJA ZMIAN WIELKOŚCI PLONÓW PSZENICY W POLSCE I UNII EUROPEJSKIEJ W LATACH 2030 I 2050 NA PODSTAWIE MODELU CAPRI</w:t>
      </w:r>
    </w:p>
    <w:p>
      <w:pPr>
        <w:pStyle w:val="SourceNote"/>
      </w:pPr>
      <w:r>
        <w:rPr>
          <w:b/>
        </w:rPr>
        <w:t>Group ID:</w:t>
      </w:r>
      <w:r>
        <w:t xml:space="preserve"> group-80240569d711e6b81a08</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Effect of different treatments on the dissipation and persistence of iodosulfuron-methyl applied in soils with wheat crop under greenhouse conditions — https://doi.org/10.1016/j.ecoenv.2025.118454</w:t>
      </w:r>
    </w:p>
    <w:p>
      <w:pPr/>
      <w:r>
        <w:rPr>
          <w:b/>
        </w:rPr>
        <w:t>Later source:</w:t>
      </w:r>
      <w:r>
        <w:t xml:space="preserve"> Improved modelling framework for assessing the interactions between the energy, agriculture, forestry and land use change sectors: Integrating the CAPRI, LUISA-BEES, CBM and POTEnCIA models — https://doi.org/10.2760/900305</w:t>
      </w:r>
    </w:p>
    <w:p>
      <w:pPr>
        <w:pStyle w:val="SourceNote"/>
      </w:pPr>
      <w:r>
        <w:rPr>
          <w:b/>
        </w:rPr>
        <w:t>Review status:</w:t>
      </w:r>
      <w:r>
        <w:t xml:space="preserve"> unchecked — possible relationship only</w:t>
      </w:r>
    </w:p>
    <w:p>
      <w:pPr>
        <w:pStyle w:val="Heading2"/>
      </w:pPr>
      <w:r>
        <w:t>484. Claim + two later sources: Recycling of European plastic is a pathway for plastic debris in the ocean</w:t>
      </w:r>
    </w:p>
    <w:p>
      <w:pPr>
        <w:pStyle w:val="SourceNote"/>
      </w:pPr>
      <w:r>
        <w:rPr>
          <w:b/>
        </w:rPr>
        <w:t>Group ID:</w:t>
      </w:r>
      <w:r>
        <w:t xml:space="preserve"> group-75f7da2c1cd56769afd7</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Assessing data uncertainty in large-scale energy model — https://doi.org/10.26868/25222708.2025.1706</w:t>
      </w:r>
    </w:p>
    <w:p>
      <w:pPr/>
      <w:r>
        <w:rPr>
          <w:b/>
        </w:rPr>
        <w:t>Later source:</w:t>
      </w:r>
      <w:r>
        <w:t xml:space="preserve"> High resolution soil property maps and their uncertainty for Europe — https://openalex.org/W7110658065</w:t>
      </w:r>
    </w:p>
    <w:p>
      <w:pPr>
        <w:pStyle w:val="SourceNote"/>
      </w:pPr>
      <w:r>
        <w:rPr>
          <w:b/>
        </w:rPr>
        <w:t>Review status:</w:t>
      </w:r>
      <w:r>
        <w:t xml:space="preserve"> unchecked — possible relationship only</w:t>
      </w:r>
    </w:p>
    <w:p>
      <w:pPr>
        <w:pStyle w:val="Heading2"/>
      </w:pPr>
      <w:r>
        <w:t>485.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486. Claim + two later sources: Land use implications of future energy system trajectories—The case of the UK 2050 Carbon Plan</w:t>
      </w:r>
    </w:p>
    <w:p>
      <w:pPr>
        <w:pStyle w:val="SourceNote"/>
      </w:pPr>
      <w:r>
        <w:rPr>
          <w:b/>
        </w:rPr>
        <w:t>Group ID:</w:t>
      </w:r>
      <w:r>
        <w:t xml:space="preserve"> group-59cf80eb154eb903e0e7</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Developing multi-risk DRM pathways — Lessons from four European case studies — https://doi.org/10.1016/j.crm.2025.100753</w:t>
      </w:r>
    </w:p>
    <w:p>
      <w:pPr/>
      <w:r>
        <w:rPr>
          <w:b/>
        </w:rPr>
        <w:t>Later source:</w:t>
      </w:r>
      <w:r>
        <w:t xml:space="preserve"> Diversified Pathways to Achieve Tax Fairness and Justice in the Digital Age — https://doi.org/10.62517/jel.202514523</w:t>
      </w:r>
    </w:p>
    <w:p>
      <w:pPr>
        <w:pStyle w:val="SourceNote"/>
      </w:pPr>
      <w:r>
        <w:rPr>
          <w:b/>
        </w:rPr>
        <w:t>Review status:</w:t>
      </w:r>
      <w:r>
        <w:t xml:space="preserve"> unchecked — possible relationship only</w:t>
      </w:r>
    </w:p>
    <w:p>
      <w:pPr>
        <w:pStyle w:val="Heading2"/>
      </w:pPr>
      <w:r>
        <w:t>487. Claim + two later sources: Future projections of temperature and mixing regime of  European temperate lakes</w:t>
      </w:r>
    </w:p>
    <w:p>
      <w:pPr>
        <w:pStyle w:val="SourceNote"/>
      </w:pPr>
      <w:r>
        <w:rPr>
          <w:b/>
        </w:rPr>
        <w:t>Group ID:</w:t>
      </w:r>
      <w:r>
        <w:t xml:space="preserve"> group-b45ca6c7399658a02fad</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Tricentennial trends in spring ice break-ups on three rivers in northern Europe — https://doi.org/10.5194/tc-16-2881-2022</w:t>
      </w:r>
    </w:p>
    <w:p>
      <w:pPr/>
      <w:r>
        <w:rPr>
          <w:b/>
        </w:rPr>
        <w:t>Later source:</w:t>
      </w:r>
      <w:r>
        <w:t xml:space="preserve"> Split westerlies over Europe in the early Little Ice Age — https://doi.org/10.1038/s41467-022-32654-w</w:t>
      </w:r>
    </w:p>
    <w:p>
      <w:pPr>
        <w:pStyle w:val="SourceNote"/>
      </w:pPr>
      <w:r>
        <w:rPr>
          <w:b/>
        </w:rPr>
        <w:t>Review status:</w:t>
      </w:r>
      <w:r>
        <w:t xml:space="preserve"> unchecked — possible relationship only</w:t>
      </w:r>
    </w:p>
    <w:p>
      <w:pPr>
        <w:pStyle w:val="Heading2"/>
      </w:pPr>
      <w:r>
        <w:t>488. Claim + two later sources: Lyme Disease Risks in Europe under Multiple Uncertain Drivers of Change</w:t>
      </w:r>
    </w:p>
    <w:p>
      <w:pPr>
        <w:pStyle w:val="SourceNote"/>
      </w:pPr>
      <w:r>
        <w:rPr>
          <w:b/>
        </w:rPr>
        <w:t>Group ID:</w:t>
      </w:r>
      <w:r>
        <w:t xml:space="preserve"> group-6af7255f5b872f8b1f26</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489. Claim + two later sources: Imagining energy futures: Sociotechnical imaginaries of the future Smart Grid in Norway</w:t>
      </w:r>
    </w:p>
    <w:p>
      <w:pPr>
        <w:pStyle w:val="SourceNote"/>
      </w:pPr>
      <w:r>
        <w:rPr>
          <w:b/>
        </w:rPr>
        <w:t>Group ID:</w:t>
      </w:r>
      <w:r>
        <w:t xml:space="preserve"> group-ee5aabf1bfff3c97bdca</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Smart Grids and Sustainability: The Impact of Digital Technologies on the Energy Transition — https://doi.org/10.3390/en18092149</w:t>
      </w:r>
    </w:p>
    <w:p>
      <w:pPr/>
      <w:r>
        <w:rPr>
          <w:b/>
        </w:rPr>
        <w:t>Later source:</w:t>
      </w:r>
      <w:r>
        <w:t xml:space="preserve"> From Smart Grids to Super Smart Grids: A Roadmap for Strategic Demand Management for Next Generation SAARC and European Power Infrastructure — https://doi.org/10.1109/access.2023.3241686</w:t>
      </w:r>
    </w:p>
    <w:p>
      <w:pPr>
        <w:pStyle w:val="SourceNote"/>
      </w:pPr>
      <w:r>
        <w:rPr>
          <w:b/>
        </w:rPr>
        <w:t>Review status:</w:t>
      </w:r>
      <w:r>
        <w:t xml:space="preserve"> unchecked — possible relationship only</w:t>
      </w:r>
    </w:p>
    <w:p>
      <w:pPr>
        <w:pStyle w:val="Heading2"/>
      </w:pPr>
      <w:r>
        <w:t>490. Claim + two later sources: Long-Term Projection of Renewable Energy Technology Diffusion</w:t>
      </w:r>
    </w:p>
    <w:p>
      <w:pPr>
        <w:pStyle w:val="SourceNote"/>
      </w:pPr>
      <w:r>
        <w:rPr>
          <w:b/>
        </w:rPr>
        <w:t>Group ID:</w:t>
      </w:r>
      <w:r>
        <w:t xml:space="preserve"> group-f748070b6bf7505cb3fb</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72 The butterfly project – improving treatment escalation planning in the emergency department — https://doi.org/10.1136/spcare-2021-pcc.90</w:t>
      </w:r>
    </w:p>
    <w:p>
      <w:pPr/>
      <w:r>
        <w:rPr>
          <w:b/>
        </w:rPr>
        <w:t>Later source:</w:t>
      </w:r>
      <w:r>
        <w:t xml:space="preserve"> Minding the gap: identifying values to enable public and patient involvement at the pre-commencement stage of research projects — https://doi.org/10.1186/s40900-020-00220-7</w:t>
      </w:r>
    </w:p>
    <w:p>
      <w:pPr>
        <w:pStyle w:val="SourceNote"/>
      </w:pPr>
      <w:r>
        <w:rPr>
          <w:b/>
        </w:rPr>
        <w:t>Review status:</w:t>
      </w:r>
      <w:r>
        <w:t xml:space="preserve"> unchecked — possible relationship only</w:t>
      </w:r>
    </w:p>
    <w:p>
      <w:pPr>
        <w:pStyle w:val="Heading2"/>
      </w:pPr>
      <w:r>
        <w:t>491. Claim + two later sources: Climate change mitigation: evidences from the European scenario</w:t>
      </w:r>
    </w:p>
    <w:p>
      <w:pPr>
        <w:pStyle w:val="SourceNote"/>
      </w:pPr>
      <w:r>
        <w:rPr>
          <w:b/>
        </w:rPr>
        <w:t>Group ID:</w:t>
      </w:r>
      <w:r>
        <w:t xml:space="preserve"> group-30e78cb66140d61892e8</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Mapping urban CO2 emission spatiotemporal dynamics in Europe via a nighttime light composite index — https://doi.org/10.1038/s42949-026-00437-7</w:t>
      </w:r>
    </w:p>
    <w:p>
      <w:pPr>
        <w:pStyle w:val="SourceNote"/>
      </w:pPr>
      <w:r>
        <w:rPr>
          <w:b/>
        </w:rPr>
        <w:t>Review status:</w:t>
      </w:r>
      <w:r>
        <w:t xml:space="preserve"> unchecked — possible relationship only</w:t>
      </w:r>
    </w:p>
    <w:p>
      <w:pPr>
        <w:pStyle w:val="Heading2"/>
      </w:pPr>
      <w:r>
        <w:t>492.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group-2ac1d3c0b224dedce79a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Giardiasis in Japan, the United States of America, and Europe from 2007 to 2023, highlighting a decline during the COVID-19 pandemic — https://doi.org/10.1371/journal.pntd.0014428</w:t>
      </w:r>
    </w:p>
    <w:p>
      <w:pPr/>
      <w:r>
        <w:rPr>
          <w:b/>
        </w:rPr>
        <w:t>Later source:</w:t>
      </w:r>
      <w:r>
        <w:t xml:space="preserve"> Environmental Permitting and Environmental Impact Assessment in the United States and the European Union: A Comparative Legal Study — https://doi.org/10.2139/ssrn.7275567</w:t>
      </w:r>
    </w:p>
    <w:p>
      <w:pPr>
        <w:pStyle w:val="SourceNote"/>
      </w:pPr>
      <w:r>
        <w:rPr>
          <w:b/>
        </w:rPr>
        <w:t>Review status:</w:t>
      </w:r>
      <w:r>
        <w:t xml:space="preserve"> unchecked — possible relationship only</w:t>
      </w:r>
    </w:p>
    <w:p>
      <w:pPr>
        <w:pStyle w:val="Heading2"/>
      </w:pPr>
      <w:r>
        <w:t>493. Claim + two later sources: Assessing the EU’s 2030 Climate and Energy Policy Framework: Incremental change toward radical transformation?</w:t>
      </w:r>
    </w:p>
    <w:p>
      <w:pPr>
        <w:pStyle w:val="SourceNote"/>
      </w:pPr>
      <w:r>
        <w:rPr>
          <w:b/>
        </w:rPr>
        <w:t>Group ID:</w:t>
      </w:r>
      <w:r>
        <w:t xml:space="preserve"> group-2d89a5abe90961c646ac</w:t>
      </w:r>
    </w:p>
    <w:p>
      <w:pPr>
        <w:pStyle w:val="SourceNote"/>
      </w:pPr>
      <w:r>
        <w:rPr>
          <w:b/>
        </w:rPr>
        <w:t>Original source:</w:t>
      </w:r>
      <w:r>
        <w:t xml:space="preserve"> https://doi.org/10.1111/reel.12358</w:t>
      </w:r>
    </w:p>
    <w:p>
      <w:pPr/>
      <w:r>
        <w:rPr>
          <w:b/>
        </w:rPr>
        <w:t>Original future claim:</w:t>
      </w:r>
      <w:r>
        <w:t xml:space="preserve">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The Palestinian Refugee, Article 1D and Evolving Jurisprudence from Europe: a Practitioner’s Perspective — https://doi.org/10.1163/15718166-12340198</w:t>
      </w:r>
    </w:p>
    <w:p>
      <w:pPr/>
      <w:r>
        <w:rPr>
          <w:b/>
        </w:rPr>
        <w:t>Later source:</w:t>
      </w:r>
      <w:r>
        <w:t xml:space="preserve"> Human trafficking and forced prostitution under article 4 of the European convention on human rights — https://doi.org/10.1017/glj.2023.98</w:t>
      </w:r>
    </w:p>
    <w:p>
      <w:pPr>
        <w:pStyle w:val="SourceNote"/>
      </w:pPr>
      <w:r>
        <w:rPr>
          <w:b/>
        </w:rPr>
        <w:t>Review status:</w:t>
      </w:r>
      <w:r>
        <w:t xml:space="preserve"> unchecked — possible relationship only</w:t>
      </w:r>
    </w:p>
    <w:p>
      <w:pPr>
        <w:pStyle w:val="Heading2"/>
      </w:pPr>
      <w:r>
        <w:t>494.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possible relationship only</w:t>
      </w:r>
    </w:p>
    <w:p>
      <w:pPr>
        <w:pStyle w:val="Heading2"/>
      </w:pPr>
      <w:r>
        <w:t>495.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496. Claim + two later sources: European carbon storage resource requirements of climate change mitigation targets</w:t>
      </w:r>
    </w:p>
    <w:p>
      <w:pPr>
        <w:pStyle w:val="SourceNote"/>
      </w:pPr>
      <w:r>
        <w:rPr>
          <w:b/>
        </w:rPr>
        <w:t>Group ID:</w:t>
      </w:r>
      <w:r>
        <w:t xml:space="preserve"> group-12623b112a560febcda8</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Can a wealth tax reduce CO2 emissions in Europe? — https://doi.org/10.1016/j.ecolecon.2026.109231</w:t>
      </w:r>
    </w:p>
    <w:p>
      <w:pPr>
        <w:pStyle w:val="SourceNote"/>
      </w:pPr>
      <w:r>
        <w:rPr>
          <w:b/>
        </w:rPr>
        <w:t>Review status:</w:t>
      </w:r>
      <w:r>
        <w:t xml:space="preserve"> unchecked — possible relationship only</w:t>
      </w:r>
    </w:p>
    <w:p>
      <w:pPr>
        <w:pStyle w:val="Heading2"/>
      </w:pPr>
      <w:r>
        <w:t>497. Claim + two later sources: Transition pathways to sustainability in greater than 2 °C climate futures of Europe</w:t>
      </w:r>
    </w:p>
    <w:p>
      <w:pPr>
        <w:pStyle w:val="SourceNote"/>
      </w:pPr>
      <w:r>
        <w:rPr>
          <w:b/>
        </w:rPr>
        <w:t>Group ID:</w:t>
      </w:r>
      <w:r>
        <w:t xml:space="preserve"> group-36007685fcbc0397f174</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The European Society of Cataract and Refractive Surgeons Cataract Simulation Curriculum: Wet Lab and Virtual Reality Pathways to Competency — https://doi.org/10.1097/j.jcrs.0000000000002036</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498. Claim + two later sources: European packaging industry foresight study—identifying global drivers and driven packaging industry implications of the global megatrends</w:t>
      </w:r>
    </w:p>
    <w:p>
      <w:pPr>
        <w:pStyle w:val="SourceNote"/>
      </w:pPr>
      <w:r>
        <w:rPr>
          <w:b/>
        </w:rPr>
        <w:t>Group ID:</w:t>
      </w:r>
      <w:r>
        <w:t xml:space="preserve"> group-4808549bd27b0644ffb4</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Environmental consequences of replacing polyethylene packaging in the United States and Europe — https://doi.org/10.1016/j.resenv.2026.100390</w:t>
      </w:r>
    </w:p>
    <w:p>
      <w:pPr/>
      <w:r>
        <w:rPr>
          <w:b/>
        </w:rPr>
        <w:t>Later source:</w:t>
      </w:r>
      <w:r>
        <w:t xml:space="preserve"> Assessing Ochratoxin A Contamination in Pre-Packaged Grated Cheese: Implications for Food Safety — https://doi.org/10.3390/foods14091504</w:t>
      </w:r>
    </w:p>
    <w:p>
      <w:pPr>
        <w:pStyle w:val="SourceNote"/>
      </w:pPr>
      <w:r>
        <w:rPr>
          <w:b/>
        </w:rPr>
        <w:t>Review status:</w:t>
      </w:r>
      <w:r>
        <w:t xml:space="preserve"> unchecked — possible relationship only</w:t>
      </w:r>
    </w:p>
    <w:p>
      <w:pPr>
        <w:pStyle w:val="Heading2"/>
      </w:pPr>
      <w:r>
        <w:t>499. Claim + two later sources: Trends and forecast of obesity in Finland</w:t>
      </w:r>
    </w:p>
    <w:p>
      <w:pPr>
        <w:pStyle w:val="SourceNote"/>
      </w:pPr>
      <w:r>
        <w:rPr>
          <w:b/>
        </w:rPr>
        <w:t>Group ID:</w:t>
      </w:r>
      <w:r>
        <w:t xml:space="preserve"> group-68ebce1f666c037f2467</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Global prevalence of obesity in the older adults: A meta-analysis — https://doi.org/10.1016/j.puhip.2025.100585</w:t>
      </w:r>
    </w:p>
    <w:p>
      <w:pPr/>
      <w:r>
        <w:rPr>
          <w:b/>
        </w:rPr>
        <w:t>Later source:</w:t>
      </w:r>
      <w:r>
        <w:t xml:space="preserve"> Sarcopenia prevalence and functional outcomes in older men with obesity: Comparing the use of the EWGSOP2 sarcopenia versus ESPEN-EASO sarcopenic obesity consensus definitions — https://doi.org/10.1016/j.clnu.2023.07.014</w:t>
      </w:r>
    </w:p>
    <w:p>
      <w:pPr>
        <w:pStyle w:val="SourceNote"/>
      </w:pPr>
      <w:r>
        <w:rPr>
          <w:b/>
        </w:rPr>
        <w:t>Review status:</w:t>
      </w:r>
      <w:r>
        <w:t xml:space="preserve"> unchecked — possible relationship only</w:t>
      </w:r>
    </w:p>
    <w:p>
      <w:pPr>
        <w:pStyle w:val="Heading2"/>
      </w:pPr>
      <w:r>
        <w:t>500. Claim + two later sources: The role of gases in the European energy transition</w:t>
      </w:r>
    </w:p>
    <w:p>
      <w:pPr>
        <w:pStyle w:val="SourceNote"/>
      </w:pPr>
      <w:r>
        <w:rPr>
          <w:b/>
        </w:rPr>
        <w:t>Group ID:</w:t>
      </w:r>
      <w:r>
        <w:t xml:space="preserve"> group-e08f84cd11b20a4f1720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Net Zero Emissions and Positive Energy Districts: A Potential Solution to Achieve the European Climate Targets — https://doi.org/10.1109/tia.2026.3661957</w:t>
      </w:r>
    </w:p>
    <w:p>
      <w:pPr/>
      <w:r>
        <w:rPr>
          <w:b/>
        </w:rPr>
        <w:t>Later source:</w:t>
      </w:r>
      <w:r>
        <w:t xml:space="preserve"> An empirical analysis of net-zero emission targets of Canada and the European Union — https://doi.org/10.21622/maci.2025.02.1.1252</w:t>
      </w:r>
    </w:p>
    <w:p>
      <w:pPr>
        <w:pStyle w:val="SourceNote"/>
      </w:pPr>
      <w:r>
        <w:rPr>
          <w:b/>
        </w:rPr>
        <w:t>Review status:</w:t>
      </w:r>
      <w:r>
        <w:t xml:space="preserve"> unchecked — possible relationship only</w:t>
      </w:r>
    </w:p>
    <w:p>
      <w:pPr>
        <w:pStyle w:val="Heading2"/>
      </w:pPr>
      <w:r>
        <w:t>501.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2024:</w:t>
      </w:r>
      <w:r>
        <w:t xml:space="preserve"> Transformation of environmental policy based on the concept of ecological modernization — https://doi.org/10.1051/bioconf/20249305018</w:t>
      </w:r>
    </w:p>
    <w:p>
      <w:pPr/>
      <w:r>
        <w:rPr>
          <w:b/>
        </w:rPr>
        <w:t>Shared claim-specific concepts:</w:t>
      </w:r>
      <w:r>
        <w:t xml:space="preserve"> based, concepts, environmental; EU scope not established. This is a provisional connection, not an outcome finding.</w:t>
      </w:r>
    </w:p>
    <w:p>
      <w:pPr>
        <w:pStyle w:val="SourceNote"/>
      </w:pPr>
      <w:r>
        <w:rPr>
          <w:b/>
        </w:rPr>
        <w:t>Available abstract (not full text):</w:t>
      </w:r>
      <w:r>
        <w:t xml:space="preserve">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pPr/>
      <w:r>
        <w:rPr>
          <w:b/>
        </w:rPr>
        <w:t>POSSIBLE 2024:</w:t>
      </w:r>
      <w:r>
        <w:t xml:space="preserve"> Implementation in the European Union. A concept structural meta-study of environmental and social policy — https://doi.org/10.1080/14782804.2024.2383699</w:t>
      </w:r>
    </w:p>
    <w:p>
      <w:pPr/>
      <w:r>
        <w:rPr>
          <w:b/>
        </w:rPr>
        <w:t>Shared claim-specific concepts:</w:t>
      </w:r>
      <w:r>
        <w:t xml:space="preserve"> based, concepts, environmental, alternative; EU scope visible. This is a provisional connection, not an outcome finding.</w:t>
      </w:r>
    </w:p>
    <w:p>
      <w:pPr>
        <w:pStyle w:val="SourceNote"/>
      </w:pPr>
      <w:r>
        <w:rPr>
          <w:b/>
        </w:rPr>
        <w:t>Available abstract (not full text):</w:t>
      </w:r>
      <w:r>
        <w:t xml:space="preserve">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pPr/>
      <w:r>
        <w:rPr>
          <w:b/>
        </w:rPr>
        <w:t>POSSIBLE 2024:</w:t>
      </w:r>
      <w:r>
        <w:t xml:space="preserve"> Natural/Small Water Retention Measures: Their Contribution to Ecosystem-Based Concepts — https://doi.org/10.3390/su16031308</w:t>
      </w:r>
    </w:p>
    <w:p>
      <w:pPr/>
      <w:r>
        <w:rPr>
          <w:b/>
        </w:rPr>
        <w:t>Shared claim-specific concepts:</w:t>
      </w:r>
      <w:r>
        <w:t xml:space="preserve"> concepts, environmental, project, show; EU scope visible. This is a provisional connection, not an outcome finding.</w:t>
      </w:r>
    </w:p>
    <w:p>
      <w:pPr>
        <w:pStyle w:val="SourceNote"/>
      </w:pPr>
      <w:r>
        <w:rPr>
          <w:b/>
        </w:rPr>
        <w:t>Available abstract (not full text):</w:t>
      </w:r>
      <w:r>
        <w:t xml:space="preserve"> The increasing incidence of droughts and heavy rainfall events is exacerbating conflicts between human and environmental demands for water. However, through providing multiple water-related ecosystem services and benefits simultaneously, Natural/Small Water Retention Measures (NSWRM) can mitigate such competing claims. Thus, they also contribute to the achievement of various Sustainable Development Goals and environmental targets set out in water- and agriculture-related policies of the European Union. In particular, NSWRM provide for the sound management of watersheds, which can significantly contribute to improved water quality and availability—as well as improving the resilience of agriculture and society. This paper demonstrates how NSWRM fit into the framework of ecosystem-based concepts, including Natural Water Retention Measures (NWRM), Green Infrastructure (GI), Sustainable Land Management (SLM), Ecosystem-based Adaptation (EbA), and Nature-based Solutions (NbS). NSWRM, as a distinct concept, bring added value to the other concepts by focussing on easy-to-implement, modestly sized, localised technical solutions to problems associated with water management, sediment, and nutrient loss. Through experience under the EU Horizon 2020 project OPTAIN (“OPtimal strategies to retAIN and re-use water and nutrients in small agricultural catchments across different soil-climatic re</w:t>
      </w:r>
    </w:p>
    <w:p>
      <w:pPr/>
      <w:r>
        <w:rPr>
          <w:b/>
        </w:rPr>
        <w:t>POSSIBLE 2024:</w:t>
      </w:r>
      <w:r>
        <w:t xml:space="preserve"> Reconstructing Class Analysis — https://doi.org/10.5070/lp64263565</w:t>
      </w:r>
    </w:p>
    <w:p>
      <w:pPr/>
      <w:r>
        <w:rPr>
          <w:b/>
        </w:rPr>
        <w:t>Shared claim-specific concepts:</w:t>
      </w:r>
      <w:r>
        <w:t xml:space="preserve"> based, three, show; EU scope not established. This is a provisional connection, not an outcome finding.</w:t>
      </w:r>
    </w:p>
    <w:p>
      <w:pPr>
        <w:pStyle w:val="SourceNote"/>
      </w:pPr>
      <w:r>
        <w:rPr>
          <w:b/>
        </w:rPr>
        <w:t>Available abstract (not full text):</w:t>
      </w:r>
      <w:r>
        <w:t xml:space="preserve"> This article offers a reconceptualization of class-in-capitalism and its articulation with racialization and gender that builds on critical strands of Marxian thought and integrates insights from Black radical and feminist socialist traditions. Rather than a transhistorical materialist conception of class simpliciter , we develop a historically-specific conception of class embedded within an analysis of capitalist social relations . The result is an account of class based not on the appropriation of a “material surplus,” but on asymmetrical social relations in the division of labor and disposition of its fruits . Developing this conception along three key axes of asymmetries—property, production, and personhood—we show how the dynamics propelled by capitalist social relations are co-constitutive with those of racialization, while both the privatization of reproduction and gender-based super-exploitation are systemic features of these dynamics. We emphasize law’s role in the history of these relations, and end with implications of our analysis for their transformation.</w:t>
      </w:r>
    </w:p>
    <w:p>
      <w:pPr/>
      <w:r>
        <w:rPr>
          <w:b/>
        </w:rPr>
        <w:t>POSSIBLE 2023:</w:t>
      </w:r>
      <w:r>
        <w:t xml:space="preserve"> Origins of the European approach to environmental justice — https://openalex.org/W7135598878</w:t>
      </w:r>
    </w:p>
    <w:p>
      <w:pPr/>
      <w:r>
        <w:rPr>
          <w:b/>
        </w:rPr>
        <w:t>Shared claim-specific concepts:</w:t>
      </w:r>
      <w:r>
        <w:t xml:space="preserve"> based, environmental, discourse; EU scope visible. This is a provisional connection, not an outcome finding.</w:t>
      </w:r>
    </w:p>
    <w:p>
      <w:pPr>
        <w:pStyle w:val="SourceNote"/>
      </w:pPr>
      <w:r>
        <w:rPr>
          <w:b/>
        </w:rPr>
        <w:t>Available abstract (not full text):</w:t>
      </w:r>
      <w:r>
        <w:t xml:space="preserve"> This thesis deals with the process of diffusion of the idea of environmental justice to Europe. Using the examples of Great Britain and Slovakia, it traces how environmental justice reached these countries and how it changed in the process. The thesis focuses on the academic discussion as one of the segments of the discourse on environmental justice. Based on the theory of translation, it examines the spaces where experts have encountered the idea of environmental justice. Furthermore, it is interested in the theoretical foundations and the content of environmental justice in the local discourse, especially concerning the transformations of the concept in order to bring it closer to the local context. Employing the interpretative qualitative analysis of academic publications written by authors affiliated with British or Slovak institutions, it has been established that the process of translation to Europe remains incomplete and does not occur uniformly. American publications have played a greater role in the UK and linking of environmental justice with sustainable development has become an important mechanism of translation here. In contrast, Slovak academic debate has been influenced by personal contacts with the international sphere. However the translation to Slovakia is currently taking place...</w:t>
      </w:r>
    </w:p>
    <w:p>
      <w:pPr/>
      <w:r>
        <w:rPr>
          <w:b/>
        </w:rPr>
        <w:t>POSSIBLE 2023:</w:t>
      </w:r>
      <w:r>
        <w:t xml:space="preserve"> Environmental Economy and Green Transition in the European Union: Two Complementary Concepts — https://doi.org/10.2478/picbe-2023-0135</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Abstract The environmental economy and green transition are closely related concepts that focus on promoting new sustainable paths and economic growth and reducing the negative impact of activities on the environment. Therefore, the environmental economy and green transition have become two of the most important directions in the continuing development of the world. The environmental economy involves the ongoing progress of green technologies, green energy, and different activities aimed at changing society’s attitude toward more environmental solutions and policies. The environmental economy is a discipline that studies the economic effects of environmental products, services and policies in different realities, economies, and societies. It includes goods and services that help to preserve the stock of natural resources and protect the environment. The green transition refers to the process of transforming people, planet, and partnerships to an environmentally friendly economy. This includes also implementing policies and practices that reduce greenhouse gas emissions, promote energy efficiency, increase the use of renewable energy sources, and reduce waste and pollution. The aim of this paper is to analyze, based on Eurostat data, the evolution of the environmental economy for the EU Member States, considering that the topic has nowadays prompted both governments and corporat</w:t>
      </w:r>
    </w:p>
    <w:p>
      <w:pPr/>
      <w:r>
        <w:rPr>
          <w:b/>
        </w:rPr>
        <w:t>POSSIBLE 2023:</w:t>
      </w:r>
      <w:r>
        <w:t xml:space="preserve"> Sustainable board governance and environmental performance: European evidence — https://doi.org/10.1002/bse.3654</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environmental, alternative, example;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r>
        <w:rPr>
          <w:b/>
        </w:rPr>
        <w:t>POSSIBLE 2023:</w:t>
      </w:r>
      <w:r>
        <w:t xml:space="preserve"> Nudging enforcers: how norm perceptions and motives for lying shape sanctions — https://doi.org/10.1093/pnasnexus/pgad224</w:t>
      </w:r>
    </w:p>
    <w:p>
      <w:pPr/>
      <w:r>
        <w:rPr>
          <w:b/>
        </w:rPr>
        <w:t>Shared claim-specific concepts:</w:t>
      </w:r>
      <w:r>
        <w:t xml:space="preserve"> motives, them, three, show; EU scope not established. This is a provisional connection, not an outcome finding.</w:t>
      </w:r>
    </w:p>
    <w:p>
      <w:pPr>
        <w:pStyle w:val="SourceNote"/>
      </w:pPr>
      <w:r>
        <w:rPr>
          <w:b/>
        </w:rPr>
        <w:t>Available abstract (not full text):</w:t>
      </w:r>
      <w:r>
        <w:t xml:space="preserve"> We conduct three studies, employing diverse methodologies (a behavioral experiment, a vignette experiment, and a norm elicitation experiment), to investigate when and how norm enforcement patterns can be modified using norm interventions in the context of dishonesty. Our preregistered, three-part data collection effort explores the extent to which norm violations are sanctioned, the impact of norm-nudges on punishment behavior, and the connection to norm perception. Using a representative sample of US participants in Study 1, we present robust evidence that norm enforcement is sensitive not only to the magnitude of the observed transgression (i.e. the size of the lie) but also to its consequences (whether the lie addresses or creates payoff inequalities). We also find that norm enforcers respond to norm-nudges conveying social information about actual lying behavior or its social disapproval. The results of a separate vignette experiment in Study 2 are consistent with the results in our behavioral experiment, thus hinting at the generalizability of our findings. To understand the interplay of norms, information about them, and punishment, we examine norm perceptions across different transgressions in Study 3. We find that norm perceptions are malleable and norm-nudges are most effective when preexisting norms are ambiguous. In sum, we show how norm enforcement can be nudged and</w:t>
      </w:r>
    </w:p>
    <w:p>
      <w:pPr>
        <w:pStyle w:val="Heading2"/>
      </w:pPr>
      <w:r>
        <w:t>502.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2025:</w:t>
      </w:r>
      <w:r>
        <w:t xml:space="preserve"> Scaling sustainable start-ups: barriers and enablers in talent attraction in Europe — https://openalex.org/W7171609687</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derivesactionable implications for founders to enable resilient growth during the scaling phase.</w:t>
      </w:r>
    </w:p>
    <w:p>
      <w:pPr/>
      <w:r>
        <w:rPr>
          <w:b/>
        </w:rPr>
        <w:t>POSSIBLE 2025:</w:t>
      </w:r>
      <w:r>
        <w:t xml:space="preserve"> Scaling sustainable start-ups: barriers and enablers in financing in Europe — https://openalex.org/W7162970613</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 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 actionable implications for founders to enable resilient growth during the scaling phase.</w:t>
      </w:r>
    </w:p>
    <w:p>
      <w:pPr/>
      <w:r>
        <w:rPr>
          <w:b/>
        </w:rPr>
        <w:t>POSSIBLE 2025:</w:t>
      </w:r>
      <w:r>
        <w:t xml:space="preserve"> Waste Hierarchy in Action. Italian and European Models for a Sustainable Future — https://openalex.org/W7113130641</w:t>
      </w:r>
    </w:p>
    <w:p>
      <w:pPr/>
      <w:r>
        <w:rPr>
          <w:b/>
        </w:rPr>
        <w:t>Shared claim-specific concepts:</w:t>
      </w:r>
      <w:r>
        <w:t xml:space="preserve"> sustainability, decision-makers, policies, transition; EU scope visible. This is a provisional connection, not an outcome finding.</w:t>
      </w:r>
    </w:p>
    <w:p>
      <w:pPr>
        <w:pStyle w:val="SourceNote"/>
      </w:pPr>
      <w:r>
        <w:rPr>
          <w:b/>
        </w:rPr>
        <w:t>Available abstract (not full text):</w:t>
      </w:r>
      <w:r>
        <w:t xml:space="preserve"> The “waste hierarchy” principle is a pillar of European environmental policy. Despite the presence of common objectives set by the European Union, each country maintains a wide margin of autonomy in implementation, deciding how to incentivize the most effective actions (reduction, reuse, recycling) and discourage those that are less sustainable (incineration and landfill). This causes considerable heterogeneity, both in the strategies adopted and in the results obtained: some countries have achieved significant milestones, while others still show significant room for improvement.Intervening with targeted and ambitious policies is increasingly urgent. Through the analysis of six emblematic cases, the volume identifies the necessary conditions to make the waste hierarchy principle a reality. Strong determination from political or corporate leadership, the involvement of authoritative and passionate experts, stakeholder engagement, the availability of adequate resources, and project flexibility emerge as decisive enabling factors to overcome bottlenecks and the many regulatory, cultural, and industrial resistances.From the cross-sectional reading of the cases, it emerges that there is no ideal context or single model for scaling the waste hierarchy, just as no single “best practice” can be identified, but rather a plurality of good practices that can be combined synergistically.Th</w:t>
      </w:r>
    </w:p>
    <w:p>
      <w:pPr/>
      <w:r>
        <w:rPr>
          <w:b/>
        </w:rPr>
        <w:t>POSSIBLE 2024:</w:t>
      </w:r>
      <w:r>
        <w:t xml:space="preserve"> Strategic management as an enabler of co-creation in public services — https://doi.org/10.51952/9781447369042.ch006</w:t>
      </w:r>
    </w:p>
    <w:p>
      <w:pPr/>
      <w:r>
        <w:rPr>
          <w:b/>
        </w:rPr>
        <w:t>Shared claim-specific concepts:</w:t>
      </w:r>
      <w:r>
        <w:t xml:space="preserve"> enable, used, literature; EU scope not established. This is a provisional connection, not an outcome finding.</w:t>
      </w:r>
    </w:p>
    <w:p>
      <w:pPr>
        <w:pStyle w:val="SourceNote"/>
      </w:pPr>
      <w:r>
        <w:rPr>
          <w:b/>
        </w:rPr>
        <w:t>Available abstract (not full text):</w:t>
      </w:r>
      <w:r>
        <w:t xml:space="preserve"> The current transformations in society, the economy and the public sector call for the development of more unified theoretical frameworks. This chapter takes the literature on strategic management as a theoretical entry angle and aims to better understand how the adoption of models of strategic management can enable processes of public value co-creation. Utilising the literature centred on the notion of ‘schools of thought’ in the strategic management of public services, the chapter discusses how co-creation as a mode of governance in public services can contribute to innovative public service solutions and value co-creation. The Welsh Water’s ‘Water Resilient Community’ – a project characterised by long-term strategic planning as well as by local innovation – is used to illustrate the argument. Four propositions on the drivers/enablers and key managerial issues for undertaking a strategic approach to co-creation as a mode of governance are offered to enhance future practice, research and theory.</w:t>
      </w:r>
    </w:p>
    <w:p>
      <w:pPr>
        <w:pStyle w:val="Heading2"/>
      </w:pPr>
      <w:r>
        <w:t>503.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Towards Hydrogen Law in the European Union and Europe? — https://doi.org/10.4324/9781003669654-18</w:t>
      </w:r>
    </w:p>
    <w:p>
      <w:pPr/>
      <w:r>
        <w:rPr>
          <w:b/>
        </w:rPr>
        <w:t>Shared claim-specific concepts:</w:t>
      </w:r>
      <w:r>
        <w:t xml:space="preserve"> union, regulatory, place;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Returns of Unsuccessful Asylum Seekers from the European Union and Their Limits from a Human and Fundamental Rights Perspective — https://openalex.org/W7171274314</w:t>
      </w:r>
    </w:p>
    <w:p>
      <w:pPr/>
      <w:r>
        <w:rPr>
          <w:b/>
        </w:rPr>
        <w:t>Shared claim-specific concepts:</w:t>
      </w:r>
      <w:r>
        <w:t xml:space="preserve"> abstract, union, instruments; EU scope visible. This is a provisional connection, not an outcome finding.</w:t>
      </w:r>
    </w:p>
    <w:p>
      <w:pPr>
        <w:pStyle w:val="SourceNote"/>
      </w:pPr>
      <w:r>
        <w:rPr>
          <w:b/>
        </w:rPr>
        <w:t>Available abstract (not full text):</w:t>
      </w:r>
      <w:r>
        <w:t xml:space="preserve"> 75 Returns of Unsuccessful Asylum Seekers from the European Union and Their Limits from the Perspective of Human and Fundamental Rights Abstract This diploma thesis examines the return of unsuccessful asylum seekers from the European Union to their countries of origin or third countries, focusing on the limitations arising from international human rights and fundamental rights protection. The central concept of the analysis is the principle of non-refoulement, which prohibits the expulsion of individuals to places where their life or freedom would be threatened or where they would face torture, inhuman, or degrading treatment. The thesis first analyses the legal foundations of the principle of non-refoulement within the framework of the 1951 Geneva Convention relating to the Status of Refugees, the European Convention on Human Rights, and the legal order of the European Union. Particular attention is paid to the case law of the European Court of Human Rights, especially the judgments in Soering v. the United Kingdom, Chahal v. the United Kingdom, and Saadi v. Italy, which confirmed the absolute nature of the prohibition of torture and its implications for return policies. The practical part critically evaluates selected instruments of the EU return policy, namely the concepts of the safe country of origin,...</w:t>
      </w:r>
    </w:p>
    <w:p>
      <w:pPr/>
      <w:r>
        <w:rPr>
          <w:b/>
        </w:rPr>
        <w:t>POSSIBLE 2026:</w:t>
      </w:r>
      <w:r>
        <w:t xml:space="preserve"> Monetary standardization in the European Union — https://doi.org/10.47772/ijriss.2026.10100071</w:t>
      </w:r>
    </w:p>
    <w:p>
      <w:pPr/>
      <w:r>
        <w:rPr>
          <w:b/>
        </w:rPr>
        <w:t>Shared claim-specific concepts:</w:t>
      </w:r>
      <w:r>
        <w:t xml:space="preserve"> union, not, only, reduce, but, also; EU scope visible. This is a provisional connection, not an outcome finding.</w:t>
      </w:r>
    </w:p>
    <w:p>
      <w:pPr>
        <w:pStyle w:val="SourceNote"/>
      </w:pPr>
      <w:r>
        <w:rPr>
          <w:b/>
        </w:rPr>
        <w:t>Available abstract (not full text):</w:t>
      </w:r>
      <w:r>
        <w:t xml:space="preserve"> This study investigates the design and production of Euro banknotes and coins, focusing on their role in shaping European identity, enhancing security, and promoting sustainability. The aim is to explore how integrating advanced security features with culturally rich narratives can transform the Euro into a symbol of unity and environmental responsibility. The research employs a mixed-methods approach, combining a comprehensive literature review, case studies of successful currency designs from various regions, and qualitative data gathered through surveys and interviews with stakeholders, including central bankers, designers, and the public. Findings indicate that the current design elements of Euro currency significantly influence public perceptions of European identity, with a strong preference for incorporating cultural and historical motifs. Additionally, the study reveals that advanced security features can enhance the durability and trustworthiness of the Euro, while environmentally sustainable materials can be adopted to reduce the ecological footprint of currency production. Overall, the conclusions suggest that a reimagined Euro, which harmonizes design, security, and sustainability, can serve not only as a medium of exchange but also as a powerful vehicle for fostering a shared European identity. This approach has the potential to enhance public trust in the currency</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r>
        <w:rPr>
          <w:b/>
        </w:rPr>
        <w:t>POSSIBLE 2025:</w:t>
      </w:r>
      <w:r>
        <w:t xml:space="preserve"> Adaptation of Ukrainian Legislation to the Legislation of the European Union: Current Status and Prospects — https://doi.org/10.23939/veritas2025.01.044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pPr/>
      <w:r>
        <w:rPr>
          <w:b/>
        </w:rPr>
        <w:t>POSSIBLE 2025:</w:t>
      </w:r>
      <w:r>
        <w:t xml:space="preserve"> Framing European Heritage and Identity: Cultural Policy Instruments of the European Union — https://doi.org/10.1111/jcms.13767</w:t>
      </w:r>
    </w:p>
    <w:p>
      <w:pPr/>
      <w:r>
        <w:rPr>
          <w:b/>
        </w:rPr>
        <w:t>Shared claim-specific concepts:</w:t>
      </w:r>
      <w:r>
        <w:t xml:space="preserve"> abstract, union, instruments; EU scope visible. This is a provisional connection, not an outcome finding.</w:t>
      </w:r>
    </w:p>
    <w:p>
      <w:pPr>
        <w:pStyle w:val="SourceNote"/>
      </w:pPr>
      <w:r>
        <w:rPr>
          <w:b/>
        </w:rPr>
        <w:t>Available abstract (not full text):</w:t>
      </w:r>
      <w:r>
        <w:t xml:space="preserve"> Abstract This submission examines the impact of the European Union (EU) policy efforts to construct a European Heritage and a sense of belonging within the wider European population on Heritage policy. The article explores how the EU has selected and wielded instruments that frame particular values that (1) respond to specific policy problems and impact European heritage(s) and (2) build political myths articulating particular visions of what the EU represents and how the population should engage with European integration. Through analysis of four case studies (European Heritage Label, the EU Horizon 2020, European Cultural Routes and the EU Energy Efficiency Directive) in a policy instrument typology, we reveal that the frames embedded in the EU policy instruments carry a range of different values and priorities that often compete, leading to policy outcomes that are fragmented in their effect.</w:t>
      </w:r>
    </w:p>
    <w:p>
      <w:pPr/>
      <w:r>
        <w:rPr>
          <w:b/>
        </w:rPr>
        <w:t>POSSIBLE 2025:</w:t>
      </w:r>
      <w:r>
        <w:t xml:space="preserve"> The European Union Carbon Border Adjustment Mechanism as a Green Tax Policy Instrument — https://doi.org/10.2478/ceej-2025-0006</w:t>
      </w:r>
    </w:p>
    <w:p>
      <w:pPr/>
      <w:r>
        <w:rPr>
          <w:b/>
        </w:rPr>
        <w:t>Shared claim-specific concepts:</w:t>
      </w:r>
      <w:r>
        <w:t xml:space="preserve"> abstract, union, emissions, carbon; EU scope visible. This is a provisional connection, not an outcome finding.</w:t>
      </w:r>
    </w:p>
    <w:p>
      <w:pPr>
        <w:pStyle w:val="SourceNote"/>
      </w:pPr>
      <w:r>
        <w:rPr>
          <w:b/>
        </w:rPr>
        <w:t>Available abstract (not full text):</w:t>
      </w:r>
      <w:r>
        <w:t xml:space="preserve"> Abstract This article aims to analyse the conformity of the European Union‘s Carbon Border Adjustment Mechanism (CBAM), considering tax principles as an environmental and fiscal policy instrument and its role in promoting a healthy environment and global decarbonisation. Literature highlights reasons for the CBAM‘s relevance, promoting carbon leakage risk reduction and encouraging less advanced countries to lower emissions through carbon diplomacy. This mechanism is expected to significantly impact the EU‘s partner economies, particularly developing ones reliant on exports. Thus, the paper’s goal is to advance academic research and understand its role in achieving environmental neutrality. The study applies the legal research method to tax principles, and Regulation (EU) No 2023/956 was examined for this purpose. The results show that CBAM is presented as an instrument that promotes tax neutrality, being in line with tax principles. Furthermore, CBAM promotes legal certainty, allowing companies to make investment decisions on decarbonising industrial processes in the long term. In addition, this mechanism is a step towards guaranteeing the promotion of a healthy environment, a right recognised by the United Nations. This study highlights the importance of CBAM as an environmental policy instrument and a fiscal mechanism that promotes fiscal justice and environmental sustainabil</w:t>
      </w:r>
    </w:p>
    <w:p>
      <w:pPr/>
      <w:r>
        <w:rPr>
          <w:b/>
        </w:rPr>
        <w:t>POSSIBLE 2025:</w:t>
      </w:r>
      <w:r>
        <w:t xml:space="preserve"> The European Union’s Governing of Teachers and the Europeanization of Teacher Policy — https://doi.org/10.1093/9780197761717.003.0003</w:t>
      </w:r>
    </w:p>
    <w:p>
      <w:pPr/>
      <w:r>
        <w:rPr>
          <w:b/>
        </w:rPr>
        <w:t>Shared claim-specific concepts:</w:t>
      </w:r>
      <w:r>
        <w:t xml:space="preserve"> abstract, union, place; EU scope visible. This is a provisional connection, not an outcome finding.</w:t>
      </w:r>
    </w:p>
    <w:p>
      <w:pPr>
        <w:pStyle w:val="SourceNote"/>
      </w:pPr>
      <w:r>
        <w:rPr>
          <w:b/>
        </w:rPr>
        <w:t>Available abstract (not full text):</w:t>
      </w:r>
      <w:r>
        <w:t xml:space="preserve"> Abstract Chapter 2 discusses the ways in which European Union (EU) governance has fostered the Europeanization of teacher employment regimes over the period 2000–2020. It provides an analytical account of the main developments in EU teacher policy and highlights three distinct pathways through which the Europeanization of teacher employment regimes is taking place: the socioeconomic governance instrument of the European Semester; the mobilization of “field coordinators,” such as teacher unions and employers, and teachers in general; and efforts to create a European labor market for teachers. The findings are discussed for their contribution to the literature on European politics and field theory, the Europeanization of education, and the liberalization of employment regimes in the EU.</w:t>
      </w:r>
    </w:p>
    <w:p>
      <w:pPr/>
      <w:r>
        <w:rPr>
          <w:b/>
        </w:rPr>
        <w:t>POSSIBLE 2025:</w:t>
      </w:r>
      <w:r>
        <w:t xml:space="preserve"> The securitization of competition in the European Union — https://doi.org/10.1017/elo.2025.10035</w:t>
      </w:r>
    </w:p>
    <w:p>
      <w:pPr/>
      <w:r>
        <w:rPr>
          <w:b/>
        </w:rPr>
        <w:t>Shared claim-specific concepts:</w:t>
      </w:r>
      <w:r>
        <w:t xml:space="preserve"> abstract, union, but; EU scope visible. This is a provisional connection, not an outcome finding.</w:t>
      </w:r>
    </w:p>
    <w:p>
      <w:pPr>
        <w:pStyle w:val="SourceNote"/>
      </w:pPr>
      <w:r>
        <w:rPr>
          <w:b/>
        </w:rPr>
        <w:t>Available abstract (not full text):</w:t>
      </w:r>
      <w:r>
        <w:t xml:space="preserve"> Abstract The recent turn to market activism is transforming the politics around the state and capitalism, while significantly restructuring markets. We focus on one important but understudied element in this development: the securitization of market competition in the European Union. We argue that European political actors are strategically using specific narratives to construct competition policies in a new way, one that implicates the geopolitical standing of the EU and its national security. This contrasts with the longstanding view of EU competition policy as existing in a separate sphere, disembedded from politics, where market efficiency is paramount. To empirically capture this change, we undertake a systematic analysis of DG Competition Annual Reports, using a language-analysis schema over the decade from 2013 to 2023. Our findings demonstrate that this securitization strategy has been consistently increasing over time in the EU, evidenced in the rhetorical use of crises, the linking of markets to a larger set of issues and policy goals, the invocation of geopolitical pressures, and the framing of a need for the consolidation of EU power. We note, however, that this policy turn towards securitization of economic policy brings substantial political tensions given the EU’s limited democratic accountability.</w:t>
      </w:r>
    </w:p>
    <w:p>
      <w:pPr>
        <w:pStyle w:val="Heading2"/>
      </w:pPr>
      <w:r>
        <w:t>504.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INTEGRATED CLIMATE ADAPTATION PATHWAYS FOR MEDITERRANEAN AGROECOSYSTEMS: ECOLOGICAL, HYDROLOGICAL, AND SOCIOECONOMIC INTERACTIONS — https://doi.org/10.5281/zenodo.18880434</w:t>
      </w:r>
    </w:p>
    <w:p>
      <w:pPr/>
      <w:r>
        <w:rPr>
          <w:b/>
        </w:rPr>
        <w:t>Shared claim-specific concepts:</w:t>
      </w:r>
      <w:r>
        <w:t xml:space="preserve"> abstract, socioeconomic, pathways; EU scope visible. This is a provisional connection, not an outcome finding.</w:t>
      </w:r>
    </w:p>
    <w:p>
      <w:pPr>
        <w:pStyle w:val="SourceNote"/>
      </w:pPr>
      <w:r>
        <w:rPr>
          <w:b/>
        </w:rPr>
        <w:t>Available abstract (not full text):</w:t>
      </w:r>
      <w:r>
        <w:t xml:space="preserve"> Abstract Mediterranean agroecosystems are among the most climate-sensitive agricultural regions globally. Rising temperatures, altered precipitation regimes, increasing frequency of drought events, and hydrological variability pose significant risks to crop productivity and rural livelihoods. At the same time, socioeconomic pressures including land abandonment, urban encroachment, and policy fragmentation complicate adaptive responses. This study proposes an integrated framework for climate adaptation in Mediterranean agroecosystems, with particular focus on southern France. Combining ecological resilience theory, hydrological modeling perspectives, and socioeconomic analysis, the research explores how agroecosystem stability depends on coordinated management of soil, water, biodiversity, and rural governance structures. The objective is to identify adaptive pathways that enhance ecological integrity while maintaining agricultural productivity and socio-economic viability.</w:t>
      </w:r>
    </w:p>
    <w:p>
      <w:pPr/>
      <w:r>
        <w:rPr>
          <w:b/>
        </w:rPr>
        <w:t>POSSIBLE 2026:</w:t>
      </w:r>
      <w:r>
        <w:t xml:space="preserve"> A systematic review of sustainable food systems identifies socio-economic pathways driving food systems transformations — https://doi.org/10.1038/s43016-026-01317-0</w:t>
      </w:r>
    </w:p>
    <w:p>
      <w:pPr/>
      <w:r>
        <w:rPr>
          <w:b/>
        </w:rPr>
        <w:t>Shared claim-specific concepts:</w:t>
      </w:r>
      <w:r>
        <w:t xml:space="preserve"> abstract, socioeconomic, pathways, widely; EU scope not established. This is a provisional connection, not an outcome finding.</w:t>
      </w:r>
    </w:p>
    <w:p>
      <w:pPr>
        <w:pStyle w:val="SourceNote"/>
      </w:pPr>
      <w:r>
        <w:rPr>
          <w:b/>
        </w:rPr>
        <w:t>Available abstract (not full text):</w:t>
      </w:r>
      <w:r>
        <w:t xml:space="preserve"> Abstract Recommended solutions and innovations to shape sustainable food systems need to be socioeconomically feasible to be implemented. The numerous publications and the nuance of the topic obfuscate the comprehension of the most crucial socioeconomic measures required for successful implementation and concrete policy formulation. Therefore, a clear and comprehensive overview of available evidence on sustainable food systems is needed, especially focusing on the socioeconomic feasibility, which has not been done before. To address this research gap, we systematically screened over 1700 articles and selected 349 for detailed review, investigating socioeconomic attributes corresponding to successful implementations of sustainable food system transformations. We found that sustainable food systems have various meanings across the scholarship and lack harmonized principles. Moreover, the socioeconomic effects on sustainability are often merely assumed instead of rigorously measured. According to the reviewed articles, different actors require different socioeconomic interventions to attain sustainable food systems: i) producers with strong social capital that induces trust among farmers, as well as economic incentives, have enhanced capabilities to promote sustainability, ii) consumers benefit from improved information provisioning and lower prices of sustainable food options, an</w:t>
      </w:r>
    </w:p>
    <w:p>
      <w:pPr/>
      <w:r>
        <w:rPr>
          <w:b/>
        </w:rPr>
        <w:t>POSSIBLE 2026:</w:t>
      </w:r>
      <w:r>
        <w:t xml:space="preserve"> Downscaled Population Projections Under Shared Socioeconomic Pathways: A European Wide Application for Age, Gender and Education — https://doi.org/10.21203/rs.3.rs-9940977/v1</w:t>
      </w:r>
    </w:p>
    <w:p>
      <w:pPr/>
      <w:r>
        <w:rPr>
          <w:b/>
        </w:rPr>
        <w:t>Shared claim-specific concepts:</w:t>
      </w:r>
      <w:r>
        <w:t xml:space="preserve"> shared, socioeconomic, pathways;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From frameworks to futures: health adaptation pathways across the Shared Socioeconomic Pathways — https://doi.org/10.1038/s44168-026-00414-x</w:t>
      </w:r>
    </w:p>
    <w:p>
      <w:pPr/>
      <w:r>
        <w:rPr>
          <w:b/>
        </w:rPr>
        <w:t>Shared claim-specific concepts:</w:t>
      </w:r>
      <w:r>
        <w:t xml:space="preserve"> abstract, shared, socioeconomic, pathways; EU scope not established. This is a provisional connection, not an outcome finding.</w:t>
      </w:r>
    </w:p>
    <w:p>
      <w:pPr>
        <w:pStyle w:val="SourceNote"/>
      </w:pPr>
      <w:r>
        <w:rPr>
          <w:b/>
        </w:rPr>
        <w:t>Available abstract (not full text):</w:t>
      </w:r>
      <w:r>
        <w:t xml:space="preserve"> Abstract Effectively managing the rising health risks of climate change requires consideration of plausible adaptation pathways under a range of scenarios of changes in greenhouse gas emissions and socioeconomic development to systematically explore the solution space for climate-resilient health systems. Incorporating adaptation pathways approaches into health planning can facilitate understanding of adaptation opportunities, barriers, and limits by different degrees of warming (based on Representative Concentration Pathways (RCP) and levels of socioeconomic development (e.g., Shared Socioeconomic Pathways (SSP)). This understanding supports prioritization of policies and measures to reduce current and near-term risks, leading to more robust and timely health decisions. We explore how health adaptation pathways can be operationalized under the SSP framework to inform health system planning by: (i) identifying limits to adaptation (e.g., tipping dynamics where strategies are no longer feasible); (ii) illustrating timing and implementation delays, showing how deployment of health interventions may vary across development pathways; and (iii) exploring how multiple climate-sensitive health-related risks may stress health system capacity. Health decision makers can use the adaptation pathways approach in key activities such as vulnerability and adaptation assessments, developing he</w:t>
      </w:r>
    </w:p>
    <w:p>
      <w:pPr/>
      <w:r>
        <w:rPr>
          <w:b/>
        </w:rPr>
        <w:t>POSSIBLE 2026:</w:t>
      </w:r>
      <w:r>
        <w:t xml:space="preserve"> UK livestock futures: co-designing Shared Socioeconomic Pathways — https://doi.org/10.1007/s10113-026-02625-8</w:t>
      </w:r>
    </w:p>
    <w:p>
      <w:pPr/>
      <w:r>
        <w:rPr>
          <w:b/>
        </w:rPr>
        <w:t>Shared claim-specific concepts:</w:t>
      </w:r>
      <w:r>
        <w:t xml:space="preserve"> abstract, shared, socioeconomic, pathways, diversity; EU scope not established. This is a provisional connection, not an outcome finding.</w:t>
      </w:r>
    </w:p>
    <w:p>
      <w:pPr>
        <w:pStyle w:val="SourceNote"/>
      </w:pPr>
      <w:r>
        <w:rPr>
          <w:b/>
        </w:rPr>
        <w:t>Available abstract (not full text):</w:t>
      </w:r>
      <w:r>
        <w:t xml:space="preserve"> Abstract The UK livestock sector faces complex socio-economic, political, and environmental challenges, requiring approaches for exploring trade-offs and resilience across a range of plausible futures. To address these challenges, this study develops the UK Livestock Shared Socioeconomic Pathways (UK-Livestock-SSPs) through an iterative, stakeholder-driven co-design process that incorporates UK livestock sector realities. Engaging diverse actors from policy, industry, academia, and civil society, we co-produce narratives, visual summaries, and semi-quantitative trends that capture sector-specific dynamics while remaining consistent with the global and regional SSP frameworks. Visual and interactive methods supported the co-design process by helping stakeholders articulate and examine their values, trade-offs, and priorities. The resulting five scenarios highlight interactions between governance, societal, and production drivers, emphasising the diversity of plausible futures, uncertainties, and potential trade-offs facing the sector. The scenario outputs support the exploration of alternative futures, and have the potential to inform policy, research, and decision making to assess sector vulnerabilities, mitigation and adaptation options, and resilience building strategies.</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abstract, shared, socioeconomic, pathways, ssps;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Overshoot pathways: reversible biophysical change, irreversible socioeconomic impacts — https://doi.org/10.1088/1748-9326/ae96c9</w:t>
      </w:r>
    </w:p>
    <w:p>
      <w:pPr/>
      <w:r>
        <w:rPr>
          <w:b/>
        </w:rPr>
        <w:t>Shared claim-specific concepts:</w:t>
      </w:r>
      <w:r>
        <w:t xml:space="preserve"> abstract, socioeconomic, pathways, impacts, analytical; EU scope not established. This is a provisional connection, not an outcome finding.</w:t>
      </w:r>
    </w:p>
    <w:p>
      <w:pPr>
        <w:pStyle w:val="SourceNote"/>
      </w:pPr>
      <w:r>
        <w:rPr>
          <w:b/>
        </w:rPr>
        <w:t>Available abstract (not full text):</w:t>
      </w:r>
      <w:r>
        <w:t xml:space="preserve"> Abstract Exceeding global warming of 1.5 °C in the near term is now unavoidable. An overshoot pathway, in which exceedance is followed by decline to or below the threshold through net-negative emissions, is now the only remaining route back to 1.5 °C. Permanent exceedance forecloses the recovery from climate impacts that an overshoot pathway may permit, yet even an overshoot pathway leaves lasting legacies. To characterise the reversibility of temporary overshoot impacts, we propose a three-layer analytical framework distinguishing hazards (with four dimensions: magnitude, duration, rate of exceedance, and rate of decline), biophysical responses (reversible vs persistent change), and socioeconomic outcomes (reversible vs irreversible impact). We introduce the socioeconomic commitment threshold, endogenous to the overshoot trajectory: how much overshoot intensity a system can experience before the losses it accumulates persist after temperatures decline, explained by three mechanisms: non-substitutability, threshold-crossing, and lock-in. A typology linking biophysical persistence with socioeconomic irreversibility illustrates how reversible biophysical change can produce irreversible socioeconomic loss, while persistent biophysical change need not produce irreversible outcomes where adaptive capacity is sufficient. Whether temporary exceedance produces permanent harm is determi</w:t>
      </w:r>
    </w:p>
    <w:p>
      <w:pPr/>
      <w:r>
        <w:rPr>
          <w:b/>
        </w:rPr>
        <w:t>POSSIBLE 2026:</w:t>
      </w:r>
      <w:r>
        <w:t xml:space="preserve"> Rainstorm Flood Risk Assessment in the China–Pakistan Economic Corridor Under Different Shared Socioeconomic Pathways of the 21st Century — https://doi.org/10.1111/jfr3.70215</w:t>
      </w:r>
    </w:p>
    <w:p>
      <w:pPr/>
      <w:r>
        <w:rPr>
          <w:b/>
        </w:rPr>
        <w:t>Shared claim-specific concepts:</w:t>
      </w:r>
      <w:r>
        <w:t xml:space="preserve"> abstract, socio, shared, socioeconomic, pathways, applied; EU scope not established. This is a provisional connection, not an outcome finding.</w:t>
      </w:r>
    </w:p>
    <w:p>
      <w:pPr>
        <w:pStyle w:val="SourceNote"/>
      </w:pPr>
      <w:r>
        <w:rPr>
          <w:b/>
        </w:rPr>
        <w:t>Available abstract (not full text):</w:t>
      </w:r>
      <w:r>
        <w:t xml:space="preserve"> ABSTRACT Global warming has intensified the atmospheric water cycle, leading to more frequent and severe extreme precipitation events, which are a major driver of rainstorm‐induced flooding. Developing regions such as the China–Pakistan economic corridor (CPEC), spanning highly heterogeneous terrain and climate zones, face elevated risk due to limited infrastructure and preparedness. This study establishes a comprehensive flood risk assessment framework based on the Hazard–Sensitivity–Vulnerability–Adaptive Capacity (HSVA) model, integrating bias‐corrected Coupled Model Intercomparison Project Phase 6 (CMIP6) multimodel precipitation, quantitative socio‐environmental indicators, and Geographic Information System (GIS)‐based spatial analysis. Applied to Shared Socioeconomic Pathway (SSP) scenarios SSP1–2.6, SSP2–4.5, and SSP5–8.5 for the period 2025–2100, the framework captures the spatiotemporal evolution of rainstorm flood risk. Results show a consistent intensification of extreme precipitation, with high‐risk zones expanding northwestward along the Indus River corridor. Quantitatively, high‐risk areas range from approximately 5% under SSP1–2.6 to over 6% under SSP5–8.5, indicating an upward trend under high‐emission pathways. Model validation demonstrates strong agreement with historical flood records, achieving hit rates above 72% across all scenarios. These findings provide</w:t>
      </w:r>
    </w:p>
    <w:p>
      <w:pPr/>
      <w:r>
        <w:rPr>
          <w:b/>
        </w:rPr>
        <w:t>POSSIBLE 2026:</w:t>
      </w:r>
      <w:r>
        <w:t xml:space="preserve"> Modeling urban planning contributions to flood resilience under shared socioeconomic pathways — https://doi.org/10.1038/s42949-026-00353-w</w:t>
      </w:r>
    </w:p>
    <w:p>
      <w:pPr/>
      <w:r>
        <w:rPr>
          <w:b/>
        </w:rPr>
        <w:t>Shared claim-specific concepts:</w:t>
      </w:r>
      <w:r>
        <w:t xml:space="preserve"> abstract, shared, socioeconomic, pathways, ssps; EU scope not established. This is a provisional connection, not an outcome finding.</w:t>
      </w:r>
    </w:p>
    <w:p>
      <w:pPr>
        <w:pStyle w:val="SourceNote"/>
      </w:pPr>
      <w:r>
        <w:rPr>
          <w:b/>
        </w:rPr>
        <w:t>Available abstract (not full text):</w:t>
      </w:r>
      <w:r>
        <w:t xml:space="preserve"> Abstract Flooding from short-duration extreme rainfall poses growing risks to rapidly urbanizing regions under climate change. This study integrates 2035 urban planning into simulations of extreme rainfall-induced flooding in the Pearl River Delta Metropolitan region. Results show that while urban planning has limited impact on reducing overall hazard, it plays a critical role in redistributing it spatially. Flood hazard and exposure in 2035 were assessed under four Shared Socioeconomic Pathways (SSPs). Hazard decreases by about 10% in SSP1, remains stable in SSP2, and rises in SSP3 and SSP5, with SSP5 showing a 12% increase. Population exposure grows across all scenarios, with increases of 21% in SSP1, 25% in SSP2, 13% in SSP3, and 56% in SSP5. Asset exposure shows even larger increases, from 29% in SSP3 to more than 100% in SSP5. These results highlight that while urban planning can alleviate hazard locally, long-term resilience is dominated by socioeconomic development trajectories.</w:t>
      </w:r>
    </w:p>
    <w:p>
      <w:pPr/>
      <w:r>
        <w:rPr>
          <w:b/>
        </w:rPr>
        <w:t>POSSIBLE 2025:</w:t>
      </w:r>
      <w:r>
        <w:t xml:space="preserve"> Socio-Economic Conditions Of Coir Workers And Problems Of Coir Industry East Godavari District in Andhra Pradesh — https://doi.org/10.71097/ijsat.v16.i4.8529</w:t>
      </w:r>
    </w:p>
    <w:p>
      <w:pPr/>
      <w:r>
        <w:rPr>
          <w:b/>
        </w:rPr>
        <w:t>Shared claim-specific concepts:</w:t>
      </w:r>
      <w:r>
        <w:t xml:space="preserve"> abstract, socio; EU scope not established. This is a provisional connection, not an outcome finding.</w:t>
      </w:r>
    </w:p>
    <w:p>
      <w:pPr>
        <w:pStyle w:val="SourceNote"/>
      </w:pPr>
      <w:r>
        <w:rPr>
          <w:b/>
        </w:rPr>
        <w:t>Available abstract (not full text):</w:t>
      </w:r>
      <w:r>
        <w:t xml:space="preserve">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pPr/>
      <w:r>
        <w:rPr>
          <w:b/>
        </w:rPr>
        <w:t>POSSIBLE 2025:</w:t>
      </w:r>
      <w:r>
        <w:t xml:space="preserve"> Narratives for the Future of Brazilian Agriculture A Sectoral Downscaling of the Shared Socioeconomic Pathways (SSPs) — https://doi.org/10.21203/rs.3.rs-7011493/v1</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Unavailable</w:t>
      </w:r>
    </w:p>
    <w:p>
      <w:pPr>
        <w:pStyle w:val="Heading2"/>
      </w:pPr>
      <w:r>
        <w:t>505.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2025:</w:t>
      </w:r>
      <w:r>
        <w:t xml:space="preserve"> Risks and benefits of artificial intelligence deepfakes: Systematic review and comparison of public attitudes in seven European Countries — https://doi.org/10.1016/j.jik.2025.100782</w:t>
      </w:r>
    </w:p>
    <w:p>
      <w:pPr/>
      <w:r>
        <w:rPr>
          <w:b/>
        </w:rPr>
        <w:t>Shared claim-specific concepts:</w:t>
      </w:r>
      <w:r>
        <w:t xml:space="preserve"> though, countries, rate, required; EU scope visible. This is a provisional connection, not an outcome finding.</w:t>
      </w:r>
    </w:p>
    <w:p>
      <w:pPr>
        <w:pStyle w:val="SourceNote"/>
      </w:pPr>
      <w:r>
        <w:rPr>
          <w:b/>
        </w:rPr>
        <w:t>Available abstract (not full text):</w:t>
      </w:r>
      <w:r>
        <w:t xml:space="preserve"> This study provides an evidence-based integrated appraisal of artificial intelligence (AI)-generated deepfakes by integrating a cross-disciplinary literature synthesis with original opinion-poll evidence from seven European countries. A SWOT matrix distils convergent concerns—weaponised disinformation, privacy erosion, and the detection arms race—alongside under-explored opportunities in education, therapy, and creative industries. To test whether these scholarly themes resonate with citizens, a computer-assisted web survey (N = 7,083) measured perceived risks and benefits across 10 specific scenarios for each theme. Correspondence analysis and Bonferroni-adjusted means reveal a pronounced age gradient for benefits, whereas risk perceptions vary by country—younger cohorts are noticeably less alarmed only in Sweden, France, and Czechia. Geographically, Dutch, German, British, and Italian publics prove the most enthusiastic: the United Kingdom (UK) couples similar enthusiasm with markedly higher risk vigilance, whereas Czech and Swedish respondents remain consistently sceptical, underscoring a broad, though imperfect, west/south versus central/north divide. The Netherlands, Germany, the UK, and Italy value pro-social applications (i.e., realistic crisis drills, public-interest campaigns, and therapeutic ‘mental-health’ avatars), with the Netherlands topping four benefit items and</w:t>
      </w:r>
    </w:p>
    <w:p>
      <w:pPr/>
      <w:r>
        <w:rPr>
          <w:b/>
        </w:rPr>
        <w:t>POSSIBLE 2024:</w:t>
      </w:r>
      <w:r>
        <w:t xml:space="preserve"> Investigating the heterogeneity within Wild bird indices in Europe — https://doi.org/10.1016/j.biocon.2024.110452</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2023:</w:t>
      </w:r>
      <w:r>
        <w:t xml:space="preserve"> Sex, Age, and Smartphone Addiction Across 41 Countries — https://doi.org/10.1007/s11469-023-01146-3</w:t>
      </w:r>
    </w:p>
    <w:p>
      <w:pPr/>
      <w:r>
        <w:rPr>
          <w:b/>
        </w:rPr>
        <w:t>Shared claim-specific concepts:</w:t>
      </w:r>
      <w:r>
        <w:t xml:space="preserve"> though, countries, consistent, per, increased; EU scope visible. This is a provisional connection, not an outcome finding.</w:t>
      </w:r>
    </w:p>
    <w:p>
      <w:pPr>
        <w:pStyle w:val="SourceNote"/>
      </w:pPr>
      <w:r>
        <w:rPr>
          <w:b/>
        </w:rPr>
        <w:t>Available abstract (not full text):</w:t>
      </w:r>
      <w:r>
        <w:t xml:space="preserve"> Most studies of problematic smartphone use focus on younger participants in a single country, which makes global comparisons difficult. Here, we administered the Smartphone Addiction Scale (Short Version) to 50,423 participants aged 18 to 90 from 195 countries and subdivisions. The results showed that women scored 3.22 units higher than men, each year of age predicted a decrease of 0.18 units, and global scores increased by 0.66 units per year. Among the 41 countries with at least 100 participants, almost all showed a consistent pattern: women scored higher than men (B = −0.19 to 6.07) and there was a downward slope with age (B = −0.38 to −0.03), though the shape of the slope varied across countries. The highest problematic smartphone use scores were around Southeast Asia and the lowest were in Europe. This global sample, currently the largest in the field, helps clarify the relationships between sex, age, and smartphone use.</w:t>
      </w:r>
    </w:p>
    <w:p>
      <w:pPr>
        <w:pStyle w:val="Heading2"/>
      </w:pPr>
      <w:r>
        <w:t>506.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2024:</w:t>
      </w:r>
      <w:r>
        <w:t xml:space="preserve"> Modelling the effect of land use and crop changes on water harvesting agricultural reservoirs — https://doi.org/10.5194/egusphere-egu24-936</w:t>
      </w:r>
    </w:p>
    <w:p>
      <w:pPr/>
      <w:r>
        <w:rPr>
          <w:b/>
        </w:rPr>
        <w:t>Shared claim-specific concepts:</w:t>
      </w:r>
      <w:r>
        <w:t xml:space="preserve"> solution, land, less; EU scope visible. This is a provisional connection, not an outcome finding.</w:t>
      </w:r>
    </w:p>
    <w:p>
      <w:pPr>
        <w:pStyle w:val="SourceNote"/>
      </w:pPr>
      <w:r>
        <w:rPr>
          <w:b/>
        </w:rPr>
        <w:t>Available abstract (not full text):</w:t>
      </w:r>
      <w:r>
        <w:t xml:space="preserve"> Water harvesting with Small Agricultural Reservoirs (SmAR) represents a solution for sustainable water management at a global scale. Early estimates showed that globally there were about 277,400,000 SmAR with an area of less than one hectare, and 24,120,000 water bodies between one and 10 hectares, representing more than 90% of the world’s standing water bodies. One of the most relevant challenges for the sustainable management of SmAR is represented by the loss of storage volume caused by the inflow of sediments. However, the analysis of the dynamics of sedimentation for SmAR received relatively little interest so far in the Mediterranean and on a global scale.The purpose of this study is to implement a fully calibrated and validated model simulating the hydrology and erosion dynamics of the catchment of a SmAR in the Tuscany Region (Italy). The area is in the hilly area of Crete Senesi, about 15 km from Siena, where wine production is particularly developed, but not within the catchment of study, where the cultivation of cereals, renewal crops, and forage is practiced and there is a large grazing area. Our analysis aimed at estimating how much the rate of sediment accumulation in the reservoir would vary with the replacement of currently arable land with vineyards.A model was implemented on the HEC-HMS software, maximizing the value of existent low-cost data (Google Earth ima</w:t>
      </w:r>
    </w:p>
    <w:p>
      <w:pPr/>
      <w:r>
        <w:rPr>
          <w:b/>
        </w:rPr>
        <w:t>POSSIBLE 2024:</w:t>
      </w:r>
      <w:r>
        <w:t xml:space="preserve"> Cost‐effective use of abandoned agricultural land for biofuel production — https://doi.org/10.1111/gcbb.13165</w:t>
      </w:r>
    </w:p>
    <w:p>
      <w:pPr/>
      <w:r>
        <w:rPr>
          <w:b/>
        </w:rPr>
        <w:t>Shared claim-specific concepts:</w:t>
      </w:r>
      <w:r>
        <w:t xml:space="preserve"> show, land, also, both, reduced, less; EU scope visible. This is a provisional connection, not an outcome finding.</w:t>
      </w:r>
    </w:p>
    <w:p>
      <w:pPr>
        <w:pStyle w:val="SourceNote"/>
      </w:pPr>
      <w:r>
        <w:rPr>
          <w:b/>
        </w:rPr>
        <w:t>Available abstract (not full text):</w:t>
      </w:r>
      <w:r>
        <w:t xml:space="preserve"> Abstract Biofuel can be used to abate greenhouse gas emissions in the transport sector, by replacing fossil fuel. To avoid the problem of competition with food production, the use of abandoned agricultural land (AAL) for production of the feedstock for biofuel has been proposed. AAL has generally low productivity but has also low opportunity costs, and production of perennial bioenergy crops on it can lead to carbon sequestration. A spatially explicit optimization model of biofuel production and transport fuel consumption, applied to Sweden, was used for an analysis of how AAL can alter costs for greenhouse gas emissions abatement. Results show that, compared to the case without AAL, AAL could decrease the costs of reducing greenhouse gas emissions by 29%, for emissions reductions equivalent to 50% of current emissions from gasoline in Sweden. The carbon sequestration from establishing perennial bioenergy crops on AAL is the main driver of the positive results. High carbon sequestration on AAL implies larger emissions reduction for a given volume of biofuel, and the results show that the total biofuel production can be both smaller and larger with AAL. The use of arable land for biofuel production is generally smaller with AAL, but larger at some of the highest analyzed target levels. The low AAL feedstock costs contribute to lower costs of the total biofuel production, which p</w:t>
      </w:r>
    </w:p>
    <w:p>
      <w:pPr/>
      <w:r>
        <w:rPr>
          <w:b/>
        </w:rPr>
        <w:t>POSSIBLE 2023:</w:t>
      </w:r>
      <w:r>
        <w:t xml:space="preserve"> A method for finding a least-cost corridor on an ordinal-scaled raster cost surface — https://doi.org/10.1080/19475683.2023.2166585</w:t>
      </w:r>
    </w:p>
    <w:p>
      <w:pPr/>
      <w:r>
        <w:rPr>
          <w:b/>
        </w:rPr>
        <w:t>Shared claim-specific concepts:</w:t>
      </w:r>
      <w:r>
        <w:t xml:space="preserve"> show, least-cost, solution, areas; EU scope not established. This is a provisional connection, not an outcome finding.</w:t>
      </w:r>
    </w:p>
    <w:p>
      <w:pPr>
        <w:pStyle w:val="SourceNote"/>
      </w:pPr>
      <w:r>
        <w:rPr>
          <w:b/>
        </w:rPr>
        <w:t>Available abstract (not full text):</w:t>
      </w:r>
      <w:r>
        <w:t xml:space="preserve"> The least-cost path problem is a widely studied problems in geographic information science. In raster space, the problem is to find a path that accumulates the least amount of cost between two locations based on the assumptions that the path is a one-dimensional object (represented by a string of cells) and that the cost (per unit length) is measured on a quantitative scale. Efficient methods are available for solution of this problem when at least one of these assumptions is upheld. This is not the case when the path has a width and is a two-dimensional object called a corridor (represented by a swath of cells) and the cost (per unit area) is measured on an ordinal scale. In this paper, we propose one additional model that characterizes a least-cost corridor on an ordinal-scaled raster cost surface – or a least ordinal-scaled cost corridor for short – and show that it can be transformed into an instance of a multiobjective optimization problem known as the preferred path problem with a lexicographic preference relation and solved accordingly. The model is tested through computational experiments with artificial landscape data as well as real-world data. Results show that least ordinal-scaled cost corridors are guaranteed to contain smaller areas of higher cost than conventional least-cost corridors at the expense of more elongated and winding forms. The least ordinal-scaled co</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requires, energy, also;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pStyle w:val="Heading2"/>
      </w:pPr>
      <w:r>
        <w:t>507.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Corporate foresight and intellectual capital robustness: a literature review — https://doi.org/10.24023/futurejournal/2175-5825/2025.v17i1.932</w:t>
      </w:r>
    </w:p>
    <w:p>
      <w:pPr/>
      <w:r>
        <w:rPr>
          <w:b/>
        </w:rPr>
        <w:t>Shared claim-specific concepts:</w:t>
      </w:r>
      <w:r>
        <w:t xml:space="preserve"> corporate, foresight, tools; EU scope not established. This is a provisional connection, not an outcome finding.</w:t>
      </w:r>
    </w:p>
    <w:p>
      <w:pPr>
        <w:pStyle w:val="SourceNote"/>
      </w:pPr>
      <w:r>
        <w:rPr>
          <w:b/>
        </w:rPr>
        <w:t>Available abstract (not full text):</w:t>
      </w:r>
      <w:r>
        <w:t xml:space="preserve"> Purpose: This study aims to identify the evolution of the field of corporate foresight over the last decade and its association with the theme of intellectual capital to capture factors that aid organizations succeed in the long term. Originality/value: When it refers to foresight and resource-based management, the effect of dynamic capabilities on intangible assets has already been discussed, but there has been no direct mention of futures studies and intellectual capital. Method: A systematic literature review was performed to investigate works published on the Web of Science database between January 2015 and June 2024. Results: The relationship with intellectual capital was predominant in structural capital factors of product and process innovations, advanced technologies and management tools. Besides that, anticipatory studies about human and relational capital factors seemed to be relevant for decision-making in future. Conclusions: This study demonstrated that through corporate foresight analysis it was possible to identify the changes needed to improve key intellectual capital factors that can be responsible for differentiating products and services in the market in terms of innovation and competitive advantage.</w:t>
      </w:r>
    </w:p>
    <w:p>
      <w:pPr/>
      <w:r>
        <w:rPr>
          <w:b/>
        </w:rPr>
        <w:t>POSSIBLE 2025:</w:t>
      </w:r>
      <w:r>
        <w:t xml:space="preserve"> Corporate Foresight in a Global Enterprise - A Case Study Approach — https://openalex.org/W7216959097</w:t>
      </w:r>
    </w:p>
    <w:p>
      <w:pPr/>
      <w:r>
        <w:rPr>
          <w:b/>
        </w:rPr>
        <w:t>Shared claim-specific concepts:</w:t>
      </w:r>
      <w:r>
        <w:t xml:space="preserve"> corporate, foresight, including, shared, strategy, based; EU scope not established. This is a provisional connection, not an outcome finding.</w:t>
      </w:r>
    </w:p>
    <w:p>
      <w:pPr>
        <w:pStyle w:val="SourceNote"/>
      </w:pPr>
      <w:r>
        <w:rPr>
          <w:b/>
        </w:rPr>
        <w:t>Available abstract (not full text):</w:t>
      </w:r>
      <w:r>
        <w:t xml:space="preserve"> The global business environment is becoming increasingly complex and unpredictable due to rapid technological change, shifting consumer expectations, environmental challenges, and geopolitical instability. As a result, the need for long-term thinking has become more urgent than ever. To navigate this, corporate foresight has emerged as a strategic tool that enables organizations to identify, interpret, and act on signals of future change. This thesis investigates the role of corporate foresight in shaping strategic decision-making within a large, global enterprise. Specifically, the study explores how foresight activities are conducted and connected to strategy in a multinational company operating in the automotive sector. The study follows a qualitative single case study approach based on semi-structured interviews with employees engaged in foresight and strategy within the organization. The empirical findings show that corporate foresight is conducted centrally within the case organization on an annual basis, guided by a partially structured process. While insights are shared across the organization, the process ends at the point of presentation and foresight is not linked to strategy in any formal way. This disconnect is explained by structural and cultural factors, including the absence of formalized frameworks, a lack of tailored insights for specific business units, weak </w:t>
      </w:r>
    </w:p>
    <w:p>
      <w:pPr/>
      <w:r>
        <w:rPr>
          <w:b/>
        </w:rPr>
        <w:t>POSSIBLE 2025:</w:t>
      </w:r>
      <w:r>
        <w:t xml:space="preserve"> FORESIGHT AS A STRATEGIC MANAGEMENT TOOL: INTERNATIONAL EXPERIENCE AND RUSSIAN PROSPECTS — https://doi.org/10.36871/ek.up.p.r.2025.11.05.027</w:t>
      </w:r>
    </w:p>
    <w:p>
      <w:pPr/>
      <w:r>
        <w:rPr>
          <w:b/>
        </w:rPr>
        <w:t>Shared claim-specific concepts:</w:t>
      </w:r>
      <w:r>
        <w:t xml:space="preserve"> corporate, foresight, strategy; EU scope visible. This is a provisional connection, not an outcome finding.</w:t>
      </w:r>
    </w:p>
    <w:p>
      <w:pPr>
        <w:pStyle w:val="SourceNote"/>
      </w:pPr>
      <w:r>
        <w:rPr>
          <w:b/>
        </w:rPr>
        <w:t>Available abstract (not full text):</w:t>
      </w:r>
      <w:r>
        <w:t xml:space="preserve"> This article provides a comprehensive analysis of international foresight initiatives as a tool for strategic planning and management in the face of increasing global uncertainty. Using examples from five developed economies–the United Kingdom, Finland, South Korea, Japan, and Australia–it examines various national models of foresight organization, methodological approaches, mechanisms for engaging multiple stakeholders, and the specifics of implementing foresight research results into public policy and corporate strategy. The paper synthesizes best practices and lessons that can be adapted to Russian conditions to develop strategic thinking, improve the quality of innovation policy, and ensure sustainable socioeconomic development. Specific recommendations are offered for the implementation of foresight at the federal, regional, and municipal levels of government, as well as in the corporate sector, taking into account the institutional and cultural characteristics of the Russian Federation.</w:t>
      </w:r>
    </w:p>
    <w:p>
      <w:pPr>
        <w:pStyle w:val="Heading2"/>
      </w:pPr>
      <w:r>
        <w:t>508.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decarbonization, industry, current, emissions, technological, countries;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Decarbonization and the Capitalist State — https://doi.org/10.1111/soc4.70011</w:t>
      </w:r>
    </w:p>
    <w:p>
      <w:pPr/>
      <w:r>
        <w:rPr>
          <w:b/>
        </w:rPr>
        <w:t>Shared claim-specific concepts:</w:t>
      </w:r>
      <w:r>
        <w:t xml:space="preserve"> decarbonization, further, economy; EU scope not established. This is a provisional connection, not an outcome finding.</w:t>
      </w:r>
    </w:p>
    <w:p>
      <w:pPr>
        <w:pStyle w:val="SourceNote"/>
      </w:pPr>
      <w:r>
        <w:rPr>
          <w:b/>
        </w:rPr>
        <w:t>Available abstract (not full text):</w:t>
      </w:r>
      <w:r>
        <w:t xml:space="preserve"> ABSTRACT Decarbonization is the most important challenge of our time. Though quite modest, states are taking more climate action. How should we approach these efforts? Sociologists have paid less attention to decarbonization overall but frameworks in political sociology can make sense of state power and climate politics. In this review, I first discuss two sets of literature. The first extends “state‐capacity” and institutionalist frameworks. The second is based on radical and Marxist state theories. Following this, I draw from Mann's concept of “infrastructural power” which combines elements of both and can situate state power in a transnational context. Using this concept and recent literature in political economy, I discuss three infrastructures—finance, trade, and energy—and consequential ways states have altered them in recent years. These actions reveal profound geoeconomic contradictions which will undermine decarbonization. Together, this review provides a wide survey of state theories and macroscopic climate politics with the hope of spurring further discussion and debate.</w:t>
      </w:r>
    </w:p>
    <w:p>
      <w:pPr/>
      <w:r>
        <w:rPr>
          <w:b/>
        </w:rPr>
        <w:t>POSSIBLE 2024:</w:t>
      </w:r>
      <w:r>
        <w:t xml:space="preserve"> Decarbonization potential of floating solar photovoltaics on lakes worldwide — https://doi.org/10.1038/s44221-024-00251-4</w:t>
      </w:r>
    </w:p>
    <w:p>
      <w:pPr/>
      <w:r>
        <w:rPr>
          <w:b/>
        </w:rPr>
        <w:t>Shared claim-specific concepts:</w:t>
      </w:r>
      <w:r>
        <w:t xml:space="preserve"> decarbonization, national, countries; EU scope not established. This is a provisional connection, not an outcome finding.</w:t>
      </w:r>
    </w:p>
    <w:p>
      <w:pPr>
        <w:pStyle w:val="SourceNote"/>
      </w:pPr>
      <w:r>
        <w:rPr>
          <w:b/>
        </w:rPr>
        <w:t>Available abstract (not full text):</w:t>
      </w:r>
      <w:r>
        <w:t xml:space="preserve"> Abstract As climate change progresses, there is increasing emphasis on net zero and energy system decarbonization. Several technologies are contributing to this agenda, but among these, the growth of solar photovoltaics has consistently exceeded all projections. With increasing land-use pressures, and the expense of building-mounted photovoltaics, water surfaces are increasingly being exploited to host these technologies. However, to date, we lack an understanding of the global potential of floating solar photovoltaics and, as such, we do not yet have sufficient insight to inform decisions on (in)appropriate areas for future deployment. Here we quantify the energy generation potential of floating solar photovoltaics on over 1 million water bodies worldwide (14,906 TWh). Our analysis suggests that with a conservative 10% surface area coverage, floating solar photovoltaics could produce sufficient energy to contribute a considerable fraction (16%, on average) of the electricity demand of some countries, thus playing an important role in decarbonizing national economies.</w:t>
      </w:r>
    </w:p>
    <w:p>
      <w:pPr/>
      <w:r>
        <w:rPr>
          <w:b/>
        </w:rPr>
        <w:t>POSSIBLE 2024:</w:t>
      </w:r>
      <w:r>
        <w:t xml:space="preserve"> Azerbaijan: pathways for decarbonization in a global context — https://doi.org/10.1080/14693062.2024.2330378</w:t>
      </w:r>
    </w:p>
    <w:p>
      <w:pPr/>
      <w:r>
        <w:rPr>
          <w:b/>
        </w:rPr>
        <w:t>Shared claim-specific concepts:</w:t>
      </w:r>
      <w:r>
        <w:t xml:space="preserve"> decarbonization, emissions, economy, increase, countries, world; EU scope not established. This is a provisional connection, not an outcome finding.</w:t>
      </w:r>
    </w:p>
    <w:p>
      <w:pPr>
        <w:pStyle w:val="SourceNote"/>
      </w:pPr>
      <w:r>
        <w:rPr>
          <w:b/>
        </w:rPr>
        <w:t>Available abstract (not full text):</w:t>
      </w:r>
      <w:r>
        <w:t xml:space="preserve"> As economies around the world are increasing their mitigation ambitions, Azerbaijan’s lingering dependency on fossil fuel exports threatens its medium – and long-term economic development prospects. Global decarbonization is expected to directly impact the country’s resource rents through lower fossil fuel demand and prices. In this regard, it is crucial to understand the potential implications of the global mitigation efforts on the economy of Azerbaijan and evaluate the domestic mitigation policies. To address this gap in the literature, we use a global dynamic computable general equilibrium model and explore a set of forward-looking climate policy scenarios till 2060. Our results suggest that while being adversely impacted by decarbonization efforts in countries around the world, it is in Azerbaijan’s self-interest to implement domestic mitigation policies. With proper sequencing and design of such policies, including a combination of fossil-fuel subsidies reform, the introduction of carbon prices post-2030 and recycling of the additionally collected revenue via reduced factor taxes, the country could achieve NDC targets, boost economic growth and increase economic diversification. More ambitious mitigation efforts, consistent with reaching net-zero emissions by 2060 would result in substantial health co-benefits from improved air quality, which could almost fully outweigh t</w:t>
      </w:r>
    </w:p>
    <w:p>
      <w:pPr/>
      <w:r>
        <w:rPr>
          <w:b/>
        </w:rPr>
        <w:t>POSSIBLE 2024:</w:t>
      </w:r>
      <w:r>
        <w:t xml:space="preserve"> Microbial Preservation and Contamination Control in the Baking Industry — https://doi.org/10.3390/fermentation10050231</w:t>
      </w:r>
    </w:p>
    <w:p>
      <w:pPr/>
      <w:r>
        <w:rPr>
          <w:b/>
        </w:rPr>
        <w:t>Shared claim-specific concepts:</w:t>
      </w:r>
      <w:r>
        <w:t xml:space="preserve"> industry, preservation, current, technological; EU scope not established. This is a provisional connection, not an outcome finding.</w:t>
      </w:r>
    </w:p>
    <w:p>
      <w:pPr>
        <w:pStyle w:val="SourceNote"/>
      </w:pPr>
      <w:r>
        <w:rPr>
          <w:b/>
        </w:rPr>
        <w:t>Available abstract (not full text):</w:t>
      </w:r>
      <w:r>
        <w:t xml:space="preserve"> The required processes and steps for making bread include technological and innovative concepts. The current trend is the use of less toxic compounds and green methods. Besides lactic acid bacteria and yeast, other microorganisms with unique properties, such as enzymes, new aromas and flavors, exopolysaccharides, and vitamins, among other compounds with beneficial properties, could be added to bread manufacture, improving bread quality and health effects for the consumers. The preservation of microbial cultures and starters is crucial in bread-making. New encapsulation methods, cryoprotectants, spray-drying, fluidized bed drying, and vacuum drying are employed for microorganism cultures that will be used as starters or biological additives in fermentation. A development is observed in the antimicrobial methods used as bread preservatives, and studies with plant extracts and essential oils have been proposed and introduced, replacing chemical agents, such as propionate, within the clean-label bread formulations concept. Baking science is a growing research line that incorporates innovative methods, biological additives, new methods, and processes focusing on microbiological protection.</w:t>
      </w:r>
    </w:p>
    <w:p>
      <w:pPr>
        <w:pStyle w:val="Heading2"/>
      </w:pPr>
      <w:r>
        <w:t>509.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r>
        <w:rPr>
          <w:b/>
        </w:rPr>
        <w:t>POSSIBLE 2025:</w:t>
      </w:r>
      <w:r>
        <w:t xml:space="preserve"> D-LAD - A FRAMEWORK FOR PROJECT-BASED DESIGN ASSESSMENT: EDUCATORS’ INSIGHTS — https://doi.org/10.35199/epde.2025.97</w:t>
      </w:r>
    </w:p>
    <w:p>
      <w:pPr/>
      <w:r>
        <w:rPr>
          <w:b/>
        </w:rPr>
        <w:t>Shared claim-specific concepts:</w:t>
      </w:r>
      <w:r>
        <w:t xml:space="preserve"> insights, assessment, framework, outcomes, value, technical; EU scope visible. This is a provisional connection, not an outcome finding.</w:t>
      </w:r>
    </w:p>
    <w:p>
      <w:pPr>
        <w:pStyle w:val="SourceNote"/>
      </w:pPr>
      <w:r>
        <w:rPr>
          <w:b/>
        </w:rPr>
        <w:t>Available abstract (not full text):</w:t>
      </w:r>
      <w:r>
        <w:t xml:space="preserve"> Through exploration of the literature on design project assessment themes, five dimensions were defined and presented as ‘lenses’ to help explore the challenges and variance in design project assessment. These were: Assessing Output v Process; Summative v Formative; Teacher-led v Student-led; Assessment of Learning v Assessment for/as Learning; and Individual v Team Assessment. These dimensions provide key considerations for design educators when re-designing existing or developing new modules and courses. Using the Lotus Blossom method, educators participated in sharing their insights on the dimensions, which then formed the basis of a workshop at the Design 2024 Conference in Dubrovnik, Croatia. Findings showed the variance in educational outcomes desired by industry project partners versus those emphasised in academia: industry project partners often value demonstrable technical proficiency and client-focused deliverables over process nuances (i.e. project knowledge); whilst most educators place higher importance on the iterative nature of design processes as a learning tool for students (i.e. process skills). Based on insights from the workshop, a framework was then developed as a means to review and potentially adjust assessment by adopting an emphasis on design knowledge, skills and products. It can also be used as an iterative feedback mechanism to balance industry expec</w:t>
      </w:r>
    </w:p>
    <w:p>
      <w:pPr/>
      <w:r>
        <w:rPr>
          <w:b/>
        </w:rPr>
        <w:t>POSSIBLE 2025:</w:t>
      </w:r>
      <w:r>
        <w:t xml:space="preserve"> INSIGHT: An integrated framework for safe and sustainable chemical and material assessment — https://doi.org/10.1016/j.csbj.2025.03.042</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The assessment of chemicals and materials has traditionally been fragmented, with health, environmental, social, and economic impacts evaluated independently. This disjointed approach limits the ability to capture trade-offs and synergies necessary for comprehensive decision-making under the Safe and Sustainable by Design (SSbD) framework. The EU INSIGHT project addresses this challenge by developing a novel computational framework for integrated impact assessment, based on the Impact Outcome Pathway (IOP) approach. Extending the Adverse Outcome Pathway (AOP) concept, IOPs establish mechanistic links between chemical and material properties and their environmental, health, and socio-economic consequences. The project integrates multi-source datasets (including omics, life cycle inventories, and exposure models) into a structured knowledge graph (KG), ensuring FAIR (Findable, Accessible, Interoperable, Reusable) data principles are met. INSIGHT is being developed and validated through four case studies targeting per- and polyfluoroalkyl substances (PFAS), graphene oxide (GO), bio-based synthetic amorphous silica (SAS), and antimicrobial coatings. These studies demonstrate how multi-model simulations, decision-support tools, and artificial intelligence-driven knowledge extraction can enhance the predictability and interpretability of chemical and material impacts. Additionally, I</w:t>
      </w:r>
    </w:p>
    <w:p>
      <w:pPr/>
      <w:r>
        <w:rPr>
          <w:b/>
        </w:rPr>
        <w:t>POSSIBLE 2025:</w:t>
      </w:r>
      <w:r>
        <w:t xml:space="preserve"> Shaping the Future of DHT Assessment: Insights on Industry Challenges, Developer Needs, and a Harmonized, European HTA Framework — https://doi.org/10.3390/jmahp13030046</w:t>
      </w:r>
    </w:p>
    <w:p>
      <w:pPr/>
      <w:r>
        <w:rPr>
          <w:b/>
        </w:rPr>
        <w:t>Shared claim-specific concepts:</w:t>
      </w:r>
      <w:r>
        <w:t xml:space="preserve"> insights, assessment, framework; EU scope visible. This is a provisional connection, not an outcome finding.</w:t>
      </w:r>
    </w:p>
    <w:p>
      <w:pPr>
        <w:pStyle w:val="SourceNote"/>
      </w:pPr>
      <w:r>
        <w:rPr>
          <w:b/>
        </w:rPr>
        <w:t>Available abstract (not full text):</w:t>
      </w:r>
      <w:r>
        <w:t xml:space="preserve"> Introduction: Market access, pricing, and reimbursement of digital health technologies (DHTs) in Europe are significantly challenged by regulatory fragmentation and various assessment methodologies. Understanding the challenges and priorities of technology developers is essential for developing effective and relevant policy responses. This study explores perceived barriers and developer-driven priorities to inform the development of a harmonized health technology assessment (HTA) framework under the EDiHTA project. Methods: A mixed-methods approach was adopted, including a scoping review to identify key challenges, a survey of 20 DHT developers, and interviews and focus groups with 29 industry representatives from startups to multinational companies across 10 European countries during 2024. Results: Key challenges included a lack of transparency in reimbursement processes, fragmented HTA requirements, and misalignment between traditional evidence models and the agile development of DHTs. Developers highlighted the need to integrate real-world evidence, consider usability and implementation factors, and provide structured, lifecycle-based guidance. Financial barriers and procedural burdens were particularly significant for small and medium-sized enterprises. Conclusions: These findings highlight the need for an HTA framework that reflects the iterative nature of digital developm</w:t>
      </w:r>
    </w:p>
    <w:p>
      <w:pPr/>
      <w:r>
        <w:rPr>
          <w:b/>
        </w:rPr>
        <w:t>POSSIBLE 2025:</w:t>
      </w:r>
      <w:r>
        <w:t xml:space="preserve"> Establishing assessment criteria for soil bioindicators: insights from case studies in Europe — https://doi.org/10.1016/j.ecolind.2025.114063</w:t>
      </w:r>
    </w:p>
    <w:p>
      <w:pPr/>
      <w:r>
        <w:rPr>
          <w:b/>
        </w:rPr>
        <w:t>Shared claim-specific concepts:</w:t>
      </w:r>
      <w:r>
        <w:t xml:space="preserve"> insights, assessment, find; EU scope visible. This is a provisional connection, not an outcome finding.</w:t>
      </w:r>
    </w:p>
    <w:p>
      <w:pPr>
        <w:pStyle w:val="SourceNote"/>
      </w:pPr>
      <w:r>
        <w:rPr>
          <w:b/>
        </w:rPr>
        <w:t>Available abstract (not full text):</w:t>
      </w:r>
      <w:r>
        <w:t xml:space="preserve"> The new EU Soil Strategy aims to restore soil health across Europe by 2050, requiring policy-relevant indicators with robust assessment criteria to control and monitor its achievement. Despite the importance of biological conditions for soil health, few EU Member States have currently established criteria (e.g., target or threshold values) for evaluation of monitoring data. Our study examines the challenges and opportunities in developing such criteria based on the normal operating ranges of bioindicators in the context of soil units (i.e., homogenous soil texture and land use). Leveraging on national case studies across Europe, we find that for most bioindicators criteria could not be defined, due to data insufficiency and environmental bias. Only in France could normal operating ranges be established for earthworms, for some soil units. We identify priorities for the development of robust assessment criteria: (1) Harmonization of evaluation units and definitions, to minimize disparities in current soil texture and land use classifications between Member States, that complicate comparability of evaluation across Europe; (2) Inclusion of climatic-region specific thresholds/targets in addition to land use and soil texture; and (3) Standardization of protocols to reduce the observed variability in methods for sampling and data aggregation. As a temporary solution to optimize moni</w:t>
      </w:r>
    </w:p>
    <w:p>
      <w:pPr/>
      <w:r>
        <w:rPr>
          <w:b/>
        </w:rPr>
        <w:t>POSSIBLE 2025:</w:t>
      </w:r>
      <w:r>
        <w:t xml:space="preserve"> Regulatory challenges and risk assessment of graphene-enabled products: insights for safe commercialisation in Europe — https://doi.org/10.1088/2053-1583/ade4a5</w:t>
      </w:r>
    </w:p>
    <w:p>
      <w:pPr/>
      <w:r>
        <w:rPr>
          <w:b/>
        </w:rPr>
        <w:t>Shared claim-specific concepts:</w:t>
      </w:r>
      <w:r>
        <w:t xml:space="preserve"> insights, assessment, provides; EU scope visible. This is a provisional connection, not an outcome finding.</w:t>
      </w:r>
    </w:p>
    <w:p>
      <w:pPr>
        <w:pStyle w:val="SourceNote"/>
      </w:pPr>
      <w:r>
        <w:rPr>
          <w:b/>
        </w:rPr>
        <w:t>Available abstract (not full text):</w:t>
      </w:r>
      <w:r>
        <w:t xml:space="preserve"> Abstract The development of graphene-enabled products in a variety of industrial sectors like medical devices, textiles, aerospace, or food contact materials has raised significant regulatory challenges with regards to risk assessment. The work performed under the Graphene Flagship Work Package SH11 termed SafeGraph, aimed to identify challenges while implementing regulation as well as to develop a regulatory roadmap addressing these issues. This study explores and discusses the regulatory gaps and safety assessment challenges associated with graphene-enabled products and based on regulatory requirements with a particular focus on risk assessment, exposure concerns, and potential environmental impacts. Through case studies involving skin sensors, drinking water filters, wearable electronics, and de-icing systems for aircrafts, we identified critical safety and compliance issues across various sectors. The work used four Graphene Flagship case studies as showcases to address the above markets (CHEMsens, GRAPHIL, WEARgraph and GICE). These case studies underscore the need for updated regulatory guidelines tailored to graphene’s unique properties. This study provides insights into current challenges of assessing risks and proposes steps to ensure safe and sustainable commercialisation of graphene-based products, advocating for harmonised regulatory frameworks.</w:t>
      </w:r>
    </w:p>
    <w:p>
      <w:pPr/>
      <w:r>
        <w:rPr>
          <w:b/>
        </w:rPr>
        <w:t>POSSIBLE 2025:</w:t>
      </w:r>
      <w:r>
        <w:t xml:space="preserve"> Bioeconomy assessment and monitoring framework and description of dashboard — https://doi.org/10.5281/zenodo.19162107</w:t>
      </w:r>
    </w:p>
    <w:p>
      <w:pPr/>
      <w:r>
        <w:rPr>
          <w:b/>
        </w:rPr>
        <w:t>Shared claim-specific concepts:</w:t>
      </w:r>
      <w:r>
        <w:t xml:space="preserve"> without, insights, assessment, framework, outcomes, provides; EU scope visible. This is a provisional connection, not an outcome finding.</w:t>
      </w:r>
    </w:p>
    <w:p>
      <w:pPr>
        <w:pStyle w:val="SourceNote"/>
      </w:pPr>
      <w:r>
        <w:rPr>
          <w:b/>
        </w:rPr>
        <w:t>Available abstract (not full text):</w:t>
      </w:r>
      <w:r>
        <w:t xml:space="preserve"> The SUSTRACK project aims to accelerate the transition towards a sustainable, circular, and bio-based economy in Europe by identifying enabling conditions, addressing systemic barriers, and supporting evidence-based policymaking. Within this framework, WP2 focused on developing a robust approach to monitor the progress of the European bioeconomy through the SUSTRACK Bioeconomy Monitoring Framework and its operational implementation in the SUSTRACK Monitoring Tool. The bioeconomy plays a central role in achieving the EU’s long-term sustainability goals, notably climate neutrality by 2050, circular resource use, and the regeneration of ecosystems. Yet, monitoring progress remains a major challenge due to the fragmented and heterogeneous nature of existing data. The SUSTRACK monitoring framework was designed to complement the EU Bioeconomy Monitoring System (EU-BMS) by providing a more operational, user-friendly, and policy-relevant tool to benchmark national bioeconomy performance across EU Member States. The framework builds on the five societal objectives of the 2018 EU Bioeconomy Strategy, linking them conceptually to the Sustainable Development Goals (SDGs). This alignment ensures that the monitoring system not only tracks economic performance but also assesses environmental and social dimensions. Over 500 indicators were reviewed and classified according to sustainability pi</w:t>
      </w:r>
    </w:p>
    <w:p>
      <w:pPr>
        <w:pStyle w:val="Heading2"/>
      </w:pPr>
      <w:r>
        <w:t>510.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2025:</w:t>
      </w:r>
      <w:r>
        <w:t xml:space="preserve"> Islamic Lifestyle Applications: Meeting the Spiritual Needs of Modern Muslims — https://doi.org/10.1080/10447318.2025.2595545</w:t>
      </w:r>
    </w:p>
    <w:p>
      <w:pPr/>
      <w:r>
        <w:rPr>
          <w:b/>
        </w:rPr>
        <w:t>Shared claim-specific concepts:</w:t>
      </w:r>
      <w:r>
        <w:t xml:space="preserve"> meeting, needs, assess; EU scope not established. This is a provisional connection, not an outcome finding.</w:t>
      </w:r>
    </w:p>
    <w:p>
      <w:pPr>
        <w:pStyle w:val="SourceNote"/>
      </w:pPr>
      <w:r>
        <w:rPr>
          <w:b/>
        </w:rPr>
        <w:t>Available abstract (not full text):</w:t>
      </w:r>
      <w:r>
        <w:t xml:space="preserve"> We evaluated contemporary Islamic lifestyle applications supporting religious practices and motivation among Muslims. We reviewed 11 popular applications using self-determination theory and the technology-as-experience framework to assess their support for motivation and affective needs. Most applications lack features that foster autonomy, competence, and relatedness. We also interviewed ten devoted Muslim application users to gain insights into their experiences and unmet needs. Our findings indicate that existing applications fall short in providing comprehensive learning, social connections, and scholar consultations. We propose design implications based on our results, including spiritual empowerment through technology, designing for intrinsic motivation, culturally grounded design and community engagement. We aim to inform the design of Islamic lifestyle applications that better facilitate ritual practices, benefitting application designers and Muslim communities. Our research provides valuable insights into the untapped potential for lifestyle applications to act as religious companions supporting Muslims’ spiritual journey.</w:t>
      </w:r>
    </w:p>
    <w:p>
      <w:pPr/>
      <w:r>
        <w:rPr>
          <w:b/>
        </w:rPr>
        <w:t>POSSIBLE 2025:</w:t>
      </w:r>
      <w:r>
        <w:t xml:space="preserve"> Defining informal caregivers by their characteristics safety roles and training needs in Europe — https://doi.org/10.1038/s41598-025-08540-y</w:t>
      </w:r>
    </w:p>
    <w:p>
      <w:pPr/>
      <w:r>
        <w:rPr>
          <w:b/>
        </w:rPr>
        <w:t>Shared claim-specific concepts:</w:t>
      </w:r>
      <w:r>
        <w:t xml:space="preserve"> needs, resources, countries, dynamics; EU scope visible. This is a provisional connection, not an outcome finding.</w:t>
      </w:r>
    </w:p>
    <w:p>
      <w:pPr>
        <w:pStyle w:val="SourceNote"/>
      </w:pPr>
      <w:r>
        <w:rPr>
          <w:b/>
        </w:rPr>
        <w:t>Available abstract (not full text):</w:t>
      </w:r>
      <w:r>
        <w:t xml:space="preserve"> This research re-examines and broadens the conceptualization of patient safety in home care setting through experts' perspective, and recent changes in the profiles of informal caregivers across Europe and explores their role in the dynamics of the evolving care economy. It assesses their contributions to home care, their impact on care quality, and their essential role in ensuring care recipient safety. A qualitative study using the consensus conference technique involving sixty-one experts from diverse healthcare and academic institutions across multiple European countries who participated in a two-day conference. The discussions focused on highlighting the characteristics of informal caregivers and identifying critical challenges in home care, recognition and reducing human errors in home care. Eligibility for participation required membership in the BetterCare consortium and expertise in patient safety. This study emphasizes the critical role of informal caregivers in Europe, updates their definition, and examines their contribution to care recipient safety in the home care setting. This finding underscores the urgent need for policymakers and healthcare institutions to support caregivers by providing education and resources to prevent errors and enhance care quality, ultimately improving outcomes for care recipients.</w:t>
      </w:r>
    </w:p>
    <w:p>
      <w:pPr/>
      <w:r>
        <w:rPr>
          <w:b/>
        </w:rPr>
        <w:t>POSSIBLE 2025:</w:t>
      </w:r>
      <w:r>
        <w:t xml:space="preserve"> Towards meeting futures’ educational needs: a case study of CERN IdeaSquare planet — https://doi.org/10.1080/2331186x.2025.2542398</w:t>
      </w:r>
    </w:p>
    <w:p>
      <w:pPr/>
      <w:r>
        <w:rPr>
          <w:b/>
        </w:rPr>
        <w:t>Shared claim-specific concepts:</w:t>
      </w:r>
      <w:r>
        <w:t xml:space="preserve"> meeting, needs, innovation; EU scope not established. This is a provisional connection, not an outcome finding.</w:t>
      </w:r>
    </w:p>
    <w:p>
      <w:pPr>
        <w:pStyle w:val="SourceNote"/>
      </w:pPr>
      <w:r>
        <w:rPr>
          <w:b/>
        </w:rPr>
        <w:t>Available abstract (not full text):</w:t>
      </w:r>
      <w:r>
        <w:t xml:space="preserve"> With the future being increasingly perceived as uncertain, education must develop skills to foster sustainability and responsibility in unpredictable circumstances. This study explores how CERN IdeaSquare Planet (I2P), an innovative educational program at the intersection of innovation and transformative futures education, works towards meeting this need. I2P teaches key skills such as transformative thinking, openness to alternatives, and comfort with uncertainty, while also addressing the largely unexplored impact of futures exercises on present behavior. For explorative study of the impacts of I2P on these skills, we study three pilot program runs. We employ both thematic analysis of reflection text data from participants and facilitators, and ethnographic participant observation as methodologies. Findings suggest that I2P develops essential futures skills such as openness to alternative futures, managing uncertainty and complexity, and self-organized transdisciplinary teamwork. However, while openness to alternatives increased, participants ultimately gravitated towards adopting presently dominant future narratives like techno-optimism, limiting the consideration of fully transformative futures imaginaries. This study provides practical insights for educators interested in implementing similar methodologies for transformative innovation education, raises new questions for f</w:t>
      </w:r>
    </w:p>
    <w:p>
      <w:pPr/>
      <w:r>
        <w:rPr>
          <w:b/>
        </w:rPr>
        <w:t>POSSIBLE 2025:</w:t>
      </w:r>
      <w:r>
        <w:t xml:space="preserve"> Perspectives of Russian Language Educators on Meeting the Needs of Heritage and L2 Learners in Mixed Classes — https://doi.org/10.70163/2831-9737.1516</w:t>
      </w:r>
    </w:p>
    <w:p>
      <w:pPr/>
      <w:r>
        <w:rPr>
          <w:b/>
        </w:rPr>
        <w:t>Shared claim-specific concepts:</w:t>
      </w:r>
      <w:r>
        <w:t xml:space="preserve"> meeting, needs; EU scope not established. This is a provisional connection, not an outcome finding.</w:t>
      </w:r>
    </w:p>
    <w:p>
      <w:pPr>
        <w:pStyle w:val="SourceNote"/>
      </w:pPr>
      <w:r>
        <w:rPr>
          <w:b/>
        </w:rPr>
        <w:t>Available abstract (not full text):</w:t>
      </w:r>
      <w:r>
        <w:t xml:space="preserve"> In less commonly taught languages, such as Russian, heritage and non-heritage learners often share the same classes. Teachers in these settings must differentiate instruction to meet the diverse needs of their students. Online teaching adds an additional layer of complexity that instructors must address in their course design. This qualitative study explores the perspectives of 12 Russian language educators, working across various educational settings, on the language learning needs of heritage and non-heritage learners in mixed classes. It examines how these teachers adapt their instruction to support their students and meet the demands of different teaching modalities. The study also illuminates Russian language educators’ perspectives on effective professional development sessions in support of their work with linguistically diverse learners.</w:t>
      </w:r>
    </w:p>
    <w:p>
      <w:pPr/>
      <w:r>
        <w:rPr>
          <w:b/>
        </w:rPr>
        <w:t>POSSIBLE 2024:</w:t>
      </w:r>
      <w:r>
        <w:t xml:space="preserve"> Deliberation in times of crisis – how can citizens’ councils deal with pressing political issues like the Corona pandemic? — https://doi.org/10.1080/13511610.2024.2306236</w:t>
      </w:r>
    </w:p>
    <w:p>
      <w:pPr/>
      <w:r>
        <w:rPr>
          <w:b/>
        </w:rPr>
        <w:t>Shared claim-specific concepts:</w:t>
      </w:r>
      <w:r>
        <w:t xml:space="preserve"> one, pressing, issues, situation; EU scope visible. This is a provisional connection, not an outcome finding.</w:t>
      </w:r>
    </w:p>
    <w:p>
      <w:pPr>
        <w:pStyle w:val="SourceNote"/>
      </w:pPr>
      <w:r>
        <w:rPr>
          <w:b/>
        </w:rPr>
        <w:t>Available abstract (not full text):</w:t>
      </w:r>
      <w:r>
        <w:t xml:space="preserve"> The Corona pandemic was one of the most challenging political events of the last decades in Europe in which many important political issues had to be decided within a very short space of time. Deliberative, sortition-based formats offer new approaches to strengthen democracy in times of crisis but have so far mainly been used for fundamental issues that have been under discussion for a long time. In Germany, four Corona Citizens’ Councils were organized at different levels to deal with the highly dynamic pandemic situation. The first was on local level and took place in the city of Augsburg, the next and most prominent one in the state of Baden-Wurttemberg (‘Bürgerforum Corona’), being held monthly over a period of 13 months. Another one was organized in the state of Saxony, a fourth one in Thuringia. The article examines the background, the methodological quality and the outcomes of three Corona Citizens’ Councils in Germany. The article compares the three Citizens’ Councils and draws conclusions about the crisis-management capacities of deliberative formats in dealing with pressing political issues in highly dynamic situations.</w:t>
      </w:r>
    </w:p>
    <w:p>
      <w:pPr>
        <w:pStyle w:val="Heading2"/>
      </w:pPr>
      <w:r>
        <w:t>511.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r>
        <w:rPr>
          <w:b/>
        </w:rPr>
        <w:t>POSSIBLE 2025:</w:t>
      </w:r>
      <w:r>
        <w:t xml:space="preserve"> The Impact of Climate Change on Eastern European Viticulture: A Review of Smart Irrigation and Water Management Strategies — https://doi.org/10.3390/horticulturae11111282</w:t>
      </w:r>
    </w:p>
    <w:p>
      <w:pPr/>
      <w:r>
        <w:rPr>
          <w:b/>
        </w:rPr>
        <w:t>Shared claim-specific concepts:</w:t>
      </w:r>
      <w:r>
        <w:t xml:space="preserve"> climate, including, periods; EU scope visible. This is a provisional connection, not an outcome finding.</w:t>
      </w:r>
    </w:p>
    <w:p>
      <w:pPr>
        <w:pStyle w:val="SourceNote"/>
      </w:pPr>
      <w:r>
        <w:rPr>
          <w:b/>
        </w:rPr>
        <w:t>Available abstract (not full text):</w:t>
      </w:r>
      <w:r>
        <w:t xml:space="preserve"> Climate change poses significant challenges to viticulture worldwide, with Eastern European vineyards experiencing increased water stress due to rising temperatures, irregular precipitation patterns, and prolonged drought periods. These climatic shifts hurt vine phenology, grape quality, and overall productivity. In response, adaptive irrigation strategies such as Regulated Deficit Irrigation (RDI) have gained attention for optimizing water use while preserving grape quality. Concurrently, the adoption of smart agriculture technologies—including soil moisture sensors, automated weather stations, remote sensing, and data-driven decision support systems—enables precise monitoring and real-time management of vineyard water status. This review synthesizes recent studies from Eastern Europe, emphasizing the necessity of integrating climate adaptation measures with intelligent irrigation management to enhance vineyard resilience and sustainability under increasing climate variability.</w:t>
      </w:r>
    </w:p>
    <w:p>
      <w:pPr/>
      <w:r>
        <w:rPr>
          <w:b/>
        </w:rPr>
        <w:t>POSSIBLE 2025:</w:t>
      </w:r>
      <w:r>
        <w:t xml:space="preserve"> Future Snow Scenarios for Northern Europe Based on Coupled Model Intercomparison Project Phase 6 Data — https://doi.org/10.1002/joc.8795</w:t>
      </w:r>
    </w:p>
    <w:p>
      <w:pPr/>
      <w:r>
        <w:rPr>
          <w:b/>
        </w:rPr>
        <w:t>Shared claim-specific concepts:</w:t>
      </w:r>
      <w:r>
        <w:t xml:space="preserve"> thirteen, climate, including, pathways, uncertainty, substantial; EU scope visible. This is a provisional connection, not an outcome finding.</w:t>
      </w:r>
    </w:p>
    <w:p>
      <w:pPr>
        <w:pStyle w:val="SourceNote"/>
      </w:pPr>
      <w:r>
        <w:rPr>
          <w:b/>
        </w:rPr>
        <w:t>Available abstract (not full text):</w:t>
      </w:r>
      <w:r>
        <w:t xml:space="preserve"> ABSTRACT The ongoing climate change alters the snow conditions. This paper evaluates these changes in Northern Europe including Fennoscandia and the Baltic Sea region, based on data from the newest generation of global climate models (Coupled Model Intercomparison Project phase 6; CMIP6). Thirteen CMIP6 models are selected for the analysis based on the availability of daily snow data and the models' performance in simulating global and Northern European climate and snow conditions in Finland. The analysis focuses on four quantities: the largest daily value of snow water equivalent during the winter SWEmax, and the length, start day and end day of the longest continuous snow period. The models project an overall shift towards less snowy conditions with progressing warming: reduced SWEmax and shorter snow seasons that start later and end earlier. This is seen already in recent (1951–2023) trends, with largest simulated trends in southern Fennoscandia and in the Baltic countries and smaller trends in the northern inland regions. ERA5‐Land reanalysis data mainly agree with this spatial pattern, although with some notable differences. The decrease of snow continues into the future (2023–2100), with larger trends projected for Shared Socioeconomic Pathways (SSP) scenarios with larger radiative forcing. Also, larger changes are projected for southern than northern Fennoscandia. For ex</w:t>
      </w:r>
    </w:p>
    <w:p>
      <w:pPr/>
      <w:r>
        <w:rPr>
          <w:b/>
        </w:rPr>
        <w:t>POSSIBLE 2024:</w:t>
      </w:r>
      <w:r>
        <w:t xml:space="preserve"> Global climate change's implications on the economy and the environment — https://doi.org/10.21608/espesl.2023.239466.1088</w:t>
      </w:r>
    </w:p>
    <w:p>
      <w:pPr/>
      <w:r>
        <w:rPr>
          <w:b/>
        </w:rPr>
        <w:t>Shared claim-specific concepts:</w:t>
      </w:r>
      <w:r>
        <w:t xml:space="preserve"> climate; EU scope not established. This is a provisional connection, not an outcome finding.</w:t>
      </w:r>
    </w:p>
    <w:p>
      <w:pPr>
        <w:pStyle w:val="SourceNote"/>
      </w:pPr>
      <w:r>
        <w:rPr>
          <w:b/>
        </w:rPr>
        <w:t>Available abstract (not full text):</w:t>
      </w:r>
      <w:r>
        <w:t xml:space="preserve"> The production and consumption of energy are key sources of greenhouse gas emissions. Today, greenhouse gas emissions, notably CO2, are a major source of concern. Despite the fact that CO2 is one of the most significant greenhouse gases. Because numerous harmful chemicals and reactants are employed in refinery of petroleum products, the risk of greater isotope C02 generation cannot be overlooked. Global warming debate, one way to reduce carbon emissions quickly and economically is to improve energy efficiency, which leads to a decrease in energy consumption.Global warming, environmental laws, and energy policy debates all begin with the widely held belief that the current warm and electricity system is economically acceptable. As a result, any steps to alter the power system in order to attain other objectives, like reduction of pollutants, will increase in energy service prices and harm the financial market. Thus, it follows inventing and developing new technology is the only way to have affordable, clean energy. These conceptions are popular. In a significant speech on climate change, President George W. Bush declared that "technology is the ticket" (2005). However, the current energy system is not ideal, therefore society does not need to trade off access to cleaner energy for higher incomes.</w:t>
      </w:r>
    </w:p>
    <w:p>
      <w:pPr/>
      <w:r>
        <w:rPr>
          <w:b/>
        </w:rPr>
        <w:t>POSSIBLE 2024:</w:t>
      </w:r>
      <w:r>
        <w:t xml:space="preserve"> Global reduction of snow cover in ski areas under climate change — https://doi.org/10.1371/journal.pone.0299735</w:t>
      </w:r>
    </w:p>
    <w:p>
      <w:pPr/>
      <w:r>
        <w:rPr>
          <w:b/>
        </w:rPr>
        <w:t>Shared claim-specific concepts:</w:t>
      </w:r>
      <w:r>
        <w:t xml:space="preserve"> thirteen, climate, regional; EU scope not established. This is a provisional connection, not an outcome finding.</w:t>
      </w:r>
    </w:p>
    <w:p>
      <w:pPr>
        <w:pStyle w:val="SourceNote"/>
      </w:pPr>
      <w:r>
        <w:rPr>
          <w:b/>
        </w:rPr>
        <w:t>Available abstract (not full text):</w:t>
      </w:r>
      <w:r>
        <w:t xml:space="preserve"> Ongoing climate change substantially alters snowfall patterns with severe but diverging consequences for global ski areas. A global assessment as well as the investigation of potential implications for mountain ecosystems is currently lacking. We quantify future trends in natural snow cover days under different climate change scenarios until 2100 in seven major global skiing regions and discuss implications for mountainous biodiversity by analysing how natural snow cover days relate to regional human population density. Within all major skiing regions, snow cover days are projected to decrease substantially under every assessed climate change scenario. Thirteen percent of all current ski areas are projected to completely lose natural annual snow cover and one fifth will experience a reduction of more than 50% by 2071-2100 relative to historic baselines. Future skiable areas will concentrate in less populated areas, towards continental regions and inner parts of the mountain ranges. As skiable areas will be located at greater distances to highly populated areas in the future, we expect an expansion of infrastructure and increasing intervening actions (i.e., artificial snowmaking, slope grooming) to prolong snow duration. Our results are concerning for both the recreational and economic value of skiing as well as for mountain biodiversity since vulnerable high-altitude species mi</w:t>
      </w:r>
    </w:p>
    <w:p>
      <w:pPr/>
      <w:r>
        <w:rPr>
          <w:b/>
        </w:rPr>
        <w:t>POSSIBLE 2024:</w:t>
      </w:r>
      <w:r>
        <w:t xml:space="preserve"> Rapid Climate Model Downscaling to Assess Risk of Extreme Rainfall in Bangladesh in a Warming Climate — https://doi.org/10.48550/arxiv.2412.16407</w:t>
      </w:r>
    </w:p>
    <w:p>
      <w:pPr/>
      <w:r>
        <w:rPr>
          <w:b/>
        </w:rPr>
        <w:t>Shared claim-specific concepts:</w:t>
      </w:r>
      <w:r>
        <w:t xml:space="preserve"> climate, uncertainty, substantial; EU scope not established. This is a provisional connection, not an outcome finding.</w:t>
      </w:r>
    </w:p>
    <w:p>
      <w:pPr>
        <w:pStyle w:val="SourceNote"/>
      </w:pPr>
      <w:r>
        <w:rPr>
          <w:b/>
        </w:rPr>
        <w:t>Available abstract (not full text):</w:t>
      </w:r>
      <w:r>
        <w:t xml:space="preserve"> As climate change drives an increase in global extremes, it is critical for Bangladesh, a nation highly vulnerable to these impacts, to assess future risks for effective adaptation and mitigation planning. Downscaling coarse-resolution climate models to finer scales is essential for accurately evaluating the risk of extremes. In this study, we apply our downscaling method, which integrates data, physics, and machine learning, to quantify the risks of extreme precipitation in Bangladesh. The proposed approach successfully captures the observed spatial patterns and risks of extreme rainfall in the current climate while generating risk and uncertainty estimates by efficiently downscaling multiple models under future climate scenarios. Our findings project that the risk of extreme rainfall rises across the country, with the most significant increases in the northeastern hilly and southeastern coastal areas. Projections show that the daily maximum rainfall for a 100-year return period could increase by approximately 50 mm/day by mid-century and around 100 mm/day by the end of the century. However, substantial uncertainties remain due to variations across multiple climate models and scenarios.</w:t>
      </w:r>
    </w:p>
    <w:p>
      <w:pPr>
        <w:pStyle w:val="Heading2"/>
      </w:pPr>
      <w:r>
        <w:t>512.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environmental, protection, quality, environment, objectives,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environmental, protection, fully;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Legal characterization of the principles of soil protection in the law of the European Union — https://doi.org/10.24144/2307-3322.2025.87.4.48</w:t>
      </w:r>
    </w:p>
    <w:p>
      <w:pPr/>
      <w:r>
        <w:rPr>
          <w:b/>
        </w:rPr>
        <w:t>Shared claim-specific concepts:</w:t>
      </w:r>
      <w:r>
        <w:t xml:space="preserve"> environmental, protection, environment, not, objectives; EU scope visible. This is a provisional connection, not an outcome finding.</w:t>
      </w:r>
    </w:p>
    <w:p>
      <w:pPr>
        <w:pStyle w:val="SourceNote"/>
      </w:pPr>
      <w:r>
        <w:rPr>
          <w:b/>
        </w:rPr>
        <w:t>Available abstract (not full text):</w:t>
      </w:r>
      <w:r>
        <w:t xml:space="preserve"> This study has been focused on the principles of soil protection as the fundamental principles of the European Union environmental law. In particular, the author has examined the special principles whose main purpose in the field of environmental protection is to achieve a high level of environmental protection and to realize all the objectives of the European Union. The author has established that these principles are not limited to the field of environmental law protection, but also apply to the policies and actions of the European Union as a whole. At the same time, they have been constantly expressed and reflected in various founding treaties of the European Union and finally enshrined in the Lisbon Treaties. In particular, such fundamental principles of soil protection as the precautionary principle, primarily in the context of practical application, which includes the need to choose, having duly weighed the level of risk, action or inaction under conditions of uncertainty have been analyzed in the article. The principle of prevention is based on risk assessment, but its distinctive feature is the focus on avoiding foreseeable risks. In the article it has been also focused on the fact that states should not only refrain from causing harm, but also take measures aimed at protecting the environment. The author has analyzed the principle of eliminating pollution at the source</w:t>
      </w:r>
    </w:p>
    <w:p>
      <w:pPr/>
      <w:r>
        <w:rPr>
          <w:b/>
        </w:rPr>
        <w:t>POSSIBLE 2025:</w:t>
      </w:r>
      <w:r>
        <w:t xml:space="preserve"> Rights of Nature in Europe: the Mar Menor and the Future of Ecocentric Environmental Protection — https://doi.org/10.1163/18760104-22030006</w:t>
      </w:r>
    </w:p>
    <w:p>
      <w:pPr/>
      <w:r>
        <w:rPr>
          <w:b/>
        </w:rPr>
        <w:t>Shared claim-specific concepts:</w:t>
      </w:r>
      <w:r>
        <w:t xml:space="preserve"> environmental, protection, safeguard; EU scope visible. This is a provisional connection, not an outcome finding.</w:t>
      </w:r>
    </w:p>
    <w:p>
      <w:pPr>
        <w:pStyle w:val="SourceNote"/>
      </w:pPr>
      <w:r>
        <w:rPr>
          <w:b/>
        </w:rPr>
        <w:t>Available abstract (not full text):</w:t>
      </w:r>
      <w:r>
        <w:t xml:space="preserve"> Abstract This article examines the concept of Rights of Nature (RoN) and its potential application within the European Union (EU) water law framework, using the Mar Menor lagoon in Spain as a case study. The Mar Menor, the first natural entity in Europe to be granted legal personhood, exemplifies how RoN can be applied in practice to address severe ecological degradation. The article analyses the expected effectiveness of Spain’s Law 19/2022, which confers legal rights to the Mar Menor, highlighting the legal, ethical, and environmental implications of this rights-based approach. By analysing local-level implementation, the article also considers the possibility of integrating RoN more broadly into the EU’s water law framework, examining the notions of RoN already present within the Water Framework Directive. While RoN holds promise for enhancing environmental protection on a local scale in the EU, its success depends on the robustness of legal frameworks and active civil society involvement. The article concludes by discussing the logic and feasibility of adopting RoN more broadly within EU environmental law, advocating for a gradual shift towards more ecocentric legislation to safeguard natural ecosystems.</w:t>
      </w:r>
    </w:p>
    <w:p>
      <w:pPr/>
      <w:r>
        <w:rPr>
          <w:b/>
        </w:rPr>
        <w:t>POSSIBLE 2025:</w:t>
      </w:r>
      <w:r>
        <w:t xml:space="preserve"> THE IMPACT OF EUROPEAN REGULATIONS ON ENVIRONMENTAL PERFORMANCE OF EU COUNTRIES: A COMPARATIVE ANALYSIS — https://doi.org/10.47743/eufire-2024-1-6</w:t>
      </w:r>
    </w:p>
    <w:p>
      <w:pPr/>
      <w:r>
        <w:rPr>
          <w:b/>
        </w:rPr>
        <w:t>Shared claim-specific concepts:</w:t>
      </w:r>
      <w:r>
        <w:t xml:space="preserve"> objective, environmental, protection, protect, improve, environment; EU scope visible. This is a provisional connection, not an outcome finding.</w:t>
      </w:r>
    </w:p>
    <w:p>
      <w:pPr>
        <w:pStyle w:val="SourceNote"/>
      </w:pPr>
      <w:r>
        <w:rPr>
          <w:b/>
        </w:rPr>
        <w:t>Available abstract (not full text):</w:t>
      </w:r>
      <w:r>
        <w:t xml:space="preserve"> Since the adoption of the European Green Deal in 2020, the European Union constantly tried to improve its environmental protection policy, aiming to develop a climate-neutral economy that will help Europe to become the world’s first ‘climate-neutral’ continent, with net zero GHG emissions by 2050. Indeed, according to 2022 estimates, the EU has successfully reduced its GHG net emissions by 31% since 1990, meeting its 2020 targets without sacrificing its prosperity. The use of renewable energy and the increase of energy efficiency proved to be of paramount importance for cutting down pollution. Even though, so far, progress has been made by Member States, the achievement of climate neutrality by 2050 imposes a faster pace on them. Still, their policies, strategies, programs and measures need to be well-synchronized in content and timing to curb climate change and protect prosperity. To measure the results and to anticipate future efforts require adequate tools. One of these is the environmental performance index (EPI), a complex global environmental indicator based on 40 performance indicators grouped into 11 issue categories, which are tracking progress on three broad policy objectives: environmental health, ecosystem vitality, and climate change. The objective of the paper is to analyze the environmental performance of the European Union (EU) countries, measured according to t</w:t>
      </w:r>
    </w:p>
    <w:p>
      <w:pPr/>
      <w:r>
        <w:rPr>
          <w:b/>
        </w:rPr>
        <w:t>POSSIBLE 2025:</w:t>
      </w:r>
      <w:r>
        <w:t xml:space="preserve"> Environmental conditions and nutritional quality of vegetables in protected cultivation — https://doi.org/10.1111/1541-4337.70139</w:t>
      </w:r>
    </w:p>
    <w:p>
      <w:pPr/>
      <w:r>
        <w:rPr>
          <w:b/>
        </w:rPr>
        <w:t>Shared claim-specific concepts:</w:t>
      </w:r>
      <w:r>
        <w:t xml:space="preserve"> environmental, quality, fully; EU scope not established. This is a provisional connection, not an outcome finding.</w:t>
      </w:r>
    </w:p>
    <w:p>
      <w:pPr>
        <w:pStyle w:val="SourceNote"/>
      </w:pPr>
      <w:r>
        <w:rPr>
          <w:b/>
        </w:rPr>
        <w:t>Available abstract (not full text):</w:t>
      </w:r>
      <w:r>
        <w:t xml:space="preserve"> Abstract Despite progress in reducing global hunger, micronutrient deficiencies and imbalanced diets linked to urbanization remain pressing health threats. Protected cultivation offers a promising avenue for sustainable intensification of vegetable production. Additionally, indoor and vertical farming have recently emerged as cutting‐edge strategies, particularly in densely populated urban areas and mega‐cities. However, research has focused on maximizing yield, neglecting the impact of pre‐harvest conditions on produce quality. Here, we explore strategies for manipulating environmental factors within protected cultivation systems to enhance vegetable nutritional value. Research suggests moderate stress can positively influence nutrient composition while plants exhibit stage‐specific metabolic responses to environmental factors. For instance, seedlings thrive under a higher blue‐to‐red ratio, while green light benefits leafy vegetables. Additionally, increased blue light or supplemental UV‐A benefits flowering and fruiting vegetables. When other environmental factors are optimal, light intensity significantly impacts vegetable nutritional quality, followed by CO 2 levels, light spectrum, temperature, and humidity. Further research is needed to fully understand the mechanisms, the complex interplay of environmental factors, and their interaction with genetic material and cultura</w:t>
      </w:r>
    </w:p>
    <w:p>
      <w:pPr/>
      <w:r>
        <w:rPr>
          <w:b/>
        </w:rPr>
        <w:t>POSSIBLE 2024:</w:t>
      </w:r>
      <w:r>
        <w:t xml:space="preserve"> Environmental Protection: A Fundamental Right or a Social Objective? Comparative Constitutional Overview — https://doi.org/10.56345/ijrdv11n215</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protection of the environment is at the center of the current political debate in Europe and more widely, since the protection of human health is inevitably linked to the health of the environment. The relationship between environmental pollution and human health has been scientifically proven. The inclusion of environmental protection as a fundamental right in the Constitution on the one hand is very important because it affects the orientation and direction of the work of the parliament in relation to environmental policies in the future, while on the other hand it prevents the hegemony of the parliamentary majority in the implementation of some production policies to the detriment of the environment and therefore to the detriment of the health of the country's citizens. Initially, in this paper, the author will focus on the concept and importance of environmental protection, to continue later with the sources of environmental law at the international and national level. In this work, the question that was asked at the beginning of the time will be answered, that is, if the protection of the environment is a right that we can demand its respect in court or simply a social objective that the state wants to realize within its possibilities. I am sure that in the time of globalization, the modern lawyer cannot ignore the comparative analysis, since it now constitutes an esse</w:t>
      </w:r>
    </w:p>
    <w:p>
      <w:pPr>
        <w:pStyle w:val="Heading2"/>
      </w:pPr>
      <w:r>
        <w:t>513.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High-resolution income projections over the 21st century in Europe consistent with the Shared Socioeconomic Pathways — https://doi.org/10.1088/1748-9326/adcb53</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union, population, share;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The Reform of European Public Debt Regulations – an Opportunity and a Challenge for EU Member States — https://doi.org/10.18778/1508-2008.28.10</w:t>
      </w:r>
    </w:p>
    <w:p>
      <w:pPr/>
      <w:r>
        <w:rPr>
          <w:b/>
        </w:rPr>
        <w:t>Shared claim-specific concepts:</w:t>
      </w:r>
      <w:r>
        <w:t xml:space="preserve"> eurostat, member, states, stage; EU scope visible. This is a provisional connection, not an outcome finding.</w:t>
      </w:r>
    </w:p>
    <w:p>
      <w:pPr>
        <w:pStyle w:val="SourceNote"/>
      </w:pPr>
      <w:r>
        <w:rPr>
          <w:b/>
        </w:rPr>
        <w:t>Available abstract (not full text):</w:t>
      </w:r>
      <w:r>
        <w:t xml:space="preserve"> The article examines how the European Commission’s proposal to reform the Stability and Growth Pact (SGP) in terms of the pace of public debt reduction may affect basic economic parameters, such as GDP, consumption and investment levels, as well as fiscal parameters like the scale of subsidies and taxation levels of production and goods. This analysis focuses on two groups of EU countries: those with public debt below 60% of GDP (Group 1) and those with public debt above 60% of GDP (Group 2). In the first stage of the study, using Eurostat data from 1995–2022 and employing a fixed effects model, we show that in Group 1, the impact of public debt on economic growth is statistically significant (unlike in Group 2). In the second stage, we conduct a detailed analysis of the impact of public debt on basic mac­roeconomic parameters (GDP growth components) and fiscal policy in countries with high levels of public debt. We simulate both moderate and drastic variants for reducing public debt relative to GDP. The results show that in these countries, debt reduction leads to a decrease in consumer spending, an increase in investments, and an increase in taxes on production and imports. Based on these results, we recommend that the SGP reform should prioritize a gradual reduction of the public debt-to-GDP ratio because implementing drastic solutions would require deep cuts in public spend</w:t>
      </w:r>
    </w:p>
    <w:p>
      <w:pPr>
        <w:pStyle w:val="Heading2"/>
      </w:pPr>
      <w:r>
        <w:t>514.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r>
        <w:rPr>
          <w:b/>
        </w:rPr>
        <w:t>POSSIBLE 2023:</w:t>
      </w:r>
      <w:r>
        <w:t xml:space="preserve"> Promoting schizophrenia research in Europe: the contribution of the European Group for Research in Schizophrenia — https://doi.org/10.1002/wps.21100</w:t>
      </w:r>
    </w:p>
    <w:p>
      <w:pPr/>
      <w:r>
        <w:rPr>
          <w:b/>
        </w:rPr>
        <w:t>Shared claim-specific concepts:</w:t>
      </w:r>
      <w:r>
        <w:t xml:space="preserve"> based, two, czech, republic; EU scope visible. This is a provisional connection, not an outcome finding.</w:t>
      </w:r>
    </w:p>
    <w:p>
      <w:pPr>
        <w:pStyle w:val="SourceNote"/>
      </w:pPr>
      <w:r>
        <w:rPr>
          <w:b/>
        </w:rPr>
        <w:t>Available abstract (not full text):</w:t>
      </w:r>
      <w:r>
        <w:t xml:space="preserve">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r>
        <w:rPr>
          <w:b/>
        </w:rPr>
        <w:t>POSSIBLE 2023:</w:t>
      </w:r>
      <w:r>
        <w:t xml:space="preserve"> Visual Causal Scene Refinement for Video Question Answering — https://doi.org/10.1145/3581783.3611873</w:t>
      </w:r>
    </w:p>
    <w:p>
      <w:pPr/>
      <w:r>
        <w:rPr>
          <w:b/>
        </w:rPr>
        <w:t>Shared claim-specific concepts:</w:t>
      </w:r>
      <w:r>
        <w:t xml:space="preserve"> based, two, causal; EU scope not established. This is a provisional connection, not an outcome finding.</w:t>
      </w:r>
    </w:p>
    <w:p>
      <w:pPr>
        <w:pStyle w:val="SourceNote"/>
      </w:pPr>
      <w:r>
        <w:rPr>
          <w:b/>
        </w:rPr>
        <w:t>Available abstract (not full text):</w:t>
      </w:r>
      <w:r>
        <w:t xml:space="preserve"> Existing methods for video question answering (VideoQA) often suffer from spurious correlations between different modalities, leading to a failure in identifying the dominant visual evidence and the intended question. Moreover, these methods function as black boxes, making it difficult to interpret the visual scene during the QA process. In this paper, to discover critical video segments and frames that serve as the visual causal scene for generating reliable answers, we present a causal analysis of VideoQA and propose a framework for cross-modal causal relational reasoning, named Visual Causal Scene Refinement (VCSR). Particularly, a set of causal front-door intervention operations is introduced to explicitly find the visual causal scenes at both segment and frame levels. Our VCSR involves two essential modules: i) the Question-Guided Refiner (QGR) module, which refines consecutive video frames guided by the question semantics to obtain more representative segment features for causal front-door intervention; ii) the Causal Scene Separator (CSS) module, which discovers a collection of visual causal and non-causal scenes based on the visual-linguistic causal relevance and estimates the causal effect of the scene-separating intervention in a contrastive learning manner. Extensive experiments on the NExT-QA, Causal-VidQA, and MSRVTT-QA datasets demonstrate the superiority of our V</w:t>
      </w:r>
    </w:p>
    <w:p>
      <w:pPr/>
      <w:r>
        <w:rPr>
          <w:b/>
        </w:rPr>
        <w:t>POSSIBLE 2023:</w:t>
      </w:r>
      <w:r>
        <w:t xml:space="preserve"> The untapped potential of causal inference in cross-modal research — https://doi.org/10.1016/j.buildenv.2023.111074</w:t>
      </w:r>
    </w:p>
    <w:p>
      <w:pPr/>
      <w:r>
        <w:rPr>
          <w:b/>
        </w:rPr>
        <w:t>Shared claim-specific concepts:</w:t>
      </w:r>
      <w:r>
        <w:t xml:space="preserve"> based, causal, become; EU scope not established. This is a provisional connection, not an outcome finding.</w:t>
      </w:r>
    </w:p>
    <w:p>
      <w:pPr>
        <w:pStyle w:val="SourceNote"/>
      </w:pPr>
      <w:r>
        <w:rPr>
          <w:b/>
        </w:rPr>
        <w:t>Available abstract (not full text):</w:t>
      </w:r>
      <w:r>
        <w:t xml:space="preserve"> Cross-modal effects have recently become a popular topic in building science. However, studies in this area frequently neglect causal inference, leading to a lack of valid causal results. To address this problem, we specifically highlight causality and its importance to cross-modal research. We present three general guidelines, and describe them using toy examples, for appropriately conducting causal cross-modal research. The guidelines originate from the methodological framework for quantitative social science by Lundberg et al. (2021). They are as follows: i) specify the theoretical estimand as the target of causal inference; ii) specify the empirical estimand that is informative for the theoretical estimand based on causal assumptions; iii) select the estimation strategy empirically to estimate the empirical estimand. In light of these guidelines, we discuss some common methodological pitfalls in current research practices that can jeopardize causal inference. Moreover, we offer certain recommendations to avoid such pitfalls. The general objective of this paper is to promote transparent causal cross-modal research by raising the awareness of causal inference in view of appropriate causality-related methodological choices.</w:t>
      </w:r>
    </w:p>
    <w:p>
      <w:pPr/>
      <w:r>
        <w:rPr>
          <w:b/>
        </w:rPr>
        <w:t>POSSIBLE 2023:</w:t>
      </w:r>
      <w:r>
        <w:t xml:space="preserve"> Education and Fertility: A Review of Recent Research in Europe — https://doi.org/10.12765/cpos-2023-21</w:t>
      </w:r>
    </w:p>
    <w:p>
      <w:pPr/>
      <w:r>
        <w:rPr>
          <w:b/>
        </w:rPr>
        <w:t>Shared claim-specific concepts:</w:t>
      </w:r>
      <w:r>
        <w:t xml:space="preserve"> two, factors, become;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pStyle w:val="Heading2"/>
      </w:pPr>
      <w:r>
        <w:t>515.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large;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Player Transfer Market in European Football Using Machine Learning to analyse the evolution of the European football. — https://doi.org/10.63227/652.299.56</w:t>
      </w:r>
    </w:p>
    <w:p>
      <w:pPr/>
      <w:r>
        <w:rPr>
          <w:b/>
        </w:rPr>
        <w:t>Shared claim-specific concepts:</w:t>
      </w:r>
      <w:r>
        <w:t xml:space="preserve"> analyse, evolution, insights; EU scope visible. This is a provisional connection, not an outcome finding.</w:t>
      </w:r>
    </w:p>
    <w:p>
      <w:pPr>
        <w:pStyle w:val="SourceNote"/>
      </w:pPr>
      <w:r>
        <w:rPr>
          <w:b/>
        </w:rPr>
        <w:t>Available abstract (not full text):</w:t>
      </w:r>
      <w:r>
        <w:t xml:space="preserve"> The study uses machine learning to analyse the European football transfer market from 2015 to 2025, revealing patterns in transfer fees and market values influenced by player attributes, highlighting the potential of data-driven insights.</w:t>
      </w:r>
    </w:p>
    <w:p>
      <w:pPr/>
      <w:r>
        <w:rPr>
          <w:b/>
        </w:rPr>
        <w:t>POSSIBLE 2025:</w:t>
      </w:r>
      <w:r>
        <w:t xml:space="preserve"> Evolution of the Geographic Range of a European Montane Leaf Beetle in Response to Climate Changes at the End of the Quaternary — https://doi.org/10.1111/jbi.15181</w:t>
      </w:r>
    </w:p>
    <w:p>
      <w:pPr/>
      <w:r>
        <w:rPr>
          <w:b/>
        </w:rPr>
        <w:t>Shared claim-specific concepts:</w:t>
      </w:r>
      <w:r>
        <w:t xml:space="preserve"> evolution, last, two, suggest; EU scope visible. This is a provisional connection, not an outcome finding.</w:t>
      </w:r>
    </w:p>
    <w:p>
      <w:pPr>
        <w:pStyle w:val="SourceNote"/>
      </w:pPr>
      <w:r>
        <w:rPr>
          <w:b/>
        </w:rPr>
        <w:t>Available abstract (not full text):</w:t>
      </w:r>
      <w:r>
        <w:t xml:space="preserve"> ABSTRACT Aim During the past few 100,000 years, repeated cycles of glaciation and warming episodes have radically altered the range of organisms. Numerous phylogeographic studies have investigated the impact of past climate changes on the range of temperate organisms in Europe, but we know substantially less about organisms that are adapted to colder climates. Their distributions are often currently fragmented and limited to relatively high elevations in mountainous regions and to the north of Europe. Our inferences of their range during the last glaciation appear contradictory: some studies indicate a range expansion through colonisation of the lowlands, while others suggest a range contraction because they were restricted to small refugia. In this study, we wished to identify which of these two alternative hypotheses explains best the current distribution of genetic variation in a European montane leaf beetle whose current range spans several mountains. Location Four European mountain systems: Alps, Vosges, Massif Central, Pyrenees. Time Period End of the Quaternary, focusing mainly on the last glaciation and the Holocene. Taxon Gonioctena quinquepunctata [Fabricius, 1787] (Coleoptera; Chrysomelidae). Results Modelling of the potential current and last glacial maximum species distributions suggested that climatic conditions were more favourable in the lowlands during the last</w:t>
      </w:r>
    </w:p>
    <w:p>
      <w:pPr/>
      <w:r>
        <w:rPr>
          <w:b/>
        </w:rPr>
        <w:t>POSSIBLE 2025:</w:t>
      </w:r>
      <w:r>
        <w:t xml:space="preserve"> The Evolution of Hybrid Warfare — https://doi.org/10.36250/01237_06</w:t>
      </w:r>
    </w:p>
    <w:p>
      <w:pPr/>
      <w:r>
        <w:rPr>
          <w:b/>
        </w:rPr>
        <w:t>Shared claim-specific concepts:</w:t>
      </w:r>
      <w:r>
        <w:t xml:space="preserve"> analyse, evolution, last, two, like; EU scope visible. This is a provisional connection, not an outcome finding.</w:t>
      </w:r>
    </w:p>
    <w:p>
      <w:pPr>
        <w:pStyle w:val="SourceNote"/>
      </w:pPr>
      <w:r>
        <w:rPr>
          <w:b/>
        </w:rPr>
        <w:t>Available abstract (not full text):</w:t>
      </w:r>
      <w:r>
        <w:t xml:space="preserve"> Hybrid warfare has several nuances and can be referred to various tools and means. While some of them are relative new elements related to the current international system, several others represent the last evolution of a long history. This chapter aims to contextualise the notion of hybrid warfare in the broader framework of the contemporary international relations. Hence, the chapter intends to analyse two different contexts in which the notion of hybrid warfare has been used and the way in which that notion has been integrated in the EU official documents like EUGS (European Union Global Strategy) adopted in June 2016.</w:t>
      </w:r>
    </w:p>
    <w:p>
      <w:pPr/>
      <w:r>
        <w:rPr>
          <w:b/>
        </w:rPr>
        <w:t>POSSIBLE 2025:</w:t>
      </w:r>
      <w:r>
        <w:t xml:space="preserve"> Two species, two stories: divergent morphometric evolution of sheep and goats over the last 8000 years — https://doi.org/10.1098/rstb.2024.0514</w:t>
      </w:r>
    </w:p>
    <w:p>
      <w:pPr/>
      <w:r>
        <w:rPr>
          <w:b/>
        </w:rPr>
        <w:t>Shared claim-specific concepts:</w:t>
      </w:r>
      <w:r>
        <w:t xml:space="preserve"> evolution, last, two; EU scope not established. This is a provisional connection, not an outcome finding.</w:t>
      </w:r>
    </w:p>
    <w:p>
      <w:pPr>
        <w:pStyle w:val="SourceNote"/>
      </w:pPr>
      <w:r>
        <w:rPr>
          <w:b/>
        </w:rPr>
        <w:t>Available abstract (not full text):</w:t>
      </w:r>
      <w:r>
        <w:t xml:space="preserve"> Since their domestication about 10 500 years ago, sheep and goats have been central to human subsistence economies. Despite shared traits and frequent co-herding, these species are biologically distinct, with their uses reflecting diverse cultural practices. Advances in geometric morphometrics enable detailed analyses of their phenotypic evolution, shaped by natural and artificial selection, genetic drift and gene flow. These evolutionary mechanisms are often challenging to disentangle in archaeozoology, but patterns of morphometric variation can reveal evolutionary parallels and divergences. This study investigates the morphometric evolution of sheep and goat teeth in the northwestern Mediterranean basin over 8000 years. Dental remains, which preserve well in archaeological contexts, provide rich data for evolutionary studies, including species-level identifications. Using two-dimensional geometric morphometrics, third lower molars from 1602 sheep and 635 goats, spanning archaeological and modern specimens, were analysed. Molar size, shape and variance were compared across six chrono-cultural phases, tracing diachronic morphological changes. Distinct patterns emerge: sheep exhibit greater variability likely reflecting selective breeding for diverse purposes. Goats, in contrast, show greater uniformity. These findings underscore unique evolutionary trajectories for sheep and go</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evolution, last, two, decades;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On Farm Non-Agricultural Activities: Recent Evolution and Dynamics in Portugal — https://doi.org/10.30682/nm2404d</w:t>
      </w:r>
    </w:p>
    <w:p>
      <w:pPr/>
      <w:r>
        <w:rPr>
          <w:b/>
        </w:rPr>
        <w:t>Shared claim-specific concepts:</w:t>
      </w:r>
      <w:r>
        <w:t xml:space="preserve"> analyse, evolution, farm, insights; EU scope visible. This is a provisional connection, not an outcome finding.</w:t>
      </w:r>
    </w:p>
    <w:p>
      <w:pPr>
        <w:pStyle w:val="SourceNote"/>
      </w:pPr>
      <w:r>
        <w:rPr>
          <w:b/>
        </w:rPr>
        <w:t>Available abstract (not full text):</w:t>
      </w:r>
      <w:r>
        <w:t xml:space="preserve"> An increasing share of farmer revenues derives from on-farm non-agricultural activities (OFNAA), which constitute a complement to the farmer’s income and can function as a factor for the development of farms, enhancing the endogenous resources of the territories and contributing to the multifunctionality of rural areas. Therefore, it is important to understand the importance of these non-agriculture activities in the territory, their diversification, spatial trends at local level and the relation with farm’s orientation. This paper intends to analyse the OFNAA, using as object of study the Portuguese municipalities. In order to analyse the diversification of the OFNAA, a diversification index based on entropy is proposed. The relationships between OFNAA diversification and the farms’ technical-economic orientation (TEO) are also analysed using correlation matrixes, while the spatial patterns are studied, using the global Moran I and local Moran-LISA. The results provide important insights of the OFNAA dynamics and diversification. Therefore, this study provides an important tool for policy management and implementation.</w:t>
      </w:r>
    </w:p>
    <w:p>
      <w:pPr/>
      <w:r>
        <w:rPr>
          <w:b/>
        </w:rPr>
        <w:t>POSSIBLE 2024:</w:t>
      </w:r>
      <w:r>
        <w:t xml:space="preserve"> The eco-social aspects of the European Green Deal and the Farm to Fork — https://doi.org/10.1177/14680181241261068</w:t>
      </w:r>
    </w:p>
    <w:p>
      <w:pPr/>
      <w:r>
        <w:rPr>
          <w:b/>
        </w:rPr>
        <w:t>Shared claim-specific concepts:</w:t>
      </w:r>
      <w:r>
        <w:t xml:space="preserve"> analyse, farm, two, measures; EU scope visible. This is a provisional connection, not an outcome finding.</w:t>
      </w:r>
    </w:p>
    <w:p>
      <w:pPr>
        <w:pStyle w:val="SourceNote"/>
      </w:pPr>
      <w:r>
        <w:rPr>
          <w:b/>
        </w:rPr>
        <w:t>Available abstract (not full text):</w:t>
      </w:r>
      <w:r>
        <w:t xml:space="preserve"> With the publication of the European Green Deal (EGD) in December 2019, the European Union (EU) has recognised a link between environmental and social challenges and the need to tackle them together. A body of literature publishing under the umbrella concept of sustainable welfare and the term eco-social policies has acknowledged the environmental and social nexus and has been characterised by six prominent eco-social aspects namely, the integration between environmental and social policy goals, their link with economic growth, just transition, redistribution and compensation, citizens’ participation, and the state’s role. However, an in-depth analysis of the eco-social aspects contained in recent European policy documents that can be traced back to the eco-social literature is missing. To address this gap, this article focuses on two policy documents considered at the heart of the European ambition of achieving carbon neutrality by 2050, namely the EGD Communication and the Farm to Fork (F2F) Strategy. The article applies a document content analysis of these two documents and uses the six eco-social aspects as a heuristic to analyse and provide descriptive examples of the EGD and the F2F. The content analyses of these documents reveal several elements that advance the understanding of recent EU policies from an eco-social perspective. The study provides knowledge of envisaged </w:t>
      </w:r>
    </w:p>
    <w:p>
      <w:pPr/>
      <w:r>
        <w:rPr>
          <w:b/>
        </w:rPr>
        <w:t>POSSIBLE 2024:</w:t>
      </w:r>
      <w:r>
        <w:t xml:space="preserve"> The Evolution of Family Farms in Poland: Present Time and the Weight of the Past — https://doi.org/10.12775/eec-2016-0002</w:t>
      </w:r>
    </w:p>
    <w:p>
      <w:pPr/>
      <w:r>
        <w:rPr>
          <w:b/>
        </w:rPr>
        <w:t>Shared claim-specific concepts:</w:t>
      </w:r>
      <w:r>
        <w:t xml:space="preserve"> evolution, farm, two, decades, agricultural, cap; EU scope visible. This is a provisional connection, not an outcome finding.</w:t>
      </w:r>
    </w:p>
    <w:p>
      <w:pPr>
        <w:pStyle w:val="SourceNote"/>
      </w:pPr>
      <w:r>
        <w:rPr>
          <w:b/>
        </w:rPr>
        <w:t>Available abstract (not full text):</w:t>
      </w:r>
      <w:r>
        <w:t xml:space="preserve"> The author provides an analysis of family farming in Poland during the period 1990-2012, with special attention towards the close links of ownership and the operation of the farm by family members. The weight of various factors is given close attention, including the historical context of the farm, current conditions, and future intentions for the farm. The historical context acknowledges and stresses the importance of the late abolition of serfdom made by the partitioning powers, various agricultural reforms during the period 1919-1944, and the period 1948-1989 (when family farming was incorporated into a deficient centrally planned economy). This latter period saw family farms developing specific mechanisms of functioning, which can be seen two decades later. Analysis of the period 1990-2012 is based on data of the Central Statistical Office, the present study, and other published materials. The data series includes individual farms of more than 1 ha, based on family labour. Separated are two sub-periods: the post-communist transformation period from the early 1990s, and the period 2002-2012. The latter almost coincides with the accession to the EU. In the first period, the article outlines the process of creating duality in Polish agriculture. This describes a group of family farms where the household strongly reacted to the market and became larger and modernised (professio</w:t>
      </w:r>
    </w:p>
    <w:p>
      <w:pPr>
        <w:pStyle w:val="Heading2"/>
      </w:pPr>
      <w:r>
        <w:t>516.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INFORMATION SECURITY OF THE EUROPEAN UNION: CHALLENGES AND TRENDS — https://doi.org/10.21564/2663-5704.66.337888</w:t>
      </w:r>
    </w:p>
    <w:p>
      <w:pPr/>
      <w:r>
        <w:rPr>
          <w:b/>
        </w:rPr>
        <w:t>Shared claim-specific concepts:</w:t>
      </w:r>
      <w:r>
        <w:t xml:space="preserve"> also, issues, challenges, union; EU scope visible. This is a provisional connection, not an outcome finding.</w:t>
      </w:r>
    </w:p>
    <w:p>
      <w:pPr>
        <w:pStyle w:val="SourceNote"/>
      </w:pPr>
      <w:r>
        <w:rPr>
          <w:b/>
        </w:rPr>
        <w:t>Available abstract (not full text):</w:t>
      </w:r>
      <w:r>
        <w:t xml:space="preserve"> The article analyzes the current challenges and threats to the information security of the European Union. It outlines the activities of European institutions responsible for addressing information security issues and examines the relevant legislative framework in this domain. The study explores the main directions of the EU leadership’s response to information-related challenges and threats. It also highlights the key features of the European cybersecurity strategy.</w:t>
      </w:r>
    </w:p>
    <w:p>
      <w:pPr/>
      <w:r>
        <w:rPr>
          <w:b/>
        </w:rPr>
        <w:t>POSSIBLE 2025:</w:t>
      </w:r>
      <w:r>
        <w:t xml:space="preserve"> Chapter Methodological challenges in European penology — https://openalex.org/W7137666023</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Chapter Methodological challenges in European penology — https://openalex.org/W7162922291</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reveal, union;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Current issues and challenges in the european parliament — https://doi.org/10.37772/2518-1718-2024-2(46)-25</w:t>
      </w:r>
    </w:p>
    <w:p>
      <w:pPr/>
      <w:r>
        <w:rPr>
          <w:b/>
        </w:rPr>
        <w:t>Shared claim-specific concepts:</w:t>
      </w:r>
      <w:r>
        <w:t xml:space="preserve"> they, also, issues, challenges, among, union; EU scope visible. This is a provisional connection, not an outcome finding.</w:t>
      </w:r>
    </w:p>
    <w:p>
      <w:pPr>
        <w:pStyle w:val="SourceNote"/>
      </w:pPr>
      <w:r>
        <w:rPr>
          <w:b/>
        </w:rPr>
        <w:t>Available abstract (not full text):</w:t>
      </w:r>
      <w:r>
        <w:t xml:space="preserve"> Problem setting. The European Parliament is one of the main EU institutions and the only representative body of the European Union. The importance of this supranational body necessitates its smooth functioning. However, in practice, a number of issues arise that significantly complicate its work and therefore require immediate resolution. In particular, there is a practical lack of interest of EU citizens in elections to the European Parliament due to the ‘democratic deficit’. There is also the issue of the distribution of seats in the European Parliament in connection with the UK’s withdrawal from the EU, and most importantly, how the seats will be distributed in the future with the accession of new member states, since the current form of the EU Treaty limits the number of European Parliament members to a maximum of 751. An equally important issue is the reform of the existing decision-making procedure; the principle of consensus is currently too slow in the process of making crucial decisions and this needs to be addressed immediately. Analysis of recent researches and publications. Certain aspects of this problem were considered in their works by such scientists as: G.V. Hrybnyk [1] and A. V. Kulabukhova [2] highlighted the turnout statistics at the elections to the European Parliament. Among foreign scientists, Nicolai von Ondarza and Felix Schenuit studied in their work t</w:t>
      </w:r>
    </w:p>
    <w:p>
      <w:pPr>
        <w:pStyle w:val="Heading2"/>
      </w:pPr>
      <w:r>
        <w:t>517.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2024:</w:t>
      </w:r>
      <w:r>
        <w:t xml:space="preserve"> A new perspective on balancing life domains: work–nonwork balance crafting — https://doi.org/10.1186/s12889-024-18646-z</w:t>
      </w:r>
    </w:p>
    <w:p>
      <w:pPr/>
      <w:r>
        <w:rPr>
          <w:b/>
        </w:rPr>
        <w:t>Shared claim-specific concepts:</w:t>
      </w:r>
      <w:r>
        <w:t xml:space="preserve"> work, domains, perspective, findings; EU scope visible. This is a provisional connection, not an outcome finding.</w:t>
      </w:r>
    </w:p>
    <w:p>
      <w:pPr>
        <w:pStyle w:val="SourceNote"/>
      </w:pPr>
      <w:r>
        <w:rPr>
          <w:b/>
        </w:rPr>
        <w:t>Available abstract (not full text):</w:t>
      </w:r>
      <w:r>
        <w:t xml:space="preserve">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pPr/>
      <w:r>
        <w:rPr>
          <w:b/>
        </w:rPr>
        <w:t>POSSIBLE 2024:</w:t>
      </w:r>
      <w:r>
        <w:t xml:space="preserve"> Rights of Nature in Europe — https://doi.org/10.4324/9781003318989</w:t>
      </w:r>
    </w:p>
    <w:p>
      <w:pPr/>
      <w:r>
        <w:rPr>
          <w:b/>
        </w:rPr>
        <w:t>Shared claim-specific concepts:</w:t>
      </w:r>
      <w:r>
        <w:t xml:space="preserve"> work, domains; EU scope visible. This is a provisional connection, not an outcome finding.</w:t>
      </w:r>
    </w:p>
    <w:p>
      <w:pPr>
        <w:pStyle w:val="SourceNote"/>
      </w:pPr>
      <w:r>
        <w:rPr>
          <w:b/>
        </w:rPr>
        <w:t>Available abstract (not full text):</w:t>
      </w:r>
      <w:r>
        <w:t xml:space="preserve">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transport, energy, inform, policies;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Sustainable logistics and passenger transport in smart cities — https://doi.org/10.22306/al.v11i1.448</w:t>
      </w:r>
    </w:p>
    <w:p>
      <w:pPr/>
      <w:r>
        <w:rPr>
          <w:b/>
        </w:rPr>
        <w:t>Shared claim-specific concepts:</w:t>
      </w:r>
      <w:r>
        <w:t xml:space="preserve"> smart, cities, transport, urban, findings; EU scope visible. This is a provisional connection, not an outcome finding.</w:t>
      </w:r>
    </w:p>
    <w:p>
      <w:pPr>
        <w:pStyle w:val="SourceNote"/>
      </w:pPr>
      <w:r>
        <w:rPr>
          <w:b/>
        </w:rPr>
        <w:t>Available abstract (not full text):</w:t>
      </w:r>
      <w:r>
        <w:t xml:space="preserve"> The rapid growth of urban populations, coupled with the imperatives of decarbonization and the relentless march of urbanization, has thrust modern cities into a crucible of multifaceted challenges. In response, the Smart City concept has emerged as a shared paradigm for addressing these urban complexities. This transformative approach touches upon various facets of urban life, encompassing areas such as the economy, education, and governance. Among these, logistics stands out as a pivotal component of the Smart City framework, necessitating innovative and sustainable solutions. This article delves into the intricate nexus between sustainable logistics systems and the evolution of the Smart City concept. Drawing from both qualitative and quantitative research methodologies, including multivariate analysis, the study synthesizes data from primary sources collected during a series of European projects conducted from 2020 to 2023, in addition to secondary data sources. A central inquiry revolves around the symbiotic relationship between e-commerce dynamics and the sustainability of smart city logistics solutions. The findings of this investigation illuminate a compelling correlation between the profitability of logistics enterprises and the key indicators of logistics development underpinning smart cities. By unveiling these interdependencies, this research contributes to our under</w:t>
      </w:r>
    </w:p>
    <w:p>
      <w:pPr>
        <w:pStyle w:val="Heading2"/>
      </w:pPr>
      <w:r>
        <w:t>518.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r>
        <w:rPr>
          <w:b/>
        </w:rPr>
        <w:t>POSSIBLE 2024:</w:t>
      </w:r>
      <w:r>
        <w:t xml:space="preserve"> The Working of Hard Animal Tissues in Eastern and Central Europe During the Last Glacial Maximum—Current Knowledge and Perspectives — https://doi.org/10.1007/s41982-024-00198-8</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The climatically unfavourable period of the Last Glacial Maximum (LGM; ca. 26–19 ka cal bp) is held responsible for a severe demographic crisis of hunter–gatherer populations, their retreat to a few refugial areas, the disruption of wide-ranging networks, and a considerable loss of cultural complexity in Eastern and Central Europe. The latitudes above 50°N appear to have been completely depopulated. Recent research has demonstrated a continuous occupation of the Carpathian Basin and the East Carpathian region during the LGM on one hand, and an ephemeral human presence in the Middle Danube, the Middle Rhine, and the Swiss Plateau on the other. The western part of the East European Plain, in particular the East Carpathians, is known for several large, Early Epigravettian open-air sites with well-preserved artefacts of antler, bone, and mammoth ivory. For Central Europe, the assemblage from Kammern-Grubgraben in Lower Austria is of pivotal importance. As osseous industries have shown to be an essential component of Upper Palaeolithic material culture, it is the aim of this contribution to provide an overview of the current state of knowledge on the processing of hard animal tissues in Eastern and Central Europe during the LGM. Starting out with a reevaluation of one of the largest and most diverse assemblages from the site of Cosăuţi in the Republic of Moldova (ca. 23–19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discuss, current, knowledge, drivers;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Central and Eastern Europe in Academic Internationalization: Peripherality, Neoliberalism, and Knowledge Production — https://doi.org/10.11649/slh.3184</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The article reflects on knowledge production in the context of research internationalization, seen as an aspect of a broader trend in the changing higher education and other academic institutions. It focuses on Central and Eastern Europe as a post-communist and (semi)peripheral region, which has been the subject of historical and theoretical analysis often accompanied by epistemological reflection among researchers. As an introduction to the theme of the issue, the article addresses questions concerning epistemic approaches to Central and Eastern Europe via critical reflection on the “post-socialism” framework. The authors discuss major analytical responses of scholars in this research field, including the authors of articles published in this issue of Studia Litteraria et Historica, such as peripherality, postcolonialism, and rethinking of the category of the “East”. In the concluding part, they outline possible directions for further inquiry, including a spatial-temporal conceptualization informed by Wallerstein’s historical social science as well as ethical considerations in the current political context shaped by international security concerns as much as epistemic ones.</w:t>
      </w:r>
    </w:p>
    <w:p>
      <w:pPr>
        <w:pStyle w:val="Heading2"/>
      </w:pPr>
      <w:r>
        <w:t>519.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pStyle w:val="Heading2"/>
      </w:pPr>
      <w:r>
        <w:t>520.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2025:</w:t>
      </w:r>
      <w:r>
        <w:t xml:space="preserve"> Data driven inventory consensus control for a supply chain system with a design change — https://doi.org/10.61822/amcs-2025-0050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The production and supply chain system is a complex nonlinear network comprising suppliers, manufacturers, distributors, retailers, and other entities. The collaborative evolution process for such a system is vitally important, especially when the system undergoes design changes. In this paper, the data-driven inventory consensus problem for production and supply chain systems is studied while considering design changes. Firstly, the production and supply chain system is modeled as a multi-agent one and the collaborative process of the production and supply chain is formulated as the system topology structure switching. Secondly, a digraph data-driven consensus control protocol is proposed to achieve inventory level consensus tracking with respect to a predefined reference trajectory in production and supply chain systems. Thirdly, when a design change occurs, the saturation function is introduced for the protocol design, which helps address the productivity limitation problem. Lastly, with the help of the contracting mapping principle, the convergence analysis is carried out, demonstrating the effectiveness of the proposed data-driven consensus approach through a numerical simulation example.</w:t>
      </w:r>
    </w:p>
    <w:p>
      <w:pPr/>
      <w:r>
        <w:rPr>
          <w:b/>
        </w:rPr>
        <w:t>POSSIBLE 2025:</w:t>
      </w:r>
      <w:r>
        <w:t xml:space="preserve"> Consensus of Fractional-Order Fuzzy Multiagent Systems: Exploring Impulsive Security Protocols — https://doi.org/10.1109/tcns.2025.3543754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article investigates impulsive security protocols with the goal of achieving consensus of fractional-order fuzzy multiagent systems (FOFMASs). In contrast to multiagent systems characterized by ordinary differential equations, FOFMASs are created using Takagi–Sugeno fuzzy rules and fractional-order differential equations, which allow for nonlinearities with parameter uncertainties and also manage memory effects. Due to the potential of denial-of-service (DoS) attacks, the topology among nodes may change, and it is necessary to gain insight into the security consensus under topology switching. This article tackles the security protocol problem by designing a distributed impulsive control for each agent, relying on global delayed communications and topology switching resulting from DoS attacks. Analyzing the stability of impulse-free error systems is a salient problem. Supported by the Lyapunov method and average impulsive interval method, for two cases of self-stabilization or instability of the error system in the absence of impulse, some sufficient conditions are presented to ensure the exponential consensus of FOFMASs under distributed impulsive control with communication delays. Besides, several corollaries are provided to guarantee the consensus under distributed impulsive control without communication delays. Finally, two numerical examples are provided, and some nume</w:t>
      </w:r>
    </w:p>
    <w:p>
      <w:pPr/>
      <w:r>
        <w:rPr>
          <w:b/>
        </w:rPr>
        <w:t>POSSIBLE 2025:</w:t>
      </w:r>
      <w:r>
        <w:t xml:space="preserve"> Consensus-Based Resilience Assurance for System of Systems — https://doi.org/10.1109/access.2025.3535519</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The complexity of a System of Systems makes resilience one of its key attributes. Numerous studies have focused on the quantitative assessment of resilience by trailing indicators, yet discussions on resilience assurance through monitoring leading indicators remain scarce. Resilience assurance in SoS faces two major challenges: lack of structured argumentation work related to resilience and conflicts among multiple independent stakeholders. To address these challenges, this paper first introduces a resilience argumentation approach based on STAMP (Systems-Theoretic Accident Model and Processes), then employs cooperative consensus process model to seek consensus on resilience assurance. Additionally, under the requirements of the international standard IEC 62853 for open systems dependability, a consensus based resilience assurance framework is proposed. Within the framework, the resilient team can discuss the specific implementation details of failure response, accountability, and change accommodation based on stakeholder consensus. Finally, two SoS case studies, Microgrid and Mobility as a Service, are used to demonstrate the application of the proposed approach.</w:t>
      </w:r>
    </w:p>
    <w:p>
      <w:pPr/>
      <w:r>
        <w:rPr>
          <w:b/>
        </w:rPr>
        <w:t>POSSIBLE 2025:</w:t>
      </w:r>
      <w:r>
        <w:t xml:space="preserve"> Consensus of Open Multi-Agent Systems under Dynamic Event-Triggered Mechanisms — https://doi.org/10.1109/icaisisas64483.2025.11051790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paper studies the consensus problem in open multi-agent systems with time-varying agent set, where discrete control updates and intermittent communication are employed. An auxiliary dynamic variable is introduced to design an event-triggered mechanism with adaptive thresholds. To address topology changes due to agent arrivals and departures, the network is modeled as a set of switching subsystems with varying scales. Using switched system theory, we establish that exponential consensus convergence with non-Zeno behavior is guaranteed if each subsystem’s dwell time exceeds a predefined lower bound and the switching frequency remains finite. Furthermore, a self-triggered prediction method is developed to handle incomplete state information, utilizing historical data from triggering instants to achieve fully discretized communication. Numerical simulations validate the effectiveness of the proposed framework in balancing communication efficiency and consensus performance under dynamic network conditions.</w:t>
      </w:r>
    </w:p>
    <w:p>
      <w:pPr/>
      <w:r>
        <w:rPr>
          <w:b/>
        </w:rPr>
        <w:t>POSSIBLE 2024:</w:t>
      </w:r>
      <w:r>
        <w:t xml:space="preserve"> Global consensus statement on simulation-based practice in healthcare — https://doi.org/10.1186/s41077-024-00288-1</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 pr</w:t>
      </w:r>
    </w:p>
    <w:p>
      <w:pPr/>
      <w:r>
        <w:rPr>
          <w:b/>
        </w:rPr>
        <w:t>POSSIBLE 2024:</w:t>
      </w:r>
      <w:r>
        <w:t xml:space="preserve"> The Conceptual Definition of Sarcopenia: Delphi Consensus from the Global Leadership Initiative in Sarcopenia (GLIS) — https://doi.org/10.1093/ageing/afae052</w:t>
      </w:r>
    </w:p>
    <w:p>
      <w:pPr/>
      <w:r>
        <w:rPr>
          <w:b/>
        </w:rPr>
        <w:t>Shared claim-specific concepts:</w:t>
      </w:r>
      <w:r>
        <w:t xml:space="preserve"> consensus, however; EU scope not established. This is a provisional connection, not an outcome finding.</w:t>
      </w:r>
    </w:p>
    <w:p>
      <w:pPr>
        <w:pStyle w:val="SourceNote"/>
      </w:pPr>
      <w:r>
        <w:rPr>
          <w:b/>
        </w:rPr>
        <w:t>Available abstract (not full text):</w:t>
      </w:r>
      <w:r>
        <w:t xml:space="preserve"> IMPORTANCE: Sarcopenia, the age-related loss of muscle mass and strength/function, is an important clinical condition. However, no international consensus on the definition exists. OBJECTIVE: The Global Leadership Initiative in Sarcopenia (GLIS) aimed to address this by establishing the global conceptual definition of sarcopenia. DESIGN: The GLIS steering committee was formed in 2019-21 with representatives from all relevant scientific societies worldwide. During this time, the steering committee developed a set of statements on the topic and invited members from these societies to participate in a two-phase International Delphi Study. Between 2022 and 2023, participants ranked their agreement with a set of statements using an online survey tool (SurveyMonkey). Statements were categorised based on predefined thresholds: strong agreement (&gt;80%), moderate agreement (70-80%) and low agreement (&lt;70%). Statements with strong agreement were accepted, statements with low agreement were rejected and those with moderate agreement were reintroduced until consensus was reached. RESULTS: 107 participants (mean age: 54 ± 12 years [1 missing age], 64% men) from 29 countries across 7 continents/regions completed the Delphi survey. Twenty statements were found to have a strong agreement. These included; 6 statements on 'general aspects of sarcopenia' (strongest agreement: the prevalence of sar</w:t>
      </w:r>
    </w:p>
    <w:p>
      <w:pPr/>
      <w:r>
        <w:rPr>
          <w:b/>
        </w:rPr>
        <w:t>POSSIBLE 2024:</w:t>
      </w:r>
      <w:r>
        <w:t xml:space="preserve"> Global consensus on optimal exercise recommendations for enhancing healthy longevity in older adults (ICFSR) — https://doi.org/10.1016/j.jnha.2024.100401</w:t>
      </w:r>
    </w:p>
    <w:p>
      <w:pPr/>
      <w:r>
        <w:rPr>
          <w:b/>
        </w:rPr>
        <w:t>Shared claim-specific concepts:</w:t>
      </w:r>
      <w:r>
        <w:t xml:space="preserve"> consensus, energy, however, many, leading; EU scope not established. This is a provisional connection, not an outcome finding.</w:t>
      </w:r>
    </w:p>
    <w:p>
      <w:pPr>
        <w:pStyle w:val="SourceNote"/>
      </w:pPr>
      <w:r>
        <w:rPr>
          <w:b/>
        </w:rPr>
        <w:t>Available abstract (not full text):</w:t>
      </w:r>
      <w:r>
        <w:t xml:space="preserve"> Aging, a universal and inevitable process, is characterized by a progressive accumulation of physiological alterations and functional decline over time, leading to increased vulnerability to diseases and ultimately mortality as age advances. Lifestyle factors, notably physical activity (PA) and exercise, significantly modulate aging phenotypes. Physical activity and exercise can prevent or ameliorate lifestyle-related diseases, extend health span, enhance physical function, and reduce the burden of non-communicable chronic diseases including cardiometabolic disease, cancer, musculoskeletal and neurological conditions, and chronic respiratory diseases as well as premature mortality. Physical activity influences the cellular and molecular drivers of biological aging, slowing aging rates-a foundational aspect of geroscience. Thus, PA serves both as preventive medicine and therapeutic agent in pathological states. Sub-optimal PA levels correlate with increased disease prevalence in aging populations. Structured exercise prescriptions should therefore be customized and monitored like any other medical treatment, considering the dose-response relationships and specific adaptations necessary for intended outcomes. Current guidelines recommend a multifaceted exercise regimen that includes aerobic, resistance, balance, and flexibility training through structured and incidental (integrat</w:t>
      </w:r>
    </w:p>
    <w:p>
      <w:pPr/>
      <w:r>
        <w:rPr>
          <w:b/>
        </w:rPr>
        <w:t>POSSIBLE 2024:</w:t>
      </w:r>
      <w:r>
        <w:t xml:space="preserve"> Global consensus on disclosing inventions — https://doi.org/10.4324/9781003423003-14</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This section examines rules and regulations of disclosure across national and international patenting systems, in view of highlighting the striking consensus that exists for disclosing inventions in patents. A consensus that creates a phenomenal multilingual corpus of parallel patent texts.</w:t>
      </w:r>
    </w:p>
    <w:p>
      <w:pPr>
        <w:pStyle w:val="Heading2"/>
      </w:pPr>
      <w:r>
        <w:t>521.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2024:</w:t>
      </w:r>
      <w:r>
        <w:t xml:space="preserve"> Gender equality: Progress, and challenges in european society — https://doi.org/10.31893/humanitj.2024005</w:t>
      </w:r>
    </w:p>
    <w:p>
      <w:pPr/>
      <w:r>
        <w:rPr>
          <w:b/>
        </w:rPr>
        <w:t>Shared claim-specific concepts:</w:t>
      </w:r>
      <w:r>
        <w:t xml:space="preserve"> article, combined, policies, different, institutional, countries; EU scope visible. This is a provisional connection, not an outcome finding.</w:t>
      </w:r>
    </w:p>
    <w:p>
      <w:pPr>
        <w:pStyle w:val="SourceNote"/>
      </w:pPr>
      <w:r>
        <w:rPr>
          <w:b/>
        </w:rPr>
        <w:t>Available abstract (not full text):</w:t>
      </w:r>
      <w:r>
        <w:t xml:space="preserve"> This article explores the dynamics of gender equality in European society, focusing on both the progress made and the ongoing challenges facing European society. The study investigates the impact of legal frameworks and rights in shaping equal opportunities for the whole of European society by excluding the possibility of differences on different grounds. Furthermore, the study assesses the impact of institutional commitment to gender equality within European legal and social contexts. The analysis covers a long-term period by examining the legal infrastructure related to gender equality: a model case of some countries in Europe. Through our findings, we will reflect the impact of the factors that have meanwhile combined the phenomenon of inequality in European society. Regarding institutional commitment, we will highlight the effectiveness of intergovernmental policies, proving this hypothesis through statistics that show the position of women in various fields.</w:t>
      </w:r>
    </w:p>
    <w:p>
      <w:pPr/>
      <w:r>
        <w:rPr>
          <w:b/>
        </w:rPr>
        <w:t>POSSIBLE 2024:</w:t>
      </w:r>
      <w:r>
        <w:t xml:space="preserve"> Gendering the floating voter: A mixed methods study of gender and undecided voters in Britain — https://doi.org/10.1177/13691481241240385</w:t>
      </w:r>
    </w:p>
    <w:p>
      <w:pPr/>
      <w:r>
        <w:rPr>
          <w:b/>
        </w:rPr>
        <w:t>Shared claim-specific concepts:</w:t>
      </w:r>
      <w:r>
        <w:t xml:space="preserve"> article, voter, choice; EU scope not established. This is a provisional connection, not an outcome finding.</w:t>
      </w:r>
    </w:p>
    <w:p>
      <w:pPr>
        <w:pStyle w:val="SourceNote"/>
      </w:pPr>
      <w:r>
        <w:rPr>
          <w:b/>
        </w:rPr>
        <w:t>Available abstract (not full text):</w:t>
      </w:r>
      <w:r>
        <w:t xml:space="preserve"> Women are more undecided than men about their vote choice, with around 20%–30% of female respondents giving a ‘don’t know’ response to vote intention survey questions in Britain. In this article, we employ a mixed methods research design to explore why women are more likely to be undecided about their vote choice than men. Using survey data, we find that the gender gap in ‘don’t know’ responses is associated with gender gaps in political engagement and perceptions of policy representation. In focus groups, we find differences between men and women in how they want to be represented, and gender differences in conflict-avoidance/conflict-seeking, both of which we expect to contribute to gender differences in making a vote choice in-between elections. Our findings contribute to our understanding of how men and women engage with politics in Britain, as well as having implications for interpreting gender differences in vote intention in surveys.</w:t>
      </w:r>
    </w:p>
    <w:p>
      <w:pPr/>
      <w:r>
        <w:rPr>
          <w:b/>
        </w:rPr>
        <w:t>POSSIBLE 2024:</w:t>
      </w:r>
      <w:r>
        <w:t xml:space="preserve"> Not so different: Comparing British MPs’ and voters’ attitudes to climate change — https://doi.org/10.1093/pa/gsae012</w:t>
      </w:r>
    </w:p>
    <w:p>
      <w:pPr/>
      <w:r>
        <w:rPr>
          <w:b/>
        </w:rPr>
        <w:t>Shared claim-specific concepts:</w:t>
      </w:r>
      <w:r>
        <w:t xml:space="preserve"> article, policies, different; EU scope not established. This is a provisional connection, not an outcome finding.</w:t>
      </w:r>
    </w:p>
    <w:p>
      <w:pPr>
        <w:pStyle w:val="SourceNote"/>
      </w:pPr>
      <w:r>
        <w:rPr>
          <w:b/>
        </w:rPr>
        <w:t>Available abstract (not full text):</w:t>
      </w:r>
      <w:r>
        <w:t xml:space="preserve"> Abstract There is a growing literature investigating the attitudes of political elites and citizens in a range of areas, and this article uses matched survey data of British MPs and voters to contribute a new comparison of their views on climate change. It finds limited evidence of systematic differences between MPs’ and voters’ attitudes to climate change: neither group is clearly more concerned about the issue than the other nor more polarized along partisan lines. However, there does appear to be incongruence between MPs’ and voters’ views on some specific climate policies. The research builds on previous analyses of British MPs’ approaches to climate change, including finding that party identity is more useful in predicting their perspectives on climate change than their perception of public attitudes.</w:t>
      </w:r>
    </w:p>
    <w:p>
      <w:pPr/>
      <w:r>
        <w:rPr>
          <w:b/>
        </w:rPr>
        <w:t>POSSIBLE 2024:</w:t>
      </w:r>
      <w:r>
        <w:t xml:space="preserve"> Backlash or Progressive Mobilization? Voter Reactions to Perceived Trajectories of Women’s Representation — https://doi.org/10.1177/00104140231223745</w:t>
      </w:r>
    </w:p>
    <w:p>
      <w:pPr/>
      <w:r>
        <w:rPr>
          <w:b/>
        </w:rPr>
        <w:t>Shared claim-specific concepts:</w:t>
      </w:r>
      <w:r>
        <w:t xml:space="preserve"> article, voter, means; EU scope visible. This is a provisional connection, not an outcome finding.</w:t>
      </w:r>
    </w:p>
    <w:p>
      <w:pPr>
        <w:pStyle w:val="SourceNote"/>
      </w:pPr>
      <w:r>
        <w:rPr>
          <w:b/>
        </w:rPr>
        <w:t>Available abstract (not full text):</w:t>
      </w:r>
      <w:r>
        <w:t xml:space="preserve"> Existing research on the effects of women’s descriptive representation on citizens’ attitudes has mainly investigated potential positive effects, namely on political engagement or the legitimacy of outcomes. However, trends in representation have rarely been theorized as potential causes of resentment among women. While a male backlash to increasing representation has been theorized, this article argues that women may also be discontent with their trajectory of representation, if they perceive it as stagnating. Using a survey experiment fielded in Germany, the results show that a stagnating representation trajectory mobilizes women to vote for a progressive party, the German Greens. In contrast, the paper demonstrates that men do not lash back against women’s increasing representation, even if they realize that this means a lower standing for themselves. This article contributes to research on political behavior by highlighting that discontent with persisting inequality is a mobilizing factor for progressive parties.</w:t>
      </w:r>
    </w:p>
    <w:p>
      <w:pPr/>
      <w:r>
        <w:rPr>
          <w:b/>
        </w:rPr>
        <w:t>POSSIBLE 2023:</w:t>
      </w:r>
      <w:r>
        <w:t xml:space="preserve"> Election Frequency and Voter Turnout — https://doi.org/10.1177/00104140231169020</w:t>
      </w:r>
    </w:p>
    <w:p>
      <w:pPr/>
      <w:r>
        <w:rPr>
          <w:b/>
        </w:rPr>
        <w:t>Shared claim-specific concepts:</w:t>
      </w:r>
      <w:r>
        <w:t xml:space="preserve"> voter, institutional, democratic; EU scope visible. This is a provisional connection, not an outcome finding.</w:t>
      </w:r>
    </w:p>
    <w:p>
      <w:pPr>
        <w:pStyle w:val="SourceNote"/>
      </w:pPr>
      <w:r>
        <w:rPr>
          <w:b/>
        </w:rPr>
        <w:t>Available abstract (not full text):</w:t>
      </w:r>
      <w:r>
        <w:t xml:space="preserve"> In recent decades, liberal democracies have considerably expanded the scope for citizen participation, calling their citizens to vote in a growing number of popular votes. This research investigates the effects of the rising election frequency on electoral participation. It expands on the voting calculus and theorizes which, when, and how past votes affect current voter turnout. We argue that all election types contribute to a common factor of election frequency, whose high values depress turnout and reduce the effectiveness of party mobilization even in the most important elections. We find support for the new theory using an original database of all significant elections and referendums held in 22 European democracies between 1939 and 2019, two natural experiments, and survey data from the Comparative Study of Electoral Systems. Our findings shed light on contemporary participation trends and have major implications for democratic citizenship and democratic institutional engineering.</w:t>
      </w:r>
    </w:p>
    <w:p>
      <w:pPr>
        <w:pStyle w:val="Heading2"/>
      </w:pPr>
      <w:r>
        <w:t>522.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2024:</w:t>
      </w:r>
      <w:r>
        <w:t xml:space="preserve"> Advancing sustainable building through passive cooling with phase change materials, a comprehensive literature review — https://doi.org/10.1016/j.enbuild.2024.114164</w:t>
      </w:r>
    </w:p>
    <w:p>
      <w:pPr/>
      <w:r>
        <w:rPr>
          <w:b/>
        </w:rPr>
        <w:t>Shared claim-specific concepts:</w:t>
      </w:r>
      <w:r>
        <w:t xml:space="preserve"> building, phase, combination, different; EU scope not established. This is a provisional connection, not an outcome finding.</w:t>
      </w:r>
    </w:p>
    <w:p>
      <w:pPr>
        <w:pStyle w:val="SourceNote"/>
      </w:pPr>
      <w:r>
        <w:rPr>
          <w:b/>
        </w:rPr>
        <w:t>Available abstract (not full text):</w:t>
      </w:r>
      <w:r>
        <w:t xml:space="preserve">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pPr/>
      <w:r>
        <w:rPr>
          <w:b/>
        </w:rPr>
        <w:t>POSSIBLE 2024:</w:t>
      </w:r>
      <w:r>
        <w:t xml:space="preserve"> Incorporation of Phase Change Materials in Buildings — https://doi.org/10.3390/constrmater4040037</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pPr/>
      <w:r>
        <w:rPr>
          <w:b/>
        </w:rPr>
        <w:t>POSSIBLE 2024:</w:t>
      </w:r>
      <w:r>
        <w:t xml:space="preserve"> Phase Change Materials (PCMs) for passive Cooling: Performance in urban buildings — https://doi.org/10.30574/ijsra.2024.13.1.2050</w:t>
      </w:r>
    </w:p>
    <w:p>
      <w:pPr/>
      <w:r>
        <w:rPr>
          <w:b/>
        </w:rPr>
        <w:t>Shared claim-specific concepts:</w:t>
      </w:r>
      <w:r>
        <w:t xml:space="preserve"> building, phase, combination, case; EU scope not established. This is a provisional connection, not an outcome finding.</w:t>
      </w:r>
    </w:p>
    <w:p>
      <w:pPr>
        <w:pStyle w:val="SourceNote"/>
      </w:pPr>
      <w:r>
        <w:rPr>
          <w:b/>
        </w:rPr>
        <w:t>Available abstract (not full text):</w:t>
      </w:r>
      <w:r>
        <w:t xml:space="preserve">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pPr/>
      <w:r>
        <w:rPr>
          <w:b/>
        </w:rPr>
        <w:t>POSSIBLE 2024:</w:t>
      </w:r>
      <w:r>
        <w:t xml:space="preserve"> Building design with artificial intelligence : Evaluation of AI tools for building design optimization during earlyplanning phases — https://openalex.org/W7112955944</w:t>
      </w:r>
    </w:p>
    <w:p>
      <w:pPr/>
      <w:r>
        <w:rPr>
          <w:b/>
        </w:rPr>
        <w:t>Shared claim-specific concepts:</w:t>
      </w:r>
      <w:r>
        <w:t xml:space="preserve"> building, combination, alternative; EU scope not established. This is a provisional connection, not an outcome finding.</w:t>
      </w:r>
    </w:p>
    <w:p>
      <w:pPr>
        <w:pStyle w:val="SourceNote"/>
      </w:pPr>
      <w:r>
        <w:rPr>
          <w:b/>
        </w:rPr>
        <w:t>Available abstract (not full text):</w:t>
      </w:r>
      <w:r>
        <w:t xml:space="preserve">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pPr/>
      <w:r>
        <w:rPr>
          <w:b/>
        </w:rPr>
        <w:t>POSSIBLE 2024:</w:t>
      </w:r>
      <w:r>
        <w:t xml:space="preserve"> The Evolution and Future Directions of Green Buildings Research: A Scientometric Analysis — https://doi.org/10.3390/buildings14020345</w:t>
      </w:r>
    </w:p>
    <w:p>
      <w:pPr/>
      <w:r>
        <w:rPr>
          <w:b/>
        </w:rPr>
        <w:t>Shared claim-specific concepts:</w:t>
      </w:r>
      <w:r>
        <w:t xml:space="preserve"> phase, trends, two; EU scope not established. This is a provisional connection, not an outcome finding.</w:t>
      </w:r>
    </w:p>
    <w:p>
      <w:pPr>
        <w:pStyle w:val="SourceNote"/>
      </w:pPr>
      <w:r>
        <w:rPr>
          <w:b/>
        </w:rPr>
        <w:t>Available abstract (not full text):</w:t>
      </w:r>
      <w:r>
        <w:t xml:space="preserve"> Economic development and urbanization naturally give rise to expanding demand for new buildings, whose construction and operation inevitably lead to significant increases in energy consumption and greenhouse gas emissions. To better conserve resources and protect the environment, technologies for green buildings have evolved significantly in the past two decades. In this study, a scientometric analysis of green buildings research from 2003 to 2023 was performed using CiteSpace. A total of 1986 articles retrieved from the Web of Science (WoS) core collection database were used as the data source for an in-depth analysis of research trends, hotspots, and future directions, showing changes in publication numbers, core journals, key countries, and institutions that have made remarkable contributions in this field. The results showed that the field of green buildings research is in a phase of rapid growth. The current research hotspots include the adoption of the green buildings paradigm, rating systems, energy performance, greenhouse gas emissions, indoor environmental quality, and green roofs/walls. Based on the keywords citation bursts and literature review, we believe that government promotion measures, use of renewable energy, integration with plants, and application of artificial intelligence (AI) in green buildings will be the most promising development directions in the futu</w:t>
      </w:r>
    </w:p>
    <w:p>
      <w:pPr/>
      <w:r>
        <w:rPr>
          <w:b/>
        </w:rPr>
        <w:t>POSSIBLE 2024:</w:t>
      </w:r>
      <w:r>
        <w:t xml:space="preserve"> Design Frameworks for Circular Buildings: Circular Principles, Building Lifecycle Phases and Design Strategies — https://doi.org/10.1007/978-3-031-73490-8_6</w:t>
      </w:r>
    </w:p>
    <w:p>
      <w:pPr/>
      <w:r>
        <w:rPr>
          <w:b/>
        </w:rPr>
        <w:t>Shared claim-specific concepts:</w:t>
      </w:r>
      <w:r>
        <w:t xml:space="preserve"> building, business, case; EU scope not established. This is a provisional connection, not an outcome finding.</w:t>
      </w:r>
    </w:p>
    <w:p>
      <w:pPr>
        <w:pStyle w:val="SourceNote"/>
      </w:pPr>
      <w:r>
        <w:rPr>
          <w:b/>
        </w:rPr>
        <w:t>Available abstract (not full text):</w:t>
      </w:r>
      <w:r>
        <w:t xml:space="preserve"> Abstract This chapter explored the current theory and practices on circular building design to provide an overview of what a circular building is and how a circular building has been implemented by design through a literature review. Until now, the circular economy in the built environment has mainly been implemented through technological innovation focusing on materials, products, business models and industrial systems. Design for a circular economy in the built environment has progressively expanded from single products and components to building and urban systems. The enlargement of the design scope has entailed a shift from insular to system innovation. Besides a technocentric approach focused on circulating resources through economic and technical innovation, a holistic vision has emerged in the literature that sees circularity as a transformation which integrates technological, social, organizational and institutional considerations of circularity to promote systemic changes in large urban social-technical systems. This study initially investigated the current understanding of the circular building concept, and then analysed design frameworks applied to develop circular buildings by reviewing the literature. Finally, it defined propositions for evaluating the current level of implementation of circular buildings This exploration provided an overview of the current body of</w:t>
      </w:r>
    </w:p>
    <w:p>
      <w:pPr/>
      <w:r>
        <w:rPr>
          <w:b/>
        </w:rPr>
        <w:t>POSSIBLE 2023:</w:t>
      </w:r>
      <w:r>
        <w:t xml:space="preserve"> Building Envelope Design With PHASE-CHANGEMATERIALS (PCM). — https://doi.org/10.21203/rs.3.rs-3307843/v1</w:t>
      </w:r>
    </w:p>
    <w:p>
      <w:pPr/>
      <w:r>
        <w:rPr>
          <w:b/>
        </w:rPr>
        <w:t>Shared claim-specific concepts:</w:t>
      </w:r>
      <w:r>
        <w:t xml:space="preserve"> building, phase, combination, alternative; EU scope not established. This is a provisional connection, not an outcome finding.</w:t>
      </w:r>
    </w:p>
    <w:p>
      <w:pPr>
        <w:pStyle w:val="SourceNote"/>
      </w:pPr>
      <w:r>
        <w:rPr>
          <w:b/>
        </w:rPr>
        <w:t>Available abstract (not full text):</w:t>
      </w:r>
      <w:r>
        <w:t xml:space="preserve"> Abstract Building is one of the most energy consuming and CO2 producing sectors in the world. In Morocco, this sector currently accounts for 33% of total consumption nationwide. The new thermal regulation in Morocco aims at introducing energy efficient practices in this sector to reduce these consumptions. Indeed, in the Mediterranean region, the architecture of the building has a major impact on its energy and thermal performance. In addition, the integration of passive techniques and the use of local materials, phase change materials MCP could significantly reduce energy consumption in the building sector.Depending on the properties of the thermal zone where we are, it is therefore possible to integrate PCM and optimize their parameters in order to favorably diphase the energy consumption peaks and energy consumption and, by the same token, significantly reducing the use of the HC system. Consequently, the integration of this PCM in the envelopes of new buildings or in renovation would contribute to reduce the energy bill in the building sector in Morocco. So the (PCM) represents a sustainable alternative to reduce energy consumption for this a thermal dynamic simulation was realized with TRNSYS 204. Since PCM involves large latent heat at small temperature phase changes, PCM is used for temperature stabilization and for storing heat with large energy densities and capacity t</w:t>
      </w:r>
    </w:p>
    <w:p>
      <w:pPr>
        <w:pStyle w:val="Heading2"/>
      </w:pPr>
      <w:r>
        <w:t>523.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2025:</w:t>
      </w:r>
      <w:r>
        <w:t xml:space="preserve"> Anti-Inflammatory Activity of Thymol and Thymol-Rich Essential Oils: Mechanisms, Applications, and Recent Findings — https://doi.org/10.3390/molecules30112450</w:t>
      </w:r>
    </w:p>
    <w:p>
      <w:pPr/>
      <w:r>
        <w:rPr>
          <w:b/>
        </w:rPr>
        <w:t>Shared claim-specific concepts:</w:t>
      </w:r>
      <w:r>
        <w:t xml:space="preserve"> findings, recent, shown, activities, systems; EU scope not established. This is a provisional connection, not an outcome finding.</w:t>
      </w:r>
    </w:p>
    <w:p>
      <w:pPr>
        <w:pStyle w:val="SourceNote"/>
      </w:pPr>
      <w:r>
        <w:rPr>
          <w:b/>
        </w:rPr>
        <w:t>Available abstract (not full text):</w:t>
      </w:r>
      <w:r>
        <w:t xml:space="preserve">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pPr/>
      <w:r>
        <w:rPr>
          <w:b/>
        </w:rPr>
        <w:t>POSSIBLE 2025:</w:t>
      </w:r>
      <w:r>
        <w:t xml:space="preserve"> Aging and HIV: Recent Findings in Contributing Factors — https://doi.org/10.1155/arat/8814760</w:t>
      </w:r>
    </w:p>
    <w:p>
      <w:pPr/>
      <w:r>
        <w:rPr>
          <w:b/>
        </w:rPr>
        <w:t>Shared claim-specific concepts:</w:t>
      </w:r>
      <w:r>
        <w:t xml:space="preserve"> findings, recent, science; EU scope not established. This is a provisional connection, not an outcome finding.</w:t>
      </w:r>
    </w:p>
    <w:p>
      <w:pPr>
        <w:pStyle w:val="SourceNote"/>
      </w:pPr>
      <w:r>
        <w:rPr>
          <w:b/>
        </w:rPr>
        <w:t>Available abstract (not full text):</w:t>
      </w:r>
      <w:r>
        <w:t xml:space="preserve">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pPr/>
      <w:r>
        <w:rPr>
          <w:b/>
        </w:rPr>
        <w:t>POSSIBLE 2025:</w:t>
      </w:r>
      <w:r>
        <w:t xml:space="preserve"> Deep Learning Model in Science Learning: Bibliometric Analysis — https://doi.org/10.30736/seaj.v7i1.1160</w:t>
      </w:r>
    </w:p>
    <w:p>
      <w:pPr/>
      <w:r>
        <w:rPr>
          <w:b/>
        </w:rPr>
        <w:t>Shared claim-specific concepts:</w:t>
      </w:r>
      <w:r>
        <w:t xml:space="preserve"> findings, recent, science, learning; EU scope not established. This is a provisional connection, not an outcome finding.</w:t>
      </w:r>
    </w:p>
    <w:p>
      <w:pPr>
        <w:pStyle w:val="SourceNote"/>
      </w:pPr>
      <w:r>
        <w:rPr>
          <w:b/>
        </w:rPr>
        <w:t>Available abstract (not full text):</w:t>
      </w:r>
      <w:r>
        <w:t xml:space="preserve"> The deep learning model is one of the learning models that can be applied in science learning. Research related to deep learning has grown very rapidly in recent years. Research on deep learning models has produced many theoretical and empirical findings. Many trends have emerged to highlight the complexity and dynamics of deep learning models in science learning. This study aims to discover the latest trends in deep learning model research in science learning. This study uses a bibliometric approach of analysis based on the Google Scholar database. Based on this study's title, abstract, and keywords, it produced 872 studies from 2015-2024. The results of this study show that the deep learning model in this learning has increased significantly in 2022. The increase in research on deep learning models shows the importance of applying deep learning models in learning.</w:t>
      </w:r>
    </w:p>
    <w:p>
      <w:pPr/>
      <w:r>
        <w:rPr>
          <w:b/>
        </w:rPr>
        <w:t>POSSIBLE 2025:</w:t>
      </w:r>
      <w:r>
        <w:t xml:space="preserve"> Bridging the Gap: Enhancing Science Learning for Social Science Students — https://doi.org/10.62386/jised.v3i4.173</w:t>
      </w:r>
    </w:p>
    <w:p>
      <w:pPr/>
      <w:r>
        <w:rPr>
          <w:b/>
        </w:rPr>
        <w:t>Shared claim-specific concepts:</w:t>
      </w:r>
      <w:r>
        <w:t xml:space="preserve"> findings, recent, science, learning, activities, students; EU scope not established. This is a provisional connection, not an outcome finding.</w:t>
      </w:r>
    </w:p>
    <w:p>
      <w:pPr>
        <w:pStyle w:val="SourceNote"/>
      </w:pPr>
      <w:r>
        <w:rPr>
          <w:b/>
        </w:rPr>
        <w:t>Available abstract (not full text):</w:t>
      </w:r>
      <w:r>
        <w:t xml:space="preserve"> Many social science students at the Instituto Católico para a Formação de Professores (ICFP) Baucau, Timor-Leste, face difficulties when studying natural science in their second year because of their different academic backgrounds. This study aims to explore strategies that make natural science learning more accessible and engaging for these students. Using a literature review of recent research, the paper examines teaching methods that enhance motivation and understanding. Key approaches include hands-on experiments, clear explanations, interactive activities, and the use of real-life examples connected to students’ social and cultural contexts. The findings show that when science lessons are simplified, contextualized, and linked to practical experiences, students become more motivated and confident in their learning. These strategies not only improve comprehension but also make science more meaningful for learners from non-science backgrounds. The study provides recommendations for teachers at ICFP Baucau to design inclusive and engaging lessons that support social science students in successfully learning natural science</w:t>
      </w:r>
    </w:p>
    <w:p>
      <w:pPr/>
      <w:r>
        <w:rPr>
          <w:b/>
        </w:rPr>
        <w:t>POSSIBLE 2025:</w:t>
      </w:r>
      <w:r>
        <w:t xml:space="preserve"> The Effect of Size of Deep Learning Models in Science Learning — https://doi.org/10.31004/riggs.v4i2.947</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The study found out the influence of the deep learning model in science learning. This research is a type of quantitative research with a meta-analysis approach. The source of research data is 12 national journals indexed by SINTA, DOAJ or EBSCO. The eligibility criteria are that the research must be a quantitative method, the experimental method, the journal is published in 2022-2025, the research must be relevant, the participants come from elementary, junior high, high school and college students. Data analysis is quantitative analysis with the help of JASP applications. The results of this study can be concluded that there is a significant influence of the deep learning model in science learning with an effect size value of 0.915 in the high effect size category. These findings explain that the deep learning model is effectively applied at the elementary school to university education levels.</w:t>
      </w:r>
    </w:p>
    <w:p>
      <w:pPr/>
      <w:r>
        <w:rPr>
          <w:b/>
        </w:rPr>
        <w:t>POSSIBLE 2024:</w:t>
      </w:r>
      <w:r>
        <w:t xml:space="preserve"> Inflammation and Cancer: The Most Recent Findings — https://doi.org/10.31584/jhsmr.20241082</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An in-depth investigation into the complicated relationship between inflammation and cancer provided new findings. We explored new developments that shone a light on the involvement of inflammation in the emergence of many cancers in this study. What we know of this complex interaction has been shaped over time by historical observations that have transformed into molecular mechanistic findings. Understanding the importance of the invasion of immune cells in tumor micro-surroundings, gaining knowledge of the signaling mechanisms that control inflammation-induced carcinogenesis, and identifying inflammatory agents as possible biomarkers for diagnosis and the outlook may lead to novel therapeutic strategies and improved patient outcomes. The combination of immunotherapies and other treatment techniques offers a promising way to enhance therapeutic effects. The development of novel therapies like adoptive T-cell therapy and oncolytic viral therapy further emphasizes how far we have come. The need to manage immune evasion mechanisms and improve these therapeutic approaches further are still problems. We describe the intriguing possibility of using inflammation as a tool for targeted treatment for cancer in this investigation, with possibilities for better patient outcomes and alternative treatment methods.</w:t>
      </w:r>
    </w:p>
    <w:p>
      <w:pPr/>
      <w:r>
        <w:rPr>
          <w:b/>
        </w:rPr>
        <w:t>POSSIBLE 2024:</w:t>
      </w:r>
      <w:r>
        <w:t xml:space="preserve"> Recent findings in methanotrophs: genetics, molecular ecology, and biopotential — https://doi.org/10.1007/s00253-023-12978-3</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 is particularly significant in driving alterations to the worldwide climate. Methanotrophic bacteria possess the distinctive ability to employ methane as both as source of carbon and energy. These bacteria show great potential as exceptional biocatalysts in advancing C1 bioconversion technology. The present review describes recent findings in methanotrophs including aerobic and anaerobic methanotroph bacteria, phenotypic characteristics, biotechnological potential, their physiology, ecology, and native multi-carbon utilizing pathways, and their molecular biology. The existing understanding of methanogenesis and methanotrophy in soil, as well as anaerobic methane oxidation and methanotrophy in temperate and extreme environments, is also covered in this discussion. New types of methanogens and communities of methanotrophic bacteria have been identified from various ecosystems and thoroughly examined for a range of biotechnological uses. Grasping the processes of methanogenesis and methanotrophy holds significant importance in the development of innovative agricultural techniques and industrial procedures that contribute to a more favorable equilibrium of GHG. This current review centers on the diversity of emerging methanogen and methanotroph species and their effects on the environment. By amalgamating advanced genetic analysis with ecological insights, this study pioneers a h</w:t>
      </w:r>
    </w:p>
    <w:p>
      <w:pPr/>
      <w:r>
        <w:rPr>
          <w:b/>
        </w:rPr>
        <w:t>POSSIBLE 2024:</w:t>
      </w:r>
      <w:r>
        <w:t xml:space="preserve"> Students' situational engagement profiles in formal and informal science learning environments — https://doi.org/10.1002/tea.22017</w:t>
      </w:r>
    </w:p>
    <w:p>
      <w:pPr/>
      <w:r>
        <w:rPr>
          <w:b/>
        </w:rPr>
        <w:t>Shared claim-specific concepts:</w:t>
      </w:r>
      <w:r>
        <w:t xml:space="preserve"> findings, recent, science, learning, involving, students; EU scope not established. This is a provisional connection, not an outcome finding.</w:t>
      </w:r>
    </w:p>
    <w:p>
      <w:pPr>
        <w:pStyle w:val="SourceNote"/>
      </w:pPr>
      <w:r>
        <w:rPr>
          <w:b/>
        </w:rPr>
        <w:t>Available abstract (not full text):</w:t>
      </w:r>
      <w:r>
        <w:t xml:space="preserve"> Abstract Student engagement is widely considered to be a multidimensional construct consisting of behavioral, cognitive, and affective components. Recent research has examined student engagement in science learning contexts using holistic approaches that account for multidimensionality through the identification of engagement profiles. However, it is not yet clear whether identified science engagement profiles are consistent across different samples, different learning environments, or different modes of measurement. Using data from three extant datasets involving middle‐ and high‐school aged youth, we explored the consistency of students' situational engagement profiles across science learning environments (formal and informal) and modes of measurement (experience sampling and end‐of‐class reports). Results from latent profile analyses of students' behavioral, cognitive, and affective engagement identified four common profiles across the three datasets, though each dataset had its own unique profile solution (ranging from five to seven profiles). Consistent profiles across the three datasets included universally low, moderate, recreational, and full engagement. Three additional engagement profiles were identified (rational, purposeful, and busy engagement), though they emerged inconsistently across the samples. Findings speak to the applicability of conceptual frameworks of en</w:t>
      </w:r>
    </w:p>
    <w:p>
      <w:pPr/>
      <w:r>
        <w:rPr>
          <w:b/>
        </w:rPr>
        <w:t>POSSIBLE 2024:</w:t>
      </w:r>
      <w:r>
        <w:t xml:space="preserve"> Empowering student self‐regulated learning and science education through ChatGPT : A pioneering pilot study — https://doi.org/10.1111/bjet.13454</w:t>
      </w:r>
    </w:p>
    <w:p>
      <w:pPr/>
      <w:r>
        <w:rPr>
          <w:b/>
        </w:rPr>
        <w:t>Shared claim-specific concepts:</w:t>
      </w:r>
      <w:r>
        <w:t xml:space="preserve"> findings, recent, shown, science, learning, students; EU scope not established. This is a provisional connection, not an outcome finding.</w:t>
      </w:r>
    </w:p>
    <w:p>
      <w:pPr>
        <w:pStyle w:val="SourceNote"/>
      </w:pPr>
      <w:r>
        <w:rPr>
          <w:b/>
        </w:rPr>
        <w:t>Available abstract (not full text):</w:t>
      </w:r>
      <w:r>
        <w:t xml:space="preserve"> In recent years, AI technologies have been developed to promote students' self‐regulated learning (SRL) and proactive learning in digital learning environments. This paper discusses a comparative study between generative AI‐based (SRLbot) and rule‐based AI chatbots (Nemobot) in a 3‐week science learning experience with 74 Secondary 4 students in Hong Kong. The experimental group used SRLbot to maintain a regular study habit and facilitate their SRL, while the control group utilized rule‐based AI chatbots. Results showed that SRLbot effectively enhanced students' science knowledge, behavioural engagement and motivation. Quantile regression analysis indicated that the number of interactions significantly predicted variations in SRL. Students appreciated the personalized recommendations and flexibility of SRLbot, which adjusted responses based on their specific learning and SRL scenarios. The ChatGPT‐enhanced instructional design reduced learning anxiety and promoted learning performance, motivation and sustained learning habits. Students' feedback on learning challenges, psychological support and self‐regulation behaviours provided insights into their progress and experience with this technology. SRLbot's adaptability and personalized approach distinguished it from rule‐based chatbots. The findings offer valuable evidence for AI developers and educators to consider generative AI </w:t>
      </w:r>
    </w:p>
    <w:p>
      <w:pPr>
        <w:pStyle w:val="Heading2"/>
      </w:pPr>
      <w:r>
        <w:t>524.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Shorter and Warmer Winters Expand the Hibernation Area of Bats in Europe — https://doi.org/10.1111/ele.70119</w:t>
      </w:r>
    </w:p>
    <w:p>
      <w:pPr/>
      <w:r>
        <w:rPr>
          <w:b/>
        </w:rPr>
        <w:t>Shared claim-specific concepts:</w:t>
      </w:r>
      <w:r>
        <w:t xml:space="preserve"> winter, temperature, climate, area; EU scope visible. This is a provisional connection, not an outcome finding.</w:t>
      </w:r>
    </w:p>
    <w:p>
      <w:pPr>
        <w:pStyle w:val="SourceNote"/>
      </w:pPr>
      <w:r>
        <w:rPr>
          <w:b/>
        </w:rPr>
        <w:t>Available abstract (not full text):</w:t>
      </w:r>
      <w:r>
        <w:t xml:space="preserve"> Predicting species range shifts in response to environmental change requires the determination of regions where individuals maintain a positive energy budget. For hibernating animals, this budget depends on two physiological states (normothermy and torpor) that alternate in response to ambient temperature. To study range shifts of hibernators like the common noctule (Nyctalus noctula), we developed an ecophysiological approach that integrates metabolic rates, physiological states, and environmental conditions. Our model accurately hindcasted the northward range shift of this migratory bat over the past 50 years. Under climate change forecasts SSP1-2.6, SSP2-4.5, SSP3-7.0, and SSP5-8.5, for which winters will shorten by 1.4-41 days and warm by 0.11°C-2.3°C, the hibernation area is predicted to shift by 78-732 km and expand north-eastward by 5.8%-14% by 2100. Mean ambient temperature and winter duration prove sufficient to approximate the hibernation niche and may be used to predict changes in hibernation areas where collecting physiological measurements is difficult.</w:t>
      </w:r>
    </w:p>
    <w:p>
      <w:pPr/>
      <w:r>
        <w:rPr>
          <w:b/>
        </w:rPr>
        <w:t>POSSIBLE 2025:</w:t>
      </w:r>
      <w:r>
        <w:t xml:space="preserve"> Winter stratospheric extreme events impact European storm damage — https://doi.org/10.1038/s43247-025-02431-w</w:t>
      </w:r>
    </w:p>
    <w:p>
      <w:pPr/>
      <w:r>
        <w:rPr>
          <w:b/>
        </w:rPr>
        <w:t>Shared claim-specific concepts:</w:t>
      </w:r>
      <w:r>
        <w:t xml:space="preserve"> winter, increase, climate; EU scope visible. This is a provisional connection, not an outcome finding.</w:t>
      </w:r>
    </w:p>
    <w:p>
      <w:pPr>
        <w:pStyle w:val="SourceNote"/>
      </w:pPr>
      <w:r>
        <w:rPr>
          <w:b/>
        </w:rPr>
        <w:t>Available abstract (not full text):</w:t>
      </w:r>
      <w:r>
        <w:t xml:space="preserve"> Extreme stratospheric events, such as sudden stratospheric warmings or strong polar vortex events, can have a persistent influence on winter surface weather. While these changes often lead to shifts in extratropical cyclone tracks and increased risk of extreme winds, flooding, or heavy snowfall, there has been no systematic effort to quantify their associated impacts with respect to stratospheric forcing. Here we establish the connection between stratospheric extreme events and midlatitude storms in the Euro-Atlantic region using reanalysis of the European Centre for Medium-Range Weather Forecasts and impact datasets. We show that storm-related hazards in northern Europe occur more frequently following strong vortex events than after sudden stratospheric warmings. Moreover, stratospheric forcing shapes the geographic pattern of storm impacts. Quantifying these connections - from precursors to hazards and impacts - can enable earlier warnings for society and for decision-makers in sectors such as emergency preparedness, public health, energy, and water management. Stratospheric extremes might contribute to an increase in the total counts of storm-related disasters in Europe during winter, according to analysis of climate reanalysis dataset as well as impact and disaster records.</w:t>
      </w:r>
    </w:p>
    <w:p>
      <w:pPr/>
      <w:r>
        <w:rPr>
          <w:b/>
        </w:rPr>
        <w:t>POSSIBLE 2025:</w:t>
      </w:r>
      <w:r>
        <w:t xml:space="preserve"> Multidecadal variability of the ENSO early-winter teleconnection to Europe and implications for seasonal forecasting — https://doi.org/10.1038/s41612-025-01160-3</w:t>
      </w:r>
    </w:p>
    <w:p>
      <w:pPr/>
      <w:r>
        <w:rPr>
          <w:b/>
        </w:rPr>
        <w:t>Shared claim-specific concepts:</w:t>
      </w:r>
      <w:r>
        <w:t xml:space="preserve"> temperature, climate, sea; EU scope visible. This is a provisional connection, not an outcome finding.</w:t>
      </w:r>
    </w:p>
    <w:p>
      <w:pPr>
        <w:pStyle w:val="SourceNote"/>
      </w:pPr>
      <w:r>
        <w:rPr>
          <w:b/>
        </w:rPr>
        <w:t>Available abstract (not full text):</w:t>
      </w:r>
      <w:r>
        <w:t xml:space="preserve"> Abstract The impacts of the El Niño-Southern Oscillation (ENSO) on the climate of the North Atlantic and Europe (NAE) are season-dependent and, in some cases, neither symmetric nor stationary. Generally, ENSO teleconnections involve different tropospheric mechanisms, depending on the ocean background state. However, the impacts and mechanisms of the ENSO teleconnection to NAE in early-winter (November-December) remain unclear. Here, the teleconnection is analysed for different sea surface temperature background states of the Pacific Ocean. Using gridded reanalysis and observational datasets, the results reveal that the teleconnection is not stationary and has changed with the Pacific Decadal Oscillation (PDO) phase, leading to distinct impacts on the surface climate in Europe. The SEAS5 dynamical seasonal prediction model from ECMWF accurately captures ENSO as a source of early-winter predictability over Europe. Moreover, the model's teleconnection and predictive capability show multi-decadal variability. This implies the emergence of windows of opportunity for seasonal forecasting, where predictability may be higher than initially expected.</w:t>
      </w:r>
    </w:p>
    <w:p>
      <w:pPr/>
      <w:r>
        <w:rPr>
          <w:b/>
        </w:rPr>
        <w:t>POSSIBLE 2024:</w:t>
      </w:r>
      <w:r>
        <w:t xml:space="preserve"> The possible future of electric road systems in Europe—time to decide and act — https://doi.org/10.1088/2634-4505/ad3576</w:t>
      </w:r>
    </w:p>
    <w:p>
      <w:pPr/>
      <w:r>
        <w:rPr>
          <w:b/>
        </w:rPr>
        <w:t>Shared claim-specific concepts:</w:t>
      </w:r>
      <w:r>
        <w:t xml:space="preserve"> time, possible, climate; EU scope visible. This is a provisional connection, not an outcome finding.</w:t>
      </w:r>
    </w:p>
    <w:p>
      <w:pPr>
        <w:pStyle w:val="SourceNote"/>
      </w:pPr>
      <w:r>
        <w:rPr>
          <w:b/>
        </w:rPr>
        <w:t>Available abstract (not full text):</w:t>
      </w:r>
      <w:r>
        <w:t xml:space="preserve"> Abstract Electrification of road transport is crucial to limit global warming. Battery electric vehicles with stationary charging infrastructure have received considerable attention in the scientific literature for both cars and trucks, while dynamic charging via electric road systems (ERS) has received much less attention and their future role in low-carbon road transport is uncertain. Here, we envision three potential scenarios for the future of ERS in European low-carbon transport. We sketch a potential European ERS network and discuss the political, technological, and market steps needed to realize these. We argue that existing field trials, tests, and research projects have collected sufficient evidence to make the next step: Decide and act. Decision-makers will never have perfect information about all aspects of ERS or competing technologies, but the urgency of the climate crisis requires a commitment one way or the other. A clear decision with respect to ERS would send a clear directive and would help focus time, effort, and money on the necessary infrastructure and policies to implement ambitious GHG abatement targets in road transport.</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decrease, winter, increase,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pStyle w:val="Heading2"/>
      </w:pPr>
      <w:r>
        <w:t>525.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r>
        <w:rPr>
          <w:b/>
        </w:rPr>
        <w:t>POSSIBLE 2024:</w:t>
      </w:r>
      <w:r>
        <w:t xml:space="preserve"> MODELING THE ENTRY OF AIR CONTAMINANTS INTO A ROOM — https://doi.org/10.31650/2618-0650-2024-6-2-58-76</w:t>
      </w:r>
    </w:p>
    <w:p>
      <w:pPr/>
      <w:r>
        <w:rPr>
          <w:b/>
        </w:rPr>
        <w:t>Shared claim-specific concepts:</w:t>
      </w:r>
      <w:r>
        <w:t xml:space="preserve"> room, carbon, possible; EU scope not established. This is a provisional connection, not an outcome finding.</w:t>
      </w:r>
    </w:p>
    <w:p>
      <w:pPr>
        <w:pStyle w:val="SourceNote"/>
      </w:pPr>
      <w:r>
        <w:rPr>
          <w:b/>
        </w:rPr>
        <w:t>Available abstract (not full text):</w:t>
      </w:r>
      <w:r>
        <w:t xml:space="preserve"> A mathematical model of air contaminant (products of human activity) inflow into the isolated air space has been developed. On the basis of the formula modified by us the simulation of human respiration with carbon dioxide, water vapor and heat emission is implemented. The model also takes into account the heat input from the human body through clothing. Applying numerical modelling ANSYS CFD (Computational Fluid Dynamics) on the basis of continuity equations and Reynolds-Averaged Navier-Stokes equations "RANS" (Reynolds-Averaged Navier-Stokes) the following results on air medium state change in the isolated space were obtained: - the human respiratory cycle is modelled at simultaneous heat transfer from the body surface through clothes into the studied air space; - the exponential equation of the trend line of concentration to observation time was obtained; - monitoring and rendering (visualization) of changes in concentration, temperature and relative humidity in the space under study by time along the room height was performed. These results and regularities served as initial data for solving a number of model non-stationary problems on aerodynamics and heat and mass transfer in the room. The inverse problem of general exchange ventilation was to be solved. Changes in the state of the air environment initially contaminated with carbon dioxide, heat and water vapors were stud</w:t>
      </w:r>
    </w:p>
    <w:p>
      <w:pPr/>
      <w:r>
        <w:rPr>
          <w:b/>
        </w:rPr>
        <w:t>POSSIBLE 2024:</w:t>
      </w:r>
      <w:r>
        <w:t xml:space="preserve"> Modelling potential distribution of the invasive box tree moth across Asia, Europe, and North America — https://doi.org/10.1371/journal.pone.0302259</w:t>
      </w:r>
    </w:p>
    <w:p>
      <w:pPr/>
      <w:r>
        <w:rPr>
          <w:b/>
        </w:rPr>
        <w:t>Shared claim-specific concepts:</w:t>
      </w:r>
      <w:r>
        <w:t xml:space="preserve"> further, possible; EU scope visible. This is a provisional connection, not an outcome finding.</w:t>
      </w:r>
    </w:p>
    <w:p>
      <w:pPr>
        <w:pStyle w:val="SourceNote"/>
      </w:pPr>
      <w:r>
        <w:rPr>
          <w:b/>
        </w:rPr>
        <w:t>Available abstract (not full text):</w:t>
      </w:r>
      <w:r>
        <w:t xml:space="preserve"> The box tree moth Cydalima perspectalis (Walker) (Lepidoptera: Crambidae) (BTM) is a native moth throughout eastern Asia, having recently become invasive in Europe (2007) where it feeds on boxwood (= box tree), Buxus spp. The moth rapidly spread across Europe and the Caucasus causing damage to both ornamental and wild Buxus. In 2018, C. perspectalis was found in Toronto, ON, Canada, and has since spread south into the US. To better predict where the moth will establish and have significant impact on ornamental trade in North America, we used most recent scientific literature and distribution points to update the temperature and diapause indices of an existing ecoclimatic CLIMEX model. The model parameters provided a good fit for the potential distribution of BTM compared to its known distribution across eastern Asia and in Europe. Interestingly, our results suggest that the current native distribution in Asia is incomplete and that further expansion is also possible in its introduced range, especially in northern Europe, along the Mediterranean coast of Africa, and eastward to central Russia. In North America, the model predicts that most of North America should be climatically suitable for the moth's establishment, with the exception of Alaska and the northern territories of Canada, as well as higher elevations in the Rocky Mountains and southern hot and dry areas. Our study h</w:t>
      </w:r>
    </w:p>
    <w:p>
      <w:pPr/>
      <w:r>
        <w:rPr>
          <w:b/>
        </w:rPr>
        <w:t>POSSIBLE 2023:</w:t>
      </w:r>
      <w:r>
        <w:t xml:space="preserve"> Hyper-resolution PCR-GLOBWB: opportunities and challenges from refining model spatial resolution to 1 km over the European continent — https://doi.org/10.5194/hess-27-1383-2023</w:t>
      </w:r>
    </w:p>
    <w:p>
      <w:pPr/>
      <w:r>
        <w:rPr>
          <w:b/>
        </w:rPr>
        <w:t>Shared claim-specific concepts:</w:t>
      </w:r>
      <w:r>
        <w:t xml:space="preserve"> application, applied; EU scope visible. This is a provisional connection, not an outcome finding.</w:t>
      </w:r>
    </w:p>
    <w:p>
      <w:pPr>
        <w:pStyle w:val="SourceNote"/>
      </w:pPr>
      <w:r>
        <w:rPr>
          <w:b/>
        </w:rPr>
        <w:t>Available abstract (not full text):</w:t>
      </w:r>
      <w:r>
        <w:t xml:space="preserve"> Abstract. The quest for hydrological hyper-resolution modelling is already on-going for more than a decade. While global hydrological models (GHMs) have seen a reduction in grid size, thus far they never have been consistently applied at hyper-resolution (&lt;= 1km) at the large scale. Here, we present the first application of the GHM PCR-GLOBWB at 1 km over Europe. We thoroughly evaluated simulated discharge, evaporation, soil moisture, and terrestrial water storage anomalies, and subsequently compared results with the ‘established’ 10 km and 50 km resolutions of PCR-GLOBWB. Subsequently, we could assess the added value of this first hyper-resolution version of PCR-GLOBWB as well as understand model and data requirements for future improvements. We found that for most variables epistemic uncertainty is still large. Merely for simulated discharge we can confidently state that model output at hyper-resolution improves over coarser resolutions. This first large-scale hyper-resolution modelling attempt shows that applying a GHM consistently is by now feasible with improved data availability and computer power. Also, simulated discharge improves due to better representation of the river network at 1 km. However, currently available observations are not yet widely available at hyper-resolution or lack sufficiently long timeseries, which makes it difficult to assess the performance of t</w:t>
      </w:r>
    </w:p>
    <w:p>
      <w:pPr/>
      <w:r>
        <w:rPr>
          <w:b/>
        </w:rPr>
        <w:t>POSSIBLE 2023:</w:t>
      </w:r>
      <w:r>
        <w:t xml:space="preserve"> Pricing and Optimization Model of European Options — https://doi.org/10.54097/hbem.v21i.14412</w:t>
      </w:r>
    </w:p>
    <w:p>
      <w:pPr/>
      <w:r>
        <w:rPr>
          <w:b/>
        </w:rPr>
        <w:t>Shared claim-specific concepts:</w:t>
      </w:r>
      <w:r>
        <w:t xml:space="preserve"> application, applied, improve; EU scope visible. This is a provisional connection, not an outcome finding.</w:t>
      </w:r>
    </w:p>
    <w:p>
      <w:pPr>
        <w:pStyle w:val="SourceNote"/>
      </w:pPr>
      <w:r>
        <w:rPr>
          <w:b/>
        </w:rPr>
        <w:t>Available abstract (not full text):</w:t>
      </w:r>
      <w:r>
        <w:t xml:space="preserve"> Financial market forecasts are gradually gaining the attention of investors. The options market is an integral and important part. Commonly used analysis methods include traditional BS formula and CRR model. This article obtained the transaction data of SP&amp;500 from February 2013 to February 2018, used the data of the first 4 years to train the model, and finally explored the actual price and predicted value of the European call option. To forecast the stock price, a hidden Markov model (HMM) is first applied. And on this basis, improve the parameter estimation in the traditional method BS-CRR, and compare each model with the actual value of the option. Compared with the traditional model, to some extent, the Hidden Markov Model can predict the state of the stock market., get rid of the limitations of the BS model assumptions, predict the direction of the price trend, and verify the feasibility of its application in the financial field.</w:t>
      </w:r>
    </w:p>
    <w:p>
      <w:pPr>
        <w:pStyle w:val="Heading2"/>
      </w:pPr>
      <w:r>
        <w:t>526.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pStyle w:val="Heading2"/>
      </w:pPr>
      <w:r>
        <w:t>527.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r>
        <w:rPr>
          <w:b/>
        </w:rPr>
        <w:t>POSSIBLE 2025:</w:t>
      </w:r>
      <w:r>
        <w:t xml:space="preserve"> Overcoming virtual distance: a systematic review of leadership competencies for managing performance in telework — https://doi.org/10.3389/forgp.2024.1499248</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Introduction Leadership in organizations is facing important challenges related to technological and social developments. The widespread use of teleworking and remote work requires organizations to identify and develop leadership competencies adapted to this work context. This structured literature review explores empirical evidence on theleadership competencies that facilitate telework and how they contribute to achieving high levels of performance in teleworkers. Methods We analyzed 22 quantitative and 15 qualitative empirical articles (2000–2024) following PRISMA guidelines. We selected only research that concentrates on specific leadership competencies. Results The review shows that competencies oriented to decrease operational and social distance at work are positively related to individual and team task performance in organizations. There is some evidence of the relationship of those competencies with other dimensions of performance such as innovative performance or OCB. Leaders' digital communication emerges as the foremost competency, along with goal management, support and empowerment. To some extent, mechanisms such as trust, autonomy, and media usage have been found as intervening mechanisms. Moderators such as teleworkers' self-management and geographical distance have been identified. Discussion Substantial gaps in the literature were identified, including the lack</w:t>
      </w:r>
    </w:p>
    <w:p>
      <w:pPr/>
      <w:r>
        <w:rPr>
          <w:b/>
        </w:rPr>
        <w:t>POSSIBLE 2025:</w:t>
      </w:r>
      <w:r>
        <w:t xml:space="preserve"> Reflection on Indonesia's PISA Scores and the 2024 Madrasah Teacher Competency Assessment Results: Challenges in Enhancing Teacher Competence — https://doi.org/10.37630/jpi.v15i1.2559</w:t>
      </w:r>
    </w:p>
    <w:p>
      <w:pPr/>
      <w:r>
        <w:rPr>
          <w:b/>
        </w:rPr>
        <w:t>Shared claim-specific concepts:</w:t>
      </w:r>
      <w:r>
        <w:t xml:space="preserve"> found, main, lack, skills, teachers; EU scope not established. This is a provisional connection, not an outcome finding.</w:t>
      </w:r>
    </w:p>
    <w:p>
      <w:pPr>
        <w:pStyle w:val="SourceNote"/>
      </w:pPr>
      <w:r>
        <w:rPr>
          <w:b/>
        </w:rPr>
        <w:t>Available abstract (not full text):</w:t>
      </w:r>
      <w:r>
        <w:t xml:space="preserve"> The low score of Programme for International Student Assessment (PISA) of Indonesian students in 2022 is a serious concern in education. PISA results show that Indonesian students' literacy, numeracy and science skills are still below the international average. One of the factors contributing to this problem is the suboptimal quality of teachers. Based on the results of the Assessment of the Competence of Madrasah Teachers and Education Personnel in 2024, it was found that many teachers still have limitations in pedagogic, literacy and numeracy aspects. This study aims to analyse the relationship between the low PISA scores of Indonesian students and the quality of teacher competence through a descriptive approach. Using a descriptive quantitative approach, this study processes secondary data from the results of teacher competency assessments covering pedagogic, professional, social, and personality aspects. The results show that there is a significant relationship between low teacher competence and student academic achievement. Some of the main points found were weak mastery of higher-order thinking skills (HOTS)-based learning concepts, lack of innovation in learning methods, and minimal utilisation of technology in the teaching process. In addition, many teachers do not have effective strategies to improve students' literacy and numeracy skills. Efforts to improve the qualit</w:t>
      </w:r>
    </w:p>
    <w:p>
      <w:pPr/>
      <w:r>
        <w:rPr>
          <w:b/>
        </w:rPr>
        <w:t>POSSIBLE 2025:</w:t>
      </w:r>
      <w:r>
        <w:t xml:space="preserve"> Teaching competencies according to The TPACK model for chemistry teachers in Iraq — https://doi.org/10.53894/ijirss.v8i2.6071</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research aims to identify the degree of availability of teaching competencies according to the TPACK model among chemistry teachers in secondary schools in Iraq. The study used a descriptive correlational research method, with 300 teachers from day and evening secondary schools in Baghdad Al-Rusafa Governorate selected randomly for the 2022-2023 academic year. The TPACK model was used to assess teaching competencies, which consisted of 45 items across seven domains: content knowledge, educational knowledge, technological knowledge, content and educational knowledge, technology and content knowledge, technology and educational knowledge, and technology, education, and content knowledge. The results of the research showed that there is a weakness in the degree of availability of teaching competencies according to the TPACK model among chemistry teachers. The questionnaire as a whole indicated this, as shown by the results. The study found a lack of availability in areas of teaching competencies such as educational knowledge, technological knowledge, knowledge of technology and content, and knowledge of technology and education. However, the field of content knowledge was available. The researchers recommended in-service teacher training programs to integrate technology, education, and content knowledge.</w:t>
      </w:r>
    </w:p>
    <w:p>
      <w:pPr/>
      <w:r>
        <w:rPr>
          <w:b/>
        </w:rPr>
        <w:t>POSSIBLE 2025:</w:t>
      </w:r>
      <w:r>
        <w:t xml:space="preserve"> Disaster Responder Competencies for Emergency Medical Teams: A Scoping Review — https://doi.org/10.1017/s1049023x2500041x</w:t>
      </w:r>
    </w:p>
    <w:p>
      <w:pPr/>
      <w:r>
        <w:rPr>
          <w:b/>
        </w:rPr>
        <w:t>Shared claim-specific concepts:</w:t>
      </w:r>
      <w:r>
        <w:t xml:space="preserve"> found, lack, competencies, time; EU scope not established. This is a provisional connection, not an outcome finding.</w:t>
      </w:r>
    </w:p>
    <w:p>
      <w:pPr>
        <w:pStyle w:val="SourceNote"/>
      </w:pPr>
      <w:r>
        <w:rPr>
          <w:b/>
        </w:rPr>
        <w:t>Available abstract (not full text):</w:t>
      </w:r>
      <w:r>
        <w:t xml:space="preserve"> Background/Introduction: Historically, medical response efforts to large-scale disaster events have highlighted significant variability in the capabilities of responding medical providers and emergency medical teams (EMTs). Analysis of the 2010 Haiti earthquake response found that a number of medical teams were poorly prepared, inexperienced, or lacked the competencies to provide the level of medical care required, highlighting the need for medical team standards. The World Health Organization (WHO) EMT initiative that followed created minimum team standards for responding international EMTs to improve the quality and timeliness of medical services. At the present time however, there remains a lack of globally recognized minimum competency standards at the level of the individual disaster medical responder, allowing for continued variability in patient care. Objectives: This study examines existing competencies for physicians, nurses, and paramedics who are members of deployable disaster response teams. Method/Description: A scoping review of published English-language articles on existing competencies for physicians, nurses, and paramedics who are members of deployable disaster response teams was performed in Ovid MEDLINE, Ovid Embase, CINAHL, Scopus, and Web of Science Core Collection. A total of 3,474 articles will be reviewed. Results/Outcomes: Data to be analyzed by Octobe</w:t>
      </w:r>
    </w:p>
    <w:p>
      <w:pPr/>
      <w:r>
        <w:rPr>
          <w:b/>
        </w:rPr>
        <w:t>POSSIBLE 2025:</w:t>
      </w:r>
      <w:r>
        <w:t xml:space="preserve"> Managerial Competencies and Performance of Small and Medium Enterprises in Yangon, Myanmar — https://doi.org/10.35912/ijfam.v7i1.2669</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Purpose: This study explores the effect of managerial competencies on the performance of SMEs in Yangon, Myanmar. Methods: A mixed-method approach was employed, combining qualitative and quantitative data. A structured questionnaire was distributed to 370 SMEs in Yangon, selected through a stratified random sampling technique, and regression analysis was used for quantitative data. In addition, 10 participants were interviewed for the qualitative portion, and thematic analysis was applied to the qualitative data. Results: The quantitative findings indicate that managerial skills positively impact SME performance, although the influence of certain competencies on business outcomes differs depending on the firm's size. Qualitative analysis revealed that while most SMEs acknowledged the significance of conceptual and technological skills, they were less aware of the importance of human competencies. Furthermore, respondents highlighted the necessity of significant investment to promote business growth and innovation, but these requirements were largely neglected by the government. Conclusions: This study found that managerial competencies significantly influence SME performance in Yangon, with technical skills being crucial for small businesses and broader competencies for medium-sized businesses. Many SME owners lack awareness of human competencies and face ongoing challenges, pa</w:t>
      </w:r>
    </w:p>
    <w:p>
      <w:pPr>
        <w:pStyle w:val="Heading2"/>
      </w:pPr>
      <w:r>
        <w:t>528.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2025:</w:t>
      </w:r>
      <w:r>
        <w:t xml:space="preserve"> De welvaartsstaat hervormen in de 21e eeuw: Publieke steun en de politieke haalbaarheid van voorstellen voor een basisinkomen — https://openalex.org/W7113667282</w:t>
      </w:r>
    </w:p>
    <w:p>
      <w:pPr/>
      <w:r>
        <w:rPr>
          <w:b/>
        </w:rPr>
        <w:t>Shared claim-specific concepts:</w:t>
      </w:r>
      <w:r>
        <w:t xml:space="preserve"> approach, microsimulation, project, labour, traditional, increase; EU scope visible. This is a provisional connection, not an outcome finding.</w:t>
      </w:r>
    </w:p>
    <w:p>
      <w:pPr>
        <w:pStyle w:val="SourceNote"/>
      </w:pPr>
      <w:r>
        <w:rPr>
          <w:b/>
        </w:rPr>
        <w:t>Available abstract (not full text):</w:t>
      </w:r>
      <w:r>
        <w:t xml:space="preserve"> A basic income (BI) differs radically from traditional public benefits because it breaks the link between contribution and benefit on the one hand and between need and benefit on the other. Although a BI is often presented as a simple idea, discussing concrete policy proposals quickly ends in a Tower of Babel-like argument. In many of these debates, it appears that proponents, and respectively opponents, often have different types of BI schemes in mind when advocating or criticizing the idea. However, it is quite clear that the actual outcomes of a BI will depend largely on the concrete policy design in terms of eligibility, eligibility criteria, benefit levels, financing, and implementation modalities. These aspects will have a major impact on the extent to which a BI will encourage or discourage paid work or any work at all, increase or decrease gender inequality in work and care, and end the myriad problems associated with income-dependent welfare benefits. Unfortunately, we lack empirical research on many of these outcomes. This is the main focus of the BAsic income in BELgium (BABEL) project. The BABEL project aims to close the gap between dream and deed regarding basic income. The project has several objectives. First, it aims to investigate the actual labour supply effects of BI. To this end, a quasi-experimental approach is applied, where we use administrative data to e</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multidimensional, age, educational, attainment;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Monitoring socioeconomic readiness for the demographic transition: Introducing the Senior Economy Tracker — https://doi.org/10.1016/j.strueco.2024.08.007</w:t>
      </w:r>
    </w:p>
    <w:p>
      <w:pPr/>
      <w:r>
        <w:rPr>
          <w:b/>
        </w:rPr>
        <w:t>Shared claim-specific concepts:</w:t>
      </w:r>
      <w:r>
        <w:t xml:space="preserve"> multidimensional, demographic; EU scope visible. This is a provisional connection, not an outcome finding.</w:t>
      </w:r>
    </w:p>
    <w:p>
      <w:pPr>
        <w:pStyle w:val="SourceNote"/>
      </w:pPr>
      <w:r>
        <w:rPr>
          <w:b/>
        </w:rPr>
        <w:t>Available abstract (not full text):</w:t>
      </w:r>
      <w:r>
        <w:t xml:space="preserve"> Aging constitutes the dominant demographic challenge globally. The demographic transition entails a paradigm shift in the economic model to accommodate economic structures to life-expectancy gains. The socioeconomic implications from this transition remain largely undefined conceptually from an integrated perspective and unrecognized in official statistics. This study introduces a multidimensional and multi-actor reference framework, and a composite indicator, the Senior Economy Tracker (SET), to measure national readiness and progress in adapting to the demographic transition, over time and across countries. We apply our indicator to 27 European countries in 2010-2021. Our study reveals crucial differences in pathways and stages of maturity in addressing the socioeconomic impacts of aging. The proposed indicator aims to guide action to adapt economic structures to longer life spans, assist organizational and individual decision making, facilitate the development of effective policy interventions and raise awareness of the demographic transition.</w:t>
      </w:r>
    </w:p>
    <w:p>
      <w:pPr/>
      <w:r>
        <w:rPr>
          <w:b/>
        </w:rPr>
        <w:t>POSSIBLE 2024:</w:t>
      </w:r>
      <w:r>
        <w:t xml:space="preserve"> Multidimensional comparative analysis of the number of students in Poland with the view to the demographic crisis and its impact on social security — https://doi.org/10.13166/jms/199491</w:t>
      </w:r>
    </w:p>
    <w:p>
      <w:pPr/>
      <w:r>
        <w:rPr>
          <w:b/>
        </w:rPr>
        <w:t>Shared claim-specific concepts:</w:t>
      </w:r>
      <w:r>
        <w:t xml:space="preserve"> multidimensional, demographic, compared, age, educational; EU scope visible. This is a provisional connection, not an outcome finding.</w:t>
      </w:r>
    </w:p>
    <w:p>
      <w:pPr>
        <w:pStyle w:val="SourceNote"/>
      </w:pPr>
      <w:r>
        <w:rPr>
          <w:b/>
        </w:rPr>
        <w:t>Available abstract (not full text):</w:t>
      </w:r>
      <w:r>
        <w:t xml:space="preserve"> Objectives The article presents the original multidimensional comparative analysis of the number of students in terms of their population in Poland with the view to the demographic crisis and its impact on the acceptable level of social security. The demographic low in Poland is one of the largest in the European Union and the largest after the Second World War. Material and methods The research would be based mainly on the analysis of available studies and materials enabling the review and organization of information concerning the demographic crisis, the transformation of the family model and the reorganization of the education system. Primary research focused on statistical analyzes of total fertility rate, including births and deaths, marriages and divorces, and the number of children in educational institutions. Results Primary data on the number of students were grouped into voivodeships, school types and compared with the population in particular age groups. Additionally, the human population was divided into two groups of dependent variables: the number of people in cities and rural areas - men and women in particular age groups. The lack of a symmetrical distribution between the number of women and men in Poland is particularly visible in the group over 62 years of age. Conclusions The visible decline in the number of students in particular age groups from 0 to 19 year</w:t>
      </w:r>
    </w:p>
    <w:p>
      <w:pPr>
        <w:pStyle w:val="Heading2"/>
      </w:pPr>
      <w:r>
        <w:t>529.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Species traits and invasion history as predictors of freshwater fish invasion success in Europe — https://doi.org/10.3391/mbi.2025.16.1.16</w:t>
      </w:r>
    </w:p>
    <w:p>
      <w:pPr/>
      <w:r>
        <w:rPr>
          <w:b/>
        </w:rPr>
        <w:t>Shared claim-specific concepts:</w:t>
      </w:r>
      <w:r>
        <w:t xml:space="preserve"> primarily, management, established; EU scope visible. This is a provisional connection, not an outcome finding.</w:t>
      </w:r>
    </w:p>
    <w:p>
      <w:pPr>
        <w:pStyle w:val="SourceNote"/>
      </w:pPr>
      <w:r>
        <w:rPr>
          <w:b/>
        </w:rPr>
        <w:t>Available abstract (not full text):</w:t>
      </w:r>
      <w:r>
        <w:t xml:space="preserve"> Despite the growing literature on the topic of freshwater fish invasions, few studies have employed a comprehensive analysis of the stages characterizing the invasion process with reference to the invasion pathway.There is therefore a need to understand more fully invasion pathways to avoid incomplete and biased conclusions and to support adequate management strategies.This study aims to provide a complete analysis of the species traits and invasion history that are associated with the successful passage of an alien freshwater fish species through the invasion pathway stages in European river basins.To predict how likely a freshwater fish species moves from each stage of the invasion pathway (release, establishment, spread and impact) to the next, generalized linear mixed models were run, using 23 species traits and seven variables describing introduction history as predictors for 127 established alien freshwater fish species in Europe.The results showed that the release and spread stages were driven primarily by variables related to invasion history (i.e. the type and number of causes of introduction).The establishment stage was driven mainly by functional and ecological traits, while the impact stage was driven both by functional and ecological traits and invasion history.Identifying the main drivers of alien species success at each invasion stage is key to designing stage-sp</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2023:</w:t>
      </w:r>
      <w:r>
        <w:t xml:space="preserve"> Integration of migrant and refugee data in health information systems in Europe: advancing evidence, policy and practice — https://doi.org/10.1016/j.lanepe.2023.100744</w:t>
      </w:r>
    </w:p>
    <w:p>
      <w:pPr/>
      <w:r>
        <w:rPr>
          <w:b/>
        </w:rPr>
        <w:t>Shared claim-specific concepts:</w:t>
      </w:r>
      <w:r>
        <w:t xml:space="preserve"> about, not, methods, management, based; EU scope visible. This is a provisional connection, not an outcome finding.</w:t>
      </w:r>
    </w:p>
    <w:p>
      <w:pPr>
        <w:pStyle w:val="SourceNote"/>
      </w:pPr>
      <w:r>
        <w:rPr>
          <w:b/>
        </w:rPr>
        <w:t>Available abstract (not full text):</w:t>
      </w:r>
      <w:r>
        <w:t xml:space="preserve">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r>
        <w:rPr>
          <w:b/>
        </w:rPr>
        <w:t>POSSIBLE 2023:</w:t>
      </w:r>
      <w:r>
        <w:t xml:space="preserve"> Spatial assessment of topsoil zinc concentrations in Europe — https://doi.org/10.1016/j.scitotenv.2023.164512</w:t>
      </w:r>
    </w:p>
    <w:p>
      <w:pPr/>
      <w:r>
        <w:rPr>
          <w:b/>
        </w:rPr>
        <w:t>Shared claim-specific concepts:</w:t>
      </w:r>
      <w:r>
        <w:t xml:space="preserve"> showing, identify, developed; EU scope visible. This is a provisional connection, not an outcome finding.</w:t>
      </w:r>
    </w:p>
    <w:p>
      <w:pPr>
        <w:pStyle w:val="SourceNote"/>
      </w:pPr>
      <w:r>
        <w:rPr>
          <w:b/>
        </w:rPr>
        <w:t>Available abstract (not full text):</w:t>
      </w:r>
      <w:r>
        <w:t xml:space="preserve"> Zinc (Zn) is essential to sustain crop production and human health, while it can be toxic when present in excess. In this manuscript, we applied a machine learning model on 21,682 soil samples from the Land Use and Coverage Area frame Survey (LUCAS) topsoil database of 2009/2012 to assess the spatial distribution in Europe of topsoil Zn concentrations measured by aqua regia extraction, and to identify the influence of natural drivers and anthropogenic sources on topsoil Zn concentrations. As a result, a map was produced showing topsoil Zn concentrations in Europe at a resolution of 250 m. The mean predicted Zn concentration in Europe was 41 mg kg−1, with a root mean squared error of around 40 mg kg−1 calculated for independent soil samples. We identified clay content as the most important factor explaining the overall distribution of soil Zn in Europe, with lower Zn concentrations in coarser soils. Next to texture, low Zn concentrations were found in soils with low pH (e.g. Podzols), as well as in soils with pH above 8 (i.e., Calcisols). The presence of deposits and mining activities mainly explained the occurrence of relatively high Zn concentrations above 167 mg kg−1 (the one percentile highest concentrations) within 10 km from these sites. In addition, the relatively higher Zn levels found in grasslands in regions with high livestock density may point to manure as a signific</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primarily, trends, developed;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pStyle w:val="Heading2"/>
      </w:pPr>
      <w:r>
        <w:t>530.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r>
        <w:rPr>
          <w:b/>
        </w:rPr>
        <w:t>POSSIBLE 2025:</w:t>
      </w:r>
      <w:r>
        <w:t xml:space="preserve"> Antibiotic Use in Livestock Production and Progress Made with Regulations in Europe and Africa: Implications for Illness Prevention and Health Promotion — https://doi.org/10.1007/978-981-97-0821-5_104-1</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pPr/>
      <w:r>
        <w:rPr>
          <w:b/>
        </w:rPr>
        <w:t>POSSIBLE 2025:</w:t>
      </w:r>
      <w:r>
        <w:t xml:space="preserve"> Fast Fashion Sector: Business Models, Supply Chains, and European Sustainability Standards — https://doi.org/10.3390/systems13060405</w:t>
      </w:r>
    </w:p>
    <w:p>
      <w:pPr/>
      <w:r>
        <w:rPr>
          <w:b/>
        </w:rPr>
        <w:t>Shared claim-specific concepts:</w:t>
      </w:r>
      <w:r>
        <w:t xml:space="preserve"> climate, decarbonization, emissions; EU scope visible. This is a provisional connection, not an outcome finding.</w:t>
      </w:r>
    </w:p>
    <w:p>
      <w:pPr>
        <w:pStyle w:val="SourceNote"/>
      </w:pPr>
      <w:r>
        <w:rPr>
          <w:b/>
        </w:rPr>
        <w:t>Available abstract (not full text):</w:t>
      </w:r>
      <w:r>
        <w:t xml:space="preserve"> One of the core objectives of the European Green Deal in pursuing climate neutrality and sustainable development is the decarbonization of high-impact sectors. Among the most polluting is the fast fashion industry, driven by linear business models that must urgently transition to circular economy frameworks and decarbonized supply chains. Fast fashion poses significant environmental and social challenges due to its high greenhouse gas emissions, excessive resource consumption, and substantial waste generation. To foster greater sustainability within the sector, this study examines environmental indicators defined by the European Sustainability Reporting Standards (ESRS), in accordance with the EU’s Corporate Sustainability Reporting Directive (CSRD) 2022/2464. Aligned with the Global Reporting Initiative (GRI), these standards aim to harmonize sustainability disclosures and enable better decision-making across environmental, social, and governance (ESG) dimensions throughout Europe. This research focuses on five key environmental aspects—climate change, pollution, water resource management, biodiversity, and circular economy/resource use—across four leading fast fashion brands: Mango, Zara, H&amp;M, and Shein. Using an exploratory web-based methodology, this study evaluates how these companies disclose and implement ESG strategies in their supply chains. The central aim is to asses</w:t>
      </w:r>
    </w:p>
    <w:p>
      <w:pPr/>
      <w:r>
        <w:rPr>
          <w:b/>
        </w:rPr>
        <w:t>POSSIBLE 2024:</w:t>
      </w:r>
      <w:r>
        <w:t xml:space="preserve"> The urgency of hydrogen: environmental issues and the need for change — https://doi.org/10.55670/fpll.fusus.2.2.5</w:t>
      </w:r>
    </w:p>
    <w:p>
      <w:pPr/>
      <w:r>
        <w:rPr>
          <w:b/>
        </w:rPr>
        <w:t>Shared claim-specific concepts:</w:t>
      </w:r>
      <w:r>
        <w:t xml:space="preserve"> need, climate, decarbonization; EU scope not established. This is a provisional connection, not an outcome finding.</w:t>
      </w:r>
    </w:p>
    <w:p>
      <w:pPr>
        <w:pStyle w:val="SourceNote"/>
      </w:pPr>
      <w:r>
        <w:rPr>
          <w:b/>
        </w:rPr>
        <w:t>Available abstract (not full text):</w:t>
      </w:r>
      <w:r>
        <w:t xml:space="preserve"> While hydrogen adoption is progressing in different industries, challenges remain. The availability of a well-developed hydrogen infrastructure, including production, storage, and distribution, is a prerequisite for broader adoption. Additionally, cost reduction through technological advancements and economies of scale is essential to make hydrogen competitive with existing energy sources. Collaborative efforts between industry, governments, and research institutions are necessary to address these challenges. Hydrogen has the potential to play a significant role in achieving decarbonization goals and transitioning to a sustainable energy future. By completely changing to a hydrogen model, the rise in global temperatures would start to revert to a normal stage after multiple years. In light of these considerations, this article aims to comprehensively review the imperative need to transition to hydrogen fuel as a pivotal component of our sustainable energy future. Furthermore, it seeks to scrutinize and dissect the unique challenges that different regions across the globe face in embracing hydrogen as a clean energy solution. By shedding light on these challenges and emphasizing the collaborative efforts required between industry, governments, and research institutions, this article aims to contribute to the discourse on harnessing hydrogen's potential to combat climate change a</w:t>
      </w:r>
    </w:p>
    <w:p>
      <w:pPr/>
      <w:r>
        <w:rPr>
          <w:b/>
        </w:rPr>
        <w:t>POSSIBLE 2024:</w:t>
      </w:r>
      <w:r>
        <w:t xml:space="preserve"> We urgently need data for equitable personalized medicine — https://doi.org/10.1146/knowable-011724-1</w:t>
      </w:r>
    </w:p>
    <w:p>
      <w:pPr/>
      <w:r>
        <w:rPr>
          <w:b/>
        </w:rPr>
        <w:t>Shared claim-specific concepts:</w:t>
      </w:r>
      <w:r>
        <w:t xml:space="preserve"> need, information, focusing; EU scope visible. This is a provisional connection, not an outcome finding.</w:t>
      </w:r>
    </w:p>
    <w:p>
      <w:pPr>
        <w:pStyle w:val="SourceNote"/>
      </w:pPr>
      <w:r>
        <w:rPr>
          <w:b/>
        </w:rPr>
        <w:t>Available abstract (not full text):</w:t>
      </w:r>
      <w:r>
        <w:t xml:space="preserve"> Warfarin is a powerful blood thinner and a leading drug for cardiovascular disease worldwide. But in South Africa, it is among the top four drug varieties leading to hospitalization from adverse drug reactions. It’s reasonable to suppose that the drug has similar problematic effects farther across sub-Saharan Africa, though the national data needed to show it are lacking.The fact that warfarin is riskier in some populations than others isn’t a surprise. Different geographic regions tend to host people with slightly different genetic makeups, and sometimes those genetic differences lead to radically different reactions to drugs. For certain people, a higher dosage of warfarin is fine; for others, it’s dangerous. Researchers have known this for decades.The problem is that the majority of medical research, including genetic research, is still done mainly on one subset of the world’s population: men of Northern European origin. This means that negative drug-gene interactions in other, less well-studied populations can fly beneath the radar. In the case of warfarin, one study concluded that using someone’s genetic information to help guide their drug dosing would benefit 18 percent to 24 percent of people categorized as white, but have no benefit for people identified as Black, Chinese or Japanese. YOU MAY ALSO LIKE Health &amp; Disease Genes and heart disease: Finally making the link H</w:t>
      </w:r>
    </w:p>
    <w:p>
      <w:pPr>
        <w:pStyle w:val="Heading2"/>
      </w:pPr>
      <w:r>
        <w:t>531.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Review on organ-on-chips for medicines safety assessment: A European regulatory perspective — https://doi.org/10.14573/altex.2502061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Capability Development in the European Medicines Regulatory Network—A European Learning Needs Analysis and Survey Study — https://doi.org/10.1002/cpt.70158</w:t>
      </w:r>
    </w:p>
    <w:p>
      <w:pPr/>
      <w:r>
        <w:rPr>
          <w:b/>
        </w:rPr>
        <w:t>Shared claim-specific concepts:</w:t>
      </w:r>
      <w:r>
        <w:t xml:space="preserve"> medicines, agency, technological, medicinal, products, challenges; EU scope visible. This is a provisional connection, not an outcome finding.</w:t>
      </w:r>
    </w:p>
    <w:p>
      <w:pPr>
        <w:pStyle w:val="SourceNote"/>
      </w:pPr>
      <w:r>
        <w:rPr>
          <w:b/>
        </w:rPr>
        <w:t>Available abstract (not full text):</w:t>
      </w:r>
      <w:r>
        <w:t xml:space="preserve">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pPr/>
      <w:r>
        <w:rPr>
          <w:b/>
        </w:rPr>
        <w:t>POSSIBLE 2025:</w:t>
      </w:r>
      <w:r>
        <w:t xml:space="preserve"> Review on organ-on-chips for medicines safety assessment: A European regulatory perspective_suppl1 — https://doi.org/10.14573/altex.2502061s1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Horizon Scanning Methods for Identification of New and Repurposed Medicines for Stakeholders in the United Kingdom — https://doi.org/10.1002/ffo2.210</w:t>
      </w:r>
    </w:p>
    <w:p>
      <w:pPr/>
      <w:r>
        <w:rPr>
          <w:b/>
        </w:rPr>
        <w:t>Shared claim-specific concepts:</w:t>
      </w:r>
      <w:r>
        <w:t xml:space="preserve"> medicines, horizon, scanning, early, innovation; EU scope not established. This is a provisional connection, not an outcome finding.</w:t>
      </w:r>
    </w:p>
    <w:p>
      <w:pPr>
        <w:pStyle w:val="SourceNote"/>
      </w:pPr>
      <w:r>
        <w:rPr>
          <w:b/>
        </w:rPr>
        <w:t>Available abstract (not full text):</w:t>
      </w:r>
      <w:r>
        <w:t xml:space="preserve"> ABSTRACT Horizon scanning (HS) is a method for the identification of emerging change through systematic analysis of trusted sources using a defined scope and prespecified methods. In health research, it can provide early awareness of potential developments ahead of market access. Within the medicines space, HS is supported by international requirements for clinical trial registration, conduct and reporting, and by transparent regulatory processes. Potential changes can be identified at different stages of development, emerging, transitional, and imminent to launch. This paper delineates a comprehensive methodological approach for medicines HS within the transitional horizon from a national HS center, the National Institute for Health and Care Research Innovation Observatory (IO) in the United Kingdom. The UK single‐payer healthcare system supports access to medicines approved by the National Institute for Health and Care Excellence (NICE); the assessment process for this requires an early awareness program ahead of regulatory approval. We report an expansive step‐by‐step HS process at the IO that has been tailored to meet stakeholder requirements. Manual and automated methods are used in tandem to extract and sift data from clinical trial registries, industry databases and medical databases. Intensive industry engagement and news media sources are used to supplement data collec</w:t>
      </w:r>
    </w:p>
    <w:p>
      <w:pPr>
        <w:pStyle w:val="Heading2"/>
      </w:pPr>
      <w:r>
        <w:t>532.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2025:</w:t>
      </w:r>
      <w:r>
        <w:t xml:space="preserve"> Unravelling potential plant health threats for the European Union: application of horizon scanning methodology — https://doi.org/10.5194/we-25-189-2025</w:t>
      </w:r>
    </w:p>
    <w:p>
      <w:pPr/>
      <w:r>
        <w:rPr>
          <w:b/>
        </w:rPr>
        <w:t>Shared claim-specific concepts:</w:t>
      </w:r>
      <w:r>
        <w:t xml:space="preserve"> horizon, actions, areas, efsa, preparedness, challenges; EU scope visible. This is a provisional connection, not an outcome finding.</w:t>
      </w:r>
    </w:p>
    <w:p>
      <w:pPr>
        <w:pStyle w:val="SourceNote"/>
      </w:pPr>
      <w:r>
        <w:rPr>
          <w:b/>
        </w:rPr>
        <w:t>Available abstract (not full text):</w:t>
      </w:r>
      <w:r>
        <w:t xml:space="preserve"> The European Food Safety Authority (EFSA) has been conducting horizon scanning (HS) activity in the field of plant health, in collaboration with the EC Joint Research Centre (JRC) and the French Agency for Food, Environmental and Occupational Health and Safety (ANSES), since 2017. As of 2024, this activity has produced 130 reports, named newsletters. The aim of this activity is to capture signals from the web about potential threats caused by plant pests from all around the world and to convey them to European Union risk managers in support of their preparedness and timely reactions. The tool used was the Medical Information System (MedISys), a public health surveillance system that continuously monitors the content of more than 3200 scientific and media sources worldwide. The items selected for inclusion in the monthly newsletters are reviewed and validated by a team of experts, while another team carries out further analysis on specific “not-listed” pests. This analysis, PeMoScoring (short for pest and monitoring scoring), is a fast procedure based on a ranking system that warns risk managers of the potential new threats by unknown or not-listed pests. These signals can then trigger actions by risk managers: requests for more assessments by EFSA or facilitation of preventive measures. Recently, a series of workshops and webinars have been organised to foster collaboration amo</w:t>
      </w:r>
    </w:p>
    <w:p>
      <w:pPr>
        <w:pStyle w:val="Heading2"/>
      </w:pPr>
      <w:r>
        <w:t>533.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2025:</w:t>
      </w:r>
      <w:r>
        <w:t xml:space="preserve"> Export Controls and the Green Agenda in the European Union — https://doi.org/10.1017/s0020589325000119</w:t>
      </w:r>
    </w:p>
    <w:p>
      <w:pPr/>
      <w:r>
        <w:rPr>
          <w:b/>
        </w:rPr>
        <w:t>Shared claim-specific concepts:</w:t>
      </w:r>
      <w:r>
        <w:t xml:space="preserve"> evident, trade, between, agenda, objectives, progress; EU scope visible. This is a provisional connection, not an outcome finding.</w:t>
      </w:r>
    </w:p>
    <w:p>
      <w:pPr>
        <w:pStyle w:val="SourceNote"/>
      </w:pPr>
      <w:r>
        <w:rPr>
          <w:b/>
        </w:rPr>
        <w:t>Available abstract (not full text):</w:t>
      </w:r>
      <w:r>
        <w:t xml:space="preserve"> Abstract This article argues that critical and emerging technologies, evolving geopolitical dynamics and the urgent need to pursue the green agenda are changing the traditional approach of the European Union (EU) and its Member States towards their trade and security strategies, and this is particularly evident in the domain of export controls. In search of a balance between green energy, security and technological progress, this article explores the potential for a more cohesive and comprehensive regulatory framework for export controls at the EU level. It takes the debate beyond a technical level of export control lists to discuss geopolitical and strategic assumptions surrounding inter-State cooperation on the regulation of critical and emerging technologies and their components. The article underscores, in particular, the potential unintended repercussions of controls for the EU's technological future and the prospects of the green transition in Europe and beyond. Finally, it advocates for what is often overlooked in discussions: the necessity for the EU to set clear, long-term objectives for its export controls and to align them with the purposes and objectives of other EU economic instruments.</w:t>
      </w:r>
    </w:p>
    <w:p>
      <w:pPr/>
      <w:r>
        <w:rPr>
          <w:b/>
        </w:rPr>
        <w:t>POSSIBLE 2025:</w:t>
      </w:r>
      <w:r>
        <w:t xml:space="preserve"> Green Economy, Trade, and Consumers – Interactions in European Green Transition — https://doi.org/10.7494/geom.2025.19.2.25</w:t>
      </w:r>
    </w:p>
    <w:p>
      <w:pPr/>
      <w:r>
        <w:rPr>
          <w:b/>
        </w:rPr>
        <w:t>Shared claim-specific concepts:</w:t>
      </w:r>
      <w:r>
        <w:t xml:space="preserve"> trade, achieving, all, interactions, goals, achieve;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Market Power Europe and the research agenda on geopoliticisation and economic security — https://doi.org/10.1080/23745118.2025.2576708</w:t>
      </w:r>
    </w:p>
    <w:p>
      <w:pPr/>
      <w:r>
        <w:rPr>
          <w:b/>
        </w:rPr>
        <w:t>Shared claim-specific concepts:</w:t>
      </w:r>
      <w:r>
        <w:t xml:space="preserve"> between, agenda, objectives, all; EU scope visible. This is a provisional connection, not an outcome finding.</w:t>
      </w:r>
    </w:p>
    <w:p>
      <w:pPr>
        <w:pStyle w:val="SourceNote"/>
      </w:pPr>
      <w:r>
        <w:rPr>
          <w:b/>
        </w:rPr>
        <w:t>Available abstract (not full text):</w:t>
      </w:r>
      <w:r>
        <w:t xml:space="preserve"> The global system is experiencing a geopolitical turn, which is encouraging coercive policy responses from governments while fuelling the emergence of a new scholarly research agenda. To understand these changes and their potential effects on European Union (EU) institutions and policies, this article employs the conceptual framework of Market Power Europe (MPE). Guided by three central characteristics that MPE draws from the Comparative and International Political Economy literature – market size, institutional capacity and domestic interest contestation – the article undertakes a qualitative content analysis of the design and objectives of the EU's 2023 European Economic Security Strategy. The evidence shows that these three characteristics help to shape the EU's exercise of power in a geopoliticising environment and reveal the important role of external factors and increasing linkages between market and security objectives. The findings reinforce the analytical importance of considering all three characteristics of MPE, which complements the propositions raised in this Special Issue and contributes to the emerging research agenda on the new challenges of geopoliticisation and economic security.</w:t>
      </w:r>
    </w:p>
    <w:p>
      <w:pPr/>
      <w:r>
        <w:rPr>
          <w:b/>
        </w:rPr>
        <w:t>POSSIBLE 2025:</w:t>
      </w:r>
      <w:r>
        <w:t xml:space="preserve"> The Impact of European Union's Free Trade Agreements on Türkiye’s Foreign Trade: Trade Diversion — https://doi.org/10.25295/fsecon.1677273</w:t>
      </w:r>
    </w:p>
    <w:p>
      <w:pPr/>
      <w:r>
        <w:rPr>
          <w:b/>
        </w:rPr>
        <w:t>Shared claim-specific concepts:</w:t>
      </w:r>
      <w:r>
        <w:t xml:space="preserve"> trade, between, countries; EU scope visible. This is a provisional connection, not an outcome finding.</w:t>
      </w:r>
    </w:p>
    <w:p>
      <w:pPr>
        <w:pStyle w:val="SourceNote"/>
      </w:pPr>
      <w:r>
        <w:rPr>
          <w:b/>
        </w:rPr>
        <w:t>Available abstract (not full text):</w:t>
      </w:r>
      <w:r>
        <w:t xml:space="preserve"> This study investigates the trade diversion effects stemming from the European Union’s (EU) Free Trade Agreements (FTAs) with third countries—particularly Canada and Algeria—on Türkiye’s import structure. As a non-EU member bound by the EU–Türkiye Customs Union, Türkiye is compelled to align with the Common External Tariff but is systematically excluded from the EU’s bilateral trade negotiations. This institutional asymmetry creates the potential for both direct and indirect trade diversion, whereby third-country exporters route goods through the EU to exploit tariff advantages. Using detailed trade data from 2004 to 2023 and disaggregated product-level analysis across HS chapters (notably Chapters 10, 27, 28, 29, 72, 79, and 84), this study demonstrates that trade diversion is both sector-specific and tariff-sensitive. Empirical findings show strong diversionary patterns in energy-related and agricultural commodities, whereas capital goods and chemical sectors show limited or no diversion. The analysis is supported by a comparative assessment of customs duty structures and trade flows between Türkiye, Canada, and Algeria vis-à-vis the EU. Panel gravity model estimations using Poisson Pseudo Maximum Likelihood (PPML) reveal statistically significant diversion effects, confirming that Türkiye’s exclusion from the EU FTAs with Canada and Algeria has a measurable negative impact o</w:t>
      </w:r>
    </w:p>
    <w:p>
      <w:pPr/>
      <w:r>
        <w:rPr>
          <w:b/>
        </w:rPr>
        <w:t>POSSIBLE 2025:</w:t>
      </w:r>
      <w:r>
        <w:t xml:space="preserve"> Trade and Sustainable Development Between the European Union and New Zealand — https://doi.org/10.53465/ceecbe.2025.9788022552257.303-314</w:t>
      </w:r>
    </w:p>
    <w:p>
      <w:pPr/>
      <w:r>
        <w:rPr>
          <w:b/>
        </w:rPr>
        <w:t>Shared claim-specific concepts:</w:t>
      </w:r>
      <w:r>
        <w:t xml:space="preserve"> trade, between, agenda, objectives, goals; EU scope visible. This is a provisional connection, not an outcome finding.</w:t>
      </w:r>
    </w:p>
    <w:p>
      <w:pPr>
        <w:pStyle w:val="SourceNote"/>
      </w:pPr>
      <w:r>
        <w:rPr>
          <w:b/>
        </w:rPr>
        <w:t>Available abstract (not full text):</w:t>
      </w:r>
      <w:r>
        <w:t xml:space="preserve"> The bilateral Free Trade Agreement (FTA) between the European Union (EU) and New Zealand, concluded in May 2024, represents a significant advancement in their trade and economic relations. Both partners prioritize social, economic, and environmental objectives as integral components of their trade policies, reflecting shared values and a commitment to balanced growth. The paper assesses how trade policies can support environmental objectives and strengthen circular economy principles. A particular emphasis is placed on Chapter 19 of the EU-New Zealand FTA, titled "Trade and Sustainable Development" (T&amp;SD), which addresses the interface between trade policy and the goals of environmental protection and labour rights. The article evaluates the alignment of the FTA with the broader global agenda for sustainable trade.</w:t>
      </w:r>
    </w:p>
    <w:p>
      <w:pPr/>
      <w:r>
        <w:rPr>
          <w:b/>
        </w:rPr>
        <w:t>POSSIBLE 2025:</w:t>
      </w:r>
      <w:r>
        <w:t xml:space="preserve"> Curbing the European Union’s global deforestation footprint through trade — https://doi.org/10.1080/1523908x.2025.2480696</w:t>
      </w:r>
    </w:p>
    <w:p>
      <w:pPr/>
      <w:r>
        <w:rPr>
          <w:b/>
        </w:rPr>
        <w:t>Shared claim-specific concepts:</w:t>
      </w:r>
      <w:r>
        <w:t xml:space="preserve"> trade, between, objectives, extent, achieve; EU scope visible. This is a provisional connection, not an outcome finding.</w:t>
      </w:r>
    </w:p>
    <w:p>
      <w:pPr>
        <w:pStyle w:val="SourceNote"/>
      </w:pPr>
      <w:r>
        <w:rPr>
          <w:b/>
        </w:rPr>
        <w:t>Available abstract (not full text):</w:t>
      </w:r>
      <w:r>
        <w:t xml:space="preserve"> Notwithstanding their vital role in sustaining human life and well-being on Earth, there is mounting evidence that the world’s forests are under serious threat, mainly due to illegal logging and agricultural expansion. The European Union (EU), as a major importer of forest-risk commodities, bears significant responsibility for this trend of global deforestation and forest degradation. However, the EU has recently taken a first step towards addressing its consumption-driven contribution to global forest destruction by adopting the Forest Due Diligence Regulation in May 2023. This contribution provides an assessment of the new regulation, which attempts to achieve environmental conservation objectives through trade, as a novel case study of the EU’s management of the environment-trade nexus. More specifically, it enquires into the extent to which the EU has been effective in promoting environmental protection through trade under the Forest Due Diligence Regulation, considering both its institutional effectiveness and its (potential) impact effectiveness. The key finding of this analysis is that while the regulation seeks to strike a balance between environmental and trade objectives, it does not quite yet strike an appropriate balance between them.</w:t>
      </w:r>
    </w:p>
    <w:p>
      <w:pPr>
        <w:pStyle w:val="Heading2"/>
      </w:pPr>
      <w:r>
        <w:t>534.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2024:</w:t>
      </w:r>
      <w:r>
        <w:t xml:space="preserve"> Projection of the number of new lymphoma cases in the world — https://doi.org/10.1093/jjco/hyae147</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pPr/>
      <w:r>
        <w:rPr>
          <w:b/>
        </w:rPr>
        <w:t>POSSIBLE 2024:</w:t>
      </w:r>
      <w:r>
        <w:t xml:space="preserve"> Projection of the number of new cases of ovarian cancer in the world — https://doi.org/10.1093/jjco/hyad191</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estimated, number, cases, between;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Projection of the number of new brain and central nervous system cancer cases in the world — https://doi.org/10.1093/jjco/hyae165</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new brain and central nervous system cancer cases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the USA and Brazil (graph on the far left and second to the left) are to be interpreted with reference to the right Y-axis, by contrast with results for all other countries, given with reference to the left Y-axis of each graph. Figure 1 shows the trend in the estimated numbers of new brain and central nervous system cancer cases for males. In 2022, the largest number of new cases were found in China (42’398) followed by the USA (14 034) and Brazil (6381). Europe s</w:t>
      </w:r>
    </w:p>
    <w:p>
      <w:pPr/>
      <w:r>
        <w:rPr>
          <w:b/>
        </w:rPr>
        <w:t>POSSIBLE 2024:</w:t>
      </w:r>
      <w:r>
        <w:t xml:space="preserve"> Ammonia emission estimates using CrIS satellite observations over Europe — https://doi.org/10.5194/acp-24-10583-2024</w:t>
      </w:r>
    </w:p>
    <w:p>
      <w:pPr/>
      <w:r>
        <w:rPr>
          <w:b/>
        </w:rPr>
        <w:t>Shared claim-specific concepts:</w:t>
      </w:r>
      <w:r>
        <w:t xml:space="preserve"> number, use;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r>
        <w:rPr>
          <w:b/>
        </w:rPr>
        <w:t>POSSIBLE 2024:</w:t>
      </w:r>
      <w:r>
        <w:t xml:space="preserve"> Projection of the number of new cases of prostate cancer in the world — https://doi.org/10.1093/jjco/hyae030</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prostate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predicted percentage increase in the number of cases by 2040 relative to the number of cases in 2020 for each country. Figure 1 illustrates the projected trends in the estimated number of prostate cancer cases for males between 2020 and 2040. In 2020, the highest number of new cases of prostate cancer was estimated in the USA (209512), China (115426), Japan (106139) and Brazil (97278). Estimated numbers of cases were also high in European countries, ranging from 56 780 in the UK to 67 959 in Germany. In all other countries included in this report, numbers of cases of prostate cancer were much lower, with the lowest numbers estimated</w:t>
      </w:r>
    </w:p>
    <w:p>
      <w:pPr/>
      <w:r>
        <w:rPr>
          <w:b/>
        </w:rPr>
        <w:t>POSSIBLE 2024:</w:t>
      </w:r>
      <w:r>
        <w:t xml:space="preserve"> Estimating the Effective Size of European Wolf Populations — https://doi.org/10.1111/eva.70021</w:t>
      </w:r>
    </w:p>
    <w:p>
      <w:pPr/>
      <w:r>
        <w:rPr>
          <w:b/>
        </w:rPr>
        <w:t>Shared claim-specific concepts:</w:t>
      </w:r>
      <w:r>
        <w:t xml:space="preserve"> estimated, number, overall; EU scope visible. This is a provisional connection, not an outcome finding.</w:t>
      </w:r>
    </w:p>
    <w:p>
      <w:pPr>
        <w:pStyle w:val="SourceNote"/>
      </w:pPr>
      <w:r>
        <w:rPr>
          <w:b/>
        </w:rPr>
        <w:t>Available abstract (not full text):</w:t>
      </w:r>
      <w:r>
        <w:t xml:space="preserve"> ABSTRACT Molecular methods are routinely used to estimate the effective size of populations ( N e ). However, underlying model assumptions are frequently violated to an unknown extent. Although simulations can detect sources of bias and help to adjust sampling strategies and analyses methods, additional information from empirical data can also be used to calibrate methods and improve molecular N e estimation methods. Here, we take advantage of long‐term genetic and ecological monitoring data of the grey wolf ( Canis lupus ) in Germany, and detailed population genetic studies in Poland, Spain and Portugal to improve N e estimation strategies in this species, and species with similar life history traits. We first calculated N e from average lifetime reproductive success and detailed census data from the German population, which served as a baseline to compare to molecular estimates based on linkage disequilibrium and sibship frequency. This yielded a robust N e / N c estimation that we used to calibrate molecular estimates of German, Polish and Iberian wolf populations. The linkage disequilibrium method was strongly influenced by spatial genetic structure, much more than the sibship frequency method. When N e was estimated in local neighbourhoods, both methods yielded comparable results. Estimates of the metapopulation effective size seemed to correspond generally well with the s</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pStyle w:val="Heading2"/>
      </w:pPr>
      <w:r>
        <w:t>535.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Assessing teratogenic risks of gadolinium in freshwater environments: Implications for environmental health — https://doi.org/10.1016/j.ecoenv.2024.116442</w:t>
      </w:r>
    </w:p>
    <w:p>
      <w:pPr/>
      <w:r>
        <w:rPr>
          <w:b/>
        </w:rPr>
        <w:t>Shared claim-specific concepts:</w:t>
      </w:r>
      <w:r>
        <w:t xml:space="preserve"> here, assess, environmental, implications; EU scope visible. This is a provisional connection, not an outcome finding.</w:t>
      </w:r>
    </w:p>
    <w:p>
      <w:pPr>
        <w:pStyle w:val="SourceNote"/>
      </w:pPr>
      <w:r>
        <w:rPr>
          <w:b/>
        </w:rPr>
        <w:t>Available abstract (not full text):</w:t>
      </w:r>
      <w:r>
        <w:t xml:space="preserve"> Gadolinium (Gd) is among the rare earth elements extensively utilized in both industrial and medical applications. The latter application appears to contribute to the rise in Gd levels in aquatic ecosystems, as it is excreted via urine from patients undergoing MRI scans and often not captured by wastewater treatment systems. The potential environmental and biological hazards posed by gadolinium exposure are still under investigation. This study aimed to assess the teratogenic risk posed by a gadolinium chelate on the freshwater cnidarian Hydra vulgaris. The experimental design evaluated the impact of pure Gadodiamide (25 μg/l, 50 μg/l, 100 μg/l, 500 μg/l) and its commercial counterpart compound (Omniscan®; 100 μg/l, 500 μg/l, 782.7 mg/l) at varying concentrations using the Teratogenic Risk Index (TRI). Here we showed a moderate risk (Class III of TRI) following exposure to both tested formulations at concentrations ≥ 100 μg/l. Given the potential for similar concentrations in aquatic environments, particularly near wastewater discharge points, a teratogenic risk assessment using the Hydra regeneration assay was conducted on environmental samples collected from three rivers (Tiber, Almone, and Sacco) in Central Italy. Additionally, chemical analysis of field samples was performed using ICP-MS. Analysis of freshwater samples revealed low Gd concentrations (≤ 0.1 μg/l), despite lo</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here, assess, environmental, implications, approach;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Assessing the Potential for Electrification of the Food Industry and Its Implications for Environmental Sustainability — https://doi.org/10.3390/en17112602</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Electrification is one of the most promising options to align energy demand with greenhouse gas emission reduction targets set by the Paris Agreement or the EU Green Deal. Most studies on the electrification of industrial processes focus on energy and greenhouse gas emissions, while other potential environmental impacts have often been overlooked. The aim of the proposed work is therefore to highlight the benefits and drawbacks of switching to electricity, using life cycle assessment (LCA) methodology to explore more environmental issues. In addition, in order to evaluate the environmental sustainability of this transformation, the LCA results are compared with sustainability thresholds defined with two different methods, on a global scale using “sustainable levels” concept. The first method is based on current environmental impacts of the industrial processes while the second considers the economic added value. Industrial heat productions for the Danish and French food industries are used as case studies. The results show a large number of environmental trade-offs associated with electrification, some of which are leading to unsustainable levels. Sustainability thresholds based on economic added value ensure a fairer distribution between sectors, in particular by preventing the most virtuous sectors and processes from being penalised.</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here, assess, based;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multiple, approach;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Environmental and socio-economic effects of construction and demolition waste recycling in the European Union — https://doi.org/10.1016/j.scitotenv.2023.168295</w:t>
      </w:r>
    </w:p>
    <w:p>
      <w:pPr/>
      <w:r>
        <w:rPr>
          <w:b/>
        </w:rPr>
        <w:t>Shared claim-specific concepts:</w:t>
      </w:r>
      <w:r>
        <w:t xml:space="preserve"> assess, environmental, union; EU scope visible. This is a provisional connection, not an outcome finding.</w:t>
      </w:r>
    </w:p>
    <w:p>
      <w:pPr>
        <w:pStyle w:val="SourceNote"/>
      </w:pPr>
      <w:r>
        <w:rPr>
          <w:b/>
        </w:rPr>
        <w:t>Available abstract (not full text):</w:t>
      </w:r>
      <w:r>
        <w:t xml:space="preserve">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environmental, based, approach;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Assessing the socio-demographic representativeness of mobile phone application data — https://doi.org/10.1016/j.apgeog.2023.102997</w:t>
      </w:r>
    </w:p>
    <w:p>
      <w:pPr/>
      <w:r>
        <w:rPr>
          <w:b/>
        </w:rPr>
        <w:t>Shared claim-specific concepts:</w:t>
      </w:r>
      <w:r>
        <w:t xml:space="preserve"> multiple, novel, approach; EU scope not established. This is a provisional connection, not an outcome finding.</w:t>
      </w:r>
    </w:p>
    <w:p>
      <w:pPr>
        <w:pStyle w:val="SourceNote"/>
      </w:pPr>
      <w:r>
        <w:rPr>
          <w:b/>
        </w:rPr>
        <w:t>Available abstract (not full text):</w:t>
      </w:r>
      <w:r>
        <w:t xml:space="preserve"> Emerging forms of mobile phone data generated from the use of mobile phone applications have the potential to advance scientific research across a range of disciplines. However, there are risks regarding uncertainties in the socio-demographic representativeness of these data, which may introduce bias and mislead policy recommendations. This paper addresses the issue directly by developing a novel approach to assessing socio-demographic representativeness, demonstrating this with two large independent mobile phone application datasets, Huq and Tamoco, each with three years data for a large and diverse city-region (Glasgow, Scotland) home to over 1.8 million people. We advance methods for detecting home location by including high-resolution land use data in the process and test representativeness across multiple dimensions. Our findings offer greater confidence in using mobile phone app data for research and planning. Both datasets show good representativeness compared to the known population distribution. Indeed, they achieve better population coverage than the ‘gold standard’ random sample survey which is the alternative source of data on population mobility in this region. More importantly, our approach provides an improved benchmark for assessing the quality of similar data sources in the future.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here, based, approach, biomass;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pStyle w:val="Heading2"/>
      </w:pPr>
      <w:r>
        <w:t>536.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When Replication Fails: What to Conclude and Not to Conclude? — https://doi.org/10.1177/25152459241268197</w:t>
      </w:r>
    </w:p>
    <w:p>
      <w:pPr/>
      <w:r>
        <w:rPr>
          <w:b/>
        </w:rPr>
        <w:t>Shared claim-specific concepts:</w:t>
      </w:r>
      <w:r>
        <w:t xml:space="preserve"> conclude, potential, implications; EU scope not established. This is a provisional connection, not an outcome finding.</w:t>
      </w:r>
    </w:p>
    <w:p>
      <w:pPr>
        <w:pStyle w:val="SourceNote"/>
      </w:pPr>
      <w:r>
        <w:rPr>
          <w:b/>
        </w:rPr>
        <w:t>Available abstract (not full text):</w:t>
      </w:r>
      <w:r>
        <w:t xml:space="preserve">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potential, foresight, sustainable;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Leading a New Path with Foresight in China — https://doi.org/10.1002/9781394340651.ch4</w:t>
      </w:r>
    </w:p>
    <w:p>
      <w:pPr/>
      <w:r>
        <w:rPr>
          <w:b/>
        </w:rPr>
        <w:t>Shared claim-specific concepts:</w:t>
      </w:r>
      <w:r>
        <w:t xml:space="preserve"> conclude, discussing, foresight; EU scope not established. This is a provisional connection, not an outcome finding.</w:t>
      </w:r>
    </w:p>
    <w:p>
      <w:pPr>
        <w:pStyle w:val="SourceNote"/>
      </w:pPr>
      <w:r>
        <w:rPr>
          <w:b/>
        </w:rPr>
        <w:t>Available abstract (not full text):</w:t>
      </w:r>
      <w:r>
        <w:t xml:space="preserve"> The Chinese government deeply participate in the planning of social and economic activities, and allocate resources at the macro-level through each five-year plan, meanwhile raise long-term future prospects through Long-Range Objectives Through the Year 2035. Enterprises tend to follow closely with economic development goals based on the five-year plan and long-term visions, without the need to build up own foresight capability. Foresight, while offering promising future prospects, often appears idealistic and lacking in the data and analysis needed to gain their trust. The pivotal challenge lies in the measurement and validation of the foresight, a critical step to support further investment in exploring future innovation opportunities. When discussing with foresight practitioners in China, we discover that the demand for foresight as a methodology is rising at critical junctures of growth dilemma. To conclude, developing foresight literacy is a gradual but highly worthwhile journey.</w:t>
      </w:r>
    </w:p>
    <w:p>
      <w:pPr/>
      <w:r>
        <w:rPr>
          <w:b/>
        </w:rPr>
        <w:t>POSSIBLE 2024:</w:t>
      </w:r>
      <w:r>
        <w:t xml:space="preserve"> Application of Foresight Analysis Methods for Food Supply Research — https://doi.org/10.17212/2075-0862-2024-16.4.2-292-308</w:t>
      </w:r>
    </w:p>
    <w:p>
      <w:pPr/>
      <w:r>
        <w:rPr>
          <w:b/>
        </w:rPr>
        <w:t>Shared claim-specific concepts:</w:t>
      </w:r>
      <w:r>
        <w:t xml:space="preserve"> conclude, potential, foresight, approach; EU scope not established. This is a provisional connection, not an outcome finding.</w:t>
      </w:r>
    </w:p>
    <w:p>
      <w:pPr>
        <w:pStyle w:val="SourceNote"/>
      </w:pPr>
      <w:r>
        <w:rPr>
          <w:b/>
        </w:rPr>
        <w:t>Available abstract (not full text):</w:t>
      </w:r>
      <w:r>
        <w:t xml:space="preserve"> This article discusses the possibilities of using foresight analysis methods in relation to the issue of food supply. Taking into account the fact that food markets are a rather complex object of study, and food supply depends not only on quantitative (volume of consumption, total calorie intake), but also qualitative parameters (quality of nutrition, structure and macronutrient composition of the food basket, provision of micronutrients, etc.), using only quantitative, economic and statistical methods for analysis is inappropriate. The best effect can be achieved by foresight techniques that take into account non-trivial, deep connections and allow a more comprehensive look at the phenomenon under consideration. Taking into account the above, the authors systematized modern approaches to foresight analysis, considered the most effective methods, such as identifying weak signals and wild card events, and also identified the features of using these methodological approaches for analyzing food markets, which are subject to a wide range of difficult to predict climatic and technogenic factors, as well as factors of geopolitical and macroeconomic nature. An emphasis on identifying implicit connections, and also predicting key reference points that can have a decisive impact on the development of food markets, can help improve economic resilience in the face of emerging global food </w:t>
      </w:r>
    </w:p>
    <w:p>
      <w:pPr/>
      <w:r>
        <w:rPr>
          <w:b/>
        </w:rPr>
        <w:t>POSSIBLE 2023:</w:t>
      </w:r>
      <w:r>
        <w:t xml:space="preserve"> Discussing ChatGPT in education: A literature review and bibliometric analysis — https://doi.org/10.1080/2331186x.2023.2243134</w:t>
      </w:r>
    </w:p>
    <w:p>
      <w:pPr/>
      <w:r>
        <w:rPr>
          <w:b/>
        </w:rPr>
        <w:t>Shared claim-specific concepts:</w:t>
      </w:r>
      <w:r>
        <w:t xml:space="preserve"> conclude, discussing, potential; EU scope not established. This is a provisional connection, not an outcome finding.</w:t>
      </w:r>
    </w:p>
    <w:p>
      <w:pPr>
        <w:pStyle w:val="SourceNote"/>
      </w:pPr>
      <w:r>
        <w:rPr>
          <w:b/>
        </w:rPr>
        <w:t>Available abstract (not full text):</w:t>
      </w:r>
      <w:r>
        <w:t xml:space="preserve">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pPr/>
      <w:r>
        <w:rPr>
          <w:b/>
        </w:rPr>
        <w:t>POSSIBLE 2023:</w:t>
      </w:r>
      <w:r>
        <w:t xml:space="preserve"> A Brief Overview of ChatGPT: The History, Status Quo and Potential Future Development — https://doi.org/10.1109/jas.2023.123618</w:t>
      </w:r>
    </w:p>
    <w:p>
      <w:pPr/>
      <w:r>
        <w:rPr>
          <w:b/>
        </w:rPr>
        <w:t>Shared claim-specific concepts:</w:t>
      </w:r>
      <w:r>
        <w:t xml:space="preserve"> conclude, potential; EU scope not established. This is a provisional connection, not an outcome finding.</w:t>
      </w:r>
    </w:p>
    <w:p>
      <w:pPr>
        <w:pStyle w:val="SourceNote"/>
      </w:pPr>
      <w:r>
        <w:rPr>
          <w:b/>
        </w:rPr>
        <w:t>Available abstract (not full text):</w:t>
      </w:r>
      <w:r>
        <w:t xml:space="preserve">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537.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transition, emissions, show,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transition, ghg, emissions, co2;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Drivers of inequality in CO 2 per capita emissions: The role of the energy transition in the European Union — https://doi.org/10.1080/15567249.2025.2580555</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paper analyses the evolution of inequality in CO2 per capita (CO2pc) emissions in the 27 EU countries and its driving forces (1990–2018). The measure of inequality is the Theil index, which is additively decomposable by factors and population sub-groups. Along with the traditional factors (e.g. carbon intensity of the energy mix, energy intensity of GDP and GDP per capita), we introduce three new factors, namely the contribution of the electricity sector, the development of renewable energy and the progress of renewable electrification. We find that total inequality declined between 1990 and 2018. Over the whole period, carbon intensity of electricity production and renewable energy development are the main drivers of emissions inequality. In this sense, factors like energy intensity of GDP and GDP per capita are no longer so relevant to explain inequality in CO2pc emissions. Therefore, we stress the urgency of cohesion policies linked to technology transfers that ensure clean electrification of the economy, as they are crucial to fight climate change while reducing emissions inequality.</w:t>
      </w:r>
    </w:p>
    <w:p>
      <w:pPr/>
      <w:r>
        <w:rPr>
          <w:b/>
        </w:rPr>
        <w:t>POSSIBLE 2025:</w:t>
      </w:r>
      <w:r>
        <w:t xml:space="preserve"> Energy Transition and Household Carbon Emissions in China — https://doi.org/10.1111/1467-8454.12401</w:t>
      </w:r>
    </w:p>
    <w:p>
      <w:pPr/>
      <w:r>
        <w:rPr>
          <w:b/>
        </w:rPr>
        <w:t>Shared claim-specific concepts:</w:t>
      </w:r>
      <w:r>
        <w:t xml:space="preserve"> transition, emissions, show; EU scope not established. This is a provisional connection, not an outcome finding.</w:t>
      </w:r>
    </w:p>
    <w:p>
      <w:pPr>
        <w:pStyle w:val="SourceNote"/>
      </w:pPr>
      <w:r>
        <w:rPr>
          <w:b/>
        </w:rPr>
        <w:t>Available abstract (not full text):</w:t>
      </w:r>
      <w:r>
        <w:t xml:space="preserve"> ABSTRACT This paper uses CFPS 2014, 2016, and 2018 micro‐survey data to measure the level of household carbon emissions and utilizes Chinese city data to construct a composite index to measure the development level of energy transition and then empirically examines the impact of city energy transition on household carbon emissions through macro–micro data matching. It is found that the higher the index level of energy transition, the more obvious the inhibitory effect on household carbon emissions. Subsequently, the robustness test and the estimation results considering the endogeneity problem are not significantly different from the baseline regression findings. The mechanism analysis suggests that energy transition will have an indirect effect on household carbon emissions through green technology innovation, environmental regulation and the adjustment of consumer lifestyles. The heterogeneity study found that the impacts of energy transition on different household age structures, housing sizes, geographic locations and energy structures show significant differences. This paper has important policy implications for accelerating city energy transition, promoting energy structure transformation, and guiding household decarbonization.</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transition, ghg,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reduction;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pStyle w:val="Heading2"/>
      </w:pPr>
      <w:r>
        <w:t>538.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2025:</w:t>
      </w:r>
      <w:r>
        <w:t xml:space="preserve"> Health and relationship quality of sexual minorities in Europe — https://doi.org/10.1007/s00148-025-01077-4</w:t>
      </w:r>
    </w:p>
    <w:p>
      <w:pPr/>
      <w:r>
        <w:rPr>
          <w:b/>
        </w:rPr>
        <w:t>Shared claim-specific concepts:</w:t>
      </w:r>
      <w:r>
        <w:t xml:space="preserve"> rich, member, states; EU scope visible. This is a provisional connection, not an outcome finding.</w:t>
      </w:r>
    </w:p>
    <w:p>
      <w:pPr>
        <w:pStyle w:val="SourceNote"/>
      </w:pPr>
      <w:r>
        <w:rPr>
          <w:b/>
        </w:rPr>
        <w:t>Available abstract (not full text):</w:t>
      </w:r>
      <w:r>
        <w:t xml:space="preserve"> Abstract A growing body of literature investigates inequalities between sexual minorities and their heterosexual peers. This paper deals with disparities in health, health-related behaviours, and relationship quality among LGB+ individuals. We use a novel data set that allows for a wide cross-national analysis (27 EU member states) of disparities between sexual minorities and the rest of the population, as well as differences in reporting sexual orientation. We consider a rich set of social stressors, individual-specific behavioural factors, and health outcomes, as well as novel para-data (i.e., individuals’ response times) that are not available in other large surveys. The results indicate that sexual minorities are more exposed to stigma-related social stressors (both in childhood and adulthood), report worse physical and mental health conditions, feel more lonely, and are more likely to engage in coping strategies aimed at reducing or adapting to stressful conditions. Some of these findings significantly differ across gay, lesbian, and bisexual individuals and with respect to household income, the country’s enforcement of sexual minorities’ rights, and relationship status.</w:t>
      </w:r>
    </w:p>
    <w:p>
      <w:pPr/>
      <w:r>
        <w:rPr>
          <w:b/>
        </w:rPr>
        <w:t>POSSIBLE 2025:</w:t>
      </w:r>
      <w:r>
        <w:t xml:space="preserve"> Measuring Sustainability in Economic Output in the Member States that Joined the European Union in 2004 — https://doi.org/10.1016/j.sftr.2025.100724</w:t>
      </w:r>
    </w:p>
    <w:p>
      <w:pPr/>
      <w:r>
        <w:rPr>
          <w:b/>
        </w:rPr>
        <w:t>Shared claim-specific concepts:</w:t>
      </w:r>
      <w:r>
        <w:t xml:space="preserve"> member, states, energy, long-term, still, union; EU scope visible. This is a provisional connection, not an outcome finding.</w:t>
      </w:r>
    </w:p>
    <w:p>
      <w:pPr>
        <w:pStyle w:val="SourceNote"/>
      </w:pPr>
      <w:r>
        <w:rPr>
          <w:b/>
        </w:rPr>
        <w:t>Available abstract (not full text):</w:t>
      </w:r>
      <w:r>
        <w:t xml:space="preserve"> • Resource productivity (RP) is a frequently used measure of sustainability. • RP is the ratio of GDP to domestic material consumption (DMC). • RP is examined in the member states of the European Union between 2011 and 2021. • Based on the results, RP has an impact on GDP. • The RP is influenced by different factors in the member states that joined in 2004. The 2004 enlargement of the European Union (EU) marked a significant shift, integrating ten new member states, most of which had experienced economic lag due to their historical background. This study assesses the progress of these countries in closing the gap with older EU members from 2011 to 2021, focusing on resource productivity as a key indicator of sustainable economic growth. Using panel regression and structural equation modeling, the analysis highlights persistent differences between the EU-27 and EU-10. Findings suggest that in EU-27 countries, resource productivity is driven primarily by circular economy measures, waste recycling, and renewable energy utilization. In contrast, EU-10 countries, still undergoing economic transformation, rely more on innovation, human capital development, and research and development (R&amp;D) investments to enhance efficiency. Notably, while renewable energy positively impacts resource productivity in EU-27, it shows a paradoxical negative effect in EU-10, likely due to transitional in</w:t>
      </w:r>
    </w:p>
    <w:p>
      <w:pPr/>
      <w:r>
        <w:rPr>
          <w:b/>
        </w:rPr>
        <w:t>POSSIBLE 2024:</w:t>
      </w:r>
      <w:r>
        <w:t xml:space="preserve"> Understanding and addressing shortfalls in European wild bee data — https://doi.org/10.1016/j.biocon.2024.110455</w:t>
      </w:r>
    </w:p>
    <w:p>
      <w:pPr/>
      <w:r>
        <w:rPr>
          <w:b/>
        </w:rPr>
        <w:t>Shared claim-specific concepts:</w:t>
      </w:r>
      <w:r>
        <w:t xml:space="preserve"> despite, national, long-term, still;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despite, member, states, describing, energy, union;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The use of injectable orthobiologics for knee osteoarthritis: A European ESSKA‐ORBIT consensus. Part 1—Blood‐derived products (platelet‐rich plasma) — https://doi.org/10.1002/ksa.12077</w:t>
      </w:r>
    </w:p>
    <w:p>
      <w:pPr/>
      <w:r>
        <w:rPr>
          <w:b/>
        </w:rPr>
        <w:t>Shared claim-specific concepts:</w:t>
      </w:r>
      <w:r>
        <w:t xml:space="preserve"> despite, rich, very; EU scope visible. This is a provisional connection, not an outcome finding.</w:t>
      </w:r>
    </w:p>
    <w:p>
      <w:pPr>
        <w:pStyle w:val="SourceNote"/>
      </w:pPr>
      <w:r>
        <w:rPr>
          <w:b/>
        </w:rPr>
        <w:t>Available abstract (not full text):</w:t>
      </w:r>
      <w:r>
        <w:t xml:space="preserve"> PURPOSE: The aim of this European Society of Sports Traumatology, Knee Surgery and Arthroscopy (ESSKA) consensus is to provide recommendations based on evidence and expert opinion to improve indications, decision-making and administration-related aspects when using blood-derived orthobiologics (for simplicity indicated as PRP-platelet-rich plasma-with PRP being the most common product) for the management of knee osteoarthritis (OA). METHODS: Leading European expert clinicians and scientists were divided into a steering group, a rating group and a peer review group. The steering group prepared 28 question-statement sets divided into three sections: PRP rationale and indications, PRP preparation and characterisation and PRP protocol. The quality of the statements received grades of recommendation ranging from A (high-level scientific support) to B (scientific presumption), C (low-level scientific support) or D (expert opinion). The question-statement sets were then evaluated by the rating group, and the statements scored from 1 to 9 based on their degree of agreement with the statements produced by the steering group. Once a general consensus was reached between the steering and rating groups, the document was submitted to the peer review group who evaluated the geographic adaptability and approved the document. A final combined meeting of all the members of the consensus was hel</w:t>
      </w:r>
    </w:p>
    <w:p>
      <w:pPr>
        <w:pStyle w:val="Heading2"/>
      </w:pPr>
      <w:r>
        <w:t>539.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Bifenthrin Residues in Table Grapevine: Method Optimization, Dissipation and Removal of Residues in Grapes and Grape Leaves — https://doi.org/10.3390/plants13121695</w:t>
      </w:r>
    </w:p>
    <w:p>
      <w:pPr/>
      <w:r>
        <w:rPr>
          <w:b/>
        </w:rPr>
        <w:t>Shared claim-specific concepts:</w:t>
      </w:r>
      <w:r>
        <w:t xml:space="preserve"> residues, calculated, over; EU scope visible. This is a provisional connection, not an outcome finding.</w:t>
      </w:r>
    </w:p>
    <w:p>
      <w:pPr>
        <w:pStyle w:val="SourceNote"/>
      </w:pPr>
      <w:r>
        <w:rPr>
          <w:b/>
        </w:rPr>
        <w:t>Available abstract (not full text):</w:t>
      </w:r>
      <w:r>
        <w:t xml:space="preserve"> The QuEChERS method was adjusted to determine bifenthrin residues in grapes and grape leaves. Extraction and cleanup procedures were optimized to decrease co-extracted materials and enhance the detection of bifenthrin. The method was validated per the European Union (EU) Guidelines criteria. Accuracy ranged from 98.8% to 93.5% for grapes and grape leaves, respectively. Precision values were 5.5 and 6.4 (RSDr) and 7.4 and 6.7 (RSDR) for grapes and grape leaves, respectively. LOQs (the lowest spiking level) were 2 and 20 µg/kg for grapes and grape leaves, respectively. Linearity as determination coefficient (R2) values were 0.9997 and 0.9964 for grapes and grape leaves, respectively, in a matrix over 1–100 µg/L range of analyte concentration. This was very close to the value in the pure solvent (0.9999), showing the efficiency of the cleanup in removing the co-extracted and co-injected materials; the matrix effect was close to zero in both sample matrices. Dissipation of bifenthrin was studied in a supervised trial conducted in a grapevine field during the summer of 2023 at the recommended dose and double the dose. Dissipation factor k values were 0.1549 and 0.1672 (recommended dose) and 0.235 and 0.208 (double dose) for grapes and grape leaves, respectively. Pre-harvest interval (PHI) was calculated for the Maximum Residue Limit (MRL) values of the EU database. Residues of bifen</w:t>
      </w:r>
    </w:p>
    <w:p>
      <w:pPr/>
      <w:r>
        <w:rPr>
          <w:b/>
        </w:rPr>
        <w:t>POSSIBLE 2023:</w:t>
      </w:r>
      <w:r>
        <w:t xml:space="preserve"> Chemical Analysis of Gunpowder and Gunshot Residues — https://doi.org/10.3390/molecules28145550</w:t>
      </w:r>
    </w:p>
    <w:p>
      <w:pPr/>
      <w:r>
        <w:rPr>
          <w:b/>
        </w:rPr>
        <w:t>Shared claim-specific concepts:</w:t>
      </w:r>
      <w:r>
        <w:t xml:space="preserve"> residues, used, approach; EU scope not established. This is a provisional connection, not an outcome finding.</w:t>
      </w:r>
    </w:p>
    <w:p>
      <w:pPr>
        <w:pStyle w:val="SourceNote"/>
      </w:pPr>
      <w:r>
        <w:rPr>
          <w:b/>
        </w:rPr>
        <w:t>Available abstract (not full text):</w:t>
      </w:r>
      <w:r>
        <w:t xml:space="preserve"> The identification of firearms is of paramount importance for investigating crimes involving firearms, as it establishes the link between a particular firearm and firearm-related elements found at a crime scene, such as projectiles and cartridge cases. This identification relies on the visual comparison of such elements against reference samples from suspect firearms or those existing in databases. Whenever this approach is not possible, the chemical analysis of the gunpowder and gunshot residue can provide additional information that may assist in establishing a link between samples retrieved at a crime scene and those from a suspect or in the identification of the corresponding model and manufacturer of the ammunition used. The most commonly used method for the chemical analysis of gunshot residue is scanning electron microscopy with energy dispersive X-ray, which focuses on the inorganic elements present in ammunition formulation, particularly heavy metals. However, a change in the legal paradigm is pushing changes in these formulations to remove heavy metals due to their potential for environmental contamination and the health hazards they represent. For this reason, the importance of the analysis of organic compounds is leading to the adoption of a different set of analytical methodologies, mostly based on spectroscopy and chromatography. This manuscript reviews the consti</w:t>
      </w:r>
    </w:p>
    <w:p>
      <w:pPr>
        <w:pStyle w:val="Heading2"/>
      </w:pPr>
      <w:r>
        <w:t>540.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line, climate, two;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2024:</w:t>
      </w:r>
      <w:r>
        <w:t xml:space="preserve"> The uncertain world: The gift of development on the Mekong — https://doi.org/10.1017/s0026749x24000088</w:t>
      </w:r>
    </w:p>
    <w:p>
      <w:pPr/>
      <w:r>
        <w:rPr>
          <w:b/>
        </w:rPr>
        <w:t>Shared claim-specific concepts:</w:t>
      </w:r>
      <w:r>
        <w:t xml:space="preserve"> uncertain, two, other; EU scope not established. This is a provisional connection, not an outcome finding.</w:t>
      </w:r>
    </w:p>
    <w:p>
      <w:pPr>
        <w:pStyle w:val="SourceNote"/>
      </w:pPr>
      <w:r>
        <w:rPr>
          <w:b/>
        </w:rPr>
        <w:t>Available abstract (not full text):</w:t>
      </w:r>
      <w:r>
        <w:t xml:space="preserve"> Abstract Development promises change. It is fundamental to the word both in English and in Lao: an improvement towards a pre-determined goal, but it is a process that is never entirely complete. In the Lao-speaking parts of Thailand, promises of development have formed the key commitments of particular regimes: military and monarchical, neoliberal and capitalist. Each presents a future that is nationally focused, guided by a paternalistic hand, be it that of a general, monarch, or tycoon. Spirits, too, play into such regimes, ensuring that development projects will fulfil their promises and that more such projects will come. But what happens when these goals shift towards distant centres of power? Here, I examine the magico-religious aspect of these promises. As large-scale hydropower on the Mekong, part of Chinese infrastructure projects, throws the river into chaos, new regimes of development arise. In the realm of popular religion, the link between spirits and development, too, has altered, with old powers’ promises growing stale, and new ones yet to appear. And between these two conflicting orders of power—orders that collapse state and religious dimensions—emerge different pathways towards navigating the uncertain world: an appeal towards other sources of monarchical authority, a search for survival in a newly shifting and globalized realm, and a waiting for a future as ye</w:t>
      </w:r>
    </w:p>
    <w:p>
      <w:pPr/>
      <w:r>
        <w:rPr>
          <w:b/>
        </w:rPr>
        <w:t>POSSIBLE 2024:</w:t>
      </w:r>
      <w:r>
        <w:t xml:space="preserve"> The adverse role of endocrine disrupting chemicals in the reproductive system — https://doi.org/10.3389/fendo.2023.1324993</w:t>
      </w:r>
    </w:p>
    <w:p>
      <w:pPr/>
      <w:r>
        <w:rPr>
          <w:b/>
        </w:rPr>
        <w:t>Shared claim-specific concepts:</w:t>
      </w:r>
      <w:r>
        <w:t xml:space="preserve"> role, potential, other; EU scope not established. This is a provisional connection, not an outcome finding.</w:t>
      </w:r>
    </w:p>
    <w:p>
      <w:pPr>
        <w:pStyle w:val="SourceNote"/>
      </w:pPr>
      <w:r>
        <w:rPr>
          <w:b/>
        </w:rPr>
        <w:t>Available abstract (not full text):</w:t>
      </w:r>
      <w:r>
        <w:t xml:space="preserve"> Reproductive system diseases pose prominent threats to human physical and mental well-being. Besides being influenced by genetic material regulation and changes in lifestyle, the occurrence of these diseases is closely connected to exposure to harmful substances in the environment. Endocrine disrupting chemicals (EDCs), characterized by hormone-like effects, have a wide range of influences on the reproductive system. EDCs are ubiquitous in the natural environment and are present in a wide range of industrial and everyday products. Currently, thousands of chemicals have been reported to exhibit endocrine effects, and this number is likely to increase as the testing for potential EDCs has not been consistently required, and obtaining data has been limited, partly due to the long latency of many diseases. The ability to avoid exposure to EDCs, especially those of artificially synthesized origin, is increasingly challenging. While EDCs can be divided into persistent and non-persistent depending on their degree of degradation, due to the recent uptick in research studies in this area, we have chosen to focus on the research pertaining to the detrimental effects on reproductive health of exposure to several EDCs that are widely encountered in daily life over the past six years, specifically bisphenol A (BPA), phthalates (PAEs), polychlorinated biphenyls (PCBs), parabens, pesticides, </w:t>
      </w:r>
    </w:p>
    <w:p>
      <w:pPr>
        <w:pStyle w:val="Heading2"/>
      </w:pPr>
      <w:r>
        <w:t>541.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2025:</w:t>
      </w:r>
      <w:r>
        <w:t xml:space="preserve"> The Mediating Role of Climate Targets in Corporate Emission Reductions — https://doi.org/10.1002/bse.70364</w:t>
      </w:r>
    </w:p>
    <w:p>
      <w:pPr/>
      <w:r>
        <w:rPr>
          <w:b/>
        </w:rPr>
        <w:t>Shared claim-specific concepts:</w:t>
      </w:r>
      <w:r>
        <w:t xml:space="preserve"> climate, target, carbon; EU scope not established. This is a provisional connection, not an outcome finding.</w:t>
      </w:r>
    </w:p>
    <w:p>
      <w:pPr>
        <w:pStyle w:val="SourceNote"/>
      </w:pPr>
      <w:r>
        <w:rPr>
          <w:b/>
        </w:rPr>
        <w:t>Available abstract (not full text):</w:t>
      </w:r>
      <w:r>
        <w:t xml:space="preserve"> ABSTRACT Corporations worldwide increasingly commit to Sustainable Development Goal 13 (SDG 13), yet the extent to which such commitments translate into measurable greenhouse gas (GHG) reductions remains uncertain. Drawing on Institutional and Legitimacy Theory, this paper examines the mediating role of climate targets in the relationship between SDG 13 adoption and corporate emission outcomes. We compile a balanced panel of 152 publicly listed firms across 32 countries and seven carbon‐intensive industries, resulting in 760 firm‐year observations for the period 2020–2024, using data from Refinitiv Datastream. Structural equation modeling (SEM) is employed to test whether long‐term and short‐term GHG emission reduction targets serve as pathways through which SDG 13 commitments affect subsequent GHG performance. Our results show that SDG 13 adoption strongly predicts the establishment of long‐term targets, which are significantly associated with lower emissions. By contrast, short‐term targets are less frequently adopted and display weaker effects. Temporal analysis indicates a rapid institutionalization of SDG 13 commitments and target adoption during the 2020–2024 period, consistent with coercive, normative, and mimetic pressures. These findings suggest that while visible commitments enhance legitimacy, substantive emission reductions require embedding long‐term targets into c</w:t>
      </w:r>
    </w:p>
    <w:p>
      <w:pPr/>
      <w:r>
        <w:rPr>
          <w:b/>
        </w:rPr>
        <w:t>POSSIBLE 2024:</w:t>
      </w:r>
      <w:r>
        <w:t xml:space="preserve"> Transformation of Peatland Management Toward Climate Targets in Europe — https://doi.org/10.34133/ehs.0239</w:t>
      </w:r>
    </w:p>
    <w:p>
      <w:pPr/>
      <w:r>
        <w:rPr>
          <w:b/>
        </w:rPr>
        <w:t>Shared claim-specific concepts:</w:t>
      </w:r>
      <w:r>
        <w:t xml:space="preserve"> stringent, climate, target, carbon, implementing, support;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Delivering a Climate Neutral Europe — https://doi.org/10.4324/9781003493730</w:t>
      </w:r>
    </w:p>
    <w:p>
      <w:pPr/>
      <w:r>
        <w:rPr>
          <w:b/>
        </w:rPr>
        <w:t>Shared claim-specific concepts:</w:t>
      </w:r>
      <w:r>
        <w:t xml:space="preserve"> climate, carbon, implementing;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Delivering a Climate Neutral Europe — https://openalex.org/W7074700863</w:t>
      </w:r>
    </w:p>
    <w:p>
      <w:pPr/>
      <w:r>
        <w:rPr>
          <w:b/>
        </w:rPr>
        <w:t>Shared claim-specific concepts:</w:t>
      </w:r>
      <w:r>
        <w:t xml:space="preserve"> climate, carbon, implementing;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2023:</w:t>
      </w:r>
      <w:r>
        <w:t xml:space="preserve"> Towards a climate-resilient healthy future: the Lancet Countdown in Europe — https://doi.org/10.5194/egusphere-egu23-13565</w:t>
      </w:r>
    </w:p>
    <w:p>
      <w:pPr/>
      <w:r>
        <w:rPr>
          <w:b/>
        </w:rPr>
        <w:t>Shared claim-specific concepts:</w:t>
      </w:r>
      <w:r>
        <w:t xml:space="preserve"> stringent, climate, carbon, implementing, support, several; EU scope visible. This is a provisional connection, not an outcome finding.</w:t>
      </w:r>
    </w:p>
    <w:p>
      <w:pPr>
        <w:pStyle w:val="SourceNote"/>
      </w:pPr>
      <w:r>
        <w:rPr>
          <w:b/>
        </w:rPr>
        <w:t>Available abstract (not full text):</w:t>
      </w:r>
      <w:r>
        <w:t xml:space="preserve"> Introduction: As one of the major contributors to global greenhouse gas emissions and the world’s third largest economy, Europe is a key stakeholder in the world’s response to climate change and has a global responsibility and opportunity to transition towards a low-carbon economy for healthier, more resilient societies with clean air and liveable cities. The Lancet Countdown in Europe is the first comprehensive assessment that monitors health and climate change over space and time in Europe reporting on 33 indicators focusing on (section 1) impact, exposure, and vulnerability; (section 2) adaption, planning and resilience; (section 3) mitigation actions and health co-benefits; (section 4) economics and finance; and (section 5) politics and governance. Results: Health risks (section 1) for almost all indicators tracked have been increasing. Illustratively, clinically relevant pollen seasons are starting 10-20 days earlier each year (1981-2020), the climatic suitability for water-borne and vector-borne diseases (e.g., malaria, dengue, Vibrio) have been rapidly increasing (1951-2020), and - assuming no adaptation - heat exposure is estimated to have increased by 57% between the first and second half of the 21st century. However, some encouraging trends for adaptation (section 2) could be observed - with countries adopting adaptation plans for health (15/22 assessed in 2021), citi</w:t>
      </w:r>
    </w:p>
    <w:p>
      <w:pPr/>
      <w:r>
        <w:rPr>
          <w:b/>
        </w:rPr>
        <w:t>POSSIBLE 2023:</w:t>
      </w:r>
      <w:r>
        <w:t xml:space="preserve"> COSTS AND BENEFITS OF THE PARIS CLIMATE TARGETS — https://doi.org/10.1142/s2010007823400031</w:t>
      </w:r>
    </w:p>
    <w:p>
      <w:pPr/>
      <w:r>
        <w:rPr>
          <w:b/>
        </w:rPr>
        <w:t>Shared claim-specific concepts:</w:t>
      </w:r>
      <w:r>
        <w:t xml:space="preserve"> climate, carbon, rate, implementation; EU scope not established. This is a provisional connection, not an outcome finding.</w:t>
      </w:r>
    </w:p>
    <w:p>
      <w:pPr>
        <w:pStyle w:val="SourceNote"/>
      </w:pPr>
      <w:r>
        <w:rPr>
          <w:b/>
        </w:rPr>
        <w:t>Available abstract (not full text):</w:t>
      </w:r>
      <w:r>
        <w:t xml:space="preserve"> The temperature targets in the Paris Agreement cannot be met without very rapid reduction of greenhouse gas emissions and removal of carbon dioxide from the atmosphere. The latter requires large, perhaps prohibitively large subsidies. The central estimate of the costs of climate policy, unrealistically assuming least-cost implementation, is 3.8–5.6% of GDP in 2100. The central estimate of the benefits of climate policy, unrealistically assuming high no-policy emissions and constant vulnerability, is 2.8–3.2% of GDP. The uncertainty about the benefits is larger than the uncertainty about the costs. The Paris targets do not pass the cost-benefit test unless risk aversion is high and discount rate low.</w:t>
      </w:r>
    </w:p>
    <w:p>
      <w:pPr/>
      <w:r>
        <w:rPr>
          <w:b/>
        </w:rPr>
        <w:t>POSSIBLE 2023:</w:t>
      </w:r>
      <w:r>
        <w:t xml:space="preserve"> Pharmaceutical Company Targets and Strategies to Address Climate Change: Content Analysis of Public Reports from 20 Pharmaceutical Companies — https://doi.org/10.3390/ijerph20043206</w:t>
      </w:r>
    </w:p>
    <w:p>
      <w:pPr/>
      <w:r>
        <w:rPr>
          <w:b/>
        </w:rPr>
        <w:t>Shared claim-specific concepts:</w:t>
      </w:r>
      <w:r>
        <w:t xml:space="preserve"> climate, carbon, reduce, implementation, neutrality; EU scope not established. This is a provisional connection, not an outcome finding.</w:t>
      </w:r>
    </w:p>
    <w:p>
      <w:pPr>
        <w:pStyle w:val="SourceNote"/>
      </w:pPr>
      <w:r>
        <w:rPr>
          <w:b/>
        </w:rPr>
        <w:t>Available abstract (not full text):</w:t>
      </w:r>
      <w:r>
        <w:t xml:space="preserve"> The pharmaceutical industry produces a large proportion of health system greenhouse gas (GHG) emissions, contributing to climate change. This urgently needs to be addressed. We aimed to examine pharmaceutical company climate change targets, GHG emissions, and strategies to reduce them. We performed content analysis of the 20 largest pharmaceutical companies' publicly available 2020/2021 reports, focusing on extracting information on their reported climate change targets, GHG emissions (and whether companies had demonstrated any reduction in emissions over their reporting period), and strategies being implemented to reduce company emissions and meet their targets. Nineteen companies have committed to reducing GHG emissions, ten to carbon neutrality and eight to net zero emissions between 2025 and 2050. Companies showed largely favorable reductions in scope 1 (in-house) and scope 2 (purchased energy), with variable results in scope 3 (supply chain) emissions. Strategies to reduce emissions included optimizing manufacturing and distribution, and responsible sourcing of energy, water, and raw materials. Pharmaceutical companies are setting climate change targets and reporting reduced emissions via a range of strategies. This varies, with scope to track actions and accountability to targets, improve consistency of reporting, especially of scope 3 emissions, and collaborate on novel </w:t>
      </w:r>
    </w:p>
    <w:p>
      <w:pPr>
        <w:pStyle w:val="Heading2"/>
      </w:pPr>
      <w:r>
        <w:t>542.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2025:</w:t>
      </w:r>
      <w:r>
        <w:t xml:space="preserve"> The role of nuclear energy in reducing carbon dioxide emissions — https://doi.org/10.5937/pim25235g</w:t>
      </w:r>
    </w:p>
    <w:p>
      <w:pPr/>
      <w:r>
        <w:rPr>
          <w:b/>
        </w:rPr>
        <w:t>Shared claim-specific concepts:</w:t>
      </w:r>
      <w:r>
        <w:t xml:space="preserve"> nuclear, energy, low-carbon, electricity, source, power; EU scope not established. This is a provisional connection, not an outcome finding.</w:t>
      </w:r>
    </w:p>
    <w:p>
      <w:pPr>
        <w:pStyle w:val="SourceNote"/>
      </w:pPr>
      <w:r>
        <w:rPr>
          <w:b/>
        </w:rPr>
        <w:t>Available abstract (not full text):</w:t>
      </w:r>
      <w:r>
        <w:t xml:space="preserve"> Nuclear energy plays an important role in reducing carbon dioxide (CO₂) emissions since it allows the production of large amounts of electricity without the direct combustion of fossil fuels. Unlike coal and gas-fired power plants, nuclear power plants do not emit CO₂ during the operation, making them a significant factor in the fight against climate change. Furthermore, unlike renewable sources that depend on weather conditions, nuclear energy provides a stable and reliable source of electricity generation. Although there are challenges, such as solutions for radioactive waste and high initial costs, advancements in technology, particularly the development of fourth-generation reactors and small modular reactors, could further enhance the sustainability of this energy source. In combination with renewable sources, nuclear energy can contribute to reducing global fossil fuel consumption and facilitate the transition to a low-carbon economy.</w:t>
      </w:r>
    </w:p>
    <w:p>
      <w:pPr/>
      <w:r>
        <w:rPr>
          <w:b/>
        </w:rPr>
        <w:t>POSSIBLE 2025:</w:t>
      </w:r>
      <w:r>
        <w:t xml:space="preserve"> Resolving China's Energy Trilemma: Nuclear Power Synergy in the Dual-Carbon Transition — https://doi.org/10.1051/matecconf/202541001016</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China currently accounts for the largest share of global CO₂ emissions, faces immense pressure to achieve its “dual-carbon” goals amid a coal-dominated energy structure and rising emissions. The energy trilemma theory highlights inherent conflicts among energy security, affordability, and sustainability, yet existing studies inadequately address regional heterogeneity and dynamic synergies. This study evaluates China’s energy transition pathways by analyzing the trade-offs and synergies of photovoltaic, wind, and nuclear power within the trilemma framework. Through a comparative analysis of technical efficiency, economic costs, and environmental impacts, we demonstrate that nuclear power outperforms renewables in stability (7,805 annual utilization hours vs. 2,127 for wind), cost-effectiveness (¥0.28/kWh levelized cost), and near-zero emissions. Despite challenges in waste management and public acceptance, nuclear energy’s high energy density and grid reliability position it as a critical solution for balancing the trilemma. The findings advocate for prioritizing advanced nuclear technologies and stringent regulatory frameworks to accelerate decarbonization while ensuring energy security.</w:t>
      </w:r>
    </w:p>
    <w:p>
      <w:pPr/>
      <w:r>
        <w:rPr>
          <w:b/>
        </w:rPr>
        <w:t>POSSIBLE 2024:</w:t>
      </w:r>
      <w:r>
        <w:t xml:space="preserve"> Imperatives of Nuclear Energy in India's Clean Energy Transition — https://doi.org/10.11610/connections.23.3.03</w:t>
      </w:r>
    </w:p>
    <w:p>
      <w:pPr/>
      <w:r>
        <w:rPr>
          <w:b/>
        </w:rPr>
        <w:t>Shared claim-specific concepts:</w:t>
      </w:r>
      <w:r>
        <w:t xml:space="preserve"> nuclear, energy, low-carbon, electricity, source, increase; EU scope not established. This is a provisional connection, not an outcome finding.</w:t>
      </w:r>
    </w:p>
    <w:p>
      <w:pPr>
        <w:pStyle w:val="SourceNote"/>
      </w:pPr>
      <w:r>
        <w:rPr>
          <w:b/>
        </w:rPr>
        <w:t>Available abstract (not full text):</w:t>
      </w:r>
      <w:r>
        <w:t xml:space="preserve">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pPr/>
      <w:r>
        <w:rPr>
          <w:b/>
        </w:rPr>
        <w:t>POSSIBLE 2024:</w:t>
      </w:r>
      <w:r>
        <w:t xml:space="preserve"> Prospects of Nuclear Energy for Clean and Sustainable Energy Development in Rwanda — https://doi.org/10.11648/j.ns.20240904.11</w:t>
      </w:r>
    </w:p>
    <w:p>
      <w:pPr/>
      <w:r>
        <w:rPr>
          <w:b/>
        </w:rPr>
        <w:t>Shared claim-specific concepts:</w:t>
      </w:r>
      <w:r>
        <w:t xml:space="preserve"> nuclear, energy, electricity, source, current; EU scope not established. This is a provisional connection, not an outcome finding.</w:t>
      </w:r>
    </w:p>
    <w:p>
      <w:pPr>
        <w:pStyle w:val="SourceNote"/>
      </w:pPr>
      <w:r>
        <w:rPr>
          <w:b/>
        </w:rPr>
        <w:t>Available abstract (not full text):</w:t>
      </w:r>
      <w:r>
        <w:t xml:space="preserve"> Rwanda, just like many other developing countries, still faces challenges in the energy sector. The country is still not able to supply reliable and affordable electricity to meet the current and future energy needs, as a result of rapid economic growth, increasing population and urbanization. Rwanda currently has limited generation resources, particularly during the dry season, when several hydropower stations are experiencing water shortages. Sometimes, leased diesel generation is needed to meet peak demand, which comes at a hefty cost. Efforts are being made to determine the true number of existing resources in the country for energy generation. Diversifying sources of energy inevitably becomes a strategic option. Rwanda has decided to embark on an ambitious programme for nuclear development as one of the alternatives to tackle energy challenges. This paper briefly presents plans featuring in the nuclear science and technology programme with the ultimate goal to leverage nuclear applications for sustainable social-economic development. A review of the country’s energy sector status is presented with focus on prospects of the nuclear programme as the solution to the country’s high energy demand and applications in different socio-economic sectors. In efforts to join the rest of world in the “net zero” greenhouse gas emission by 2050, Rwanda embraces the perspective under whic</w:t>
      </w:r>
    </w:p>
    <w:p>
      <w:pPr/>
      <w:r>
        <w:rPr>
          <w:b/>
        </w:rPr>
        <w:t>POSSIBLE 2024:</w:t>
      </w:r>
      <w:r>
        <w:t xml:space="preserve"> Sustainability of Nuclear Energy—A Critical Review from a UK Perspective — https://doi.org/10.3390/su162410952</w:t>
      </w:r>
    </w:p>
    <w:p>
      <w:pPr/>
      <w:r>
        <w:rPr>
          <w:b/>
        </w:rPr>
        <w:t>Shared claim-specific concepts:</w:t>
      </w:r>
      <w:r>
        <w:t xml:space="preserve"> nuclear, energy, low-carbon, electricity, source, overall; EU scope not established. This is a provisional connection, not an outcome finding.</w:t>
      </w:r>
    </w:p>
    <w:p>
      <w:pPr>
        <w:pStyle w:val="SourceNote"/>
      </w:pPr>
      <w:r>
        <w:rPr>
          <w:b/>
        </w:rPr>
        <w:t>Available abstract (not full text):</w:t>
      </w:r>
      <w:r>
        <w:t xml:space="preserve"> Many countries, including the United Kingdom, have committed to reaching “net zero” emissions by 2050. To meet this challenge requires urgent deployment of low-carbon energy-generating technologies, not just for electricity generation but also other sectors, including transportation and heating. However, this will only be successful if the other two pillars of sustainability (social and economic impacts) are balanced with the environmental drivers. All energy-generation technologies have benefits and drawbacks, and these must be objectively and fairly assessed using a “level playing field” approach. Nuclear energy has benefits that are complementary to renewables and thus can play a valuable role in delivering large amounts of low-carbon energy globally. However, critics of nuclear energy raise concerns related to safety (and security), radioactive waste management, and economics that have challenged its acceptance as a sustainable energy source in some quarters. Nevertheless, objective consideration of sustainability in global energy needs and the different generating technologies clearly indicate a valuable role for nuclear energy in a sustainable and low-carbon future. It is concluded that nuclear energy should be recognised as “sustainable”, and the analysis shows that energy portfolios incorporating nuclear provide the most sustainable system overall.</w:t>
      </w:r>
    </w:p>
    <w:p>
      <w:pPr/>
      <w:r>
        <w:rPr>
          <w:b/>
        </w:rPr>
        <w:t>POSSIBLE 2024:</w:t>
      </w:r>
      <w:r>
        <w:t xml:space="preserve"> Nexus between Nuclear Energy, Economic Growth, and Greenhouse Gas Emissions in India — https://doi.org/10.32479/ijeep.15347</w:t>
      </w:r>
    </w:p>
    <w:p>
      <w:pPr/>
      <w:r>
        <w:rPr>
          <w:b/>
        </w:rPr>
        <w:t>Shared claim-specific concepts:</w:t>
      </w:r>
      <w:r>
        <w:t xml:space="preserve"> nuclear, energy, increase, power; EU scope not established. This is a provisional connection, not an outcome finding.</w:t>
      </w:r>
    </w:p>
    <w:p>
      <w:pPr>
        <w:pStyle w:val="SourceNote"/>
      </w:pPr>
      <w:r>
        <w:rPr>
          <w:b/>
        </w:rPr>
        <w:t>Available abstract (not full text):</w:t>
      </w:r>
      <w:r>
        <w:t xml:space="preserve"> The escalating demand for fossil fuels in India has resulted in a significant strain on the environment due to the amplified emissions of greenhouse gases (GHGs). Nevertheless, India possesses a significant capacity for nuclear energy, as seen by its 22 operational nuclear reactors. This capacity holds promise for reducing GHG emissions. This research utilized a dataset spanning from 1969 to 2021 to examine the impact of nuclear energy utilization on GHG emissions. The study also aimed to verify the validity of the environmental Kuznets curve (EKC) hypothesis in India, employing the Autoregressive Distributive Lag (ARDL) model. The findings suggest that the EKC is applicable to India. Furthermore, it has been observed that a marginal increase of 1% in the use of nuclear energy leads to a reduction of GHG by 0.02% in the immediate term and 0.16% in the long term. This finding highlights the significance of expanding nuclear power as a crucial policy objective in order to attain environmentally friendly and sustainable economic development.</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even, power, now;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A Comprehensive Review of Green Energy Technologies: Towards Sustainable Clean Energy Transition and Global Net-Zero Carbon Emissions — https://doi.org/10.3390/pr13010069</w:t>
      </w:r>
    </w:p>
    <w:p>
      <w:pPr/>
      <w:r>
        <w:rPr>
          <w:b/>
        </w:rPr>
        <w:t>Shared claim-specific concepts:</w:t>
      </w:r>
      <w:r>
        <w:t xml:space="preserve"> nuclear, energy, source, overall; EU scope not established. This is a provisional connection, not an outcome finding.</w:t>
      </w:r>
    </w:p>
    <w:p>
      <w:pPr>
        <w:pStyle w:val="SourceNote"/>
      </w:pPr>
      <w:r>
        <w:rPr>
          <w:b/>
        </w:rPr>
        <w:t>Available abstract (not full text):</w:t>
      </w:r>
      <w:r>
        <w:t xml:space="preserve"> The present paper seeks to showcase the significant potential of alternative energy technologies in driving clean energy transition. Renewable energy sources, including hydro, geothermal, biomass, solar, and wind energy, are developed and marketed as low- or non-carbon alternatives to conventional energy sources. However, the high upfront costs of these energy resources, coupled with their intermittency, are demerits that must be dealt with. Since certain nuclear technologies generate significantly less waste than coal and oil, nuclear energy is occasionally regarded as a green energy source, though the primary source of nuclear energy, namely uranium, is a finite resource. The main goal of developing green energy technologies is to provide energy in a sustainable manner while cutting down on waste and greenhouse gas emissions, thus reducing the overall carbon footprint of energy production.</w:t>
      </w:r>
    </w:p>
    <w:p>
      <w:pPr>
        <w:pStyle w:val="Heading2"/>
      </w:pPr>
      <w:r>
        <w:t>543.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r>
        <w:rPr>
          <w:b/>
        </w:rPr>
        <w:t>POSSIBLE 2024:</w:t>
      </w:r>
      <w:r>
        <w:t xml:space="preserve"> Industry Experts’ Perspectives on the Difficulties and Opportunities of the Integration of Bio-Based Insulation Materials in the European Construction Sector — https://doi.org/10.3390/su16177314</w:t>
      </w:r>
    </w:p>
    <w:p>
      <w:pPr/>
      <w:r>
        <w:rPr>
          <w:b/>
        </w:rPr>
        <w:t>Shared claim-specific concepts:</w:t>
      </w:r>
      <w:r>
        <w:t xml:space="preserve"> building, experts, perceptions, well, environmental; EU scope visible. This is a provisional connection, not an outcome finding.</w:t>
      </w:r>
    </w:p>
    <w:p>
      <w:pPr>
        <w:pStyle w:val="SourceNote"/>
      </w:pPr>
      <w:r>
        <w:rPr>
          <w:b/>
        </w:rPr>
        <w:t>Available abstract (not full text):</w:t>
      </w:r>
      <w:r>
        <w:t xml:space="preserve"> This paper explores the current status of bio-based insulation materials (BbIMs) integration in Europe, through structured online questionnaires. with industry experts. The findings show that the main common difficulties are obtaining European Conformity (CE) marking, high costs, a skills gap, a lack of trained builders, and slow acceptance from industry decision-makers. On the other hand, the main common opportunities are the gradual improvement with certain supportive policies and incentives, the growing environmental awareness, thermal, acoustic, and environmental performance, long-term cost savings and value, and increasing educational initiatives, advertising, and awareness campaigns. The finding also emphasizes the critical role that users and buyers play in the adoption of these materials as a potential driver and barrier. The professionals suggest strengthening environmentally friendly standards, integrating natural materials into construction databases, leading by example, withdrawing subsidies for hazardous waste disposal, providing continuing education, workshops, collaboration among stakeholders, and referencing exemplary projects in France. Further insights on bio-based building materials integration in building information modeling (BIM) practices indicate that the rate of their integration is very low. This research contributes to the scientific literature on BbI</w:t>
      </w:r>
    </w:p>
    <w:p>
      <w:pPr/>
      <w:r>
        <w:rPr>
          <w:b/>
        </w:rPr>
        <w:t>POSSIBLE 2024:</w:t>
      </w:r>
      <w:r>
        <w:t xml:space="preserve"> Building resilience in European food supply chains: results of a Delphi study — https://doi.org/10.34659/eis.2023.87.4.758</w:t>
      </w:r>
    </w:p>
    <w:p>
      <w:pPr/>
      <w:r>
        <w:rPr>
          <w:b/>
        </w:rPr>
        <w:t>Shared claim-specific concepts:</w:t>
      </w:r>
      <w:r>
        <w:t xml:space="preserve"> building, experts, well; EU scope visible. This is a provisional connection, not an outcome finding.</w:t>
      </w:r>
    </w:p>
    <w:p>
      <w:pPr>
        <w:pStyle w:val="SourceNote"/>
      </w:pPr>
      <w:r>
        <w:rPr>
          <w:b/>
        </w:rPr>
        <w:t>Available abstract (not full text):</w:t>
      </w:r>
      <w:r>
        <w:t xml:space="preserve"> The COVID-19 pandemic and the war in Ukraine have negatively affected the sustainability of the food market and contributed significantly to the increase in agricultural prices. The goal of this article is to present the results of a European Delphi study on enabling factors and barriers to developing robustness within food distribution networks. The paper also aims to identify ways to ensure food security and build resilience in supply chains for European Union (EU) citizens, as well as strategies to protect the agricultural sector. The Delphi theses, the expected timing of their implementation and their impact on selected stages of supply chains were assessed. The paper employs a literature review, the Delphi method and STEEPED analysis to identify factors for increasing the robustness of European food distribution networks. The research findings highlighted crucial factors in enhancing food supply chain resilience, including financial aid to farmers, the use of advanced technologies (like AI, remote sensing, GIS, VR, or drones), and the encouragement of conscious consumption practices. The study revealed that severe weather, inadequate financial support for farmers and insufficient favourable legislation at the national level are the main barriers to achieving resilience in food supply chains. The main recommendations for building food resilience include encouraging localise</w:t>
      </w:r>
    </w:p>
    <w:p>
      <w:pPr/>
      <w:r>
        <w:rPr>
          <w:b/>
        </w:rPr>
        <w:t>POSSIBLE 2023:</w:t>
      </w:r>
      <w:r>
        <w:t xml:space="preserve"> Basic Elements and Characteristics in Building an Expert System — https://doi.org/10.55849/jnhl.v1i3.337</w:t>
      </w:r>
    </w:p>
    <w:p>
      <w:pPr/>
      <w:r>
        <w:rPr>
          <w:b/>
        </w:rPr>
        <w:t>Shared claim-specific concepts:</w:t>
      </w:r>
      <w:r>
        <w:t xml:space="preserve"> building, well, benefits; EU scope not established. This is a provisional connection, not an outcome finding.</w:t>
      </w:r>
    </w:p>
    <w:p>
      <w:pPr>
        <w:pStyle w:val="SourceNote"/>
      </w:pPr>
      <w:r>
        <w:rPr>
          <w:b/>
        </w:rPr>
        <w:t>Available abstract (not full text):</w:t>
      </w:r>
      <w:r>
        <w:t xml:space="preserve"> The basic elements and characteristics of an expert system are important in the application of an expert system, so that in the application of a makar expert system, the basic elements and characteristics of an expert system are first known. By knowing the basic elements and characteristics of an expert system, the goals and benefits of making an expert system can be more focused and have good fundamentals.This journal is a learning system in designing and knowing expert systems that have fundamental characteristics, so that the utilization that is carried out can run well.</w:t>
      </w:r>
    </w:p>
    <w:p>
      <w:pPr/>
      <w:r>
        <w:rPr>
          <w:b/>
        </w:rPr>
        <w:t>POSSIBLE 2023:</w:t>
      </w:r>
      <w:r>
        <w:t xml:space="preserve"> European food safety research: An explorative study with funding experts’ consultation — https://doi.org/10.1016/j.heliyon.2023.e22979</w:t>
      </w:r>
    </w:p>
    <w:p>
      <w:pPr/>
      <w:r>
        <w:rPr>
          <w:b/>
        </w:rPr>
        <w:t>Shared claim-specific concepts:</w:t>
      </w:r>
      <w:r>
        <w:t xml:space="preserve"> experts, explore, related; EU scope visible. This is a provisional connection, not an outcome finding.</w:t>
      </w:r>
    </w:p>
    <w:p>
      <w:pPr>
        <w:pStyle w:val="SourceNote"/>
      </w:pPr>
      <w:r>
        <w:rPr>
          <w:b/>
        </w:rPr>
        <w:t>Available abstract (not full text):</w:t>
      </w:r>
      <w:r>
        <w:t xml:space="preserve"> The European research area exhibits considerable opacity and fragmentation in food safety research funding and organizational structures, impeding the exploitation of existing research potential across European countries. Given that food safety is inherently linked to the societal challenges of our time, identifying and removing existing barriers to research funding in this area is crucial. Towards investigating this matter, interviews were conducted with funding bodies from six European countries to assess key issues related to research funding in general and food safety in particular. Funding experts were then invited to a workshop to jointly discuss the challenges identified and explore strategies to address them. Evaluation of the food safety research funding situation in selected European countries revealed both convergences and significant differences among national funding bodies. Engaging with funding experts provided invaluable insights into the issues encountered with research funding, such as inadequate call management staff or insufficient research funds, culminating in a set of recommendations for action to remedy the situation.</w:t>
      </w:r>
    </w:p>
    <w:p>
      <w:pPr/>
      <w:r>
        <w:rPr>
          <w:b/>
        </w:rPr>
        <w:t>POSSIBLE 2023:</w:t>
      </w:r>
      <w:r>
        <w:t xml:space="preserve"> Future-Oriented Science Education Building Sustainability Competences: An Approach to the European GreenComp Framework — https://doi.org/10.1007/978-3-031-37391-6_5</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Abstract In order to promote learning for environmental sustainability, the European Union launched the GreenComp framework in 2022. The framework identifies a set of sustainability competences that should be cultivated across all learning contexts to support the action-taking and transformations required by global ecological crises. The framework comprises four interrelated competence areas: ‘embodying sustainability values’, ‘embracing complexity in sustainability’, ‘envisioning sustainable futures’ and ‘acting for sustainability’. Our chapter argues that science education has significant potential to contribute to all these areas. We discuss in this chapter the affordances of current frameworks in science education for fostering sustainability competences. We argue that there is a need for a coherent approach connecting these areas, and that it can be done within future-oriented science education. We illustrate the suggestions by reviewing some examples of approaches for teaching and learning developed in the European project “FEDORA”.</w:t>
      </w:r>
    </w:p>
    <w:p>
      <w:pPr>
        <w:pStyle w:val="Heading2"/>
      </w:pPr>
      <w:r>
        <w:t>544.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r>
        <w:rPr>
          <w:b/>
        </w:rPr>
        <w:t>POSSIBLE 2023:</w:t>
      </w:r>
      <w:r>
        <w:t xml:space="preserve"> Dynamics of EU Central and Eastern European donors’ development cooperation — https://doi.org/10.12688/stomiedintrelat.17714.1</w:t>
      </w:r>
    </w:p>
    <w:p>
      <w:pPr/>
      <w:r>
        <w:rPr>
          <w:b/>
        </w:rPr>
        <w:t>Shared claim-specific concepts:</w:t>
      </w:r>
      <w:r>
        <w:t xml:space="preserve"> order, understand, applied, main; EU scope visible. This is a provisional connection, not an outcome finding.</w:t>
      </w:r>
    </w:p>
    <w:p>
      <w:pPr>
        <w:pStyle w:val="SourceNote"/>
      </w:pPr>
      <w:r>
        <w:rPr>
          <w:b/>
        </w:rPr>
        <w:t>Available abstract (not full text):</w:t>
      </w:r>
      <w:r>
        <w:t xml:space="preserve">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pPr/>
      <w:r>
        <w:rPr>
          <w:b/>
        </w:rPr>
        <w:t>POSSIBLE 2023:</w:t>
      </w:r>
      <w:r>
        <w:t xml:space="preserve"> What Can We Expect for the Development of Rural Areas in Europe?—Trends of the Last Decade and Their Opportunities for Rural Regeneration — https://doi.org/10.3390/su15065485</w:t>
      </w:r>
    </w:p>
    <w:p>
      <w:pPr/>
      <w:r>
        <w:rPr>
          <w:b/>
        </w:rPr>
        <w:t>Shared claim-specific concepts:</w:t>
      </w:r>
      <w:r>
        <w:t xml:space="preserve"> order, understand, transition; EU scope visible. This is a provisional connection, not an outcome finding.</w:t>
      </w:r>
    </w:p>
    <w:p>
      <w:pPr>
        <w:pStyle w:val="SourceNote"/>
      </w:pPr>
      <w:r>
        <w:rPr>
          <w:b/>
        </w:rPr>
        <w:t>Available abstract (not full text):</w:t>
      </w:r>
      <w:r>
        <w:t xml:space="preserve"> Rural areas in Europe have been undergoing structural change for years, resulting in strong functional differentiation and fragmentation into prosperous and structurally weak areas. Rural areas are as diverse as the challenges they face. Not only various megatrends but also social, economic, technological, ecological, and political trends influence and shape the development of rural areas. In order to understand the problems and causes of the current development of rural areas, this paper provides a differentiated trend analysis for rural areas at the European level. A content analysis of more than 70 EU-funded project reports on rural areas and rural development is carried out. The aim is to identify trends and their drivers over the last decade and to summarize opportunities and challenges for successful rural regeneration. These external and overarching trends, particularly in the context of a sustainable transition, renewable energies, the emergence of new technologies and growing awareness of environmental impacts, offer rural areas more opportunities than ever before. The interplay between external incentives (e.g., European Union policies) and endogenous regional development (e.g., local actors) is crucial for the successful exploitation of these opportunities for rural regeneration.</w:t>
      </w:r>
    </w:p>
    <w:p>
      <w:pPr/>
      <w:r>
        <w:rPr>
          <w:b/>
        </w:rPr>
        <w:t>POSSIBLE 2023:</w:t>
      </w:r>
      <w:r>
        <w:t xml:space="preserve"> The Governance of European Space Policy — https://doi.org/10.32625/kjei.2023.31.175</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The aim of this study is to analyse the historical processes and institutional features of European space policy governance in order to understand its unique governance characteristics, which are designed to ensure that horizontal cooperation at the European level between the ESA and the EU and vertical cooperation between the ESA and Member States' national space agencies are complementary. To this end, this study first examines the historical process of the development of European space policy from the perspective of the history of European integration and the history of legal institutions, in order to understand the nature of the parallel development of European space policy centred on ESA, independent of the evolution of European integration from the ECSC to the EU. On this basis, it will analyse the multi-layered governance of European space policy today, focusing on the two characteristics of 'hybridity' and 'integrity' in order to contribute to a more accurate understanding of European space policy.</w:t>
      </w:r>
    </w:p>
    <w:p>
      <w:pPr/>
      <w:r>
        <w:rPr>
          <w:b/>
        </w:rPr>
        <w:t>POSSIBLE 2023:</w:t>
      </w:r>
      <w:r>
        <w:t xml:space="preserve"> Innovations and development of artificial intelligence in Europe: some empirical evidences — https://doi.org/10.1108/ejmbe-03-2023-0085</w:t>
      </w:r>
    </w:p>
    <w:p>
      <w:pPr/>
      <w:r>
        <w:rPr>
          <w:b/>
        </w:rPr>
        <w:t>Shared claim-specific concepts:</w:t>
      </w:r>
      <w:r>
        <w:t xml:space="preserve"> approach, possible; EU scope visible. This is a provisional connection, not an outcome finding.</w:t>
      </w:r>
    </w:p>
    <w:p>
      <w:pPr>
        <w:pStyle w:val="SourceNote"/>
      </w:pPr>
      <w:r>
        <w:rPr>
          <w:b/>
        </w:rPr>
        <w:t>Available abstract (not full text):</w:t>
      </w:r>
      <w:r>
        <w:t xml:space="preserve"> Purpose The objective of this paper is to analyze the relationship between innovation and the development of artificial intelligence (AI) and digital technologies in Europe. The use of digital technologies among European companies is studied through a composite index, while the relationship between innovation and AI is studied through a log-linear regression model. The results of the model have made possible to develop interesting indications for economic and industrial policy. Design/methodology/approach The use of digital technologies among European companies is studied through a composite index of AI and information technology (ICT) (using the Fair and Sustainable Welfare methodology) with the aim of measuring territorial gaps and to know which European countries are more or less inclined to its use, while the relationship between innovation and AI is studied through a log-linear regression model. Findings In the paper, two different methodologies were used to analyze the relationship between innovation and the development of digital technologies in Europe. The synthetic indicator made possible to develop a taxonomy between the different countries, the log-linear model made possible to identify and explain the determinants of innovation. Originality/value The description of the biunivocal relationship between innovation and AI is a topical and relevant issue that is treated </w:t>
      </w:r>
    </w:p>
    <w:p>
      <w:pPr>
        <w:pStyle w:val="Heading2"/>
      </w:pPr>
      <w:r>
        <w:t>545.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r>
        <w:rPr>
          <w:b/>
        </w:rPr>
        <w:t>POSSIBLE 2025:</w:t>
      </w:r>
      <w:r>
        <w:t xml:space="preserve"> The Early Years of Ireland in the European Economic Community — https://doi.org/10.4324/9781003184188</w:t>
      </w:r>
    </w:p>
    <w:p>
      <w:pPr/>
      <w:r>
        <w:rPr>
          <w:b/>
        </w:rPr>
        <w:t>Shared claim-specific concepts:</w:t>
      </w:r>
      <w:r>
        <w:t xml:space="preserve"> same, time, community; EU scope visible. This is a provisional connection, not an outcome finding.</w:t>
      </w:r>
    </w:p>
    <w:p>
      <w:pPr>
        <w:pStyle w:val="SourceNote"/>
      </w:pPr>
      <w:r>
        <w:rPr>
          <w:b/>
        </w:rPr>
        <w:t>Available abstract (not full text):</w:t>
      </w:r>
      <w:r>
        <w:t xml:space="preserve"> Ireland’s accession to the European Economic Community (EEC) in 1973 provided great opportunities, as well as significant challenges to its relatively small civil service. This book traces Ireland’s internal adaptation to managing membership. The long wait for accession to the EEC had instigated administrative and management patterns during negotiations which were difficult for Ireland to untangle and alter afterwards. There was friction between departments on how to approach relations with the EEC in some policy areas after membership. At times, this effectively slowed and even hampered Ireland’s adaptation to membership. At the same time, the EEC provided an important new frame of reference for Irish society. Discussions on social progress drew from that wider context and challenged Ireland in new ways. This volume explores this development through an analysis of empirical files from the National Archives of Ireland and the Historical Archives of the European Union, newspapers, and secondary sources. This book is intended for scholars and students of Irish history, European Studies, political science, diplomatic studies, and administrative history.</w:t>
      </w:r>
    </w:p>
    <w:p>
      <w:pPr/>
      <w:r>
        <w:rPr>
          <w:b/>
        </w:rPr>
        <w:t>POSSIBLE 2024:</w:t>
      </w:r>
      <w:r>
        <w:t xml:space="preserve"> Regulating the Press for Accuracy and Objectivity — https://doi.org/10.1093/oso/9780198858607.003.0005</w:t>
      </w:r>
    </w:p>
    <w:p>
      <w:pPr/>
      <w:r>
        <w:rPr>
          <w:b/>
        </w:rPr>
        <w:t>Shared claim-specific concepts:</w:t>
      </w:r>
      <w:r>
        <w:t xml:space="preserve"> same, time, presented; EU scope visible. This is a provisional connection, not an outcome finding.</w:t>
      </w:r>
    </w:p>
    <w:p>
      <w:pPr>
        <w:pStyle w:val="SourceNote"/>
      </w:pPr>
      <w:r>
        <w:rPr>
          <w:b/>
        </w:rPr>
        <w:t>Available abstract (not full text):</w:t>
      </w:r>
      <w:r>
        <w:t xml:space="preserve">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pPr/>
      <w:r>
        <w:rPr>
          <w:b/>
        </w:rPr>
        <w:t>POSSIBLE 2024:</w:t>
      </w:r>
      <w:r>
        <w:t xml:space="preserve"> Implementing Nutrient Recommendations for Breakfast in Europe through Dietetic Practice—The European Federation of Associations of Dietitians (EFAD) Breakfast Toolkit Survey — https://doi.org/10.3390/proceedings2023091238</w:t>
      </w:r>
    </w:p>
    <w:p>
      <w:pPr/>
      <w:r>
        <w:rPr>
          <w:b/>
        </w:rPr>
        <w:t>Shared claim-specific concepts:</w:t>
      </w:r>
      <w:r>
        <w:t xml:space="preserve"> same, time, objectives, food, needed, population; EU scope visible. This is a provisional connection, not an outcome finding.</w:t>
      </w:r>
    </w:p>
    <w:p>
      <w:pPr>
        <w:pStyle w:val="SourceNote"/>
      </w:pPr>
      <w:r>
        <w:rPr>
          <w:b/>
        </w:rPr>
        <w:t>Available abstract (not full text):</w:t>
      </w:r>
      <w:r>
        <w:t xml:space="preserve"> Background and objectives: The International Breakfast Research Initiative developed nutrient recommendations for a balanced breakfast, based on daily guidelines and actual contribution of breakfast in Europe. The aim of the Breakfast Toolkit Project is to translate nutrient recommendations into practical advice for both individuals and health professionals, and to develop a toolkit for dietitians. Methods: We conducted a 19-item online survey to assess the experience and resources of dietitians when recommending breakfast as part of a balanced diet. Results: A total of 336 dietitians from 27 countries participated in the survey. Forty-nine percent were working in clinical practice or private consulting. Around 50% thought that the general population is somewhat aware of the impact of breakfast on health, with the highest number of people not being aware in northern Europe. A lack of time and not feeling hungry in the morning are the main obstacles to achieve a healthy breakfast all over Europe, while a lack of money is more concerning in central and eastern Europe than other areas. Although slight differences are observed between European regions, increasing fresh fruit and vegetables (17%), decreasing sugary food (14.5%), and switching to whole grain cereals (18%) are the most peremptory needed interventions, according to the experience of the dietitians. Educational material</w:t>
      </w:r>
    </w:p>
    <w:p>
      <w:pPr/>
      <w:r>
        <w:rPr>
          <w:b/>
        </w:rPr>
        <w:t>POSSIBLE 2024:</w:t>
      </w:r>
      <w:r>
        <w:t xml:space="preserve"> Healthy air as an obligation of result in the whole European Union: definitely a matter of time — https://doi.org/10.4337/9781035300426.00013</w:t>
      </w:r>
    </w:p>
    <w:p>
      <w:pPr/>
      <w:r>
        <w:rPr>
          <w:b/>
        </w:rPr>
        <w:t>Shared claim-specific concepts:</w:t>
      </w:r>
      <w:r>
        <w:t xml:space="preserve"> same, time, result; EU scope visible. This is a provisional connection, not an outcome finding.</w:t>
      </w:r>
    </w:p>
    <w:p>
      <w:pPr>
        <w:pStyle w:val="SourceNote"/>
      </w:pPr>
      <w:r>
        <w:rPr>
          <w:b/>
        </w:rPr>
        <w:t>Available abstract (not full text):</w:t>
      </w:r>
      <w:r>
        <w:t xml:space="preserve"> This chapter explains how the field of air quality jurisprudence in the context of EU air quality law was radically transformed, in recent years, often under pressure of strategic litigation brought forward by civil society, because health protection was taken as a main driver. Healthy air has become an obligation of result in the whole European Union, with the same applicable ambient air limit values everywhere. The driving force for such advances was found in the relation air builds with health and life and, therefore, calls for repetition. Because many European laws, besides the Ambient Air Quality Directive, also have an impact on the composition of the air we breathe, and together pursue an explicit objective of health protection, the solid framework that was recently patiently built, bit by bit, should be inspirational for further developments, such as in the field of industrial pollution control, where indeed the first similar advances are being observed. But the jurisprudence also shows how the relation to time and right timing is of the essence and runs through most cases. In that regard, the lawmaker must be aware that inserting new deadlines in revised legislation might undo the patiently gained robust interpretations.</w:t>
      </w:r>
    </w:p>
    <w:p>
      <w:pPr/>
      <w:r>
        <w:rPr>
          <w:b/>
        </w:rPr>
        <w:t>POSSIBLE 2024:</w:t>
      </w:r>
      <w:r>
        <w:t xml:space="preserve"> European community pharmacists practice in tackling influenza — https://doi.org/10.1016/j.rcsop.2024.100447</w:t>
      </w:r>
    </w:p>
    <w:p>
      <w:pPr/>
      <w:r>
        <w:rPr>
          <w:b/>
        </w:rPr>
        <w:t>Shared claim-specific concepts:</w:t>
      </w:r>
      <w:r>
        <w:t xml:space="preserve"> community, practices, needed; EU scope visible. This is a provisional connection, not an outcome finding.</w:t>
      </w:r>
    </w:p>
    <w:p>
      <w:pPr>
        <w:pStyle w:val="SourceNote"/>
      </w:pPr>
      <w:r>
        <w:rPr>
          <w:b/>
        </w:rPr>
        <w:t>Available abstract (not full text):</w:t>
      </w:r>
      <w:r>
        <w:t xml:space="preserve"> Background: In many European countries, flu vaccination coverage rates are below the 75% target. During the COVID-19 pandemic, many pharmacists around Europe were involved as vaccine administrators and demonstrated positive results in improving vaccine uptake. This paper explores the challenges, accomplishments, and best practices of various European pharmacists' associations in administering vaccines and positively contributing to public health. Methods: Eight pharmacists representing various associations from different countries across Europe (Italy, Belgium, Poland, Portugal, France, and Germany) convened to discuss their role as vaccination providers, the advantages, and strategies for improvement, and to identify barriers and gaps in the vaccination administration process, especially focusing on the administration of seasonal flu vaccines. Results: Currently, 15 European countries allow community pharmacists to dispense and administer flu vaccines. Among the ones that attended the meeting, Portugal initiated the flu immunization program at the pharmacy earliest, before the COVID era, but in other countries, the process started only in the last couple of years. Initial hesitancy and reluctance by other HCPs or institutions were overcome as the pilot projects showed positive and cost-effective public health results. Today, pharmacists are considered crucial professional figu</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community, agriculture, sustainable;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Reinforcement Learning for Energy Community Management: A European-Scale Study — https://doi.org/10.3390/en17051249</w:t>
      </w:r>
    </w:p>
    <w:p>
      <w:pPr/>
      <w:r>
        <w:rPr>
          <w:b/>
        </w:rPr>
        <w:t>Shared claim-specific concepts:</w:t>
      </w:r>
      <w:r>
        <w:t xml:space="preserve"> time, community, involves, resources; EU scope visible. This is a provisional connection, not an outcome finding.</w:t>
      </w:r>
    </w:p>
    <w:p>
      <w:pPr>
        <w:pStyle w:val="SourceNote"/>
      </w:pPr>
      <w:r>
        <w:rPr>
          <w:b/>
        </w:rPr>
        <w:t>Available abstract (not full text):</w:t>
      </w:r>
      <w:r>
        <w:t xml:space="preserve"> Efficient management of renewable energy resources is imperative for promoting environmental sustainability and optimizing the utilization of clean energy sources. This paper presents a pioneering European-scale study on energy management within renewable energy communities (RECs). With a primary focus on enhancing the social welfare of the community, we introduce a reinforcement learning (RL) controller designed to strategically manage Battery Energy Storage Systems (BESSs) and orchestrate energy flows. This research transcends geographical boundaries by conducting an extended analysis of various energy communities and diverse energy markets across Europe, encompassing different regions of Italy. Our methodology involves the implementation of an RL controller, leveraging optimal control theory for training and utilizing only real-time data available at the current time step during the test phase. Through simulations conducted in diverse contexts, we demonstrate the superior performance of our RL agent compared to a state-of-the-art rule-based controller. The agent exhibits remarkable adaptability to various scenarios, consistently surpassing existing rule-based controllers. Notably, we illustrate that our approach aligns with the intricate patterns observed in both Italian and European energy markets, achieving performance levels comparable to an optimal controller assuming pe</w:t>
      </w:r>
    </w:p>
    <w:p>
      <w:pPr>
        <w:pStyle w:val="Heading2"/>
      </w:pPr>
      <w:r>
        <w:t>546.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Institutional context and the employment effects of artificial intelligence in European SMEs — https://doi.org/10.1016/j.telpol.2026.103336</w:t>
      </w:r>
    </w:p>
    <w:p>
      <w:pPr/>
      <w:r>
        <w:rPr>
          <w:b/>
        </w:rPr>
        <w:t>Shared claim-specific concepts:</w:t>
      </w:r>
      <w:r>
        <w:t xml:space="preserve"> employment, conditional, findings, suggest; EU scope visible. This is a provisional connection, not an outcome finding.</w:t>
      </w:r>
    </w:p>
    <w:p>
      <w:pPr>
        <w:pStyle w:val="SourceNote"/>
      </w:pPr>
      <w:r>
        <w:rPr>
          <w:b/>
        </w:rPr>
        <w:t>Available abstract (not full text):</w:t>
      </w:r>
      <w:r>
        <w:t xml:space="preserve"> Using novel data from the Survey on Access to Finance of Enterprises covering the last quarter of 2025 and an Inverse Probability Weighted Regression Adjustment approach, we assess the conditional treatment effects of artificial intelligence (AI) use on the likelihood of employment growth among Small and Medium-sized Enterprises across twelve EU countries, under selection on observable firm characteristics. Given the cross-sectional nature of the data and the contemporaneous measurement of AI use and employment change, these estimates should be interpreted as conditional associations rather than as definitive causal effects. We find that AI use is associated with a positive conditional effect on the probability of employment growth, with no significant association with the likelihood of employment decline, robust to alternative estimators and leave-one-country-out specifications. The estimated conditional effects are also strongly heterogeneous across firm characteristics. Positive responses are concentrated among small and medium firms and among young and mature firms, while micro and old firms show no significant effects. Services and trade exhibit positive employment-growth associations, whereas construction is the only sector associated with a significant increase in the likelihood of employment decline. Institutional context also appears to matter. The association between </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Estimating Conditional Average Treatment Effects via Sufficient Representation Learning — https://doi.org/10.24963/ijcai.2024/541</w:t>
      </w:r>
    </w:p>
    <w:p>
      <w:pPr/>
      <w:r>
        <w:rPr>
          <w:b/>
        </w:rPr>
        <w:t>Shared claim-specific concepts:</w:t>
      </w:r>
      <w:r>
        <w:t xml:space="preserve"> conditional, estimation, not; EU scope not established. This is a provisional connection, not an outcome finding.</w:t>
      </w:r>
    </w:p>
    <w:p>
      <w:pPr>
        <w:pStyle w:val="SourceNote"/>
      </w:pPr>
      <w:r>
        <w:rPr>
          <w:b/>
        </w:rPr>
        <w:t>Available abstract (not full text):</w:t>
      </w:r>
      <w:r>
        <w:t xml:space="preserve"> Estimating the conditional average treatment effects (CATE) is very important in causal inference and has a wide range of applications across many fields. In the estimation process of CATE, the unconfoundedness assumption is typically required to ensure the identifiability of the regression problems. When estimating CATE using high-dimensional data, there have been many variable selection methods and neural network approaches based on representation learning, while these methods do not provide a way to verify whether the subset of variables after dimensionality reduction or the learned representations still satisfy the unconfoundedness assumption during the estimation process, which can lead to ineffective estimates of the treatment effects. Additionally, these methods typically use data from only the treatment or control group when estimating the regression functions for each group. This paper proposes a novel neural network approach named CrossNet to learn a sufficient representation for the features, based on which we then estimate the CATE, where cross indicates that in estimating the regression functions, we used data from their own group as well as cross-utilized data from another group. Numerical simulations and empirical results demonstrate that our method outperforms the competitive approaches.</w:t>
      </w:r>
    </w:p>
    <w:p>
      <w:pPr/>
      <w:r>
        <w:rPr>
          <w:b/>
        </w:rPr>
        <w:t>POSSIBLE 2024:</w:t>
      </w:r>
      <w:r>
        <w:t xml:space="preserve"> Manager sentiment and conditional conservatism — https://doi.org/10.1111/jbfa.12780</w:t>
      </w:r>
    </w:p>
    <w:p>
      <w:pPr/>
      <w:r>
        <w:rPr>
          <w:b/>
        </w:rPr>
        <w:t>Shared claim-specific concepts:</w:t>
      </w:r>
      <w:r>
        <w:t xml:space="preserve"> conditional, not, affect; EU scope not established. This is a provisional connection, not an outcome finding.</w:t>
      </w:r>
    </w:p>
    <w:p>
      <w:pPr>
        <w:pStyle w:val="SourceNote"/>
      </w:pPr>
      <w:r>
        <w:rPr>
          <w:b/>
        </w:rPr>
        <w:t>Available abstract (not full text):</w:t>
      </w:r>
      <w:r>
        <w:t xml:space="preserve"> Abstract This study examines the effect of manager sentiment on conditional conservatism. Manager sentiment refers to widely held beliefs of financial managers about their firms’ future economic prospects that are not justified by available economic fundamentals. Manager sentiment is likely to affect conditional conservative reporting because the decision to recognize unrealized economic losses in a timely manner flows from financial managers’ beliefs about their firms’ future cash flow prospects. We predict and find that manager sentiment is negatively associated with conditional conservatism, indicating that firms report less conservatively during periods of high manager sentiment (over‐optimism) and more conservatively during periods of low manager sentiment (over‐pessimism). Moreover, the effects of manager sentiment on conditional conservatism remain strongly negative after controlling for manager overconfidence. We further find that asset write‐offs are lower during high sentiment periods but higher in subsequent periods. Importantly, the manager sentiment effect on conservatism is incremental, and the opposite in sign, to the effect of investor sentiment, which has not been demonstrated in prior literature.</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corresponding, regional, regions;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2023:</w:t>
      </w:r>
      <w:r>
        <w:t xml:space="preserve"> ART in Europe, 2019: results generated from European registries by ESHRE — https://doi.org/10.1093/humrep/dead197</w:t>
      </w:r>
    </w:p>
    <w:p>
      <w:pPr/>
      <w:r>
        <w:rPr>
          <w:b/>
        </w:rPr>
        <w:t>Shared claim-specific concepts:</w:t>
      </w:r>
      <w:r>
        <w:t xml:space="preserve"> corresponding, findings, not; EU scope visible. This is a provisional connection, not an outcome finding.</w:t>
      </w:r>
    </w:p>
    <w:p>
      <w:pPr>
        <w:pStyle w:val="SourceNote"/>
      </w:pPr>
      <w:r>
        <w:rPr>
          <w:b/>
        </w:rPr>
        <w:t>Available abstract (not full text):</w:t>
      </w:r>
      <w:r>
        <w:t xml:space="preserve">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r>
        <w:rPr>
          <w:b/>
        </w:rPr>
        <w:t>POSSIBLE 2023:</w:t>
      </w:r>
      <w:r>
        <w:t xml:space="preserve"> Climate change vs energy security? The conditional support for energy sources among Western Europeans — https://doi.org/10.1016/j.enpol.2023.113471</w:t>
      </w:r>
    </w:p>
    <w:p>
      <w:pPr/>
      <w:r>
        <w:rPr>
          <w:b/>
        </w:rPr>
        <w:t>Shared claim-specific concepts:</w:t>
      </w:r>
      <w:r>
        <w:t xml:space="preserve"> conditional, findings, affect; EU scope visible. This is a provisional connection, not an outcome finding.</w:t>
      </w:r>
    </w:p>
    <w:p>
      <w:pPr>
        <w:pStyle w:val="SourceNote"/>
      </w:pPr>
      <w:r>
        <w:rPr>
          <w:b/>
        </w:rPr>
        <w:t>Available abstract (not full text):</w:t>
      </w:r>
      <w:r>
        <w:t xml:space="preserve"> The decarbonisation of Western societies requires a fundamental reorganisation of energy supply and fierce debates around the future energy mix have begun in many countries. However, we still know little about how concerns about energy security affect the public's energy preferences in view of the critique that renewable energies might compromise energy security. This paper argues that there is a perceived trade-off between energy security and climate protection that affects energy supply preferences in Western Europe. Using the European Social Survey's ‘Public Attitudes to Climate Change’ module, the findings from multilevel regressions demonstrate that there is indeed a perceived trade-off in energy preferences among Western Europeans. People concerned about energy security prefer coal, gas, and nuclear power over renewable energies. People worried about climate change prefer solar and wind energy over nuclear and fossil forms of energy. The analysis further identifies four different groups representing the trade-off between energy security and climate protection among Western Europeans. The paper thus identifies why energy preferences might collide and why some countries observe a polarisation of views around energy supply that policymakers need to address to realise a successful and publicly acceptable transformation of energy supply.</w:t>
      </w:r>
    </w:p>
    <w:p>
      <w:pPr>
        <w:pStyle w:val="Heading2"/>
      </w:pPr>
      <w:r>
        <w:t>547.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presents, challenges, increasing, energy;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presents, challenges, increasing, union;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Challenges and best practices in sustainable urban tourism development in Central and Eastern Europe — https://doi.org/10.4337/9781803926742.00041</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Urban destinations worldwide face many challenges, including an increasing number of visitors, a growing number of people living in cities, and economic and environmental disruptions, to name but a few. Sustainable development of urban destinations is thus an important topic that researchers have started to examine over the past decade. Still, little has been written on sustainable tourism development and the challenges faced by city destinations from Central and Eastern Europe (CEE), a region with a tumultuous history, many conquests, turmoil, and displacements. These events are reflected in the rich culture and diverse traditions that are maintained even today in some cities from the region. This chapter aims to contribute to filling this gap by discussing the challenges faced by CEE countries in their efforts to promote and implement sustainable tourism initiatives, with a focus on urban destinations. Additionally, it briefly explores the situation of sustainable urban tourism in post-communist Romania and presents examples of best practice in sustainable tourism implementation from several CEE cities.</w:t>
      </w:r>
    </w:p>
    <w:p>
      <w:pPr>
        <w:pStyle w:val="Heading2"/>
      </w:pPr>
      <w:r>
        <w:t>548.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2024:</w:t>
      </w:r>
      <w:r>
        <w:t xml:space="preserve"> Cohort Differences in Physical Health and Disability in the United States and Europe — https://doi.org/10.1093/geronb/gbae113</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pPr/>
      <w:r>
        <w:rPr>
          <w:b/>
        </w:rPr>
        <w:t>POSSIBLE 2024:</w:t>
      </w:r>
      <w:r>
        <w:t xml:space="preserve"> Generational differences in physical health and disability in the United States and Europe — https://doi.org/10.1101/2024.01.16.24301347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pPr/>
      <w:r>
        <w:rPr>
          <w:b/>
        </w:rPr>
        <w:t>POSSIBLE 2024:</w:t>
      </w:r>
      <w:r>
        <w:t xml:space="preserve"> Measuring Sustainable Development in the European Union Based on the 2030 Agenda Indicators — https://doi.org/10.32725/det.2024.002</w:t>
      </w:r>
    </w:p>
    <w:p>
      <w:pPr/>
      <w:r>
        <w:rPr>
          <w:b/>
        </w:rPr>
        <w:t>Shared claim-specific concepts:</w:t>
      </w:r>
      <w:r>
        <w:t xml:space="preserve"> agenda, set, sustainable, not; EU scope visible. This is a provisional connection, not an outcome finding.</w:t>
      </w:r>
    </w:p>
    <w:p>
      <w:pPr>
        <w:pStyle w:val="SourceNote"/>
      </w:pPr>
      <w:r>
        <w:rPr>
          <w:b/>
        </w:rPr>
        <w:t>Available abstract (not full text):</w:t>
      </w:r>
      <w:r>
        <w:t xml:space="preserve"> The author's research was based on the indicators of the 2030 Agenda for Sustainable Development, which are used to explore the measurement of sustainable development in the European Union for the period 2014-2018. Various statistical and econometric methods were used in the quantitative research, such as factor analysis, correlation analysis, scale alignment transformation and cluster analysis. The main objective of the research is to show the diversity of the possibilities for measuring sustainable development and the extent to which the indicators in the 2030 Agenda database can be reduced by the selected methods. The results suggest that the set of indicators for the 2030 Agenda can be reduced in size without significantly reducing the information content. The established sustainable development factors show a strong relationship with GDP and HDI indicators. Sustainable development can be analysed using a single composite indicator (CSDGI) for the five years under study and, last but not least, EU Member States can be clustered according to their characteristics.</w:t>
      </w:r>
    </w:p>
    <w:p>
      <w:pPr/>
      <w:r>
        <w:rPr>
          <w:b/>
        </w:rPr>
        <w:t>POSSIBLE 2024:</w:t>
      </w:r>
      <w:r>
        <w:t xml:space="preserve"> Achieving the 2030 Agenda: Mapping the Landscape of Corporate Sustainability Goals and Policies in the European Union — https://doi.org/10.3390/su16072971</w:t>
      </w:r>
    </w:p>
    <w:p>
      <w:pPr/>
      <w:r>
        <w:rPr>
          <w:b/>
        </w:rPr>
        <w:t>Shared claim-specific concepts:</w:t>
      </w:r>
      <w:r>
        <w:t xml:space="preserve"> all, united, nations, agenda, sustainable; EU scope visible. This is a provisional connection, not an outcome finding.</w:t>
      </w:r>
    </w:p>
    <w:p>
      <w:pPr>
        <w:pStyle w:val="SourceNote"/>
      </w:pPr>
      <w:r>
        <w:rPr>
          <w:b/>
        </w:rPr>
        <w:t>Available abstract (not full text):</w:t>
      </w:r>
      <w:r>
        <w:t xml:space="preserve"> The United Nations Sustainable Development Goals (UN SDGs) were introduced in 2015 to advance the 2030 Agenda of sustainable development in all supporting countries. The SDGs are applicable to countries, non-governmental organizations, industries, and companies. In this article, we focus on the contribution of listed companies headquartered in the European Union (EU) to the SDGs. The EU intends to be the front-runner in the race for sustainable development and has adopted comprehensive strategies that mirror the UN SDGs. For this reason, we collected relevant data points from the Refinitiv Eikon database for 1156 companies headquartered in EU countries for the financial year 2022. The data collected refer to contributions to each SDG and the adoption of corporate sustainability policies. Data were statistically analyzed per country and sector to generate a comprehensive image of industry contributions to the SDGs in the EU. By applying a comparative analysis of country-level achievements and policies, the results point to four EU countries that are significant contributors to the SDGs through their economic activities. At the same time, other EU countries are still facing significant challenges in this domain. The socioeconomic considerations for these cases are laid out in the Discussion section. The present article offers a snapshot of corporate contributions to the SDGs as c</w:t>
      </w:r>
    </w:p>
    <w:p>
      <w:pPr/>
      <w:r>
        <w:rPr>
          <w:b/>
        </w:rPr>
        <w:t>POSSIBLE 2023:</w:t>
      </w:r>
      <w:r>
        <w:t xml:space="preserve"> Burden of infectious disease studies in Europe and the United Kingdom: a review of methodological design choices — https://doi.org/10.1017/s0950268823000031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2023:</w:t>
      </w:r>
      <w:r>
        <w:t xml:space="preserve"> Strategic Research, Innovation and Implementation Agenda for Digital Language Equality in Europe by 2030 — https://doi.org/10.1007/978-3-031-28819-7_45</w:t>
      </w:r>
    </w:p>
    <w:p>
      <w:pPr/>
      <w:r>
        <w:rPr>
          <w:b/>
        </w:rPr>
        <w:t>Shared claim-specific concepts:</w:t>
      </w:r>
      <w:r>
        <w:t xml:space="preserve"> all, agenda, goal; EU scope visible. This is a provisional connection, not an outcome finding.</w:t>
      </w:r>
    </w:p>
    <w:p>
      <w:pPr>
        <w:pStyle w:val="SourceNote"/>
      </w:pPr>
      <w:r>
        <w:rPr>
          <w:b/>
        </w:rPr>
        <w:t>Available abstract (not full text):</w:t>
      </w:r>
      <w:r>
        <w:t xml:space="preserve"> Abstract This chapter presents the ELE Programme (ELE Consortium 2022). Reacting to the landmark resolution (European Parliament 2018), its vision is to achieve digital language equality in Europe by 2030. The programme was prepared jointly with many stakeholders from the European Language Technology, Natural Language Processing, Computational Linguistics and language-centric AI communities, as well as with representatives of relevant initiatives and associations, and language communities. Europe still suffers from strong inequalities in terms of technology support of its languages. English is still by far the language with the best technological support, followed by a cluster of three languages (German, Spanish, French) that already have only half the technological support of English. More than half of the around 90 languages surveyed have either weak or no technological support at all. The ELE Programme is foreseen to be a shared, long-term funding programme tailored to Europe’s needs, demands and values. For the EU we foresee the role of providing resources for coordinating the programme, for providing shared infrastructures, for maintaining the scientific goals and programme principles, etc. The participating countries have the role of providing resources for the development of technologies and datasets for their own languages. Key goals are to reduce the technology gap bet</w:t>
      </w:r>
    </w:p>
    <w:p>
      <w:pPr>
        <w:pStyle w:val="Heading2"/>
      </w:pPr>
      <w:r>
        <w:t>549.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r>
        <w:rPr>
          <w:b/>
        </w:rPr>
        <w:t>POSSIBLE 2024:</w:t>
      </w:r>
      <w:r>
        <w:t xml:space="preserve"> Reducing pollution and economic sustainability policies from the use of renewable energy in European Union nations — https://doi.org/10.61435/ijred.2024.53205</w:t>
      </w:r>
    </w:p>
    <w:p>
      <w:pPr/>
      <w:r>
        <w:rPr>
          <w:b/>
        </w:rPr>
        <w:t>Shared claim-specific concepts:</w:t>
      </w:r>
      <w:r>
        <w:t xml:space="preserve"> much, pollution, energy, consumption; EU scope visible. This is a provisional connection, not an outcome finding.</w:t>
      </w:r>
    </w:p>
    <w:p>
      <w:pPr>
        <w:pStyle w:val="SourceNote"/>
      </w:pPr>
      <w:r>
        <w:rPr>
          <w:b/>
        </w:rPr>
        <w:t>Available abstract (not full text):</w:t>
      </w:r>
      <w:r>
        <w:t xml:space="preserve">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pPr/>
      <w:r>
        <w:rPr>
          <w:b/>
        </w:rPr>
        <w:t>POSSIBLE 2024:</w:t>
      </w:r>
      <w:r>
        <w:t xml:space="preserve"> Energy, Energy Subsidies and Economic Planning Gone Wild — https://doi.org/10.4324/9781003308225-14</w:t>
      </w:r>
    </w:p>
    <w:p>
      <w:pPr/>
      <w:r>
        <w:rPr>
          <w:b/>
        </w:rPr>
        <w:t>Shared claim-specific concepts:</w:t>
      </w:r>
      <w:r>
        <w:t xml:space="preserve"> much, pollution, energy, consumption, increase; EU scope visible. This is a provisional connection, not an outcome finding.</w:t>
      </w:r>
    </w:p>
    <w:p>
      <w:pPr>
        <w:pStyle w:val="SourceNote"/>
      </w:pPr>
      <w:r>
        <w:rPr>
          <w:b/>
        </w:rPr>
        <w:t>Available abstract (not full text):</w:t>
      </w:r>
      <w:r>
        <w:t xml:space="preserve"> Energy is enormously important for modern economies. Because of its economic and social importance, the production and end-use cost of energy are of keen interest to governments around the world. Governments will therefore sometimes explicitly or implicitly subsidize energy. Measuring subsidies is tricky, but where they exist, they reduce incentives for conservation and promote energy use, with sometimes enormous budgetary and pollution consequences. In general, energy subsidies reduce social welfare, though subsidies that address externalities, such as indoor air pollution from biomass fuels, may increase human welfare. All energy subsidies must be analyzed carefully because of potential lock-in effects. Comprehensive economic planning in the so-called Soviet Bloc was an extreme example of what can occur when subsidies are substantial. Though we may not know for sure how much of the extra environmental damage done there was directly due to energy subsidies, we know that energy in the Soviet Bloc was much cheaper than in the West. When the system fully ended in August 1991, energy and other prices shot up, consumption of energy fell, and pollution problems came to look much more like those in Western Europe. Now 11 of the 27 members of the European Union are former Soviet Bloc members.</w:t>
      </w:r>
    </w:p>
    <w:p>
      <w:pPr/>
      <w:r>
        <w:rPr>
          <w:b/>
        </w:rPr>
        <w:t>POSSIBLE 2024:</w:t>
      </w:r>
      <w:r>
        <w:t xml:space="preserve"> Spatial analysis of tails of air pollution PDFs in Europe — https://doi.org/10.1017/eds.2024.43</w:t>
      </w:r>
    </w:p>
    <w:p>
      <w:pPr/>
      <w:r>
        <w:rPr>
          <w:b/>
        </w:rPr>
        <w:t>Shared claim-specific concepts:</w:t>
      </w:r>
      <w:r>
        <w:t xml:space="preserve"> much, pollution, different; EU scope visible. This is a provisional connection, not an outcome finding.</w:t>
      </w:r>
    </w:p>
    <w:p>
      <w:pPr>
        <w:pStyle w:val="SourceNote"/>
      </w:pPr>
      <w:r>
        <w:rPr>
          <w:b/>
        </w:rPr>
        <w:t>Available abstract (not full text):</w:t>
      </w:r>
      <w:r>
        <w:t xml:space="preserve"> Abstract Outdoor air pollution is estimated to cause a huge number of premature deaths worldwide. It catalyzes many diseases on a variety of time scales, and it has a detrimental effect on the environment. In light of these impacts, it is necessary to obtain a better understanding of the dynamics and statistics of measured air pollution concentrations, including temporal fluctuations of observed concentrations and spatial heterogeneities. Here, we present an extensive analysis for measured data from Europe. The observed probability density functions (PDFs) of air pollution concentrations depend very much on the spatial location and the pollutant substance. We analyze a large number of time series data from 3544 different European monitoring sites and show that the PDFs of nitric oxide ( $ NO $ ), nitrogen dioxide ( $ {NO}_2 $ ), and particulate matter ( $ {PM}_{10} $ and $ {PM}_{2.5} $ ) concentrations generically exhibit heavy tails. These are asymptotically well approximated by $ q $ -exponential distributions with a given entropic index $ q $ and width parameter $ \lambda $ . We observe that the power-law parameter $ q $ and the width parameter $ \lambda $ vary widely for the different spatial locations. We present the results of our data analysis in the form of a map that shows which parameters $ q $ and $ \lambda $ are most relevant in a given region. A variety of interest</w:t>
      </w:r>
    </w:p>
    <w:p>
      <w:pPr/>
      <w:r>
        <w:rPr>
          <w:b/>
        </w:rPr>
        <w:t>POSSIBLE 2024:</w:t>
      </w:r>
      <w:r>
        <w:t xml:space="preserve"> Burden of cardiovascular disease attributed to air pollution: a systematic review — https://doi.org/10.1186/s12992-024-01040-0</w:t>
      </w:r>
    </w:p>
    <w:p>
      <w:pPr/>
      <w:r>
        <w:rPr>
          <w:b/>
        </w:rPr>
        <w:t>Shared claim-specific concepts:</w:t>
      </w:r>
      <w:r>
        <w:t xml:space="preserve"> pollution, attributed, increase; EU scope not established. This is a provisional connection, not an outcome finding.</w:t>
      </w:r>
    </w:p>
    <w:p>
      <w:pPr>
        <w:pStyle w:val="SourceNote"/>
      </w:pPr>
      <w:r>
        <w:rPr>
          <w:b/>
        </w:rPr>
        <w:t>Available abstract (not full text):</w:t>
      </w:r>
      <w:r>
        <w:t xml:space="preserve"> Abstract Background Cardiovascular diseases (CVDs) are estimated to be the leading cause of global death. Air pollution is the biggest environmental threat to public health worldwide. It is considered a potentially modifiable environmental risk factor for CVDs because it can be prevented by adopting the right national and international policies. The present study was conducted to synthesize the results of existing studies on the burden of CVDs attributed to air pollution, namely prevalence, hospitalization, disability, mortality, and cost characteristics. Methods A systematic search was performed in the Scopus, PubMed, and Web of Science databases to identify studies, without time limitations, up to June 13, 2023. Exclusion criteria included prenatal exposure, exposure to indoor air pollution, review studies, conferences, books, letters to editors, and animal and laboratory studies. The quality of the articles was evaluated based on the Agency for Healthcare Research and Quality Assessment Form, the Newcastle–Ottawa Scale, and Drummond Criteria using a self-established scale. The articles that achieved categories A and B were included in the study. Results Of the 566 studies obtained, based on the inclusion/exclusion criteria, 92 studies were defined as eligible in the present systematic review. The results of these investigations supported that chronic exposure to various conc</w:t>
      </w:r>
    </w:p>
    <w:p>
      <w:pPr>
        <w:pStyle w:val="Heading2"/>
      </w:pPr>
      <w:r>
        <w:t>550.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r>
        <w:rPr>
          <w:b/>
        </w:rPr>
        <w:t>POSSIBLE 2024:</w:t>
      </w:r>
      <w:r>
        <w:t xml:space="preserve"> Soil pollution in the European Union – An outlook — https://doi.org/10.1016/j.envsci.2024.103876</w:t>
      </w:r>
    </w:p>
    <w:p>
      <w:pPr/>
      <w:r>
        <w:rPr>
          <w:b/>
        </w:rPr>
        <w:t>Shared claim-specific concepts:</w:t>
      </w:r>
      <w:r>
        <w:t xml:space="preserve"> union, relevant; EU scope visible. This is a provisional connection, not an outcome finding.</w:t>
      </w:r>
    </w:p>
    <w:p>
      <w:pPr>
        <w:pStyle w:val="SourceNote"/>
      </w:pPr>
      <w:r>
        <w:rPr>
          <w:b/>
        </w:rPr>
        <w:t>Available abstract (not full text):</w:t>
      </w:r>
      <w:r>
        <w:t xml:space="preserve"> Soil pollution in the European Union (EU) is poorly quantified, because of several years of reduced attention and limited funding on soil research and monitoring.Moreover, issues such as different monitoring methodologies within Member States (MS), and quantification methods focused on pseudototal rather than the available fraction of pollutants, has been limiting our understanding of risk under soil pollution.Despite that, thanks to efforts from the scientific community, it was possible to achieve some progress, which is by far insufficient for the problem at hand.In the anticipation of future policy demands and towards a common strategy for tackling soil pollution in the EU, it seemed relevant to describe the limited knowledge and main uncertainties.Such analysis should provide evidence for the development of efficient policies, as well as updating current ones to better tackle the interdisciplinary of soil.This perspective provides our view on current knowledge on soil pollution at EU scale, by compiling the most updated assessments made at EU scale, identifying soil pollution drivers, impacts on health and the environment, and evaluating current state of knowledge.Allowing us to infer about current level of uncertainties and knowledge gaps and identify solutions through future research and policies.Our suggestions are in line with an increasing investment on research and in</w:t>
      </w:r>
    </w:p>
    <w:p>
      <w:pPr/>
      <w:r>
        <w:rPr>
          <w:b/>
        </w:rPr>
        <w:t>POSSIBLE 2024:</w:t>
      </w:r>
      <w:r>
        <w:t xml:space="preserve"> Credit Claiming in the European Union — https://doi.org/10.1086/732970</w:t>
      </w:r>
    </w:p>
    <w:p>
      <w:pPr/>
      <w:r>
        <w:rPr>
          <w:b/>
        </w:rPr>
        <w:t>Shared claim-specific concepts:</w:t>
      </w:r>
      <w:r>
        <w:t xml:space="preserve"> union, frequently, strategies; EU scope visible. This is a provisional connection, not an outcome finding.</w:t>
      </w:r>
    </w:p>
    <w:p>
      <w:pPr>
        <w:pStyle w:val="SourceNote"/>
      </w:pPr>
      <w:r>
        <w:rPr>
          <w:b/>
        </w:rPr>
        <w:t>Available abstract (not full text):</w:t>
      </w:r>
      <w:r>
        <w:t xml:space="preserve"> Incumbents in multilevel systems are assumed to exploit uncertainty of responsibility by claiming credit and shifting blame, yet little is known about when and how they engage in these rhetorical strategies. This article draws on the example of Europe’s multilevel system of governance to argue that electoral incentives determine governments’ presentation of the European Union (EU) in their domestic public spheres. I use an original dataset of over 6,000 classified statements by heads of government presenting the outcomes of EU summits to their national media between 2005 and 2018 and find that governments both claim credit for themselves and share credit with other levels of government. Governments are more likely to claim credit when domestic Euroskepticism is high and for issues that are salient to domestic audiences. Findings challenge the conventional view that the EU receives little recognition from politicians in domestic public spheres and that governments frequently shift blame onto the EU. Rather, the EU is credited for policy issues citizens care less about, whereas governments claim credit for issues that are electorally salient. Findings have implications for democratic accountability in multilevel systems of governance.</w:t>
      </w:r>
    </w:p>
    <w:p>
      <w:pPr/>
      <w:r>
        <w:rPr>
          <w:b/>
        </w:rPr>
        <w:t>POSSIBLE 2024:</w:t>
      </w:r>
      <w:r>
        <w:t xml:space="preserve"> The role of the European Union and international legislation in the government of the migration crisis — https://doi.org/10.31893/multirev.2024309</w:t>
      </w:r>
    </w:p>
    <w:p>
      <w:pPr/>
      <w:r>
        <w:rPr>
          <w:b/>
        </w:rPr>
        <w:t>Shared claim-specific concepts:</w:t>
      </w:r>
      <w:r>
        <w:t xml:space="preserve"> union, role, international, developing; EU scope visible. This is a provisional connection, not an outcome finding.</w:t>
      </w:r>
    </w:p>
    <w:p>
      <w:pPr>
        <w:pStyle w:val="SourceNote"/>
      </w:pPr>
      <w:r>
        <w:rPr>
          <w:b/>
        </w:rPr>
        <w:t>Available abstract (not full text):</w:t>
      </w:r>
      <w:r>
        <w:t xml:space="preserve"> This paper focuses on the over researched migrant and refugee emergency of 2015-2016, adopting a broader temporal and spatial lens. The 2015 refugee crisis shook Europe and its security and brought immigration and asylum policy to new political dynamics that are developing at a pace and with difficulty in coordination. This particular 'crisis' of 2015 gave a stronger political impetus to the migration and asylum agenda of the EU's destination and transit states. concerns about the limitations of the liberal state, including external border policy, the framing of migrants, European identity and the phenomenon of return migration security, which mainly affected Central and Eastern Europe. Through the analysis of a broad set of materials emerging from the research project, we identified several interacting features of governance in times of crisis, including a multilevel but complex actor landscape, complicated and fragmented legal systems and policy provisions that can change at the temporal level as well as at the territorial level and the current characteristics of a 'crisis governance mode'. Can we identify the specific features that form this state of crisis?</w:t>
      </w:r>
    </w:p>
    <w:p>
      <w:pPr/>
      <w:r>
        <w:rPr>
          <w:b/>
        </w:rPr>
        <w:t>POSSIBLE 2024:</w:t>
      </w:r>
      <w:r>
        <w:t xml:space="preserve"> Geopolitics in Space and the Role of the European Union — https://doi.org/10.37075/bjiep.2023.2.02</w:t>
      </w:r>
    </w:p>
    <w:p>
      <w:pPr/>
      <w:r>
        <w:rPr>
          <w:b/>
        </w:rPr>
        <w:t>Shared claim-specific concepts:</w:t>
      </w:r>
      <w:r>
        <w:t xml:space="preserve"> union, role, international, today, become; EU scope visible. This is a provisional connection, not an outcome finding.</w:t>
      </w:r>
    </w:p>
    <w:p>
      <w:pPr>
        <w:pStyle w:val="SourceNote"/>
      </w:pPr>
      <w:r>
        <w:rPr>
          <w:b/>
        </w:rPr>
        <w:t>Available abstract (not full text):</w:t>
      </w:r>
      <w:r>
        <w:t xml:space="preserve"> The changing nature of traditional geopolitics has seen world powers turn to space as the ultimate frontier and potential battlefield. This paper addresses one of the key issues in the international security agenda today: the rise of space as geopolitical concept. It shows how the topic has become a topic of concern to the international community. Its main objectives are 1.) to examine the current developments in the strategic posture of the leading space powers and 2.) to elaborate a new perspective on the European Union’s role in space exploration which places at the centre of a debate the need for major improvements and autonomous capacity building.</w:t>
      </w:r>
    </w:p>
    <w:p>
      <w:pPr/>
      <w:r>
        <w:rPr>
          <w:b/>
        </w:rPr>
        <w:t>POSSIBLE 2024:</w:t>
      </w:r>
      <w:r>
        <w:t xml:space="preserve"> The Role of Entrepreneurship in Changing the Employment Rate in the European Union — https://doi.org/10.1007/s13132-024-01841-z</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Abstract The aim of this research is to examine the role of entrepreneurship in changing the employment rate in the European Union (EU). With the aim of understanding the relationship between entrepreneurship and employment dynamics, this research investigates the impact of entrepreneurial activities on job creation, job opportunities, and overall employment trends across EU member states. By analyzing a comprehensive dataset encompassing various economic indicators and entrepreneurial metrics, including business startups, self-employment rates, and entrepreneurial ecosystem factors, this study provides insights into the mechanisms through which entrepreneurship influences employment in the EU. The analysis considers both the direct and indirect effects of entrepreneurship on employment, exploring how entrepreneurial ventures contribute to job creation, stimulate economic growth, and shape labor market dynamics. The findings of this study reveal that entrepreneurship plays a crucial role in changing the employment rate in the EU. Entrepreneurial activities, such as new business startups and self-employment, contribute significantly to job creation, particularly in sectors characterized by innovation, technology, and services. Furthermore, entrepreneurship fosters a dynamic and flexible labor market, promoting job opportunities and reducing unemployment rates. The study also hig</w:t>
      </w:r>
    </w:p>
    <w:p>
      <w:pPr>
        <w:pStyle w:val="Heading2"/>
      </w:pPr>
      <w:r>
        <w:t>551.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r>
        <w:rPr>
          <w:b/>
        </w:rPr>
        <w:t>POSSIBLE 2023:</w:t>
      </w:r>
      <w:r>
        <w:t xml:space="preserve"> Fairness in recommender systems: research landscape and future directions — https://doi.org/10.1007/s11257-023-09364-z</w:t>
      </w:r>
    </w:p>
    <w:p>
      <w:pPr/>
      <w:r>
        <w:rPr>
          <w:b/>
        </w:rPr>
        <w:t>Shared claim-specific concepts:</w:t>
      </w:r>
      <w:r>
        <w:t xml:space="preserve"> directions, create, find, questions; EU scope not established. This is a provisional connection, not an outcome finding.</w:t>
      </w:r>
    </w:p>
    <w:p>
      <w:pPr>
        <w:pStyle w:val="SourceNote"/>
      </w:pPr>
      <w:r>
        <w:rPr>
          <w:b/>
        </w:rPr>
        <w:t>Available abstract (not full text):</w:t>
      </w:r>
      <w:r>
        <w:t xml:space="preserve"> Abstract Recommender systems can strongly influence which information we see online, e.g., on social media, and thus impact our beliefs, decisions, and actions. At the same time, these systems can create substantial business value for different stakeholders. Given the growing potential impact of such AI-based systems on individuals, organizations, and society, questions of fairness have gained increased attention in recent years. However, research on fairness in recommender systems is still a developing area. In this survey, we first review the fundamental concepts and notions of fairness that were put forward in the area in the recent past. Afterward, through a review of more than 160 scholarly publications, we present an overview of how research in this field is currently operationalized, e.g., in terms of general research methodology, fairness measures, and algorithmic approaches. Overall, our analysis of recent works points to certain research gaps. In particular, we find that in many research works in computer science, very abstract problem operationalizations are prevalent and questions of the underlying normative claims and what represents a fair recommendation in the context of a given application are often not discussed in depth. These observations call for more interdisciplinary research to address fairness in recommendation in a more comprehensive and impactful manne</w:t>
      </w:r>
    </w:p>
    <w:p>
      <w:pPr>
        <w:pStyle w:val="Heading2"/>
      </w:pPr>
      <w:r>
        <w:t>552.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pStyle w:val="Heading2"/>
      </w:pPr>
      <w:r>
        <w:t>553.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r>
        <w:rPr>
          <w:b/>
        </w:rPr>
        <w:t>POSSIBLE 2025:</w:t>
      </w:r>
      <w:r>
        <w:t xml:space="preserve"> Building resilient and creative universities: exploring the new normal for eight universities across Europe — https://doi.org/10.1007/s44217-025-00580-w</w:t>
      </w:r>
    </w:p>
    <w:p>
      <w:pPr/>
      <w:r>
        <w:rPr>
          <w:b/>
        </w:rPr>
        <w:t>Shared claim-specific concepts:</w:t>
      </w:r>
      <w:r>
        <w:t xml:space="preserve"> universities, practices, digital, transformation, foster; EU scope visible. This is a provisional connection, not an outcome finding.</w:t>
      </w:r>
    </w:p>
    <w:p>
      <w:pPr>
        <w:pStyle w:val="SourceNote"/>
      </w:pPr>
      <w:r>
        <w:rPr>
          <w:b/>
        </w:rPr>
        <w:t>Available abstract (not full text):</w:t>
      </w:r>
      <w:r>
        <w:t xml:space="preserve"> Abstract The rapid digital turn tested universities' resilience like never before. New modes of survival and creative actions were required to cope with the COVID-19 crisis and the extreme upheaval of established ways of teaching. While prior research has explored organizational resilience and creativity separately, their interconnection remains underexamined. This study addresses this gap by analyzing 68 interviews with university staff members working at eight European universities (located in Germany, the UK, Austria, and Estonia), investigating the interlink between organizational resilience and creativity during the pandemic and the abrupt uptake of educational technology (EdTech). We identify three organizational practices which illustrate the resilience-creativity nexus: Accumulating, Engaging, and Reassembling. Accumulating refers to universities cultivating resources and support structures, which may fall outside of normal routines, including investing in technical training and didactic support for teachers. Whereas, Engaging includes practices universities undertake to foster institutional exchange to find creative solutions for carrying out emergency remote teaching. Lastly, Reassembling refers to processes in which universities reinvent existing routines and invent new ones, including rethinking time-honoured teaching practices in light of new technological discover</w:t>
      </w:r>
    </w:p>
    <w:p>
      <w:pPr/>
      <w:r>
        <w:rPr>
          <w:b/>
        </w:rPr>
        <w:t>POSSIBLE 2025:</w:t>
      </w:r>
      <w:r>
        <w:t xml:space="preserve"> Incorporating Contemplative Practices into the Classroom: An Auto/ethnographic Inquiry — https://openalex.org/W7217594155</w:t>
      </w:r>
    </w:p>
    <w:p>
      <w:pPr/>
      <w:r>
        <w:rPr>
          <w:b/>
        </w:rPr>
        <w:t>Shared claim-specific concepts:</w:t>
      </w:r>
      <w:r>
        <w:t xml:space="preserve"> incorporating, practices, integrates; EU scope not established. This is a provisional connection, not an outcome finding.</w:t>
      </w:r>
    </w:p>
    <w:p>
      <w:pPr>
        <w:pStyle w:val="SourceNote"/>
      </w:pPr>
      <w:r>
        <w:rPr>
          <w:b/>
        </w:rPr>
        <w:t>Available abstract (not full text):</w:t>
      </w:r>
      <w:r>
        <w:t xml:space="preserve"> Contemplative practices are vital for socio-emotional wellbeing by integrating compassion, self-awareness, and ethical values to nurture life-oriented competencies. This autoethnographic study explores the alignment between personal experience, pedagogy, and contemplative practice. Emphasizing critical self-reflexivity, the study integrates autobiography and ethnography to bridge self and collective consciousness in the classroom. Through autoethnographic reflection, four key themes arose: emotional tensions in instructional delivery, masking of authentic ways of teaching, restoration of classroom dignity and shared vulnerability. Integrating mindfulness, reflective journaling, and somatic practices helped recognize emotional triggers and personal biases. This helped transform holistic learning spaces while enhancing students emotional resiliency and classroom engagement. The findings suggest that teachers' practices in somatic and emotional awareness aids students’ holistic wellbeing noting teachers’ presence, compassion, and relational growth.</w:t>
      </w:r>
    </w:p>
    <w:p>
      <w:pPr/>
      <w:r>
        <w:rPr>
          <w:b/>
        </w:rPr>
        <w:t>POSSIBLE 2024:</w:t>
      </w:r>
      <w:r>
        <w:t xml:space="preserve"> Meeting Abstracts for the Society for Simulation in Europe 2024 — https://doi.org/10.1186/s41077-024-00287-2</w:t>
      </w:r>
    </w:p>
    <w:p>
      <w:pPr/>
      <w:r>
        <w:rPr>
          <w:b/>
        </w:rPr>
        <w:t>Shared claim-specific concepts:</w:t>
      </w:r>
      <w:r>
        <w:t xml:space="preserve"> society, both; EU scope visible. This is a provisional connection, not an outcome finding.</w:t>
      </w:r>
    </w:p>
    <w:p>
      <w:pPr>
        <w:pStyle w:val="SourceNote"/>
      </w:pPr>
      <w:r>
        <w:rPr>
          <w:b/>
        </w:rPr>
        <w:t>Available abstract (not full text):</w:t>
      </w:r>
      <w:r>
        <w:t xml:space="preserve"> Advances in Simulation 2024, 9(1): O1 man cohort.In conclusion, the multidimensional assessment model used in our study was able to discriminate between 3rd and 4th year residents in both cohorts, demonstrating validity, but did not show differences among residents from two different training systems.</w:t>
      </w:r>
    </w:p>
    <w:p>
      <w:pPr/>
      <w:r>
        <w:rPr>
          <w:b/>
        </w:rPr>
        <w:t>POSSIBLE 2024:</w:t>
      </w:r>
      <w:r>
        <w:t xml:space="preserve"> Assumptions and simplifications in discrete-event simulation modelling — https://doi.org/10.1080/17477778.2024.2407369</w:t>
      </w:r>
    </w:p>
    <w:p>
      <w:pPr/>
      <w:r>
        <w:rPr>
          <w:b/>
        </w:rPr>
        <w:t>Shared claim-specific concepts:</w:t>
      </w:r>
      <w:r>
        <w:t xml:space="preserve"> incorporating, assumptions; EU scope not established. This is a provisional connection, not an outcome finding.</w:t>
      </w:r>
    </w:p>
    <w:p>
      <w:pPr>
        <w:pStyle w:val="SourceNote"/>
      </w:pPr>
      <w:r>
        <w:rPr>
          <w:b/>
        </w:rPr>
        <w:t>Available abstract (not full text):</w:t>
      </w:r>
      <w:r>
        <w:t xml:space="preserve"> All discrete-event simulation models are approximations of the real system that they represent. It is through making assumptions and incorporating simplifications into such models that they become an approximation. However, despite their importance, the 4definition, role and management of assumptions and simplifications is not well understood. In this paper we explore assumptions and simplifications in discrete-event simulation modelling in detail. Our approach is firstly to explore the existing literature on this topic, and then to draw this together with our extensive experience of real projects to recommend an approach to managing assumptions and simplifications in a simulation study. In doing so, we locate the role of assumptions and simplifications in a simulation study against knowledge acquisition and model abstraction respectively. We define the terms “assumptions” and “simplifications”, also identifying the role of “simplifying assumptions”. An approach to documenting, assessing and treating assumptions and simplifications which has been implemented in real projects is then described; and it is illustrated through application to a Ford Motor Company case study. This paper provides much needed clarity on the topic of assumptions and simplifications in simulation modelling, and it sets out a means for managing assumptions and simplifications during a simulation study.</w:t>
      </w:r>
    </w:p>
    <w:p>
      <w:pPr>
        <w:pStyle w:val="Heading2"/>
      </w:pPr>
      <w:r>
        <w:t>554.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r>
        <w:rPr>
          <w:b/>
        </w:rPr>
        <w:t>POSSIBLE 2024:</w:t>
      </w:r>
      <w:r>
        <w:t xml:space="preserve"> Constructing transferable and interpretable machine learning models for black carbon concentrations — https://doi.org/10.1016/j.envint.2024.108449</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Black carbon (BC) has received increasing attention from researchers due to its adverse health effects. However, in-situ BC measurements are often not included as a regulated variable in air quality monitoring networks. Machine learning (ML) models have been studied extensively to serve as virtual sensors to complement the reference instruments. This study evaluates and compares three white-box (WB) and four black-box (BB) ML models to estimate BC concentrations, with the focus to show their transferability and interpretability. We train the models with the long-term air pollutant and weather measurements in Barcelona urban background site, and test them in other European urban and traffic sites. Despite the difference in geographical locations and measurement sites, BC correlates the strongest with particle number concentration of accumulation mode (PNacc, r = 0.73–0.85) and nitrogen dioxide (NO2, r = 0.68–0.85) and the weakest with meteorological parameters. Due to its similarity of correlation behaviour, the ML models trained in Barcelona performs prominently at the traffic site in Helsinki (R2 = 0.80–0.86; mean absolute error MAE = 3.90–4.73 %) and at the urban background site in Dresden (R2 = 0.79–0.84; MAE = 4.23–4.82 %). WB models appear to explain less variability of BC than BB models, long short-term memory (LSTM) model of which outperforms the rest of the models. In t</w:t>
      </w:r>
    </w:p>
    <w:p>
      <w:pPr/>
      <w:r>
        <w:rPr>
          <w:b/>
        </w:rPr>
        <w:t>POSSIBLE 2023:</w:t>
      </w:r>
      <w:r>
        <w:t xml:space="preserve"> Costs and benefits of climate services for heat-health adaptation in Europe — https://doi.org/10.1093/eurpub/ckad160.371</w:t>
      </w:r>
    </w:p>
    <w:p>
      <w:pPr/>
      <w:r>
        <w:rPr>
          <w:b/>
        </w:rPr>
        <w:t>Shared claim-specific concepts:</w:t>
      </w:r>
      <w:r>
        <w:t xml:space="preserve"> background, climate, heat;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How future climate and tree distribution changes shape the biodiversity of macrofungi across Europe — https://doi.org/10.1111/ddi.13688</w:t>
      </w:r>
    </w:p>
    <w:p>
      <w:pPr/>
      <w:r>
        <w:rPr>
          <w:b/>
        </w:rPr>
        <w:t>Shared claim-specific concepts:</w:t>
      </w:r>
      <w:r>
        <w:t xml:space="preserve"> varying, climate, including; EU scope visible. This is a provisional connection, not an outcome finding.</w:t>
      </w:r>
    </w:p>
    <w:p>
      <w:pPr>
        <w:pStyle w:val="SourceNote"/>
      </w:pPr>
      <w:r>
        <w:rPr>
          <w:b/>
        </w:rPr>
        <w:t>Available abstract (not full text):</w:t>
      </w:r>
      <w:r>
        <w:t xml:space="preserve"> Abstract Aim Climate change is affecting biodiversity at an accelerating rate. Despite the importance of fungi in ecosystems in general, and in the global carbon and nitrogen cycle in particular, there is little research on the response of fungi to climate change compared with plants and animals. Earlier studies show that climatic factors and tree species are key determinants of macrofungal diversity and distribution at large spatial scales. However, our knowledge of how climate change will affect macrofungal diversity and distribution in the future remains poorly understood. Location Europe. Methods Using openly available occurrence data of 1845 macrofungal species from eight European countries (i.e. Norway, Sweden, Finland, Denmark, Netherlands, Germany, France and Spain), we built ensemble species distribution models to predict macrofungal response to climate change alone and combined climate and tree distribution change under the IPCC special report on 2080 emissions scenarios (SRES A2 and B2). Results Considering climate change alone, we predict that about 77% (74.1%–80.7%) of the modelled species will expand their distribution range, and around 57% (56.1%–58.4%) of the modelled area will have an increase in macrofungal species richness. However, when considering the combined climate and tree species distribution change, only 50% (50%–50.9%) of the species are predicted to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background, climate, july, warmer;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pStyle w:val="Heading2"/>
      </w:pPr>
      <w:r>
        <w:t>555.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2025:</w:t>
      </w:r>
      <w:r>
        <w:t xml:space="preserve"> Research Trend Analysis in the Field of Self-Driving Labs Using Network Analysis and Topic Modeling — https://doi.org/10.3390/systems13040253</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system that automates experimental design, data collection, and analysis using robotics and artificial intelligence (AI) technologies. Its significance has grown substantially in recent years. This study analyzes the overall SDL research trends, examines changes in specific topics, visualizes the relational structure between authors to identify key contributors, and extracts major themes from extensive texts to highlight essential research content. To achieve these objectives, trend analysis, network analysis, and topic modeling were conducted on 352 research papers collected from the Web of Science between 2004 and 2023. To ensure the validity of the topic modeling results, a topic correlation matrix was also performed. The results revealed three key findings. First, SDL research has surged since 2019, driven by advancements in AI technologies, reflecting heightened activity in this field. Second, modern scientific research is advancing with a focus on data-driven approaches, artificial intelligence applications, and experimental optimization through the utilization of SDLs. Third, SDL research exhibits interdisciplinary convergence, encompassing material optimization, biological processes, and AI predictive algorithms. This study underscores the growing importance of SDLs as a research tool across diverse academic disciplines and provides practical in</w:t>
      </w:r>
    </w:p>
    <w:p>
      <w:pPr/>
      <w:r>
        <w:rPr>
          <w:b/>
        </w:rPr>
        <w:t>POSSIBLE 2025:</w:t>
      </w:r>
      <w:r>
        <w:t xml:space="preserve"> A Comparative Trends of Watershed Health and Its Driving Forces — https://doi.org/10.3390/w18010095</w:t>
      </w:r>
    </w:p>
    <w:p>
      <w:pPr/>
      <w:r>
        <w:rPr>
          <w:b/>
        </w:rPr>
        <w:t>Shared claim-specific concepts:</w:t>
      </w:r>
      <w:r>
        <w:t xml:space="preserve"> identify, challenges, trends, driving, forces, water; EU scope not established. This is a provisional connection, not an outcome finding.</w:t>
      </w:r>
    </w:p>
    <w:p>
      <w:pPr>
        <w:pStyle w:val="SourceNote"/>
      </w:pPr>
      <w:r>
        <w:rPr>
          <w:b/>
        </w:rPr>
        <w:t>Available abstract (not full text):</w:t>
      </w:r>
      <w:r>
        <w:t xml:space="preserve"> In recent decades, rapid socioeconomic development and population growth have led to the degradation of river and lake health worldwide, posing severe challenges to watershed ecological management. The growing intensity of land-use has significantly contributed to the accelerated deterioration of aquatic ecosystems. River and lake health assessment has evolved from single-parameter metrics (e.g., water quality) to multidimensional frameworks integrating hydrological, biological, and anthropogenic factors. This research conducted a bibliometric analysis of 1302 publications from 1996 to 2023 in the Web of Science database to identify research trends and hotspots. Results showed that publications exhibited a three-phase growth incubation (1996–2000), expansion (2001–2012), and acceleration (2013–2023), with the U.S., China, and Australia as leading contributors characterized by regionally clustered international collaborations. Research themes have shifted from single water quality parameters to integrated assessments. “Land-use”, “water quality”, and “biotic integrity” have emerged as core hotspots, forming a synergistic assessment framework that combines physicochemical, biological, and socioeconomic factors. The research scale underwent a spatial refinement process from the whole watershed to the buffer zone of rivers and lakes, and land-use effects on aquatic ecosystems vary </w:t>
      </w:r>
    </w:p>
    <w:p>
      <w:pPr/>
      <w:r>
        <w:rPr>
          <w:b/>
        </w:rPr>
        <w:t>POSSIBLE 2024:</w:t>
      </w:r>
      <w:r>
        <w:t xml:space="preserve"> Narrative Beginnings: Relations between First Full-Fledged Scenes and the Beginning of the Main Action — https://doi.org/10.1353/nar.2024.a916602</w:t>
      </w:r>
    </w:p>
    <w:p>
      <w:pPr/>
      <w:r>
        <w:rPr>
          <w:b/>
        </w:rPr>
        <w:t>Shared claim-specific concepts:</w:t>
      </w:r>
      <w:r>
        <w:t xml:space="preserve"> first, identify, main, alternative; EU scope not established. This is a provisional connection, not an outcome finding.</w:t>
      </w:r>
    </w:p>
    <w:p>
      <w:pPr>
        <w:pStyle w:val="SourceNote"/>
      </w:pPr>
      <w:r>
        <w:rPr>
          <w:b/>
        </w:rPr>
        <w:t>Available abstract (not full text):</w:t>
      </w:r>
      <w:r>
        <w:t xml:space="preserve"> ABSTRACT: This essay focuses on two important phenomena in the context of narrative “beginnings”: the beginning of the action proper and the first full-fledged scene (FFS), namely, the first time-section in the text that the author finds to be of consequence enough to deserve full scenic treatment. The point of departure for my discussion is Meir Sternberg’s claim that the FFS always signals the beginning of the action proper (and the end of the exposition) in the fabula. To refute this as an absolute claim, I examine several types of openings where the FFS either succeeds or precedes chronologically the beginning of the action proper. I thereby also try to demonstrate it is instructive to consider the FFS more generally as significant on aesthetic and rhetorical grounds within the narrative whole; it can perform various and possibly alternative functions to the one Sternberg attributes to it as necessary and constant. Moreover, regarding the question of establishing the beginning point of the action proper, I suggest as an alternative signpost another full-fledged scene—the first in what I call the “main linear sequence” of the work (the application of both criteria often leads to the same result, but not always). This alternative indicator is not without its limitations either, but these limitations are methodologically useful since they help us identify and explain cases whe</w:t>
      </w:r>
    </w:p>
    <w:p>
      <w:pPr/>
      <w:r>
        <w:rPr>
          <w:b/>
        </w:rPr>
        <w:t>POSSIBLE 2024:</w:t>
      </w:r>
      <w:r>
        <w:t xml:space="preserve"> Population of Kalmykia: Main Geodemographic Trends of the First Quarter of the 21st Century — https://doi.org/10.15688/re.volsu.2024.4.15</w:t>
      </w:r>
    </w:p>
    <w:p>
      <w:pPr/>
      <w:r>
        <w:rPr>
          <w:b/>
        </w:rPr>
        <w:t>Shared claim-specific concepts:</w:t>
      </w:r>
      <w:r>
        <w:t xml:space="preserve"> first, identify, main, trends, region; EU scope not established. This is a provisional connection, not an outcome finding.</w:t>
      </w:r>
    </w:p>
    <w:p>
      <w:pPr>
        <w:pStyle w:val="SourceNote"/>
      </w:pPr>
      <w:r>
        <w:rPr>
          <w:b/>
        </w:rPr>
        <w:t>Available abstract (not full text):</w:t>
      </w:r>
      <w:r>
        <w:t xml:space="preserve"> The article analyzes the main trends in the quantitative, spatial, and settlement dynamics of the population of Kalmykia in the first quarter of the 21 st century. It was found that migration was the main factor of geodemographic changes. The active outflow of population determined the increased rate of demographic losses in the republic (8.8% for 2002–2024 was the highest rate among regions in the South of Russia), despite the maintenance of a positive natural growth rate until the early 2020s. A slight reduction in the scale of migration loss in the 2000s and its new growth in the 2010s make it possible to identify two periods in the demographic dynamics of the republic’s population, which generally coincide with the first two decades of the 21 st century. The outflow of population was widespread, but its intensity varied significantly across the territory of Kalmykia. The maximum demographic losses (21–30%) in the first quarter of the century were suffered by the western and northwestern districts (Gorodovikovsky, Priyutnensky, Sarpinsky, Ketcherovsky), in which significant outflow was combined with a natural decrease in the population due to its national structure (high proportion of Russians). In the inter-regional exchange, all the territorial communities of Kalmykia, including the capital, lost their population. In the intraregional population circulation, the metropolit</w:t>
      </w:r>
    </w:p>
    <w:p>
      <w:pPr/>
      <w:r>
        <w:rPr>
          <w:b/>
        </w:rPr>
        <w:t>POSSIBLE 2024:</w:t>
      </w:r>
      <w:r>
        <w:t xml:space="preserve"> Research Trend Analysis in the Field of Self-Driving Lab Using Network Analysis and Topic Modeling — https://doi.org/10.20944/preprints202412.0512.v1</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is a system that automates experiment design, data collection, and analysis using robotics and artificial intelligence (AI) technologies, and its significance has grown substantially in recent years. This study analyzes the overall research trends in SDL, examines changes in specific topics, visualizes the relational structure among authors to identify key contributors and extracts major themes from extensive texts to highlight essential research content. To achieve these objectives, trend analysis, network analysis, and topic modeling are conducted on 352 research papers collected from the Web of Science from 2004 to 2023. The results revealed three key findings. First, SDL research has surged since 2019, driven by the pandemic and advancements in AI technologies, reflecting heightened activity in this field. Second, several influential researchers have been identified as central figures in the network, playing pivotal roles in collaboration and information dissemination. Third, SDL research exhibits interdisciplinary convergence, encompassing areas such as material optimization, biological processes, and AI predictive algorithms. This study underscores the growing importance of SDL as a research tool across diverse academic disciplines and provides practical insights into sustainable future research directions and strategic approaches.</w:t>
      </w:r>
    </w:p>
    <w:p>
      <w:pPr/>
      <w:r>
        <w:rPr>
          <w:b/>
        </w:rPr>
        <w:t>POSSIBLE 2024:</w:t>
      </w:r>
      <w:r>
        <w:t xml:space="preserve"> Driving Efficiency and Competitiveness: Trends and Innovations in ERP Systems for the Wood Industry — https://doi.org/10.3390/f15020230</w:t>
      </w:r>
    </w:p>
    <w:p>
      <w:pPr/>
      <w:r>
        <w:rPr>
          <w:b/>
        </w:rPr>
        <w:t>Shared claim-specific concepts:</w:t>
      </w:r>
      <w:r>
        <w:t xml:space="preserve"> identify, main, challenges, trends, driving, systems; EU scope not established. This is a provisional connection, not an outcome finding.</w:t>
      </w:r>
    </w:p>
    <w:p>
      <w:pPr>
        <w:pStyle w:val="SourceNote"/>
      </w:pPr>
      <w:r>
        <w:rPr>
          <w:b/>
        </w:rPr>
        <w:t>Available abstract (not full text):</w:t>
      </w:r>
      <w:r>
        <w:t xml:space="preserve"> Enterprise Resource Planning (ERP) systems offer various functionalities to support an organization’s core functions. However, many anticipated benefits often need to materialize due to business context changes and users’ high expectations. Continuous adaptation and improvement are necessary to address user disappointments. This research focuses on ERP systems, exploring key factors influencing the success of their implementation. Recognizing challenges in ERP system implementation, this study provides a comprehensive literature review, identifying essential and contemporary Critical Success Factors (CSFs) influenced by technological advancements. Addressing challenges specific to the wood industry, this research introduces additional industry-adapted CSFs, including industry adaptability, integration with production machinery, effective warehouse management, and supply chain tracking. Furthermore, this paper emphasizes the need for continuous adaptation and improvement of ERP systems, especially in light of current trends and technological achievements. This study recommends a holistic approach, considering traditional or essential CSFs while adapting to new trends. Critical success factors in ERP implementation in the next decade involve considering cloud technology, artificial intelligence and machine learning, data security, mobile access, IoT integration, user experience, </w:t>
      </w:r>
    </w:p>
    <w:p>
      <w:pPr/>
      <w:r>
        <w:rPr>
          <w:b/>
        </w:rPr>
        <w:t>POSSIBLE 2024:</w:t>
      </w:r>
      <w:r>
        <w:t xml:space="preserve"> The spatiotemporal trend of human brucellosis in China and driving factors using interpretability analysis — https://doi.org/10.1038/s41598-024-55034-4</w:t>
      </w:r>
    </w:p>
    <w:p>
      <w:pPr/>
      <w:r>
        <w:rPr>
          <w:b/>
        </w:rPr>
        <w:t>Shared claim-specific concepts:</w:t>
      </w:r>
      <w:r>
        <w:t xml:space="preserve"> identify, driving, over, region, face; EU scope not established. This is a provisional connection, not an outcome finding.</w:t>
      </w:r>
    </w:p>
    <w:p>
      <w:pPr>
        <w:pStyle w:val="SourceNote"/>
      </w:pPr>
      <w:r>
        <w:rPr>
          <w:b/>
        </w:rPr>
        <w:t>Available abstract (not full text):</w:t>
      </w:r>
      <w:r>
        <w:t xml:space="preserve"> Human brucellosis has reemerged in China, with a distinct change in its geographical distribution. The incidence of human brucellosis has significantly risen in inland regions of China. To gain insights into epidemic characteristics and identify factors influencing the geographic spread of human brucellosis, our study utilized the Extreme Gradient Boosting (XGBoost) algorithm and interpretable machine learning techniques. The results showed a consistent upward trend in the incidence of human brucellosis, with a significant increase of 8.20% from 2004 to 2021 (95% CI: 1.70, 15.10). The northern region continued to face a serious human situation, with a gradual upward trend. Meanwhile, the western and southern regions have experienced a gradual spread of human brucellosis, encompassing all regions of China over the past decade. Further analysis using Shapley Additive Explanations (SHAP) demonstrated that higher Gross Domestic Product (GDP) per capita and increased funding for education have the potential to reduce the spread. Conversely, the expansion of human brucellosis showed a positive correlation with bed availability per 1000 individuals, humidity, railway mileage, and GDP. These findings strongly suggest that socioeconomic factors play a more significant role in the spread of human brucellosis than other factors.</w:t>
      </w:r>
    </w:p>
    <w:p>
      <w:pPr>
        <w:pStyle w:val="Heading2"/>
      </w:pPr>
      <w:r>
        <w:t>556.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r>
        <w:rPr>
          <w:b/>
        </w:rPr>
        <w:t>POSSIBLE 2024:</w:t>
      </w:r>
      <w:r>
        <w:t xml:space="preserve"> Assessing the driving forces for future housing design — https://doi.org/10.14744/megaron.2024.78477</w:t>
      </w:r>
    </w:p>
    <w:p>
      <w:pPr/>
      <w:r>
        <w:rPr>
          <w:b/>
        </w:rPr>
        <w:t>Shared claim-specific concepts:</w:t>
      </w:r>
      <w:r>
        <w:t xml:space="preserve"> megatrends, driving, forces; EU scope not established. This is a provisional connection, not an outcome finding.</w:t>
      </w:r>
    </w:p>
    <w:p>
      <w:pPr>
        <w:pStyle w:val="SourceNote"/>
      </w:pPr>
      <w:r>
        <w:rPr>
          <w:b/>
        </w:rPr>
        <w:t>Available abstract (not full text):</w:t>
      </w:r>
      <w:r>
        <w:t xml:space="preserve"> The COVID-19 pandemic has underscored the imperative for housing to adapt to various factors, such as spatial, functional, climatic, and aesthetic considerations.The pandemic has transformed the dynamics between occupants and their living environments, influencing how different age groups interact with dwelling spaces, as well as impacting work, learning, healthcare access, and services.Urban life dynamics, especially in metropolitan areas, have undergone significant shifts due to social, cultural, technological, environmental, and economic factors.These changes, propelled by urbanization, demographic changes, evolving social structures, challenges in housing accessibility, and the rapid advancement of communication technologies, demand innovative approaches to housing design and programming.This study aims to identify future housing design trends and tendencies within this evolving context.Using a systematic literature review methodology, the study analyzed 87 articles published between 2010 and 2023, selected from digital databases according to predetermined criteria.Through meta-synthesis, STEEP analysis, and Shannon entropy assessments, the study identified 21 megatrends and 72 driving forces across the social, technological, environmental, economic, and political dimensions of housing design.The findings lay the groundwork for future housing innovations and sustainability,</w:t>
      </w:r>
    </w:p>
    <w:p>
      <w:pPr/>
      <w:r>
        <w:rPr>
          <w:b/>
        </w:rPr>
        <w:t>POSSIBLE 2024:</w:t>
      </w:r>
      <w:r>
        <w:t xml:space="preserve"> From Aimless Stray To Charting The Way: Financing Policy Reforms To Bolster Indonesia’s Downstreaming Strategy — https://doi.org/10.22219/jrak.v14i3.35906</w:t>
      </w:r>
    </w:p>
    <w:p>
      <w:pPr/>
      <w:r>
        <w:rPr>
          <w:b/>
        </w:rPr>
        <w:t>Shared claim-specific concepts:</w:t>
      </w:r>
      <w:r>
        <w:t xml:space="preserve"> long-term, potential, system; EU scope not established. This is a provisional connection, not an outcome finding.</w:t>
      </w:r>
    </w:p>
    <w:p>
      <w:pPr>
        <w:pStyle w:val="SourceNote"/>
      </w:pPr>
      <w:r>
        <w:rPr>
          <w:b/>
        </w:rPr>
        <w:t>Available abstract (not full text):</w:t>
      </w:r>
      <w:r>
        <w:t xml:space="preserve"> Purpose: A major impediment to the entry of domestic firms into these sectors is limited access to financing. This study seeks to analyze the constraints to financing access in Indonesia and to formulate policy recommendations to address them by employing an integrative literature review and comparative analysis of East Asian countries. Methodology/approach: This paper employs an integrative literature review and comparative analysis to explore potential policy solutions for mobilizing capital for Indonesia’s downstream industry. Findings: Findings indicate that Indonesia’s financial system, following substantial liberalization, now tends to favor projects with short-term returns over long-term downstream manufacturing projects that are critical for economic transformation. Practical implications: Indonesia must direct its limited capital towards strategic downstream investments. The paper suggests three policy options: 1) providing direct preferential loans; 2) offering guarantees; and 3) injecting equity into targeted domestic firms. Originality/value: The recommendations come with several caveats, including robust governance, specific conditionalities, and stringent evaluation to ensure that financial support targets the most competitive enterprises that can meet the government’s long-term development goals. This research found that while the government's proactive financing</w:t>
      </w:r>
    </w:p>
    <w:p>
      <w:pPr/>
      <w:r>
        <w:rPr>
          <w:b/>
        </w:rPr>
        <w:t>POSSIBLE 2023:</w:t>
      </w:r>
      <w:r>
        <w:t xml:space="preserve"> Modern paradigms and megatrends of industrialdevelopment — https://doi.org/10.15407/econindustry2023.01.005</w:t>
      </w:r>
    </w:p>
    <w:p>
      <w:pPr/>
      <w:r>
        <w:rPr>
          <w:b/>
        </w:rPr>
        <w:t>Shared claim-specific concepts:</w:t>
      </w:r>
      <w:r>
        <w:t xml:space="preserve"> megatrends, long-term, current, increasingly; EU scope not established. This is a provisional connection, not an outcome finding.</w:t>
      </w:r>
    </w:p>
    <w:p>
      <w:pPr>
        <w:pStyle w:val="SourceNote"/>
      </w:pPr>
      <w:r>
        <w:rPr>
          <w:b/>
        </w:rPr>
        <w:t>Available abstract (not full text):</w:t>
      </w:r>
      <w:r>
        <w:t xml:space="preserve"> Implementation of long-term strategies by all industrial stakeholders. The global nature of the challenges necessitates the organic and harmonious integration of all national economies into a new paradigmatic development framework. This requires active rethinking of strategic concepts and industrial policies by political and economic elites at the national, regional, and global levels. There is a growing trend towards expanding the targeted multi-dimensionality of industrial development as a component of holistic socio-economic systems at any level. Thus, the task of deepening the balance and harmonization of individual vectors and processes, both in the sector itself and in related sectors of the economy, is becoming more urgent. As part of the implementation of the imperatives of the socio-humanitarian paradigm, megatrends are being formed to prioritize the inclusion of humanitarian progress goals in industrial strategies and policies, transition to customer-oriented business models, and reorientation of industrial activities to form/expand the "comfort zone" (in various dimensions). The trend of systemic changes in the models of production use of all types of resources on the basis of maximizing resources’ efficiency and environmental safety is strategically important for global industrial development. This will lead to a shift in emphasis in long-term strategies from maximi</w:t>
      </w:r>
    </w:p>
    <w:p>
      <w:pPr>
        <w:pStyle w:val="Heading2"/>
      </w:pPr>
      <w:r>
        <w:t>557.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2025:</w:t>
      </w:r>
      <w:r>
        <w:t xml:space="preserve"> TOWARDS THE EU NET-ZERO: ENERGY PERFORMANCE CONTRACTINGIN THE EUROPEAN UNION POLICY AND REGULATORY FRAMEWORK — https://doi.org/10.46763/scgw25112g203c</w:t>
      </w:r>
    </w:p>
    <w:p>
      <w:pPr/>
      <w:r>
        <w:rPr>
          <w:b/>
        </w:rPr>
        <w:t>Shared claim-specific concepts:</w:t>
      </w:r>
      <w:r>
        <w:t xml:space="preserve"> revision, energy, performance, directive; EU scope visible. This is a provisional connection, not an outcome finding.</w:t>
      </w:r>
    </w:p>
    <w:p>
      <w:pPr>
        <w:pStyle w:val="SourceNote"/>
      </w:pPr>
      <w:r>
        <w:rPr>
          <w:b/>
        </w:rPr>
        <w:t>Available abstract (not full text):</w:t>
      </w:r>
      <w:r>
        <w:t xml:space="preserve">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pPr/>
      <w:r>
        <w:rPr>
          <w:b/>
        </w:rPr>
        <w:t>POSSIBLE 2025:</w:t>
      </w:r>
      <w:r>
        <w:t xml:space="preserve"> Zero‐Emission and Zero Demolition: Promoting Conservation Interests Through the Implementation of the Energy Performance of Buildings Directive — https://doi.org/10.17645/up.10631</w:t>
      </w:r>
    </w:p>
    <w:p>
      <w:pPr/>
      <w:r>
        <w:rPr>
          <w:b/>
        </w:rPr>
        <w:t>Shared claim-specific concepts:</w:t>
      </w:r>
      <w:r>
        <w:t xml:space="preserve"> energy, performance, building, directive, epbd, achieve; EU scope visible. This is a provisional connection, not an outcome finding.</w:t>
      </w:r>
    </w:p>
    <w:p>
      <w:pPr>
        <w:pStyle w:val="SourceNote"/>
      </w:pPr>
      <w:r>
        <w:rPr>
          <w:b/>
        </w:rPr>
        <w:t>Available abstract (not full text):</w:t>
      </w:r>
      <w:r>
        <w:t xml:space="preserve"> To achieve “zero‐emission” in buildings, “zero demolition”—keeping existing buildings in use—could be promoted to a greater extent. Continuous use can even prove to be beneficial for climate mitigation as well as for conservation of heritage values in the building stock. The Energy Performance of Buildings Directive (EPBD) has been revised and entered into force in the EU in May 2024. It gives member states the opportunity to adapt several central concepts, with the ultimate objective of achieving a decarbonised building stock by 2050. This study shows how conservation interests are conveyed and taken into account in the earliest stages of the EPBD implementation by two Swedish authorities with responsibility for heritage and built environment. The study aims to identify challenges and opportunities for aligning the implementation with conservation interests. Data have been collected through interviews with involved officials. An agnostic perspective is applied in the analysis, rejecting presumptions of conservation practices being intrinsically sustainable but highlighting the practices’ potential to contribute to sustainability. The new EPBD allows for national implementation in line with conservation interests, which include exemption from energy requirements for heritage buildings and promotion of circularity. Results from this study show that the two authorities focus on t</w:t>
      </w:r>
    </w:p>
    <w:p>
      <w:pPr/>
      <w:r>
        <w:rPr>
          <w:b/>
        </w:rPr>
        <w:t>POSSIBLE 2024:</w:t>
      </w:r>
      <w:r>
        <w:t xml:space="preserve"> Towards harmonising energy performance certificate indicators in Europe — https://doi.org/10.1016/j.jobe.2024.110323</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2024:</w:t>
      </w:r>
      <w:r>
        <w:t xml:space="preserve"> Energy and environmental performance from field operation of commercial-scale SOFC systems — https://doi.org/10.1016/j.ijhydene.2024.08.332</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Solid Oxide Fuel Cells (SOFCs) are capable of generating electrical and thermal power with very high conversion efficiency and almost no pollutant emissions into the atmosphere. Despite extensive literature on SOFC-based energy system models and experimental testing at the cell and short-stack level, there is currently a lack of performance data for SOFC modules under actual field conditions. To fill this gap, the present work investigates the energy and environmental performance of six SOFC modules, ranging in size from 10 to 60 kW, over thousands of hours of operation. These systems, supplied by the three leading SOFC manufacturers in Europe, have been installed and operated in different non-residential buildings worldwide, as part of the European Comsos project. The aim of this study is to establish a comprehensive set of field operation data to characterise commercial-scale SOFC systems. Specifically, raw data are processed to derived electrical and thermal efficiency maps, degradation rates and pollutant emissions, including particulate matter (PM), nitrogen oxides (NOx) and carbon monoxide (CO). A comparison with competing technologies is also provided to better highlight the potential benefits of adopting SOFC-based cogeneration systems. Values in the range of 51–61% were found for the system-level electrical efficiency under rated conditions. The electrical efficiency a</w:t>
      </w:r>
    </w:p>
    <w:p>
      <w:pPr>
        <w:pStyle w:val="Heading2"/>
      </w:pPr>
      <w:r>
        <w:t>558.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2024:</w:t>
      </w:r>
      <w:r>
        <w:t xml:space="preserve"> Soil Quality Index According to Diverse Land Use Systems Across the Europe — https://doi.org/10.1002/ldr.5438</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pPr/>
      <w:r>
        <w:rPr>
          <w:b/>
        </w:rPr>
        <w:t>POSSIBLE 2024:</w:t>
      </w:r>
      <w:r>
        <w:t xml:space="preserve"> A unifying modelling of multiple land degradation pathways in Europe — https://doi.org/10.1038/s41467-024-48252-x</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Is there a trade-off between human well-being and ecological footprint in European countries? — https://doi.org/10.1016/j.ecolecon.2024.108296</w:t>
      </w:r>
    </w:p>
    <w:p>
      <w:pPr/>
      <w:r>
        <w:rPr>
          <w:b/>
        </w:rPr>
        <w:t>Shared claim-specific concepts:</w:t>
      </w:r>
      <w:r>
        <w:t xml:space="preserve"> index, also, understand, effect; EU scope visible. This is a provisional connection, not an outcome finding.</w:t>
      </w:r>
    </w:p>
    <w:p>
      <w:pPr>
        <w:pStyle w:val="SourceNote"/>
      </w:pPr>
      <w:r>
        <w:rPr>
          <w:b/>
        </w:rPr>
        <w:t>Available abstract (not full text):</w:t>
      </w:r>
      <w:r>
        <w:t xml:space="preserve"> Human development, which encompasses aspects such as health, education, standard of living, and general well-being, is intrinsically linked to environmental sustainability. Studying the trade-off between these two aspects helps ensure that current needs are met without compromising the ability of future generations to meet their own needs. The present study aims to understand whether there is a trade-off between the Ecological Footprint (EF) and the Human Development Index (HDI), using data from 42 European countries from 2006 to 2018. Other variables were also employed (Financial Development Index, Globalization Index, Human Freedom Index, Urban Population, Biocapacity, Renewable Energy) in two main models, through several econometric tests (Interactive Fixed Effects, Common Correlated Effect Mean Group). Other models were estimated for robustness checks. It is concluded that there is a trade-off between the EF and the HDI. This leads to problems when trying to achieve human well-being and environmental sustainability simultaneously. This study is innovative as the relationship between human development and environmental degradation has not been analyzed using these two variables for European countries. Understanding the relationship between human development and EF is fundamental to developing effective policies. It is important to adopt integrated approaches that consider so</w:t>
      </w:r>
    </w:p>
    <w:p>
      <w:pPr/>
      <w:r>
        <w:rPr>
          <w:b/>
        </w:rPr>
        <w:t>POSSIBLE 2024:</w:t>
      </w:r>
      <w:r>
        <w:t xml:space="preserve"> Corruption Perception Index (CPI) in European countries: Monitoring with GIS — https://doi.org/10.4236/tel.2024.141010</w:t>
      </w:r>
    </w:p>
    <w:p>
      <w:pPr/>
      <w:r>
        <w:rPr>
          <w:b/>
        </w:rPr>
        <w:t>Shared claim-specific concepts:</w:t>
      </w:r>
      <w:r>
        <w:t xml:space="preserve"> index, also, understand; EU scope visible. This is a provisional connection, not an outcome finding.</w:t>
      </w:r>
    </w:p>
    <w:p>
      <w:pPr>
        <w:pStyle w:val="SourceNote"/>
      </w:pPr>
      <w:r>
        <w:rPr>
          <w:b/>
        </w:rPr>
        <w:t>Available abstract (not full text):</w:t>
      </w:r>
      <w:r>
        <w:t xml:space="preserve"> This paper examines the relationship between corruption and economic growth in European countries, taking into account that corruption is considered as a political, economic, cultural and moral problem. Specifically, this paper will focus on countries of the Eurozone, the European Union, the European Economic Area and the Central and Eastern European countries, including Turkey and Kazakhstan, over the period from 2005 to 2021. Our ultimate goal is to understand how corruption affects economic development by tracking the GDP per capita and the values of measured corruption and also how changes in GDP growth rates are affected by corruption changes. In addition to graphs, the survey provides numerical results displayed in charts using Geographical Information System (GIS). Our survey shows that all European countries with high GDP per capita tend to have low corruption values, with the exception of the countries in Central and Eastern Europe, including Turkey and Kazakhstan. The survey also shows that higher GDP per capita growth rates are correlated linearly with the reduction of the corruption levels in all categories of almost all European countries, with the exception the Central and Eastern European countries, including Turkey and Kazakhstan.</w:t>
      </w:r>
    </w:p>
    <w:p>
      <w:pPr/>
      <w:r>
        <w:rPr>
          <w:b/>
        </w:rPr>
        <w:t>POSSIBLE 2023:</w:t>
      </w:r>
      <w:r>
        <w:t xml:space="preserve"> European Extreme Events Climate Index (E3CI) — https://doi.org/10.5194/egusphere-egu23-13344</w:t>
      </w:r>
    </w:p>
    <w:p>
      <w:pPr/>
      <w:r>
        <w:rPr>
          <w:b/>
        </w:rPr>
        <w:t>Shared claim-specific concepts:</w:t>
      </w:r>
      <w:r>
        <w:t xml:space="preserve"> use, index, also, useful; EU scope visible. This is a provisional connection, not an outcome finding.</w:t>
      </w:r>
    </w:p>
    <w:p>
      <w:pPr>
        <w:pStyle w:val="SourceNote"/>
      </w:pPr>
      <w:r>
        <w:rPr>
          <w:b/>
        </w:rPr>
        <w:t>Available abstract (not full text):</w:t>
      </w:r>
      <w:r>
        <w:t xml:space="preserve"> The European Extreme Events Climate Index (E3CI) is an innovative climate service (operational since January 2021) to assess the frequency and severity of weather-induced hazards over Europe. This service has been funded by Foundation Big Data and Artificial Intelligence for Human Development (IFAB) and developed through the collaboration between Fondazione CMCC Euro-Mediterranean Center on Climate Change (CMCC) and Leithà Unipol Group. Specifically, E3CI proposes to define a synthetic index aimed at providing information about the areas affected by different types of weather-induced hazards and the significance of such events. At this stage, E3CI permits equipping Europe, SADC (Southern African Development Community) and North America with an index similar to Actuaries Climate Index, (NA-ACI; actuariesclimateindex.org) developed over North America and already fully operational. From a methodological point of view, using ERA5 reanalysis data (Hersbach et al., 2020), E3CI permits evaluating seven main dynamics: cold and heat stresses, droughts, extreme precipitation, winds, the predisposing conditions leading to hail events and forest fire. Furthermore, five E3CI components are tested using a subset of regional climate projections from the EURO-CORDEX (Jacob et al., 2014, 2020; Giorgi and Gutowski, 2015) program at the highest available resolution (about 11 km) considering three</w:t>
      </w:r>
    </w:p>
    <w:p>
      <w:pPr/>
      <w:r>
        <w:rPr>
          <w:b/>
        </w:rPr>
        <w:t>POSSIBLE 2023:</w:t>
      </w:r>
      <w:r>
        <w:t xml:space="preserve"> Towards Inclusive Prosperity and Development in European Countries Using the Transitioning Performance Index — https://doi.org/10.5817/cz.muni.p280-0311-2023-23</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The need to assess sustainable processes and states is a driving assumption for the paper, having as an objective to explore the assessment model of the Transitioning Performance Index by the European Union. The purpose is to analyze for 24 out of the EU-27 countries for the year 2020 using multivariate, the distribution of performance within the 37 indicators used for the estimation of the transitioning performance index. The results produced 24 principal components of which the first 8 accounted for 89 percent cumulative variation and 10 accounted for 93 percent. The 24 countries selected were further classified into 4 groups based on the PCA results and the observable correlations between the original variables and the PCA were also determined. The results showed that the main indicators and the new PCA could be used as policy and decision-making guidelines for individual countries to determine strengths, weaknesses and opportunities for inclusive and sustainable development initiatives and programmes.</w:t>
      </w:r>
    </w:p>
    <w:p>
      <w:pPr>
        <w:pStyle w:val="Heading2"/>
      </w:pPr>
      <w:r>
        <w:t>559.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2024:</w:t>
      </w:r>
      <w:r>
        <w:t xml:space="preserve"> Mechanical thrombectomy practices in Europe: Insights from a survey of European neuroradiologists from the ESMINT — https://doi.org/10.1177/23969873241286000</w:t>
      </w:r>
    </w:p>
    <w:p>
      <w:pPr/>
      <w:r>
        <w:rPr>
          <w:b/>
        </w:rPr>
        <w:t>Shared claim-specific concepts:</w:t>
      </w:r>
      <w:r>
        <w:t xml:space="preserve"> two, surveys, data, between, training, other; EU scope visible. This is a provisional connection, not an outcome finding.</w:t>
      </w:r>
    </w:p>
    <w:p>
      <w:pPr>
        <w:pStyle w:val="SourceNote"/>
      </w:pPr>
      <w:r>
        <w:rPr>
          <w:b/>
        </w:rPr>
        <w:t>Available abstract (not full text):</w:t>
      </w:r>
      <w:r>
        <w:t xml:space="preserve">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pPr/>
      <w:r>
        <w:rPr>
          <w:b/>
        </w:rPr>
        <w:t>POSSIBLE 2024:</w:t>
      </w:r>
      <w:r>
        <w:t xml:space="preserve"> Current practices in clinical gait analysis in Europe: A comprehensive survey-based study from the European society for movement analysis in adults and children (ESMAC) standard initiative — https://doi.org/10.1016/j.gaitpost.2024.04.014</w:t>
      </w:r>
    </w:p>
    <w:p>
      <w:pPr/>
      <w:r>
        <w:rPr>
          <w:b/>
        </w:rPr>
        <w:t>Shared claim-specific concepts:</w:t>
      </w:r>
      <w:r>
        <w:t xml:space="preserve"> there, collaboration, data, between, training; EU scope visible. This is a provisional connection, not an outcome finding.</w:t>
      </w:r>
    </w:p>
    <w:p>
      <w:pPr>
        <w:pStyle w:val="SourceNote"/>
      </w:pPr>
      <w:r>
        <w:rPr>
          <w:b/>
        </w:rPr>
        <w:t>Available abstract (not full text):</w:t>
      </w:r>
      <w:r>
        <w:t xml:space="preserve">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pPr/>
      <w:r>
        <w:rPr>
          <w:b/>
        </w:rPr>
        <w:t>POSSIBLE 2024:</w:t>
      </w:r>
      <w:r>
        <w:t xml:space="preserve"> A Critical Survey on Fairness Benefits of Explainable AI — https://doi.org/10.1145/3630106.3658990</w:t>
      </w:r>
    </w:p>
    <w:p>
      <w:pPr/>
      <w:r>
        <w:rPr>
          <w:b/>
        </w:rPr>
        <w:t>Shared claim-specific concepts:</w:t>
      </w:r>
      <w:r>
        <w:t xml:space="preserve"> two, benefits, between; EU scope not established. This is a provisional connection, not an outcome finding.</w:t>
      </w:r>
    </w:p>
    <w:p>
      <w:pPr>
        <w:pStyle w:val="SourceNote"/>
      </w:pPr>
      <w:r>
        <w:rPr>
          <w:b/>
        </w:rPr>
        <w:t>Available abstract (not full text):</w:t>
      </w:r>
      <w:r>
        <w:t xml:space="preserve"> In this critical survey, we analyze typical claims on the relationship between explainable AI (XAI) and fairness to disentangle the multidimensional relationship between these two concepts. Based on a systematic literature review and a subsequent qualitative content analysis, we identify seven archetypal claims from 175 scientific articles on the alleged fairness benefits of XAI. We present crucial caveats with respect to these claims and provide an entry point for future discussions around the potentials and limitations of XAI for specific fairness desiderata. Importantly, we notice that claims are often (i) vague and simplistic, (ii) lacking normative grounding, or (iii) poorly aligned with the actual capabilities of XAI. We suggest to conceive XAI not as an ethical panacea but as one of many tools to approach the multidimensional, sociotechnical challenge of algorithmic fairness. Moreover, when making a claim about XAI and fairness, we emphasize the need to be more specific about what kind of XAI method is used, which fairness desideratum it refers to, how exactly it enables fairness, and who is the stakeholder that benefits from XAI.</w:t>
      </w:r>
    </w:p>
    <w:p>
      <w:pPr/>
      <w:r>
        <w:rPr>
          <w:b/>
        </w:rPr>
        <w:t>POSSIBLE 2024:</w:t>
      </w:r>
      <w:r>
        <w:t xml:space="preserve"> How Can Recommender Systems Benefit from Large Language Models: A Survey — https://doi.org/10.1145/3678004</w:t>
      </w:r>
    </w:p>
    <w:p>
      <w:pPr/>
      <w:r>
        <w:rPr>
          <w:b/>
        </w:rPr>
        <w:t>Shared claim-specific concepts:</w:t>
      </w:r>
      <w:r>
        <w:t xml:space="preserve"> two, users, training; EU scope not established. This is a provisional connection, not an outcome finding.</w:t>
      </w:r>
    </w:p>
    <w:p>
      <w:pPr>
        <w:pStyle w:val="SourceNote"/>
      </w:pPr>
      <w:r>
        <w:rPr>
          <w:b/>
        </w:rPr>
        <w:t>Available abstract (not full text):</w:t>
      </w:r>
      <w:r>
        <w:t xml:space="preserve"> With the rapid development of online services and web applications, recommender systems (RS) have become increasingly indispensable for mitigating information overload and matching users’ information needs by providing personalized suggestions over items. Although the RS research community has made remarkable progress over the past decades, conventional recommendation models (CRM) still have some limitations, e.g., lacking open-domain world knowledge, and difficulties in comprehending users’ underlying preferences and motivations. Meanwhile, large language models (LLM) have shown impressive general intelligence and human-like capabilities for various natural language processing (NLP) tasks, which mainly stem from their extensive open-world knowledge, logical and commonsense reasoning abilities, as well as their comprehension of human culture and society. Consequently, the emergence of LLM is inspiring the design of RS and pointing out a promising research direction, i.e., whether we can incorporate LLM and benefit from their common knowledge and capabilities to compensate for the limitations of CRM. In this article, we conduct a comprehensive survey on this research direction, and draw a bird’s-eye view from the perspective of the whole pipeline in real-world RS. Specifically, we summarize existing research works from two orthogonal aspects: where and how to adapt LLM to RS. Fo</w:t>
      </w:r>
    </w:p>
    <w:p>
      <w:pPr/>
      <w:r>
        <w:rPr>
          <w:b/>
        </w:rPr>
        <w:t>POSSIBLE 2023:</w:t>
      </w:r>
      <w:r>
        <w:t xml:space="preserve"> Subspecialisation in radiology in Europe, a survey of the accreditation council of imaging — https://doi.org/10.1186/s13244-023-01481-y</w:t>
      </w:r>
    </w:p>
    <w:p>
      <w:pPr/>
      <w:r>
        <w:rPr>
          <w:b/>
        </w:rPr>
        <w:t>Shared claim-specific concepts:</w:t>
      </w:r>
      <w:r>
        <w:t xml:space="preserve"> two, there, offer, training, insight; EU scope visible. This is a provisional connection, not an outcome finding.</w:t>
      </w:r>
    </w:p>
    <w:p>
      <w:pPr>
        <w:pStyle w:val="SourceNote"/>
      </w:pPr>
      <w:r>
        <w:rPr>
          <w:b/>
        </w:rPr>
        <w:t>Available abstract (not full text):</w:t>
      </w:r>
      <w:r>
        <w:t xml:space="preserve">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pPr/>
      <w:r>
        <w:rPr>
          <w:b/>
        </w:rPr>
        <w:t>POSSIBLE 2023:</w:t>
      </w:r>
      <w:r>
        <w:t xml:space="preserve"> Landslide monitoring techniques in the Geological Surveys of Europe — https://doi.org/10.1007/s10346-022-02007-1</w:t>
      </w:r>
    </w:p>
    <w:p>
      <w:pPr/>
      <w:r>
        <w:rPr>
          <w:b/>
        </w:rPr>
        <w:t>Shared claim-specific concepts:</w:t>
      </w:r>
      <w:r>
        <w:t xml:space="preserve"> surveys, indicate, data, between, each; EU scope visible. This is a provisional connection, not an outcome finding.</w:t>
      </w:r>
    </w:p>
    <w:p>
      <w:pPr>
        <w:pStyle w:val="SourceNote"/>
      </w:pPr>
      <w:r>
        <w:rPr>
          <w:b/>
        </w:rPr>
        <w:t>Available abstract (not full text):</w:t>
      </w:r>
      <w:r>
        <w:t xml:space="preserve"> Abstract Landslide monitoring is a mandatory step in landslide risk assessment. It requires collecting data on landslide conditions (e.g., areal extent, landslide kinematics, surface topography, hydrogeometeorological parameters, and failure surfaces) from different time periods and at different scales, from site-specific to local, regional, and national, to assess landslide activity. In this analysis, we collected information on landslide monitoring techniques from 17 members of the Earth Observation and Geohazards Expert Group (from EuroGeoSurveys) deployed between 2005 and 2021. We examined the types of the 75 recorded landslides, the landslide techniques, spatial resolution, temporal resolution, status of the technique (operational, non-operational), time of using (before the event, during the event, after the event), and the applicability of the technique in early warning systems. The research does not indicate the accuracy of each technique but, rather, the extent to which Geological Surveys conduct landslide monitoring and the predominant techniques used. Among the types of landslides, earth slides predominate and are mostly monitored by geological and engineering geological mapping. The results showed that Geological Surveys mostly utilized more traditional monitoring techniques since they have a broad mandate to collect geological data. In addition, this paper provides</w:t>
      </w:r>
    </w:p>
    <w:p>
      <w:pPr>
        <w:pStyle w:val="Heading2"/>
      </w:pPr>
      <w:r>
        <w:t>560.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r>
        <w:rPr>
          <w:b/>
        </w:rPr>
        <w:t>POSSIBLE 2024:</w:t>
      </w:r>
      <w:r>
        <w:t xml:space="preserve"> Approaches to a New Regional Energy Security Model in the Perspective of the European Transition to Green Energy — https://doi.org/10.3390/economies12030061</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The EU energy sector became a very important one as a result of the war in Ukraine. On the other hand, the EU started in defining and implementing new strategies regarding green economy and sustainability. Even though these strategies cover short and medium periods, they have as a main goal the decrease in the EU’s dependence of energy imports. This research is focused on present challenges, risks, and uncertainties related to energy production and consumption in all EU member states. In order to achieve the research objectives, a huge statistical database, which covered 2012–2021, was used. The analysis is based on specific indicators regarding primary energy production; imports and exports; gross available energy; final energy consumption; non-energy consumption; energy dependency; and energy intensity. There are at least three research procedures used in this paper: a meta-analysis, a statistical analysis, and an econometric analysis, as well. Finally, the analysis points out the disparities between member states regarding energetic resources and energy dependency using a new model for quantifying risk factors in the European energy system. Moreover, new public policies are proposed by the authors under a cluster approach of the EU’s regions.</w:t>
      </w:r>
    </w:p>
    <w:p>
      <w:pPr/>
      <w:r>
        <w:rPr>
          <w:b/>
        </w:rPr>
        <w:t>POSSIBLE 2024:</w:t>
      </w:r>
      <w:r>
        <w:t xml:space="preserve"> Current European Energy Architecture — https://openalex.org/W7110603362</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r>
        <w:rPr>
          <w:b/>
        </w:rPr>
        <w:t>POSSIBLE 2023:</w:t>
      </w:r>
      <w:r>
        <w:t xml:space="preserve"> A Comparison of American, Canadian, and European Home Energy Performance in Heating Dominated – Moist Climates Based on Building Codes — https://doi.org/10.7275/4925868</w:t>
      </w:r>
    </w:p>
    <w:p>
      <w:pPr/>
      <w:r>
        <w:rPr>
          <w:b/>
        </w:rPr>
        <w:t>Shared claim-specific concepts:</w:t>
      </w:r>
      <w:r>
        <w:t xml:space="preserve"> quantify, energy, climate, objectives; EU scope visible. This is a provisional connection, not an outcome finding.</w:t>
      </w:r>
    </w:p>
    <w:p>
      <w:pPr>
        <w:pStyle w:val="SourceNote"/>
      </w:pPr>
      <w:r>
        <w:rPr>
          <w:b/>
        </w:rPr>
        <w:t>Available abstract (not full text):</w:t>
      </w:r>
      <w:r>
        <w:t xml:space="preserve"> This research compares the energy performance of a code-built residential building within the moist climate zone classification in Canada, Europe, and the Northeastern United States. The primary objectives are to reveal how specific differences in code requirements in similar climates influence a building’s energy profile, offer a means to quantify and evaluate the extent of energy savings as a result of each requirement, and provide a comparison of each location’s building culture and how this affects the standards in place.\nUsing the building energy simulation tool, DesignBuilder EnergyPlus Simulation, a model single-family home was created and input energy code requirements for each location. An evaluation of each location’s building culture is examined through such factors as the training of building professionals, commonly used materials and products, energy reduction goals, and cultural attitudes.\nThe results of this study point to the need for more advanced building practices, stricter code mandates, and higher performing products based on energy savings achieved from buildings built to different standards in equivalent climate zones. This has the potential to drive the development and use of better performing building materials and assemblies in the future.</w:t>
      </w:r>
    </w:p>
    <w:p>
      <w:pPr/>
      <w:r>
        <w:rPr>
          <w:b/>
        </w:rPr>
        <w:t>POSSIBLE 2023:</w:t>
      </w:r>
      <w:r>
        <w:t xml:space="preserve"> Quantification of the energy flexibility of residential building clusters: Impact of long-term refurbishment strategies of the italian building stock — https://doi.org/10.1016/j.enbuild.2023.113416</w:t>
      </w:r>
    </w:p>
    <w:p>
      <w:pPr/>
      <w:r>
        <w:rPr>
          <w:b/>
        </w:rPr>
        <w:t>Shared claim-specific concepts:</w:t>
      </w:r>
      <w:r>
        <w:t xml:space="preserve"> objective, quantify, energy, objectives, reach; EU scope visible. This is a provisional connection, not an outcome finding.</w:t>
      </w:r>
    </w:p>
    <w:p>
      <w:pPr>
        <w:pStyle w:val="SourceNote"/>
      </w:pPr>
      <w:r>
        <w:rPr>
          <w:b/>
        </w:rPr>
        <w:t>Available abstract (not full text):</w:t>
      </w:r>
      <w:r>
        <w:t xml:space="preserve"> A major refurbishment of the building stock is necessary to achieve the objectives of the energy transition. In addition to decreasing the overall energy demand, the energy efficiency of buildings can create a non-negligible reserve of flexibility and resilience for the entire energy system. Long-term refurbishment strategies can have an impact on such potential of the building sector that is still not widely exploited. In this work the objective is to quantify the influence of long-term refurbishment strategies, planned until 2050, on the energy flexibility reserve of the entire building stock. Reference clusters of residential buildings have been modelled to represent the current and future scenarios of the Italian building stock. Lumped parameter models representing archetypes of residential buildings are implemented to represent the Italian building stock. Current statistics on the composition of the building stock have been combined with European refurbishment targets to 2050 to define the current and future scenarios of the Italian building stock. Since the topic of quantifying the energy flexibility of clusters of buildings is still rather open, this study proposes an analysis based on a combination of different indicators derived from the literature and proposed ad hoc by the authors. They include flexibility curves, that correlate the demand of the cluster to the penal</w:t>
      </w:r>
    </w:p>
    <w:p>
      <w:pPr>
        <w:pStyle w:val="Heading2"/>
      </w:pPr>
      <w:r>
        <w:t>561.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2024:</w:t>
      </w:r>
      <w:r>
        <w:t xml:space="preserve"> Hydrology and Droughts in the Nile: A Review of Key Findings and Implications — https://doi.org/10.3390/w16172521</w:t>
      </w:r>
    </w:p>
    <w:p>
      <w:pPr/>
      <w:r>
        <w:rPr>
          <w:b/>
        </w:rPr>
        <w:t>Shared claim-specific concepts:</w:t>
      </w:r>
      <w:r>
        <w:t xml:space="preserve"> key, findings, large-scale; EU scope not established. This is a provisional connection, not an outcome finding.</w:t>
      </w:r>
    </w:p>
    <w:p>
      <w:pPr>
        <w:pStyle w:val="SourceNote"/>
      </w:pPr>
      <w:r>
        <w:rPr>
          <w:b/>
        </w:rPr>
        <w:t>Available abstract (not full text):</w:t>
      </w:r>
      <w:r>
        <w:t xml:space="preserve"> The Nile Basin has long been the subject of extensive research, reflecting its importance, which spans from its historical role in the development of ancient civilizations to its current significance in supporting rapidly changing socioeconomic conditions of the basin countries. This review synthesizes studies focusing on the past and future climate, hydrologic, and drought outlooks of the basin, and explores the roles played by large-scale atmospheric phenomena and water infrastructure on the basin’s climate and hydrology. Overall, the studies underscore the complexity of the Nile hydrological system and the necessity for improved modeling and data integration. This review serves as a guide to areas warranting further research by highlighting the uncertainties and inconsistencies among the different studies. It underscores the interconnectedness of climatic and hydrological processes in the basin and encourages the use of diverse data sources to address the data scarcity issue and ensemble models to reduce modeling uncertainty in future research. By summarizing the data and modeling resources employed in these studies, this review also provides a valuable resource for future modeling efforts to understand and explore of the basin’s complex climatic and hydrological dynamics.</w:t>
      </w:r>
    </w:p>
    <w:p>
      <w:pPr/>
      <w:r>
        <w:rPr>
          <w:b/>
        </w:rPr>
        <w:t>POSSIBLE 2024:</w:t>
      </w:r>
      <w:r>
        <w:t xml:space="preserve"> Understanding Return: Key Findings, Gaps, and Future Research — https://doi.org/10.47053/jdc.281124</w:t>
      </w:r>
    </w:p>
    <w:p>
      <w:pPr/>
      <w:r>
        <w:rPr>
          <w:b/>
        </w:rPr>
        <w:t>Shared claim-specific concepts:</w:t>
      </w:r>
      <w:r>
        <w:t xml:space="preserve"> key, findings, facilitate; EU scope not established. This is a provisional connection, not an outcome finding.</w:t>
      </w:r>
    </w:p>
    <w:p>
      <w:pPr>
        <w:pStyle w:val="SourceNote"/>
      </w:pPr>
      <w:r>
        <w:rPr>
          <w:b/>
        </w:rPr>
        <w:t>Available abstract (not full text):</w:t>
      </w:r>
      <w:r>
        <w:t xml:space="preserve"> The return of refugees to their home countries is often regarded as a desirable outcome in displacement contexts, enabling individuals to rebuild their lives in familiar environments. Nevertheless, returning home remains challenging and infrequent in many contexts. This note reviews the academic literature to identify key factors influencing refugees’ decisions to return, highlights gaps in current research, and suggests directions for future study. The evidence underscores that safety and security are preconditions for return. Beyond security, factors such as economic stability, property rights, access to services, and psychological and social connections to home communities are critical. The research also identifies challenges after return, including tensions between returnees and those who stayed behind, as well as difficulties with reintegration. Future research should investigate return dynamics from high-income countries, enhance conceptual frameworks for understanding the return processes, and differentiate return experiences for internally displaced persons (IDPs) and refugees. Additional focus is needed on climate-induced displacement, reintegration challenges, and the impact of information gaps on decision-making. Generating better data, including panel datasets, is essential for enabling more rigorous analyses of return dynamics. Addressing these research gaps could </w:t>
      </w:r>
    </w:p>
    <w:p>
      <w:pPr/>
      <w:r>
        <w:rPr>
          <w:b/>
        </w:rPr>
        <w:t>POSSIBLE 2023:</w:t>
      </w:r>
      <w:r>
        <w:t xml:space="preserve"> Introduction to the ESPAUR Webinar and Report 2021–2022: Key Findings and Stakeholder Engagement — https://doi.org/10.3390/msf2022015018</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r>
        <w:rPr>
          <w:b/>
        </w:rPr>
        <w:t>POSSIBLE 2023:</w:t>
      </w:r>
      <w:r>
        <w:t xml:space="preserve"> Hydrogen, a less disruptive pathway for domestic heat? Exploratory findings from public perceptions research — https://doi.org/10.1016/j.clpl.2023.100047</w:t>
      </w:r>
    </w:p>
    <w:p>
      <w:pPr/>
      <w:r>
        <w:rPr>
          <w:b/>
        </w:rPr>
        <w:t>Shared claim-specific concepts:</w:t>
      </w:r>
      <w:r>
        <w:t xml:space="preserve"> key, findings, less, heating; EU scope not established. This is a provisional connection, not an outcome finding.</w:t>
      </w:r>
    </w:p>
    <w:p>
      <w:pPr>
        <w:pStyle w:val="SourceNote"/>
      </w:pPr>
      <w:r>
        <w:rPr>
          <w:b/>
        </w:rPr>
        <w:t>Available abstract (not full text):</w:t>
      </w:r>
      <w:r>
        <w:t xml:space="preserve"> The disruption associated with heat decarbonisation has been identified as a key opportunity for hydrogen technologies in temperate countries and regions, where established distribution infrastructure and familiarity with natural gas boilers predominate. A key element of such claims is the empirically untested belief that citizens will prefer to minimise disruption and perceive hydrogen to be less disruptive than the network upgrades and retrofit measures needed to support electric and other low carbon heating technologies. This article reports on exploratory deliberative research with residents of Cardiff, Wales which examined public perceptions of heating disruptions. Our findings suggest that concerns over public responses to disruption may be overstated, particularly as they relate to construction and road excavation for network upgrade. Disruptions arising from permanent changes to building fabric may be more problematic for heat pump retrofit, however these may be greatly overshadowed by anxieties over the cost implications of moving to hydrogen fuel. Furthermore, the biographical patterning of citizen preferences raises significant questions for hydrogen roll-out strategies relying on regionalised network conversion. We conclude by arguing that far from a non-disruptive alternative to electrification, hydrogen risks being seen as posing substantial disruptions to precari</w:t>
      </w:r>
    </w:p>
    <w:p>
      <w:pPr/>
      <w:r>
        <w:rPr>
          <w:b/>
        </w:rPr>
        <w:t>POSSIBLE 2023:</w:t>
      </w:r>
      <w:r>
        <w:t xml:space="preserve"> Armed Conflicts in the Aftermath of Disasters: Key Findings — https://doi.org/10.7551/mitpress/14970.003.0007</w:t>
      </w:r>
    </w:p>
    <w:p>
      <w:pPr/>
      <w:r>
        <w:rPr>
          <w:b/>
        </w:rPr>
        <w:t>Shared claim-specific concepts:</w:t>
      </w:r>
      <w:r>
        <w:t xml:space="preserve"> key, findings, pathways, facilitate; EU scope not established. This is a provisional connection, not an outcome finding.</w:t>
      </w:r>
    </w:p>
    <w:p>
      <w:pPr>
        <w:pStyle w:val="SourceNote"/>
      </w:pPr>
      <w:r>
        <w:rPr>
          <w:b/>
        </w:rPr>
        <w:t>Available abstract (not full text):</w:t>
      </w:r>
      <w:r>
        <w:t xml:space="preserve"> This chapter summarizes and analyzes the key insights derived from the comprehensive case study evidence presented in the previous chapter.It also contextualizes the findings within wider debates on peace and conflict, disasters, climate change, environmental stress, and security.To do so, the chapter proceeds in three steps.First, I present summary statistics on armed conflict dynamics in the aftermath of disasters.Second, I conduct a qualitative comparative analysis (QCA) to identify which conditions or combinations of conditions can explain why disasters affect conflict dynamics in some cases but not in others.The final part of the chapter disentangles the different pathways connecting disasters to either conflict escalation or de-escalation. General Findings and Their Implications Armed Conflict Escalation, De-escalation, and ContinuationWithin the analytical framework of this book, disasters can interact with armed conflicts in three broad ways: they can, in combination with other factors, facilitate conflict escalation or conflict de-escalation or have no impact on conflict dynamics.As indicated in figure 5.1 later in the chapter, in 50% of the cases studied here, disasters did not shape armed conflict dynamics in any meaningful way.The reasons for this can be multifold, but often include one or several of four factors.First, other military, political, and economic driver</w:t>
      </w:r>
    </w:p>
    <w:p>
      <w:pPr>
        <w:pStyle w:val="Heading2"/>
      </w:pPr>
      <w:r>
        <w:t>562.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2024:</w:t>
      </w:r>
      <w:r>
        <w:t xml:space="preserve"> A unifying modelling of multiple land degradation pathways in Europe — https://doi.org/10.1038/s41467-024-48252-x</w:t>
      </w:r>
    </w:p>
    <w:p>
      <w:pPr/>
      <w:r>
        <w:rPr>
          <w:b/>
        </w:rPr>
        <w:t>Shared claim-specific concepts:</w:t>
      </w:r>
      <w:r>
        <w:t xml:space="preserve"> modelling, three, mitigation;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Effects of emissions caps on the costs and feasibility of low-carbon hydrogen in the European ammonia industry — https://doi.org/10.1038/s41467-024-48145-z</w:t>
      </w:r>
    </w:p>
    <w:p>
      <w:pPr/>
      <w:r>
        <w:rPr>
          <w:b/>
        </w:rPr>
        <w:t>Shared claim-specific concepts:</w:t>
      </w:r>
      <w:r>
        <w:t xml:space="preserve"> feasibility, target, emissions, reduction; EU scope visible. This is a provisional connection, not an outcome finding.</w:t>
      </w:r>
    </w:p>
    <w:p>
      <w:pPr>
        <w:pStyle w:val="SourceNote"/>
      </w:pPr>
      <w:r>
        <w:rPr>
          <w:b/>
        </w:rPr>
        <w:t>Available abstract (not full text):</w:t>
      </w:r>
      <w:r>
        <w:t xml:space="preserve"> Abstract The European ammonia industry emits 36 million tons of carbon dioxide annually, primarily from steam methane reforming (SMR) hydrogen production. These emissions can be mitigated by producing hydrogen via water electrolysis using dedicated renewables with grid backup. This study investigates the impact of decarbonization targets for hydrogen synthesis on the economic viability and technical feasibility of retrofitting existing European ammonia plants for on-site, semi-islanded electrolytic hydrogen production. Results show that electrolytic hydrogen cuts emissions, on average, by 85% (36%-100% based on grid price and carbon intensity), even without enforcing emission limits. However, an optimal lifespan average well-to-gate emission cap of 1 kg carbon dioxide equivalent (CO 2 e)/kg H 2 leads to a 95% reduction (92%-100%) while maintaining cost-competitiveness with SMR in renewable-rich regions (mean levelized cost of hydrogen (LCOH) of 4.1 euro/kg H 2 ). Conversely, a 100% emissions reduction target dramatically increases costs (mean LCOH: 6.3 euro/kg H 2 ) and land area for renewables installations, likely hindering the transition to electrolytic hydrogen in regions with poor renewables and limited land. Increasing plant flexibility effectively reduces costs, particularly in off-grid plants (mean reduction: 32%). This work guides policymakers in defining cost-effectiv</w:t>
      </w:r>
    </w:p>
    <w:p>
      <w:pPr/>
      <w:r>
        <w:rPr>
          <w:b/>
        </w:rPr>
        <w:t>POSSIBLE 2024:</w:t>
      </w:r>
      <w:r>
        <w:t xml:space="preserve"> Delisting Costs and Corporate Mobility in Europe — https://doi.org/10.67929/ecgi-law-813-2024</w:t>
      </w:r>
    </w:p>
    <w:p>
      <w:pPr/>
      <w:r>
        <w:rPr>
          <w:b/>
        </w:rPr>
        <w:t>Shared claim-specific concepts:</w:t>
      </w:r>
      <w:r>
        <w:t xml:space="preserve"> framework, analyses; EU scope visible. This is a provisional connection, not an outcome finding.</w:t>
      </w:r>
    </w:p>
    <w:p>
      <w:pPr>
        <w:pStyle w:val="SourceNote"/>
      </w:pPr>
      <w:r>
        <w:rPr>
          <w:b/>
        </w:rPr>
        <w:t>Available abstract (not full text):</w:t>
      </w:r>
      <w:r>
        <w:t xml:space="preserve"> There is considerable variation among capital markets in the frequency of voluntary and involuntary delistings, which has been attributed by some commentators to differences in the regulatory framework governing delisting decisions. However, there have been few systematic attempts to map these differences across legal systems and quantify the regulatory costs of delistings. This article analyses delisting regimes of major EU jurisdictions and several non-EU countries and develops indices that capture delisting costs. It shows that the delisting regimes of some EU Member States are prohibitively costly. The article then considers whether such delisting regimes are consistent with EU free movement rights. It concludes by critically evaluating a menu of policy options to ensure that delisting rules facilitate corporate mobility and an efficient allocation of capital in the EU.</w:t>
      </w:r>
    </w:p>
    <w:p>
      <w:pPr/>
      <w:r>
        <w:rPr>
          <w:b/>
        </w:rPr>
        <w:t>POSSIBLE 2024:</w:t>
      </w:r>
      <w:r>
        <w:t xml:space="preserve"> A model for the competitive benchmarking of energy costs — https://doi.org/10.1016/j.eneco.2024.107385</w:t>
      </w:r>
    </w:p>
    <w:p>
      <w:pPr/>
      <w:r>
        <w:rPr>
          <w:b/>
        </w:rPr>
        <w:t>Shared claim-specific concepts:</w:t>
      </w:r>
      <w:r>
        <w:t xml:space="preserve"> framework, target; EU scope not established. This is a provisional connection, not an outcome finding.</w:t>
      </w:r>
    </w:p>
    <w:p>
      <w:pPr>
        <w:pStyle w:val="SourceNote"/>
      </w:pPr>
      <w:r>
        <w:rPr>
          <w:b/>
        </w:rPr>
        <w:t>Available abstract (not full text):</w:t>
      </w:r>
      <w:r>
        <w:t xml:space="preserve"> Benchmarking is an essential tool for quantifying how a company's energy costs compare with those of competitors and understanding the sources of cost differences, with the ultimate goal of identifying strengths and opportunities for improving performance. The increasing relevance of energy as a factor in competitiveness has heightened interest in managing energy costs. This paper develops an analytical framework for benchmarking the energy cost variance across firms. In this framework, a cost frontier approach allows the decomposition of the observed energy cost gap between two firms, that is, the difference between the unit energy cost of a benchmark producer and the unit energy cost of a target firm. The unit energy cost gap is decomposed into six constituents: (i) energy prices; (ii) non-energy prices; (iii) energy efficiency; (iv) capital intensity; (v) outsourcing level; and (vi) production scale. We illustrate the implementation and usefulness of the proposed model via an empirical application of energy cost benchmarking on a sample of paper manufacturers.</w:t>
      </w:r>
    </w:p>
    <w:p>
      <w:pPr/>
      <w:r>
        <w:rPr>
          <w:b/>
        </w:rPr>
        <w:t>POSSIBLE 2024:</w:t>
      </w:r>
      <w:r>
        <w:t xml:space="preserve"> Implementation Feasibility and Hidden Costs of Statewide Scaling of Evidence-Based Therapies for Children and Adolescents — https://doi.org/10.1176/appi.ps.20230183</w:t>
      </w:r>
    </w:p>
    <w:p>
      <w:pPr/>
      <w:r>
        <w:rPr>
          <w:b/>
        </w:rPr>
        <w:t>Shared claim-specific concepts:</w:t>
      </w:r>
      <w:r>
        <w:t xml:space="preserve"> analyses, feasibility, three; EU scope not established. This is a provisional connection, not an outcome finding.</w:t>
      </w:r>
    </w:p>
    <w:p>
      <w:pPr>
        <w:pStyle w:val="SourceNote"/>
      </w:pPr>
      <w:r>
        <w:rPr>
          <w:b/>
        </w:rPr>
        <w:t>Available abstract (not full text):</w:t>
      </w:r>
      <w:r>
        <w:t xml:space="preserve"> OBJECTIVE: State mental health systems are retraining their workforces to deliver services supported by research. Knowledge about evidence-based therapies (EBTs) for child and adolescent disorders is robust, but the feasibility of their statewide scaling has not been examined. The authors reviewed implementation feasibility for 12 commonly used EBTs, defining feasibility for statewide scaling as an EBT having at least one study documenting acceptability, facilitators and barriers, or fidelity; at least one study with a racially and ethnically diverse sample; an entity for training, certification, or licensing; and fiscal data reflecting the costs of implementation. METHODS: The authors reviewed materials for 12 EBTs being scaled in New York State and conducted a literature review with search terms relevant to their implementation. Costs and certification information were supplemented by discussions with treatment developers and implementers. RESULTS: All 12 EBTs had been examined for implementation feasibility, but only three had been examined for statewide scaling. Eleven had been studied in populations reflecting racial-ethnic diversity, but few had sufficient power for subgroup analyses to demonstrate effectiveness with these samples. All had certifying or licensing entities. The per-clinician costs of implementation ranged from $500 to $3,500, with overall ongoing costs ran</w:t>
      </w:r>
    </w:p>
    <w:p>
      <w:pPr/>
      <w:r>
        <w:rPr>
          <w:b/>
        </w:rPr>
        <w:t>POSSIBLE 2023:</w:t>
      </w:r>
      <w:r>
        <w:t xml:space="preserve"> Techno-economic analysis of underground hydrogen storage in Europe — https://doi.org/10.1016/j.isci.2023.108771</w:t>
      </w:r>
    </w:p>
    <w:p>
      <w:pPr/>
      <w:r>
        <w:rPr>
          <w:b/>
        </w:rPr>
        <w:t>Shared claim-specific concepts:</w:t>
      </w:r>
      <w:r>
        <w:t xml:space="preserve"> union, three;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r>
        <w:rPr>
          <w:b/>
        </w:rPr>
        <w:t>POSSIBLE 2022:</w:t>
      </w:r>
      <w:r>
        <w:t xml:space="preserve"> Update of model for wild ruminant abundance based on occurrence and first models based on hunting yield at European scale — https://doi.org/10.2903/sp.efsa.2022.en-7174</w:t>
      </w:r>
    </w:p>
    <w:p>
      <w:pPr/>
      <w:r>
        <w:rPr>
          <w:b/>
        </w:rPr>
        <w:t>Shared claim-specific concepts:</w:t>
      </w:r>
      <w:r>
        <w:t xml:space="preserve"> unique, modelling, framework, target; EU scope visible. This is a provisional connection, not an outcome finding.</w:t>
      </w:r>
    </w:p>
    <w:p>
      <w:pPr>
        <w:pStyle w:val="SourceNote"/>
      </w:pPr>
      <w:r>
        <w:rPr>
          <w:b/>
        </w:rPr>
        <w:t>Available abstract (not full text):</w:t>
      </w:r>
      <w:r>
        <w:t xml:space="preserve"> In a previous report, ENETWILD proposed a generic model framework to predict habitat suitability and likely occurrence for wild ruminant species using opportunistic presence data (occurrence records for wild ungulate species from the Global Biodiversity Information Facility). In this report, for the first time, we develop models based on hunting yield data (HY) for the most widely distributed wild ruminant species in Europe: roe deer (Capreolus capreolus) and red deer (Cervus elaphus). We also update models based on occurrence (roe deer, red deer, fallow deer (Dama dama), European moose (Alces alces) and muntjac (Muntiacus reevesi), evaluate the performance of both approaches, and compare outputs. As for HY models, we could not conduct one model per bioregion as there are not enough data for modelling in some bioregions, and therefore, we calibrated a unique model, including eco-geographical variables as predictors. The calibration plots for HY models showed a good predictive performance for red deer in the Eastern bioregion and roe deer at Eastern and Western. The abundance distribution pattern of red deer HY was widely scattered over all Europe, as expected for a widely distributed species which shows high ecological plasticity, and roe deer presented the highest abundance in Atlantic and Eastern Europe, progressively decreasing towards Northern Mediterranean bioregions. Over</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co2, emissions, transport, infrastructure;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pStyle w:val="Heading2"/>
      </w:pPr>
      <w:r>
        <w:t>563.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2025:</w:t>
      </w:r>
      <w:r>
        <w:t xml:space="preserve"> On and beyond the Creative City: performative narratives, policy translation, and frontiers of ‘splashing’ acts — https://doi.org/10.1016/j.ccs.2025.100654</w:t>
      </w:r>
    </w:p>
    <w:p>
      <w:pPr/>
      <w:r>
        <w:rPr>
          <w:b/>
        </w:rPr>
        <w:t>Shared claim-specific concepts:</w:t>
      </w:r>
      <w:r>
        <w:t xml:space="preserve"> narratives, performative, narrative, two; EU scope not established. This is a provisional connection, not an outcome finding.</w:t>
      </w:r>
    </w:p>
    <w:p>
      <w:pPr>
        <w:pStyle w:val="SourceNote"/>
      </w:pPr>
      <w:r>
        <w:rPr>
          <w:b/>
        </w:rPr>
        <w:t>Available abstract (not full text):</w:t>
      </w:r>
      <w:r>
        <w:t xml:space="preserve"> The Creative City often appears in the existing literature as a policy narrative that travels widely across borders. Scholars have long debated whether this travel resulted in a homogenisation of urban cultural policies and whether the narrative still had viability for the future. The term ‘narrative’, however, has often been taken for granted. This article thus explores the implications of thinking about the Creative City as a narrative, particularly a ‘travelling narrative’. Conceptually, it builds on two major frameworks. The first is a processual approach to narration as a fundamental act of organising reality. It emphasises unification or the organisation of different layers or elements into a coherent narrative. The second is a performative approach to translation as acts of re-narration. It highlights multiplication or how a policy narrative can be translated into multi-directional, even competing, policy acts across contexts. Empirically, the article examines the narrative form and accomplishment of the Creative City as it was taken up in Vietnam through the designation of Hanoi as a member of the UNESCO Creative Cities Network (UCCN). The analysis shows both possibilities and limitations of ‘splashing’ acts that sought to engage with the narrative in ways that could move beyond the frequently criticised power structures that set the travelling narrative in motion.</w:t>
      </w:r>
    </w:p>
    <w:p>
      <w:pPr/>
      <w:r>
        <w:rPr>
          <w:b/>
        </w:rPr>
        <w:t>POSSIBLE 2025:</w:t>
      </w:r>
      <w:r>
        <w:t xml:space="preserve"> Performative Equity and Institutional Hypocrisy in Higher Education: A Critique of Leadership Narratives and Policy Contradictions — https://doi.org/10.4236/ojl.2025.143019</w:t>
      </w:r>
    </w:p>
    <w:p>
      <w:pPr/>
      <w:r>
        <w:rPr>
          <w:b/>
        </w:rPr>
        <w:t>Shared claim-specific concepts:</w:t>
      </w:r>
      <w:r>
        <w:t xml:space="preserve"> narratives, performative; EU scope visible. This is a provisional connection, not an outcome finding.</w:t>
      </w:r>
    </w:p>
    <w:p>
      <w:pPr>
        <w:pStyle w:val="SourceNote"/>
      </w:pPr>
      <w:r>
        <w:rPr>
          <w:b/>
        </w:rPr>
        <w:t>Available abstract (not full text):</w:t>
      </w:r>
      <w:r>
        <w:t xml:space="preserve"> This article critically examines the widening gap between rhetorical commitments to equity, inclusion, and innovation in higher education and the lived realities of institutional leadership and policy enforcement. Drawing on the author’s direct experience within a U.S. university setting—juxtaposed with global parallels—the paper explores how performative leadership practices mask deeper systems of exclusion, silencing, and ideological gatekeeping. Through the lens of critical policy analysis, the article reveals how institutional narratives often valorize diversity while simultaneously marginalizing dissenting voices, critical scholarship (Mountz et al., 2020), and global perspectives that challenge neoliberal or bureaucratic orthodoxy. The paper further explores the international dimensions of this hypocrisy, comparing policy contradictions in the United States with similar patterns of institutional posturing and suppression observed in higher education systems in Europe, Asia, and Africa. In doing so, it argues that the performance of equity—uncoupled from structural change—undermines the moral legitimacy of higher education institutions and erodes public trust. The article concludes with a call for policy reform grounded in authentic leadership, intellectual freedom, and justice-driven governance.</w:t>
      </w:r>
    </w:p>
    <w:p>
      <w:pPr/>
      <w:r>
        <w:rPr>
          <w:b/>
        </w:rPr>
        <w:t>POSSIBLE 2025:</w:t>
      </w:r>
      <w:r>
        <w:t xml:space="preserve"> Understanding China's Policy Narratives During Crisis: A Narrative Policy Framework Approach — https://doi.org/10.1111/1468-5973.70105</w:t>
      </w:r>
    </w:p>
    <w:p>
      <w:pPr/>
      <w:r>
        <w:rPr>
          <w:b/>
        </w:rPr>
        <w:t>Shared claim-specific concepts:</w:t>
      </w:r>
      <w:r>
        <w:t xml:space="preserve"> narratives, narrative, types, citizens; EU scope not established. This is a provisional connection, not an outcome finding.</w:t>
      </w:r>
    </w:p>
    <w:p>
      <w:pPr>
        <w:pStyle w:val="SourceNote"/>
      </w:pPr>
      <w:r>
        <w:rPr>
          <w:b/>
        </w:rPr>
        <w:t>Available abstract (not full text):</w:t>
      </w:r>
      <w:r>
        <w:t xml:space="preserve"> ABSTRACT Narratives play a crucial role in crisis communication. Using qualitative content analysis within the Narrative Policy Framework, this study examines the policy narratives in 372 open letters issued by Chinese local governments during the COVID‐19 pandemic. The findings reveal that Chinese local governments constructed a narrative in which the entire society was in crisis, while the government was comprehensively responding, a portrayal that varied according to the different stages of the crisis. As for the characters, public servants were constructed as both heroes and victims, the COVID‐19 was cast as the villain, and citizens were portrayed as both victims and heroes. In terms of the moral, the open letters urged public servants to fulfil their professional duties, citizens to comply with existing policies, and broader social forces to actively participate. Finally, regarding the plot, the open letters constructed three distinct plot types centred on the interactions between public servants, the COVID‐19, and citizens, which collectively manifested as an overarching “People's Campaign” plot. This study offers insights into crisis communication by public organisations in non‐Western contexts and contributes to the understanding of policy narratives during the crisis.</w:t>
      </w:r>
    </w:p>
    <w:p>
      <w:pPr/>
      <w:r>
        <w:rPr>
          <w:b/>
        </w:rPr>
        <w:t>POSSIBLE 2025:</w:t>
      </w:r>
      <w:r>
        <w:t xml:space="preserve"> Narratives and Framing in Policy Making — https://doi.org/10.1111/ropr.70053</w:t>
      </w:r>
    </w:p>
    <w:p>
      <w:pPr/>
      <w:r>
        <w:rPr>
          <w:b/>
        </w:rPr>
        <w:t>Shared claim-specific concepts:</w:t>
      </w:r>
      <w:r>
        <w:t xml:space="preserve"> narratives, lead, energy, narrative, distinguished, types; EU scope not established. This is a provisional connection, not an outcome finding.</w:t>
      </w:r>
    </w:p>
    <w:p>
      <w:pPr>
        <w:pStyle w:val="SourceNote"/>
      </w:pPr>
      <w:r>
        <w:rPr>
          <w:b/>
        </w:rPr>
        <w:t>Available abstract (not full text):</w:t>
      </w:r>
      <w:r>
        <w:t xml:space="preserve"> Narratives and framing have become central analytical tools in research on policy processes and shape the understanding of attention shifts, coalition dynamics, and policy change. Building on this dynamic, recent work has attempted to combine the analysis of narratives with institutional approaches (Schlaufer et al. 2022; Domorenok and Graziano 2023). In doing so, it has been recognized that narratives not only explain policy conflict, but also structure the rules and norms that govern collective action. This issue of Review of Policy Research (RPR) brings together recent contributions that advance both the theoretical foundations and practical applications of narrative and framing research. Together, the articles in this issue demonstrate that narratives and frames are not only key drivers of attention, conflict, and change in traditional policy arenas such as environmental or security policy, but also shape science communication, reputation management, and evidence use in policymaking. They highlight how narrative and framing approaches increasingly intersect with established policy process theories, as well as with methodological innovations ranging from network analysis to sentiment analysis, providing a unifying analytical lens for understanding complex policy dynamics. One of the most active debates within this broader landscape concerns how the Narrative Policy Framework</w:t>
      </w:r>
    </w:p>
    <w:p>
      <w:pPr/>
      <w:r>
        <w:rPr>
          <w:b/>
        </w:rPr>
        <w:t>POSSIBLE 2025:</w:t>
      </w:r>
      <w:r>
        <w:t xml:space="preserve"> Toward intelligence or ignorance? Performativity and uncertainty in government tech narratives — https://doi.org/10.1016/j.giq.2025.102032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Emerging technologies are often accompanied by optimistic “tech narratives” that emphasize their potential benefits to society. These narratives appear in various sources, including public policy documents, media coverage, and academic literature. However, identifying their origins and underlying rationale can be challenging. This paper addresses the research question (RQ): How can government tech narratives be traced and unveiled? To answer this question, we draw on the theoretical frameworks of “performativity” and “uncertainty assessment” to develop a two-step approach for investigating tech narratives. We apply this methodology to trace a narrative promoting the benefits of artificial intelligence (AI) in the Swedish public sector back to its source, an emerging government AI policy program. Our analysis reveals a hybridization of economic and political interests, as well as a recognized ignorance reflected in the lack of scrutiny of highly uncertain calculations. By presenting this two-step methodology for tracing and critically examining tech narratives, this paper makes a methodological contribution. In applying this approach, we also provide empirical insights into how tech narratives facilitate the materialization of technological infrastructures. • Emerging technologies are frequently accompanied by optimistic narratives in policy, media, and academic literature. • Th</w:t>
      </w:r>
    </w:p>
    <w:p>
      <w:pPr/>
      <w:r>
        <w:rPr>
          <w:b/>
        </w:rPr>
        <w:t>POSSIBLE 2025:</w:t>
      </w:r>
      <w:r>
        <w:t xml:space="preserve"> Patterns of Emotionalisation in Policy Narratives — https://openalex.org/W7111620421</w:t>
      </w:r>
    </w:p>
    <w:p>
      <w:pPr/>
      <w:r>
        <w:rPr>
          <w:b/>
        </w:rPr>
        <w:t>Shared claim-specific concepts:</w:t>
      </w:r>
      <w:r>
        <w:t xml:space="preserve"> narratives, narrative, opposing; EU scope visible. This is a provisional connection, not an outcome finding.</w:t>
      </w:r>
    </w:p>
    <w:p>
      <w:pPr>
        <w:pStyle w:val="SourceNote"/>
      </w:pPr>
      <w:r>
        <w:rPr>
          <w:b/>
        </w:rPr>
        <w:t>Available abstract (not full text):</w:t>
      </w:r>
      <w:r>
        <w:t xml:space="preserve"> We empirically explore the drive towards emotionalisation in policy narratives in a highly technical, yet polarised, policy debate: the Farm to Fork strategy (F2F) of the EU.We do so by leveraging the Narrative Policy Framework (NPF) and applying it to the official statements of the Hungarian Government (opposing F2F).We first develop expectations drawing on the literature.For example, we expect correlations between NPF categories and emotions.The villain should be associated with anger and fear, the victim with compassion-empathy, the hero with pride.The plot can have different emotional associations.The doomsday should be discursively represented to elicit fear.Next, we built a corpus of 53 narratives decomposed into 794 sentences.This corpus is coded first at the level of NPF categories, then for the presence-absence of emotions and, when present, the exact type of emotion.Human coding is benchmarked against a large language model developed in the MORES project.We find that Hungary articulates its F2F position with emotional narratives bereft of empirical substance.When it is politically feasible, Hungary goes for rhetorical entrapment, asking the Commission to account for the lack of evidence-based tests and impact studies.The association NPF category-emotion works well, especially at the level of characters like the hero, the victim, and the villain.Our findings contribute</w:t>
      </w:r>
    </w:p>
    <w:p>
      <w:pPr/>
      <w:r>
        <w:rPr>
          <w:b/>
        </w:rPr>
        <w:t>POSSIBLE 2025:</w:t>
      </w:r>
      <w:r>
        <w:t xml:space="preserve"> The Plastic Excise Policy Debate in Indonesia: A Narrative Policy Analysis ApproachThe Plastic Excise Policy Debate in Indonesia: A Narrative Policy Analysis Approach — https://doi.org/10.51505/ijebmr.2025.9523</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The plastic excise policy in Indonesia has been a subject of debate since its proposal was submitted in 2016. This policy aims to reduce single-use plastic consumption and address the growing plastic waste problem. However, there are significant differences in opinion regarding its effectiveness and impact. This study uses Narrative Policy Analysis (NPA) to explore the policy’s narratives and counter-narratives articulated by policy actors, industry stakeholders, and the public. Using a post-positivist framework, this study analyzes the construction and framing of policy through discourse. Data were collected via media content analysis and document study, focusing on news articles and government publications from trusted sources between 2016 and 2025. The analysis identifies the dominant narrative supporting the policy, particularly from the Ministry of Finance, and the counter-narratives from the Ministry of Industry and various industry associations. Findings suggest that although the policy has strong support from civil society and environmental organizations, it faces opposition due to concerns about its impact on production costs and industry competitiveness. To resolve the tensions between these narratives, the study recommends a more inclusive policy development process and the integration of the plastic excise policy with a broader waste management strategy.</w:t>
      </w:r>
    </w:p>
    <w:p>
      <w:pPr/>
      <w:r>
        <w:rPr>
          <w:b/>
        </w:rPr>
        <w:t>POSSIBLE 2025:</w:t>
      </w:r>
      <w:r>
        <w:t xml:space="preserve"> The policy narrative of the outsourcing system in Indonesia — https://doi.org/10.22146/jkap.97330</w:t>
      </w:r>
    </w:p>
    <w:p>
      <w:pPr/>
      <w:r>
        <w:rPr>
          <w:b/>
        </w:rPr>
        <w:t>Shared claim-specific concepts:</w:t>
      </w:r>
      <w:r>
        <w:t xml:space="preserve"> stakeholders, implementation, narrative; EU scope not established. This is a provisional connection, not an outcome finding.</w:t>
      </w:r>
    </w:p>
    <w:p>
      <w:pPr>
        <w:pStyle w:val="SourceNote"/>
      </w:pPr>
      <w:r>
        <w:rPr>
          <w:b/>
        </w:rPr>
        <w:t>Available abstract (not full text):</w:t>
      </w:r>
      <w:r>
        <w:t xml:space="preserve"> Law No. 6/2023, which ratifies Government Regulation in Lieu of Law No. 2/2022 on Job Creation, defines outsourcing as the delegation of part of work implementation to other companies through a written outsourcing agreement. This study aims to analyze the narrative structure of Indonesia’s outsourcing policy using the Narrative Policy Framework (NPF), focusing on key elements such as characters (heroes, villains, and victims), setting, plot, and moral of the story. A total of 132 news articles were randomly selected using the keyword “outsourcing” from online sources between November 2, 2020, and December 31, 2023. The data were analyzed using the Discourse Network Analysis (DNA) application. The resulting narrative portrays both workers and outsourcing companies as victims, while the government, outsourcing companies, and service user companies appear both as villains and heroes. The setting includes various regions in Indonesia and covers aspects of job creation and enhancement, workers’ income and welfare, internal company policies, and human resource management. The narrative plot highlights employment policies, associated challenges, and governance of labor regulations. The moral of the story emphasizes the need for effective labor regulations, strict enforcement of employment policies and laws, ongoing policy evaluation, and robust worker protection mechanisms. To foster </w:t>
      </w:r>
    </w:p>
    <w:p>
      <w:pPr/>
      <w:r>
        <w:rPr>
          <w:b/>
        </w:rPr>
        <w:t>POSSIBLE 2024:</w:t>
      </w:r>
      <w:r>
        <w:t xml:space="preserve"> Cultural policy in translation: Performative concepts, narratives, and knowledge — https://openalex.org/W7165823969</w:t>
      </w:r>
    </w:p>
    <w:p>
      <w:pPr/>
      <w:r>
        <w:rPr>
          <w:b/>
        </w:rPr>
        <w:t>Shared claim-specific concepts:</w:t>
      </w:r>
      <w:r>
        <w:t xml:space="preserve"> narratives, performative; EU scope not established. This is a provisional connection, not an outcome finding.</w:t>
      </w:r>
    </w:p>
    <w:p>
      <w:pPr>
        <w:pStyle w:val="SourceNote"/>
      </w:pPr>
      <w:r>
        <w:rPr>
          <w:b/>
        </w:rPr>
        <w:t>Available abstract (not full text):</w:t>
      </w:r>
      <w:r>
        <w:t xml:space="preserve"> © 2024 Thuy Thi Thu Tran</w:t>
      </w:r>
    </w:p>
    <w:p>
      <w:pPr/>
      <w:r>
        <w:rPr>
          <w:b/>
        </w:rPr>
        <w:t>POSSIBLE 2024:</w:t>
      </w:r>
      <w:r>
        <w:t xml:space="preserve"> Exploring the eternal struggle: The Narrative Policy Framework and status quo versus policy change — https://doi.org/10.1007/s11077-024-09537-6</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This article proposes an integration of the Narrative Policy Framework (NPF) with prospect theory to investigate how the status quo and policy change are recounted in public debates. By integrating insights from prospect theory into the Narrative Policy Framework (NPF), we investigate narratives in the policy domain of farm animal welfare, which is characterized by a strong polarization of actor coalitions. We compare public debates in France and Germany between 2020 and 2021. Our analysis shows that the NPF’s analytical strength is enhanced by integrating the distinction between status quo and policy change in narrative elements. This distinction enables further empirical nuancing of actors’ narrative communication, and in combination with insights from prospect theory, it allows for new conjectures about actors’ use of narrative strategies such as the devil shift and the angel shift. In addition to the theoretical contribution, we shed light on debates surrounding farm animal welfare in Western Europe: Both animal welfare and agricultural coalitions are unsatisfied with the status quo, but they promote policy change of different kinds.</w:t>
      </w:r>
    </w:p>
    <w:p>
      <w:pPr/>
      <w:r>
        <w:rPr>
          <w:b/>
        </w:rPr>
        <w:t>POSSIBLE 2024:</w:t>
      </w:r>
      <w:r>
        <w:t xml:space="preserve"> An Exploration of Refugee Policy Using Social Construction Theory and the Narrative Policy Framework — https://doi.org/10.18122/td.2282.boisestate</w:t>
      </w:r>
    </w:p>
    <w:p>
      <w:pPr/>
      <w:r>
        <w:rPr>
          <w:b/>
        </w:rPr>
        <w:t>Shared claim-specific concepts:</w:t>
      </w:r>
      <w:r>
        <w:t xml:space="preserve"> narratives, narrative, two; EU scope not established. This is a provisional connection, not an outcome finding.</w:t>
      </w:r>
    </w:p>
    <w:p>
      <w:pPr>
        <w:pStyle w:val="SourceNote"/>
      </w:pPr>
      <w:r>
        <w:rPr>
          <w:b/>
        </w:rPr>
        <w:t>Available abstract (not full text):</w:t>
      </w:r>
      <w:r>
        <w:t xml:space="preserve"> Social Construction Theory and Narrative Policy Framework are cohesive products to assess policymaking by examining social construction variables and the formation of narratives. Although I use each independently and together, using them in conjunction helps to ascertain the difference between what someone does and says. Often, there is a substantive disconnect between the two. As with many policy arenas, interest in refugee policy has ebbed and flowed over the past ten years as the United States fluctuates from Democrat to Republican and back to Democrat administrations. Various administrations, media outlets, and separate communities often portray refugees differently; some favorably toward refugees, and some do so negatively. Using Social Construction Theory and Narrative Policy Framework, I explore how various entities or individuals verbally portray their interpretation of the refugee population’s deservedness compared to their actions or lack thereof in refugee policy. Using the three-essay dissertation model, I evaluate what changed since the completion of a similar dissertation in 2017 exploring refugee policy; I assess what policymakers say about refugee policy, how a federal administration’s refugee narrative possibly influenced a state leader’s narrative, and the treatment and portrayal of the refugee population and the policymakers influencing refugee policy in Bois</w:t>
      </w:r>
    </w:p>
    <w:p>
      <w:pPr>
        <w:pStyle w:val="Heading2"/>
      </w:pPr>
      <w:r>
        <w:t>564.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2024:</w:t>
      </w:r>
      <w:r>
        <w:t xml:space="preserve"> European Youth Work Developments and Challenges—A Meta-Synthesis — https://doi.org/10.3390/youth4030075</w:t>
      </w:r>
    </w:p>
    <w:p>
      <w:pPr/>
      <w:r>
        <w:rPr>
          <w:b/>
        </w:rPr>
        <w:t>Shared claim-specific concepts:</w:t>
      </w:r>
      <w:r>
        <w:t xml:space="preserve"> challenges, developments, national, activity;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DEVELOPMENTS AND CHALLENGES REGARDING THE EUROPEAN CAPITAL MARKETS INTEGRATION PROJECT — https://doi.org/10.55654/jfs.2024.9.16.13</w:t>
      </w:r>
    </w:p>
    <w:p>
      <w:pPr/>
      <w:r>
        <w:rPr>
          <w:b/>
        </w:rPr>
        <w:t>Shared claim-specific concepts:</w:t>
      </w:r>
      <w:r>
        <w:t xml:space="preserve"> challenges, developments, progress, national; EU scope visible. This is a provisional connection, not an outcome finding.</w:t>
      </w:r>
    </w:p>
    <w:p>
      <w:pPr>
        <w:pStyle w:val="SourceNote"/>
      </w:pPr>
      <w:r>
        <w:rPr>
          <w:b/>
        </w:rPr>
        <w:t>Available abstract (not full text):</w:t>
      </w:r>
      <w:r>
        <w:t xml:space="preserve">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pPr/>
      <w:r>
        <w:rPr>
          <w:b/>
        </w:rPr>
        <w:t>POSSIBLE 2024:</w:t>
      </w:r>
      <w:r>
        <w:t xml:space="preserve"> The challenger advantage – how challenger parties disrupt mainstream party dominance in the European Parliament — https://doi.org/10.1080/13501763.2024.2391510</w:t>
      </w:r>
    </w:p>
    <w:p>
      <w:pPr/>
      <w:r>
        <w:rPr>
          <w:b/>
        </w:rPr>
        <w:t>Shared claim-specific concepts:</w:t>
      </w:r>
      <w:r>
        <w:t xml:space="preserve"> developments, responses; EU scope visible. This is a provisional connection, not an outcome finding.</w:t>
      </w:r>
    </w:p>
    <w:p>
      <w:pPr>
        <w:pStyle w:val="SourceNote"/>
      </w:pPr>
      <w:r>
        <w:rPr>
          <w:b/>
        </w:rPr>
        <w:t>Available abstract (not full text):</w:t>
      </w:r>
      <w:r>
        <w:t xml:space="preserve">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pPr/>
      <w:r>
        <w:rPr>
          <w:b/>
        </w:rPr>
        <w:t>POSSIBLE 2024:</w:t>
      </w:r>
      <w:r>
        <w:t xml:space="preserve"> Globalisation Challenges in the Development of Ukraine's National Information Policy — https://doi.org/10.57239/pjlss-2024-22.2.00778</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study aims to identify the main directions for creating and implementing a comprehensive, adaptive, and practical information policy that meets modern challenges and threats, strengthens national security, ensures stable economic development, and promotes social progress.Research methods: analysis of scientific publications and legal acts, economic system and scenario analysis.The leading positions of the legal framework for forming Ukraine's information policy at the current stage of development have been determined.The functional focus of national programmes and initiatives to improve media literacy among the population in Ukraine has been outlined.Ukraine's place in the global and European information space has been analysed according to social progress indicators, information, and communications development in 2023.The development of e-commerce in Ukraine from 2018 to 2021 has been highlighted.The main aspects of the information war in Ukraine under current socio-economic and geopolitical conditions have been summarised.The main directions of the information policy development strategy for ensuring adequate protection of Ukraine's information space have been formulated.Alternative scenarios for developing Ukraine's information policy for 2025-2030 have been presented.</w:t>
      </w:r>
    </w:p>
    <w:p>
      <w:pPr/>
      <w:r>
        <w:rPr>
          <w:b/>
        </w:rPr>
        <w:t>POSSIBLE 2024:</w:t>
      </w:r>
      <w:r>
        <w:t xml:space="preserve"> Therapeutic proteins: developments, progress, challenges, and future perspectives — https://doi.org/10.1007/s13205-024-03958-z</w:t>
      </w:r>
    </w:p>
    <w:p>
      <w:pPr/>
      <w:r>
        <w:rPr>
          <w:b/>
        </w:rPr>
        <w:t>Shared claim-specific concepts:</w:t>
      </w:r>
      <w:r>
        <w:t xml:space="preserve"> challenges, developments, progress;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Sea Level Rise in Europe: Governance context and challenges — https://doi.org/10.5194/sp-3-slre1-7-2024</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Abstract. Sea-level rise (SLR) will affect Europe’s coasts over the coming decades and beyond giving rise to challenges for governing coastal and marine areas. Progress is being made in adapting to and addressing these challenges at both national and sub-national levels across all major European sea basins. This chapter assesses progress in coastal adaptation governance in Europe by, first, characterizing the socio-economic and political contexts in European sea basins, and then reviewing coastal adaptation relevant policy frameworks in place at regional and national levels within each of these sea basins. Regional frameworks reviewed consist in Regional Sea Conventions and are assessed for their legal status and their inclusion of SLR information. National coastal policy frameworks reviewed include national adaptation plans focusing on coastal areas and marine spatial planning instruments for all European member states, as well as public financing arrangements for coastal adaptation, focusing on flood risk reduction measures. Key national policies for coastal adaptation are assessed for which coastal hazards they address, the extent to which they incorporate sea-level rise information, and their inclusion of SLR specific adaptation measures. Finally, the chapter presents governance challenges that arise due to the complexity of adaptation to SLR, i.e., time horizon and uncerta</w:t>
      </w:r>
    </w:p>
    <w:p>
      <w:pPr>
        <w:pStyle w:val="Heading2"/>
      </w:pPr>
      <w:r>
        <w:t>565.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pStyle w:val="Heading2"/>
      </w:pPr>
      <w:r>
        <w:t>566.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r>
        <w:rPr>
          <w:b/>
        </w:rPr>
        <w:t>POSSIBLE 2022:</w:t>
      </w:r>
      <w:r>
        <w:t xml:space="preserve"> European Security — https://doi.org/10.5771/9783748936459</w:t>
      </w:r>
    </w:p>
    <w:p>
      <w:pPr/>
      <w:r>
        <w:rPr>
          <w:b/>
        </w:rPr>
        <w:t>Shared claim-specific concepts:</w:t>
      </w:r>
      <w:r>
        <w:t xml:space="preserve"> presents, series, order; EU scope visible. This is a provisional connection, not an outcome finding.</w:t>
      </w:r>
    </w:p>
    <w:p>
      <w:pPr>
        <w:pStyle w:val="SourceNote"/>
      </w:pPr>
      <w:r>
        <w:rPr>
          <w:b/>
        </w:rPr>
        <w:t>Available abstract (not full text):</w:t>
      </w:r>
      <w:r>
        <w:t xml:space="preserve"> War with all its horrors has returned to the continent. Russia, with her war against Ukraine, has turned the entire post-war order upside down and triggered another crisis for Europe. Geopolitics must be based on a clear vision of a desired state, an assessment of the environment and an honest analysis of one’s own capabilities and means. The (geo)political decision must explore all legal boundaries to put aggressors permanently in their place. The EU has experienced a series of crises since 2008. Only a ‚sine ira et studio‘ approach will overcome this permanent crisis. This book presents the geopolitical options for security, foreign and economic policy, and strategic decisions.</w:t>
      </w:r>
    </w:p>
    <w:p>
      <w:pPr/>
      <w:r>
        <w:rPr>
          <w:b/>
        </w:rPr>
        <w:t>POSSIBLE 2022:</w:t>
      </w:r>
      <w:r>
        <w:t xml:space="preserve"> Greening Europe — https://openalex.org/W7137726371</w:t>
      </w:r>
    </w:p>
    <w:p>
      <w:pPr/>
      <w:r>
        <w:rPr>
          <w:b/>
        </w:rPr>
        <w:t>Shared claim-specific concepts:</w:t>
      </w:r>
      <w:r>
        <w:t xml:space="preserve"> presents, series; EU scope visible. This is a provisional connection, not an outcome finding.</w:t>
      </w:r>
    </w:p>
    <w:p>
      <w:pPr>
        <w:pStyle w:val="SourceNote"/>
      </w:pPr>
      <w:r>
        <w:rPr>
          <w:b/>
        </w:rPr>
        <w:t>Available abstract (not full text):</w:t>
      </w:r>
      <w:r>
        <w:t xml:space="preserve"> The third installment of the ‘European Public Investment Outlook’ series is an important and timely publication that draws together recent analyses to recommend significant increases in public investment in green ventures. Compelling data from key economists affiliated with international organizations like the International Monetary Fund, European Investment Bank and the European Commission, as well as academic departments and policy institutes are a clarion call for green investment to boost the economy and put the planet on a sustainable path. Like its predecessors, the book presents the issues in a lucid and navigable manner. Part I explores the EU’s current levels of green public investment, as well as the challenges ahead in achieving net zero carbon emissions after years of decreasing funding and the obstacles presented by the COVID-19 pandemic and the Russian invasion of Ukraine. The public investment trends of France, Germany, Italy and Spain are systematically evaluated, as well as the REPowerEU policy – accelerated in Spring 2022 – to move away from Russia’s supply of fossil fuels. Part II focuses on the investment needed for green transition; the important economic and fiscal effects and benefits this would bring; and the reality of what is required before 2030 to achieve the EU’s carbon-neutral targets by 2050. Greening Europe is essential reading for economists, en</w:t>
      </w:r>
    </w:p>
    <w:p>
      <w:pPr/>
      <w:r>
        <w:rPr>
          <w:b/>
        </w:rPr>
        <w:t>POSSIBLE 2022:</w:t>
      </w:r>
      <w:r>
        <w:t xml:space="preserve"> European journal of science archives conferences series — https://doi.org/10.5281/zenodo.6481391</w:t>
      </w:r>
    </w:p>
    <w:p>
      <w:pPr/>
      <w:r>
        <w:rPr>
          <w:b/>
        </w:rPr>
        <w:t>Shared claim-specific concepts:</w:t>
      </w:r>
      <w:r>
        <w:t xml:space="preserve"> series, provide, order, used; EU scope visible. This is a provisional connection, not an outcome finding.</w:t>
      </w:r>
    </w:p>
    <w:p>
      <w:pPr>
        <w:pStyle w:val="SourceNote"/>
      </w:pPr>
      <w:r>
        <w:rPr>
          <w:b/>
        </w:rPr>
        <w:t>Available abstract (not full text):</w:t>
      </w:r>
      <w:r>
        <w:t xml:space="preserve"> Institute for Scientific Research and Publication\n\n&amp;\n\nResearch and Publishing Center virtualconferences. press\n\n \n\nEuropean journal of science archives conferences series/ Konferenzreihe der europäischen Zeitschrift für Wissenschaftsarchive\n\nInternet address: http://ifsrp.edu.ge/\n\nE-mail: info@ifsrp.edu.ge/\n\nPublished by Institute for Scientific Research and Publication &amp; Research and Publishing Center virtualconferences. press\n\nIssued monthly\n\nDOI https://doi.org/10.5281/zenodo.6481360\n\nHausarztzentrum Aachen-Forst Trierer Str. 67, 52078 Aachener, Germany\n\n \n\nRequirements for the authors.\n\nThe manuscript authors must provide reliable results of the work done, as well as an\n\nobjective judgment on the significance of the study. The data underlying the work should\n\nbe presented accurately, without errors. The work should contain enough details and bibliographic references for possible reproduction. False or knowingly erroneous statements\n\nare perceived as unethical behavior and unacceptable.\n\nAuthors should make sure that the original work is submitted and, if other authors' works or claims are used, provide appropriate bibliographic references or citations. Plagiarism\n\ncan exist in many forms - from representing someone else’s work as copyright to copying or paraphrasing significant parts of another’s work without attribution, as well as claim</w:t>
      </w:r>
    </w:p>
    <w:p>
      <w:pPr>
        <w:pStyle w:val="Heading2"/>
      </w:pPr>
      <w:r>
        <w:t>567.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pStyle w:val="Heading2"/>
      </w:pPr>
      <w:r>
        <w:t>568.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2025:</w:t>
      </w:r>
      <w:r>
        <w:t xml:space="preserve"> The future of EU tax policy harmonisation: Cost of non-Europe report — https://doi.org/10.2861/8675836</w:t>
      </w:r>
    </w:p>
    <w:p>
      <w:pPr/>
      <w:r>
        <w:rPr>
          <w:b/>
        </w:rPr>
        <w:t>Shared claim-specific concepts:</w:t>
      </w:r>
      <w:r>
        <w:t xml:space="preserve"> agreement, commission, council; EU scope visible. This is a provisional connection, not an outcome finding.</w:t>
      </w:r>
    </w:p>
    <w:p>
      <w:pPr>
        <w:pStyle w:val="SourceNote"/>
      </w:pPr>
      <w:r>
        <w:rPr>
          <w:b/>
        </w:rPr>
        <w:t>Available abstract (not full text):</w:t>
      </w:r>
      <w:r>
        <w:t xml:space="preserve"> tax rules but also from inconsistent administrative procedures, digitalisation gaps and duplicated requirements across jurisdictions.In this context, the fragmentation of national tax regimes undermines the EU's capacity to uphold fair competition, ensure fiscal sustainability and deliver on its strategic objectives.It weakens the collective ability to address cross-border tax evasion, enforce equitable taxation of digital and intangible assets and respond to global developments such as the OECD/G20 minimum corporate tax agreement.Moreover, the rising demand for a more competitive, socially cohesive and strategically autonomous Europe -as underscored in the Letta and Draghi reports 2 -places renewed emphasis on the need for coherence in tax policy.From the perspective of European integration, a more coordinated tax framework is thus essential to support the smooth functioning of the internal market.Fragmentation in tax rules could act as a de facto barrier to investment, 3 labour mobility, 4 and cross-border services, 5 eroding the core economic freedoms of the Union.6 It also contributes to legal uncertainty, as recent State aid investigations and rulings by the Court of Justice of the European Union (e.g. in the Apple and Amazon cases) have shown, 7 potentially deterring both investors and Member States from pursuing optimal tax strategies.While full harmonisation may remain </w:t>
      </w:r>
    </w:p>
    <w:p>
      <w:pPr/>
      <w:r>
        <w:rPr>
          <w:b/>
        </w:rPr>
        <w:t>POSSIBLE 2024:</w:t>
      </w:r>
      <w:r>
        <w:t xml:space="preserve"> From Policy to Practice: Upper Bound Cost Estimates of Europes Green Hydrogen Ambitions — https://doi.org/10.48550/arxiv.2406.07149</w:t>
      </w:r>
    </w:p>
    <w:p>
      <w:pPr/>
      <w:r>
        <w:rPr>
          <w:b/>
        </w:rPr>
        <w:t>Shared claim-specific concepts:</w:t>
      </w:r>
      <w:r>
        <w:t xml:space="preserve"> increase, commission; EU scope visible. This is a provisional connection, not an outcome finding.</w:t>
      </w:r>
    </w:p>
    <w:p>
      <w:pPr>
        <w:pStyle w:val="SourceNote"/>
      </w:pPr>
      <w:r>
        <w:rPr>
          <w:b/>
        </w:rPr>
        <w:t>Available abstract (not full text):</w:t>
      </w:r>
      <w:r>
        <w:t xml:space="preserve"> As the European countries strive to meet their ambitious climate goals, renewable hydrogen has emerged to aid in decarbonizing energy-intensive sectors and support the overall energy transition. To ensure that hydrogen production aligns with these goals, the European Commission has introduced criteria for additionality, temporal correlation, and geographical correlation. These criteria are designed to ensure that hydrogen production from renewable sources supports the growth of renewable energy. This study assesses the impact of these criteria on green hydrogen production, focusing on production costs and technology impacts. The European energy market is simulated up to 2048 using stochastic programming, applying these requirements exclusively to green hydrogen production without the phased-in compliance period outlined in the EU regulations. The findings show that meeting the criteria will increase expected system costs by 82 billion euro from 2024 to 2048, largely due to the rapid shift from fossil fuels to renewable energy. The additionality requirement, which mandates the use of new renewable energy installations for electrolysis, proves to be the most expensive, but also the most effective in accelerating renewable energy adoption.</w:t>
      </w:r>
    </w:p>
    <w:p>
      <w:pPr/>
      <w:r>
        <w:rPr>
          <w:b/>
        </w:rPr>
        <w:t>POSSIBLE 2024:</w:t>
      </w:r>
      <w:r>
        <w:t xml:space="preserve"> Policy complexity and implementation performance in the European Union — https://doi.org/10.1111/rego.12580</w:t>
      </w:r>
    </w:p>
    <w:p>
      <w:pPr/>
      <w:r>
        <w:rPr>
          <w:b/>
        </w:rPr>
        <w:t>Shared claim-specific concepts:</w:t>
      </w:r>
      <w:r>
        <w:t xml:space="preserve"> between, commission; EU scope visible. This is a provisional connection, not an outcome finding.</w:t>
      </w:r>
    </w:p>
    <w:p>
      <w:pPr>
        <w:pStyle w:val="SourceNote"/>
      </w:pPr>
      <w:r>
        <w:rPr>
          <w:b/>
        </w:rPr>
        <w:t>Available abstract (not full text):</w:t>
      </w:r>
      <w:r>
        <w:t xml:space="preserve"> This study examines the relationship between the complexity of EU directives and their successful implementation at the national level. Moving beyond the state‐of‐the‐art, we propose a comprehensive framework considering structural, linguistic, and relational dimensions of policy complexity. We argue that policy complexity entails higher transaction costs, hindering effective implementation. Using a novel dataset covering roughly 1000 directives from 1994 to 2022, we find strong evidence of policy complexity negatively impacting implementation performance. Moreover, we find that states with higher administrative capacity are better able to process high complexity efficiently and that Eurosceptic member states attract fewer infringement proceedings in highly complex policy environments than Europhile member states. This could alternatively point to strategic enforcement behavior of the Commission or to bureaucracies that are less Eurosceptic than their political masters might wish for. Our study thereby contributes to a deeper understanding of the challenges of successful implementation of EU directives.</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increase, between;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Policy challenges for agroforestry implementation in Europe — https://doi.org/10.3389/ffgc.2023.1127601</w:t>
      </w:r>
    </w:p>
    <w:p>
      <w:pPr/>
      <w:r>
        <w:rPr>
          <w:b/>
        </w:rPr>
        <w:t>Shared claim-specific concepts:</w:t>
      </w:r>
      <w:r>
        <w:t xml:space="preserve"> increase, between; EU scope visible. This is a provisional connection, not an outcome finding.</w:t>
      </w:r>
    </w:p>
    <w:p>
      <w:pPr>
        <w:pStyle w:val="SourceNote"/>
      </w:pPr>
      <w:r>
        <w:rPr>
          <w:b/>
        </w:rPr>
        <w:t>Available abstract (not full text):</w:t>
      </w:r>
      <w:r>
        <w:t xml:space="preserve"> Agroforestry (AF) is a sustainable land use practice and system that increases the ecosystem services delivery from agricultural lands compared with treeless systems. Agroforestry can be considered a practice when linked to plot scale (silvoarable, silvopasture, homegarden, woody linear landscape strips, and forest farming), and a system when associated with the global farm scale. The enhancement of the ecosystem services is associated with the use and promotion of the biodiversity caused by the presence of trees that optimizes the use of the resources if adequate species are mixed. Agroforestry can be implemented at temporal and spatial scales. At the temporal scale, the use of woody perennials to increase soil fertility is a traditional technique that improves soil health and reduces the need of using herbicides (e.g., the legume Ulex sown for 10 years in between crop cultivation). Five agroforestry practices can be implemented at the plot level: silvopasture, silvoarable/alley cropping, homegardens/kitchengardens, woody linear landscape strips, and forest farming. A farm including these practices is considered an agroforestry system working at the landscape level when several farms are mixed. In spite of the acknowledgment that AF has at the European level for being included as part of Pillars I and II, the spread of AF is limited across Europe. Four challenges, linked with </w:t>
      </w:r>
    </w:p>
    <w:p>
      <w:pPr>
        <w:pStyle w:val="Heading2"/>
      </w:pPr>
      <w:r>
        <w:t>569.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Analysis of solar and wind energy utilisation in Europe and Africa — https://doi.org/10.70132/z8468559752</w:t>
      </w:r>
    </w:p>
    <w:p>
      <w:pPr/>
      <w:r>
        <w:rPr>
          <w:b/>
        </w:rPr>
        <w:t>Shared claim-specific concepts:</w:t>
      </w:r>
      <w:r>
        <w:t xml:space="preserve"> findings, highlight, achieving, policies, climate;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Green Finance, Innovation, and Financial Markets: Shaping Industrial Resilience in China and Europe — https://doi.org/10.55991/j.rjef.94187</w:t>
      </w:r>
    </w:p>
    <w:p>
      <w:pPr/>
      <w:r>
        <w:rPr>
          <w:b/>
        </w:rPr>
        <w:t>Shared claim-specific concepts:</w:t>
      </w:r>
      <w:r>
        <w:t xml:space="preserve"> findings, highlight, achieving, also, support, green; EU scope visible. This is a provisional connection, not an outcome finding.</w:t>
      </w:r>
    </w:p>
    <w:p>
      <w:pPr>
        <w:pStyle w:val="SourceNote"/>
      </w:pPr>
      <w:r>
        <w:rPr>
          <w:b/>
        </w:rPr>
        <w:t>Available abstract (not full text):</w:t>
      </w:r>
      <w:r>
        <w:t xml:space="preserve">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pPr/>
      <w:r>
        <w:rPr>
          <w:b/>
        </w:rPr>
        <w:t>POSSIBLE 2025:</w:t>
      </w:r>
      <w:r>
        <w:t xml:space="preserve"> From pastures to plates: The thorny path to achieving deforestation-free cattle from Brazil to European consumers — https://doi.org/10.1016/j.ecolecon.2025.108524</w:t>
      </w:r>
    </w:p>
    <w:p>
      <w:pPr/>
      <w:r>
        <w:rPr>
          <w:b/>
        </w:rPr>
        <w:t>Shared claim-specific concepts:</w:t>
      </w:r>
      <w:r>
        <w:t xml:space="preserve"> findings, highlight, achieving, require, not; EU scope visible. This is a provisional connection, not an outcome finding.</w:t>
      </w:r>
    </w:p>
    <w:p>
      <w:pPr>
        <w:pStyle w:val="SourceNote"/>
      </w:pPr>
      <w:r>
        <w:rPr>
          <w:b/>
        </w:rPr>
        <w:t>Available abstract (not full text):</w:t>
      </w:r>
      <w:r>
        <w:t xml:space="preserve"> The EU regulation on Deforestation-Free Products (EUDR) enacted in 2023 aims to reduce deforestation connected to commodities imported to the EU, including cattle products. In Brazil, the EUDR pressures the local cattle supply chain towards more sustainable production. However, the potential effects of the EUDR on reducing deforestation in this sector are unclear and require scrutiny. Drawing on the concept of Telecoupling, we investigate the challenges and potential impacts of implementing the EUDR in the Brazilian cattle supply chain. We interviewed 19 Brazilian stakeholders representing the private sector, NGOs , investigative journals, banks, and governmental institutions through semi-structured questionnaires complemented with secondary data analysis. Our findings reveal the extent to which historical challenges, such as the lack of law enforcement and low productivity persist, and the possible spillover effects , including market and production leakages. Additionally, the study shows how the EUDR may lead to potential negative impacts for small-scale ranchers . We highlight the need to implement a transparent and integrated public birth-to-slaughter traceability system for cattle in Brazil to guarantee the EUDR's effectiveness. If European and Brazilian governments, cattle producers, and meatpacking companies are not able to address these issues, EUDR's objective to reduc</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findings, emissions, policies, support, not, climate;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pStyle w:val="Heading2"/>
      </w:pPr>
      <w:r>
        <w:t>570.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Ecological and environmental factors affecting the risk of tick-borne encephalitis in Europe, 2017 to 2021 — https://doi.org/10.2807/1560-7917.es.2023.28.42.2300121</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pPr/>
      <w:r>
        <w:rPr>
          <w:b/>
        </w:rPr>
        <w:t>POSSIBLE 2023:</w:t>
      </w:r>
      <w:r>
        <w:t xml:space="preserve"> Hepatitis A occurrence and outbreaks in Europe over the past two decades: A systematic review — https://doi.org/10.1111/jvh.13821</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Hepatitis A (HA) is a vaccine-preventable liver disease with &gt;170 million new cases occurring yearly. In recent outbreaks in the USA, hospitalization and case-fatality ratios were &gt;60% and ~1%, respectively. In Europe, endemicity persists and outbreaks continue to occur. We performed a systematic literature review to understand the changes in HA occurrence in Europe over the past two decades. PubMed and Embase were systematically searched for peer-reviewed articles published between 1 January 2001 and 14 April 2021 using terms covering HA, 11 selected European countries, outbreaks, outcomes and HA virus circulation. Here, we focus on HA occurrence and outbreaks in the five countries with the largest population and the most comprehensive vaccination recommendations: France, Germany, Italy, Spain and the UK; 118 reports included data for these five European countries. Notification rates (≤9.7/100,000 population) and percentages of men among cases (≤83.0%) peaked in 2017. The number of person-to-person-transmitted cases and outbreaks decreased in children but increased in other risk groups, such as men who have sex with men (MSM). Sexually transmitted outbreaks in MSM clustered around 2017. Travel-related outbreaks were few; the proportion of travel-related cases decreased during the past two decades, while the number of domestic cases increased. Despite the existing risk-based va</w:t>
      </w:r>
    </w:p>
    <w:p>
      <w:pPr/>
      <w:r>
        <w:rPr>
          <w:b/>
        </w:rPr>
        <w:t>POSSIBLE 2023:</w:t>
      </w:r>
      <w:r>
        <w:t xml:space="preserve"> Simultaneous detections of Olenecamptus bilobus (Fabricius, 1801) (Cerambycidae, Dorcaschematini) in Europe — https://doi.org/10.3897/bdj.11.e114432</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Background: Europe has a long history of non-native species introductions given its central role in global trade in recent centuries. Currently, approximately two hundred cerambycid species have been found in Europe, as the result of introductions between and within biogeographical regions; still, despite better monitoring and stronger restrictions, the arrivals and spread of non-native Cerambycidae continue. New information: (Fabricius, 1801) on the basis of three specimens recorded almost simultaneously in Spain and Greece, respectively.</w:t>
      </w:r>
    </w:p>
    <w:p>
      <w:pPr/>
      <w:r>
        <w:rPr>
          <w:b/>
        </w:rPr>
        <w:t>POSSIBLE 2023:</w:t>
      </w:r>
      <w:r>
        <w:t xml:space="preserve"> Land Use and Land Cover Changes in Depopulated Areas of Mediterranean Europe: A Case Study in Two Inland Provinces of Spain — https://doi.org/10.3390/land12111967</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Depopulation often leads to the abandonment of agricultural land and the resulting process of afforestation and reforestation. In this paper, we study the land use changes between 2000 and 2018 in two Spanish provinces, Soria and Teruel. The provinces chosen as case studies are of particular interest because they have some of the lowest population densities in Europe and continue to suffer depopulation processes that have been ongoing since the mid-20th century. The reasons for this are not immediately clear given that unlike other European regions with similar population density values, for example in Northern Scandinavia, they are not exposed to extreme climatic conditions, nor are they located in isolated mountain regions. Using the CORINE Land Cover database, we observed that in both provinces, there has been an expansion in shrub and forest land uses and a decline in agriculture due largely to the fact that certain areas have been abandoned by their inhabitants, although in other parts of these provinces, the amount of land used for agriculture has increased. Urban growth over this period has been minimal. In the coming years, it seems likely that the population of these areas will continue to fall, given that the policies carried out over decades to try to revert this trend have not been successful.</w:t>
      </w:r>
    </w:p>
    <w:p>
      <w:pPr>
        <w:pStyle w:val="Heading2"/>
      </w:pPr>
      <w:r>
        <w:t>571.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2022:</w:t>
      </w:r>
      <w:r>
        <w:t xml:space="preserve"> Future area expansion outweighs increasing drought risk for soybean in Europe — https://doi.org/10.1111/gcb.16562</w:t>
      </w:r>
    </w:p>
    <w:p>
      <w:pPr/>
      <w:r>
        <w:rPr>
          <w:b/>
        </w:rPr>
        <w:t>Shared claim-specific concepts:</w:t>
      </w:r>
      <w:r>
        <w:t xml:space="preserve"> further, imports, climate;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Different Effect of Inward Foreign Direct Investment, Outward Foreign Direct Investment, Imports, and Exports on Greenhouse Gas Emission across 24 European Union Countries — https://doi.org/10.54691/bcpbm.v34i.3186</w:t>
      </w:r>
    </w:p>
    <w:p>
      <w:pPr/>
      <w:r>
        <w:rPr>
          <w:b/>
        </w:rPr>
        <w:t>Shared claim-specific concepts:</w:t>
      </w:r>
      <w:r>
        <w:t xml:space="preserve"> further, imports, lower, reduce, positive; EU scope visible. This is a provisional connection, not an outcome finding.</w:t>
      </w:r>
    </w:p>
    <w:p>
      <w:pPr>
        <w:pStyle w:val="SourceNote"/>
      </w:pPr>
      <w:r>
        <w:rPr>
          <w:b/>
        </w:rPr>
        <w:t>Available abstract (not full text):</w:t>
      </w:r>
      <w:r>
        <w:t xml:space="preserve"> The European Union (EU) has achieved remarkable progress in reducing greenhouse gas emission with the help of the emission trade system (ETS) and other environmental policies for the past decades. The main purpose of current study is to empirically investigate different effects of inward foreign direct investment, outward foreign direct investment (FDI), imports and exports on greenhouse gas (GHG) emissions for different level of GDP per capita. Panel data set of 24 European Union countries was selected from 2013 to 2017. And these 24 countries would be further divided into two groups based on their GDP per capita. The result indicates that inward FDI would decrease GHG emission for high GDP per capita group, whereas it increases the GHG emission for low GDP per capita group, suggesting the existence of “pollution haven” in countries with lower GDP per capita. On the contrary, the effect of outward FDI on GHG emission would be positive for high GDP per capita group but negative for low GDP per capita group. Meanwhile, exports would increase GHG emission for low GDP per capita group but decrease GHG emission for high GDP per capita group. Besides, imports would also be a contributor of GHG emission for high GDP per capita group. The conclusion drawn from this study implicates that, to reduce the domestic GHG emissions, countries with different level of GDP per capita should have</w:t>
      </w:r>
    </w:p>
    <w:p>
      <w:pPr>
        <w:pStyle w:val="Heading2"/>
      </w:pPr>
      <w:r>
        <w:t>572.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In temperate Europe, fire is already here: The case of The Netherlands — https://doi.org/10.1007/s13280-023-01960-y</w:t>
      </w:r>
    </w:p>
    <w:p>
      <w:pPr/>
      <w:r>
        <w:rPr>
          <w:b/>
        </w:rPr>
        <w:t>Shared claim-specific concepts:</w:t>
      </w:r>
      <w:r>
        <w:t xml:space="preserve"> here, data, countries;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2023:</w:t>
      </w:r>
      <w:r>
        <w:t xml:space="preserve"> Canopy height and biomass map for Europe — https://doi.org/10.5281/zenodo.8154444</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Data Description These datasets were generated from the research article "The overlooked contribution of trees outside forests to tree cover and woody biomass across Europe". Here we publish aggregated version of canopy cover and height map, and original biomass map at 30m resolution. The biomass map are calculated from the canopy cover and height maps using allometric equations. The original canopy cover and height maps are derived from 3m resolution PlanetScope imagery (research license with Planet Labs Inc) in 2019, are available on request sliu@ign.ku.dk or martin.brandt@mailbox.org. Data Visualisation at 3m resolution: https://ee-chm-eu-2019.projects.earthengine.app/view/euchm Data Use Agreement The datasets are restricted to use only for research and scientific purposes, and shall not be used for any commercial purposes. Any usage beyond the permitted scope requires explicit written consent from the relevant parties. The restrictions using the datasets are coupled with the research license, which can be accessed here: https://assets.planet.com/docs/ToS_EducationAndResearch.pdf The user agrees to assume all risks and liabilities associated with the interpretation and use of any data or results obtained from the datasets. The University of Copenhagen, Planet Labs Inc, and any affiliated parties shall not be held liable for any consequences arising from the misuse of the dat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obtained, data, between;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Environmental risks from artificial nighttime lighting widespread and increasing across Europe — https://doi.org/10.1126/sciadv.abl6891</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The nighttime environment of much of Earth is being changed rapidly by the introduction of artificial lighting. While data on spatial and temporal variation in the intensity of artificial lighting have been available at a regional and global scale, data on variation in its spectral composition have only been collected for a few locations, preventing variation in associated environmental and human health risks from being mapped. Here, we use imagery obtained using digital cameras by astronauts on the International Space Station to map variation in the spectral composition of lighting across Europe for 2012-2013 and 2014-2020. These show a regionally widespread spectral shift, from that associated principally with high-pressure sodium lighting to that associated with broad white light-emitting diodes and with greater blue emissions. Reexpressing the color maps in terms of spectral indicators of environmental pressures, we find that this trend is widely increasing the risk of harmful effects to ecosystems.</w:t>
      </w:r>
    </w:p>
    <w:p>
      <w:pPr/>
      <w:r>
        <w:rPr>
          <w:b/>
        </w:rPr>
        <w:t>POSSIBLE 2022:</w:t>
      </w:r>
      <w:r>
        <w:t xml:space="preserve"> The utility of the ‘Arable Weeds and Management in Europe’ database: Challenges and opportunities of combining weed survey data at a European scale — https://doi.org/10.1111/wre.12562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Over the last 30 years, many studies have surveyed weed vegetation on arable land. The 'Arable Weeds and Management in Europe' (AWME) database is a collection of 36 of these surveys and the associated management data. Here, we review the challenges associated with combining disparate datasets and explore some of the opportunities for future research that present themselves thanks to the AWME database. We present three case studies repeating previously published national scale analyses with data from a larger spatial extent. The case studies, originally done in France, Germany and the UK, explore various aspects of weed ecology (community composition, management and environmental effects and within-field distributions) and use a range of statistical techniques (canonical correspondence analysis, redundancy analysis and generalised linear mixed models) to demonstrate the utility and versatility of the AWME database. We demonstrate that (i) the standardisation of abundance data to a common measure, before the analysis of the combined dataset, has little impact on the outcome of the analyses, (ii) the increased extent of environmental or management gradients allows for greater confidence in conclusions and (iii) the main conclusions of analyses done at different spatial scales remain consistent. These case studies demonstrate the utility of a Europe-wide weed survey database, for c</w:t>
      </w:r>
    </w:p>
    <w:p>
      <w:pPr/>
      <w:r>
        <w:rPr>
          <w:b/>
        </w:rPr>
        <w:t>POSSIBLE 2022:</w:t>
      </w:r>
      <w:r>
        <w:t xml:space="preserve"> High-Resolution Mapping of Winter Cereals in Europe by Time Series Landsat and Sentinel Images for 2016–2020 — https://doi.org/10.3390/rs14092120</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pPr>
        <w:pStyle w:val="Heading2"/>
      </w:pPr>
      <w:r>
        <w:t>573.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r>
        <w:rPr>
          <w:b/>
        </w:rPr>
        <w:t>POSSIBLE 2022:</w:t>
      </w:r>
      <w:r>
        <w:t xml:space="preserve"> The role of Latvia's maritime spatial planning in promoting the European Green Deal — https://doi.org/10.7163/eu21.2022.42.4</w:t>
      </w:r>
    </w:p>
    <w:p>
      <w:pPr/>
      <w:r>
        <w:rPr>
          <w:b/>
        </w:rPr>
        <w:t>Shared claim-specific concepts:</w:t>
      </w:r>
      <w:r>
        <w:t xml:space="preserve"> maritime, insight, deal; EU scope visible. This is a provisional connection, not an outcome finding.</w:t>
      </w:r>
    </w:p>
    <w:p>
      <w:pPr>
        <w:pStyle w:val="SourceNote"/>
      </w:pPr>
      <w:r>
        <w:rPr>
          <w:b/>
        </w:rPr>
        <w:t>Available abstract (not full text):</w:t>
      </w:r>
      <w:r>
        <w:t xml:space="preserve"> In an era of dynamic maritime spatial planning movement development, this paper offers insight into the relationship between Latvia’s national Maritime Spatial Plan 2030 and the European Green Deal. The paper analyses what this might signify concerning the implementation and subsequent assessment of the plan by exploring the role of the maritime spatial plan in Latvia’s planning system. Beginning with a brief history of how the national plan came to be, the paper then describes and evaluates the position of the maritime spatial plan within Latvia’s planning framework before examining the connection between the maritime spatial plan and the Green Deal, identifying contact points. This paper offers a starting framework for studying how closely maritime spatial planning is related to and capable of supporting ─ or at the very least taking into account ─ the goals of the Green Deal. The conclusion is that implementation of maritime spatial planning is rooted in the state planning system, the interconnection among policy documents, and the specifics of the maritime spatial plan itself.</w:t>
      </w:r>
    </w:p>
    <w:p>
      <w:pPr>
        <w:pStyle w:val="Heading2"/>
      </w:pPr>
      <w:r>
        <w:t>574.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r>
        <w:rPr>
          <w:b/>
        </w:rPr>
        <w:t>POSSIBLE 2023:</w:t>
      </w:r>
      <w:r>
        <w:t xml:space="preserve"> A phenomenological inquiry of building and living in European Earthship homes — https://doi.org/10.1680/jinam.23.00028</w:t>
      </w:r>
    </w:p>
    <w:p>
      <w:pPr/>
      <w:r>
        <w:rPr>
          <w:b/>
        </w:rPr>
        <w:t>Shared claim-specific concepts:</w:t>
      </w:r>
      <w:r>
        <w:t xml:space="preserve"> aim, alternative, shift; EU scope visible. This is a provisional connection, not an outcome finding.</w:t>
      </w:r>
    </w:p>
    <w:p>
      <w:pPr>
        <w:pStyle w:val="SourceNote"/>
      </w:pPr>
      <w:r>
        <w:rPr>
          <w:b/>
        </w:rPr>
        <w:t>Available abstract (not full text):</w:t>
      </w:r>
      <w:r>
        <w:t xml:space="preserve"> Earthships remain a relatively underexplored type of sustainable/alternative home. This is the first study to investigate the personal experiences of constructing and living in European Earthship homes. The aim of this study is to reveal insights into the ‘hands-on’ practical experience of persons who have constructed their own Earthship homes and to gather insights into the collective experience of these dwellers on the realities of living full time in an Earthship home. A phenomenological methodology, using an inductive research approach, was utilised through a qualitative research strategy to solicit insights into the personal experiences of these unique persons. The main themes and sub-themes that emerge from the analysis are that anyone from any background can make the shift to building/living in an Earthship home. However, a mixed skill set and knowledge of building trades, plus physical and emotional prowess, are needed for the long-haul build process, which, together with access to financial means and/or available materials, are critical factors that influence the outcome of the Earthship building. Meanwhile, once constructed, off-grid living in an Earthship home gives dwellers a greater connectivity with the natural world, raises awareness of consumerism and leads to enhanced appreciation of human impacts.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four, developed;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2022:</w:t>
      </w:r>
      <w:r>
        <w:t xml:space="preserve"> Alternative Institutional Strategies for Constructing Monetary Theories — https://doi.org/10.31063/altereconomics/2022.19-2.4</w:t>
      </w:r>
    </w:p>
    <w:p>
      <w:pPr/>
      <w:r>
        <w:rPr>
          <w:b/>
        </w:rPr>
        <w:t>Shared claim-specific concepts:</w:t>
      </w:r>
      <w:r>
        <w:t xml:space="preserve"> alternative, important, framework; EU scope not established. This is a provisional connection, not an outcome finding.</w:t>
      </w:r>
    </w:p>
    <w:p>
      <w:pPr>
        <w:pStyle w:val="SourceNote"/>
      </w:pPr>
      <w:r>
        <w:rPr>
          <w:b/>
        </w:rPr>
        <w:t>Available abstract (not full text):</w:t>
      </w:r>
      <w:r>
        <w:t xml:space="preserve"> The article discusses the new strategies for studying macro-economic processes and relationships between the monetary and real variables in light of the transformations of the modern economy. The research aims to describe the strategies of constructing monetary theories of mainstream economics and to develop an approach for studying endogenous institutional relationships in monetary processes. Conceptually, the study uses as a point of departure the idea that economic entities pursue value-based and economic motives. Such an approach reflects the intersubjective nature of the economy and helps overcome the extremes of methodological individualism and methodological holism. The study shows how the institutional characteristics of the strategies in question are determined by orthodox and heterodox versions of Keynesian economics. The paradigmal limitations of the given strategies may stem from the fact that methodologically they rely on individualism, which leads to exogenous interpretations of institutions and monetary phenomena. Therefore, it is impossible to explain the emergence of market prices as an institutional phenomena by drawing on the neo-classical versions of the theory of value. Macro-economic indicators in mainstream economics are exogenous aggregated variables. The study traces the development of the paradigmal framework of classical political economy and Marx’s i</w:t>
      </w:r>
    </w:p>
    <w:p>
      <w:pPr/>
      <w:r>
        <w:rPr>
          <w:b/>
        </w:rPr>
        <w:t>POSSIBLE 2022:</w:t>
      </w:r>
      <w:r>
        <w:t xml:space="preserve"> Screening of Cooling Technologies in Europe: Alternatives to Vapour Compression and Possible Market Developments — https://doi.org/10.3390/su14052971</w:t>
      </w:r>
    </w:p>
    <w:p>
      <w:pPr/>
      <w:r>
        <w:rPr>
          <w:b/>
        </w:rPr>
        <w:t>Shared claim-specific concepts:</w:t>
      </w:r>
      <w:r>
        <w:t xml:space="preserve"> aim, alternative; EU scope visible. This is a provisional connection, not an outcome finding.</w:t>
      </w:r>
    </w:p>
    <w:p>
      <w:pPr>
        <w:pStyle w:val="SourceNote"/>
      </w:pPr>
      <w:r>
        <w:rPr>
          <w:b/>
        </w:rPr>
        <w:t>Available abstract (not full text):</w:t>
      </w:r>
      <w:r>
        <w:t xml:space="preserve"> The aim of this study is to investigate, review, and assess the recent advances of alternative cooling technologies using traditional vapor compression (VC) systems as a baseline. Around 99% of the final energy consumption used for cooling in the current European market (European Union plus the United Kingdom (EU27 + UK) is supplied by VC technologies. In comparison, the remaining 1% is produced by thermally driven heat pumps (TDHPs). This study focuses on providing a complete taxonomy of cooling technologies. While the EU heating sector is broadly explored in scientific literature, a significant lack of data and information is present in the cooling sector. This study highlights technologies that can potentially compete and eventually replace VC systems within the decade (2030). Among others, the most promising of these are membrane heat pump, transcritical cycle, Reverse Brayton (Bell Coleman cycle), and absorption cooling. However, the latter mentioned technologies still need further research and development (R&amp;D) to become fully competitive with VC technologies. Notably, there are no alternative cooling technologies characterized by higher efficiency and less cost than VC technologies in the EU market.</w:t>
      </w:r>
    </w:p>
    <w:p>
      <w:pPr>
        <w:pStyle w:val="Heading2"/>
      </w:pPr>
      <w:r>
        <w:t>575.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2025:</w:t>
      </w:r>
      <w:r>
        <w:t xml:space="preserve"> Three-dimensional third medium contact model for hyperelastic contact and pneumatically actuated systems — https://doi.org/10.48550/arxiv.2512.03181</w:t>
      </w:r>
    </w:p>
    <w:p>
      <w:pPr/>
      <w:r>
        <w:rPr>
          <w:b/>
        </w:rPr>
        <w:t>Shared claim-specific concepts:</w:t>
      </w:r>
      <w:r>
        <w:t xml:space="preserve"> third, highlight, need; EU scope not established. This is a provisional connection, not an outcome finding.</w:t>
      </w:r>
    </w:p>
    <w:p>
      <w:pPr>
        <w:pStyle w:val="SourceNote"/>
      </w:pPr>
      <w:r>
        <w:rPr>
          <w:b/>
        </w:rPr>
        <w:t>Available abstract (not full text):</w:t>
      </w:r>
      <w:r>
        <w:t xml:space="preserve"> This work presents a comprehensive three-dimensional third-medium contact framework for modeling complex contact interactions in hyperelastic solids and pneumatically actuated systems. The proposed third-medium formulation embeds a fictitious medium (or third medium) between potentially interacting bodies, enabling a unified and robust treatment of hyperelastic contact and self-contact without the need for discretization of the contact interface. Unlike the widely studied two-dimensional problem, this paper extends the new regularization term given in Reference \cite{TMCWriggers2} to three-dimensional problems and ensures element quality in a third medium. Due to the need for higher-order elements for the regularization term, this paper details the linearization process of this problem within the finite element framework. In addition, pneumatically actuated systems are considered by introducing a pneumatic term to represent pneumatic loading (pressure or suction) and inducing contact caused by internal inflation. This approach is suitable for complex hyperelastic contact and self-contact, and has potential applications in the fields of soft robotics and flexible mechanisms. The framework is developed in a fully three-dimensional setting, making it also suitable for isogeometric methods and meshless methods. Several benchmark and application-level simulations demonstrate the acc</w:t>
      </w:r>
    </w:p>
    <w:p>
      <w:pPr/>
      <w:r>
        <w:rPr>
          <w:b/>
        </w:rPr>
        <w:t>POSSIBLE 2025:</w:t>
      </w:r>
      <w:r>
        <w:t xml:space="preserve"> Global Nomads: Identity and Belonging in Third Culture Kids and Adult Third Culture Kids — https://openalex.org/W7119396443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This capstone examines the subculture of Third Culture Kids and Adult Third Culture Kids who have experienced living abroad as children. There were two main objectives in this study. First, to understand the perceptions of Adult Third Culture Kids on how their global childhoods have impacted their self-identity and sense of belonging as adults. Secondly, to understand the opinions of Adult Third Culture Kids on transitional programs through their personal experiences with them. The methodology of this capstone included a twelve-question survey distributed to seventeen Adult Third Culture Kids born in six different countries around the world. The questions in the survey focused on two central research questions about self-identity, belonging, and opinions of transitional programs aiding in childhood development. A thematic analysis used Google Highlight to code responses into three themes supported by an accompanying literature review. The findings of this study showed that the perceptions of self-identity and sense of belonging in Adult Third Culture Kids aligned with published literature on the topic. Contrastingly, Adult Third Culture Kids in this study agreed that transitional programs would negatively affect the childhood development of future Third Culture Kids. Having not participated in them during childhood, most concluded that they preferred navigating their childhood </w:t>
      </w:r>
    </w:p>
    <w:p>
      <w:pPr/>
      <w:r>
        <w:rPr>
          <w:b/>
        </w:rPr>
        <w:t>POSSIBLE 2024:</w:t>
      </w:r>
      <w:r>
        <w:t xml:space="preserve"> Three-step Collocation Method for Solution of Third Derivative Initial Value Problem — https://doi.org/10.62054/ijdm/0101.03</w:t>
      </w:r>
    </w:p>
    <w:p>
      <w:pPr/>
      <w:r>
        <w:rPr>
          <w:b/>
        </w:rPr>
        <w:t>Shared claim-specific concepts:</w:t>
      </w:r>
      <w:r>
        <w:t xml:space="preserve"> third, highlight, three, value; EU scope not established. This is a provisional connection, not an outcome finding.</w:t>
      </w:r>
    </w:p>
    <w:p>
      <w:pPr>
        <w:pStyle w:val="SourceNote"/>
      </w:pPr>
      <w:r>
        <w:rPr>
          <w:b/>
        </w:rPr>
        <w:t>Available abstract (not full text):</w:t>
      </w:r>
      <w:r>
        <w:t xml:space="preserve"> In this research paper, we introduce a novel three-step block method designed to directly tackle third-order initial value problems. This method is crafted through an interpolation and collocation approach, leveraging power series analysis. We conduct a comprehensive examination of the proposed method, ensuring it meets all requisite conditions for rigorous analysis. To assess its efficacy and validity, we employ the method on both highly stiff linear and nonlinear initial value problems, juxtaposing our findings with established approaches in the literature. Our results highlight that the new method exhibits faster convergence compared to existing methods, underscoring its superior performance. Initial value problems, Interpolation and collocation procedure, Three step, Third order</w:t>
      </w:r>
    </w:p>
    <w:p>
      <w:pPr/>
      <w:r>
        <w:rPr>
          <w:b/>
        </w:rPr>
        <w:t>POSSIBLE 2022:</w:t>
      </w:r>
      <w:r>
        <w:t xml:space="preserve"> Liquid-Phase Peptide Synthesis (LPPS): A Third Wave for the Preparation of Peptides — https://doi.org/10.1021/acs.chemrev.2c00132</w:t>
      </w:r>
    </w:p>
    <w:p>
      <w:pPr/>
      <w:r>
        <w:rPr>
          <w:b/>
        </w:rPr>
        <w:t>Shared claim-specific concepts:</w:t>
      </w:r>
      <w:r>
        <w:t xml:space="preserve"> third, three, made; EU scope not established. This is a provisional connection, not an outcome finding.</w:t>
      </w:r>
    </w:p>
    <w:p>
      <w:pPr>
        <w:pStyle w:val="SourceNote"/>
      </w:pPr>
      <w:r>
        <w:rPr>
          <w:b/>
        </w:rPr>
        <w:t>Available abstract (not full text):</w:t>
      </w:r>
      <w:r>
        <w:t xml:space="preserve"> Since the last century, peptides have gained wide acceptance as drugs, with almost 100 already in the market and a large number in the pipeline. In this context, peptide synthesis has grown massively as a stringent field for pharmaceuticals around the globe. Three methodologies, namely, classical solution peptide synthesis (CSPS), solid-phase peptide synthesis (SPPS), and liquid-phase peptide synthesis (LPPS), have made significant contributions to the field. This review provides a comprehensive and integrated vision of LPPS as the third wave for peptide synthesis. LPPS combines the advantages of CSPS and SPPS, where peptide elongation is carried out in solution and the growing peptide chain is supported on a soluble tag, which confers characteristic properties. LPPS protocols allow the large-scale production of peptides and reduce the use of excess reagents and solvents, thus meeting the principles of green chemistry. In this review, tags associated with LPPS are broadly discussed under the following headings: polydisperse polyethylene glycol (PEG), membrane-enhanced peptide synthesis (MEPS), fluorous technology, ionic liquids (ILs), PolyCarbon, hydrophobic polymers, and group-assisted purification (GAP). It also highlights the signature accomplishments of LPPS tags and the limitations of the same.</w:t>
      </w:r>
    </w:p>
    <w:p>
      <w:pPr>
        <w:pStyle w:val="Heading2"/>
      </w:pPr>
      <w:r>
        <w:t>576.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2025:</w:t>
      </w:r>
      <w:r>
        <w:t xml:space="preserve"> "Ukrainian zhurnal ": 200 years since the day of publication — https://doi.org/10.36273/2076-9555.2024.12(341).41-45</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"Ukrainian zhurnal ": 200 years since the day of publication — https://doi.org/10.36273/2076-9555.2024.11(340).51-52</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Principles for building a culture of organizational foresight — https://doi.org/10.1016/j.futures.2025.103673</w:t>
      </w:r>
    </w:p>
    <w:p>
      <w:pPr/>
      <w:r>
        <w:rPr>
          <w:b/>
        </w:rPr>
        <w:t>Shared claim-specific concepts:</w:t>
      </w:r>
      <w:r>
        <w:t xml:space="preserve"> methodological, foresight; EU scope not established. This is a provisional connection, not an outcome finding.</w:t>
      </w:r>
    </w:p>
    <w:p>
      <w:pPr>
        <w:pStyle w:val="SourceNote"/>
      </w:pPr>
      <w:r>
        <w:rPr>
          <w:b/>
        </w:rPr>
        <w:t>Available abstract (not full text):</w:t>
      </w:r>
      <w:r>
        <w:t xml:space="preserve"> There is growing interest in developing foresight cultures within international organizations. This reflection on the United Nations Environment Programme (UNEP) approach focuses on a critical 18-month chapter of an ongoing initiative called the Foresight Trajectory. It begins with the premise that organizations are complex adaptive systems, foresight is driven by its potential value, and anticipation is a social phenomenon. The paper proposes principles for cultivating a culture of organizational foresight based on a methodological reflection of the UNEP Foresight Trajectory. This process applied three sets of Reflection Questions across six project phases, generating key insights that inform principles for cultivating foresight within the organization. The questions addressed contexts, relevance perceptions, and modes of anticipation. Three main insights emerged: the foresight process was dynamic and adaptive; the process itself fosters a future-focused culture; and UNEP, along with other international entities, is uniquely positioned to lead multi-perspective foresight processes. Based on these insights, seven Foresight Principles are proposed to guide UNEP and other international entities in engaging stakeholders in foresight to explore new ideas, prepare for uncertainty, build a foresight community, stay flexible and reflexive, communicate openly while respecting stakehold</w:t>
      </w:r>
    </w:p>
    <w:p>
      <w:pPr/>
      <w:r>
        <w:rPr>
          <w:b/>
        </w:rPr>
        <w:t>POSSIBLE 2024:</w:t>
      </w:r>
      <w:r>
        <w:t xml:space="preserve"> IS THE PUBLICATION LEGAL/LAW/JUDICIAL? — https://doi.org/10.23939/sjs2024.02.001</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pPr/>
      <w:r>
        <w:rPr>
          <w:b/>
        </w:rPr>
        <w:t>POSSIBLE 2024:</w:t>
      </w:r>
      <w:r>
        <w:t xml:space="preserve"> Exploring the Chat GPT's Impact and Prospects for Business Research Purposes — https://doi.org/10.1109/inocon60754.2024.10511483</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methodological, well, national, foresight, tool;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Emerging Biotechnologies in Europe: Foresight for Policy — https://doi.org/10.2760/4814109</w:t>
      </w:r>
    </w:p>
    <w:p>
      <w:pPr/>
      <w:r>
        <w:rPr>
          <w:b/>
        </w:rPr>
        <w:t>Shared claim-specific concepts:</w:t>
      </w:r>
      <w:r>
        <w:t xml:space="preserve"> recommendations, improve, foresight;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Mission-oriented scenarios: a new method for urban foresight — https://doi.org/10.1108/fs-06-2023-0119</w:t>
      </w:r>
    </w:p>
    <w:p>
      <w:pPr/>
      <w:r>
        <w:rPr>
          <w:b/>
        </w:rPr>
        <w:t>Shared claim-specific concepts:</w:t>
      </w:r>
      <w:r>
        <w:t xml:space="preserve"> purpose, methodological, foresight;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DEPENDENCE OF PUBLICATION ACTIVITY IN OCCUPATIONAL HEALTH ON THE TYPE OF SCIENTIFIC PAPERS — https://doi.org/10.31089/978-5-6042929-1-4-2023-1-285-290</w:t>
      </w:r>
    </w:p>
    <w:p>
      <w:pPr/>
      <w:r>
        <w:rPr>
          <w:b/>
        </w:rPr>
        <w:t>Shared claim-specific concepts:</w:t>
      </w:r>
      <w:r>
        <w:t xml:space="preserve"> purpose, publication, detailed, terms; EU scope not established. This is a provisional connection, not an outcome finding.</w:t>
      </w:r>
    </w:p>
    <w:p>
      <w:pPr>
        <w:pStyle w:val="SourceNote"/>
      </w:pPr>
      <w:r>
        <w:rPr>
          <w:b/>
        </w:rPr>
        <w:t>Available abstract (not full text):</w:t>
      </w:r>
      <w:r>
        <w:t xml:space="preserve"> The brief analysis of the application of publication activity indicators of scientific and educational organizations in the field of occupational health based on a multi-level study of scientometric data of the RSCI system. For the purpose of this analysis, based on the data of the Russian Scientific Citation Index (RSCI), as the main database of domestic publications, a comparison of publication activity in the field of occupational health for all the years recorded in the RSCI and for the 5‑year period — 2016‑2020 on scientific publications of 14 specialized research Institutions and 9 medical Universities with departments of occupational health/occupational deseases. From the analyzed data array, most of the scientific publications relate to medical universities, and a smaller part to research institutes (254 953 and 30 473). Nevertheless, in medical universities it is much less common than in research institutes to note publications that are precisely included in the field of occupational health, and their quantitative preponderance in publications is due to the versatility of educational institutions. This determines the continuation of the analysis in terms of a more detailed consideration of the topics of the publications themselves.</w:t>
      </w:r>
    </w:p>
    <w:p>
      <w:pPr/>
      <w:r>
        <w:rPr>
          <w:b/>
        </w:rPr>
        <w:t>POSSIBLE 2023:</w:t>
      </w:r>
      <w:r>
        <w:t xml:space="preserve"> INTRODUCING ENGLISH FOR RESEARCH PUBLICATION PURPOSES By JohnFlowerdew and PejmanHabibieRoutledge. ISBN 978‐0367330583. Price USD 39.16 (paperback), 136.00 (hardcover). 150 pages. — https://doi.org/10.1002/tesj.715</w:t>
      </w:r>
    </w:p>
    <w:p>
      <w:pPr/>
      <w:r>
        <w:rPr>
          <w:b/>
        </w:rPr>
        <w:t>Shared claim-specific concepts:</w:t>
      </w:r>
      <w:r>
        <w:t xml:space="preserve"> publication, detailed, stage, well; EU scope not established. This is a provisional connection, not an outcome finding.</w:t>
      </w:r>
    </w:p>
    <w:p>
      <w:pPr>
        <w:pStyle w:val="SourceNote"/>
      </w:pPr>
      <w:r>
        <w:rPr>
          <w:b/>
        </w:rPr>
        <w:t>Available abstract (not full text):</w:t>
      </w:r>
      <w:r>
        <w:t xml:space="preserve"> English seems to have secured its position as the international language of academic communication and knowledge dissemination. The publish or perish policy which many academic centers of the world promote has turned out to be a publish-in-English or perish policy (Habibie, 2022). Given the significance of English as the lingua franca of scholarly publication, English for research publication purposes (ERPP) has turned into an independent area of study within English for academic purposes (EAP). The past decade has witnessed an increase in research on English as used in published academic works in different disciplines and within different genres. Despite the growing interest in this topic and the increase in the number of journal articles in this area, there are still few, if any, textbooks focusing on the various dimensions of ERPP. In Introducing English for Research Publication Purposes, Flowerdew and Habibie have pioneered in covering, within 10 chapters, “what ERPP encompasses as a scholarly field, including its disciplinary boundaries, competing discourses within the field, research and practice paradigms” in a compendious and coherent manner (p. i). The eight-page introduction to the book presents English for research publication purposes as a scholarly field developed in response to the needs of both scholars with a first language other than English and Anglophone rese</w:t>
      </w:r>
    </w:p>
    <w:p>
      <w:pPr>
        <w:pStyle w:val="Heading2"/>
      </w:pPr>
      <w:r>
        <w:t>577.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possible, environmental, foresight, trends;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2023:</w:t>
      </w:r>
      <w:r>
        <w:t xml:space="preserve"> Web based research in sexual medicine: a position statement of the European Society for Sexual Medicine — https://doi.org/10.1093/sexmed/qfad032</w:t>
      </w:r>
    </w:p>
    <w:p>
      <w:pPr/>
      <w:r>
        <w:rPr>
          <w:b/>
        </w:rPr>
        <w:t>Shared claim-specific concepts:</w:t>
      </w:r>
      <w:r>
        <w:t xml:space="preserve"> possible, statements, identified, researchers, challenges; EU scope visible. This is a provisional connection, not an outcome finding.</w:t>
      </w:r>
    </w:p>
    <w:p>
      <w:pPr>
        <w:pStyle w:val="SourceNote"/>
      </w:pPr>
      <w:r>
        <w:rPr>
          <w:b/>
        </w:rPr>
        <w:t>Available abstract (not full text):</w:t>
      </w:r>
      <w:r>
        <w:t xml:space="preserve">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pPr/>
      <w:r>
        <w:rPr>
          <w:b/>
        </w:rPr>
        <w:t>POSSIBLE 2023:</w:t>
      </w:r>
      <w:r>
        <w:t xml:space="preserve"> Frequent questions and responses on the 2022 lipoprotein(a) consensus statement of the European Atherosclerosis Society — https://doi.org/10.1016/j.atherosclerosis.2023.04.012</w:t>
      </w:r>
    </w:p>
    <w:p>
      <w:pPr/>
      <w:r>
        <w:rPr>
          <w:b/>
        </w:rPr>
        <w:t>Shared claim-specific concepts:</w:t>
      </w:r>
      <w:r>
        <w:t xml:space="preserve"> used, questions, asked; EU scope visible. This is a provisional connection, not an outcome finding.</w:t>
      </w:r>
    </w:p>
    <w:p>
      <w:pPr>
        <w:pStyle w:val="SourceNote"/>
      </w:pPr>
      <w:r>
        <w:rPr>
          <w:b/>
        </w:rPr>
        <w:t>Available abstract (not full text):</w:t>
      </w:r>
      <w:r>
        <w:t xml:space="preserve"> In 2022, the European Atherosclerosis Society (EAS) published a new consensus statement on lipoprotein(a) [Lp(a)], summarizing current knowledge about its causal association with atherosclerotic cardiovascular disease (ASCVD) and aortic stenosis. One of the novelties of this statement is a new risk calculator showing how Lp(a) influences lifetime risk for ASCVD and that global risk may be underestimated substantially in individuals with high or very high Lp(a) concentration. The statement also provides practical advice on how knowledge about Lp(a) concentration can be used to modulate risk factor management, given that specific and highly effective mRNA-targeted Lp(a)-lowering therapies are still in clinical development. This advice counters the attitude: "Why should I measure Lp(a) if I can't lower it?". Subsequent to publication, questions have arisen relating to how the recommendations of this statement impact everyday clinical practice and ASCVD management. This review addresses 30 of the most frequently asked questions about Lp(a) epidemiology, its contribution to cardiovascular risk, Lp(a) measurement, risk factor management and existing therapeutic options.</w:t>
      </w:r>
    </w:p>
    <w:p>
      <w:pPr>
        <w:pStyle w:val="Heading2"/>
      </w:pPr>
      <w:r>
        <w:t>578.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2023:</w:t>
      </w:r>
      <w:r>
        <w:t xml:space="preserve"> Drought Severity and Trends in a Mediterranean Oak Forest — https://doi.org/10.3390/hydrology10080167</w:t>
      </w:r>
    </w:p>
    <w:p>
      <w:pPr/>
      <w:r>
        <w:rPr>
          <w:b/>
        </w:rPr>
        <w:t>Shared claim-specific concepts:</w:t>
      </w:r>
      <w:r>
        <w:t xml:space="preserve"> drought, severity, current, climate; EU scope visible. This is a provisional connection, not an outcome finding.</w:t>
      </w:r>
    </w:p>
    <w:p>
      <w:pPr>
        <w:pStyle w:val="SourceNote"/>
      </w:pPr>
      <w:r>
        <w:rPr>
          <w:b/>
        </w:rPr>
        <w:t>Available abstract (not full text):</w:t>
      </w:r>
      <w:r>
        <w:t xml:space="preserve"> Drought is a significant natural hazard with widespread socioeconomic and environmental impacts. This study investigated the long-term drought characteristics in a Mediterranean oak forest ecosystem using the Standardized Precipitation Evapotranspiration Index (SPEI) at various time scales and seasons. The analysis was based on a long-term time series dataset obtained from a meteorological station located at the University Forest of Taxiarchis in Greece. The dataset encompassed a substantial time span of 47 years of continuous monitoring, from 1974 to 2020. To accomplish the goals of the current research, the SPEI was calculated for 3, 6, 12, and 24-month periods, and drought events were identified. The Mann-Kendall (M-K) test was used to analyze the trends in drought severity and evaluate the trends significance. The results showed that shorter time scales (SPEI3 and SPEI6) were more efficient for identifying short-term droughts, while longer time scales (SPEI12 and SPEI24) were better for identifying less frequent but longer-lasting drought episodes. The analysis consistently revealed positive trends across all seasons and time scales, indicating an overall transition towards wetter conditions. Nearly all the data series for SPEI12 and SPEI24 exhibited statistically significant upward trends (wetter conditions) at a 95% confidence level. However, more intense events were dete</w:t>
      </w:r>
    </w:p>
    <w:p>
      <w:pPr/>
      <w:r>
        <w:rPr>
          <w:b/>
        </w:rPr>
        <w:t>POSSIBLE 2023:</w:t>
      </w:r>
      <w:r>
        <w:t xml:space="preserve"> Space and Time Characteristics of Flash Drought Over the Central Europe — https://doi.org/10.5194/egusphere-egu23-443</w:t>
      </w:r>
    </w:p>
    <w:p>
      <w:pPr/>
      <w:r>
        <w:rPr>
          <w:b/>
        </w:rPr>
        <w:t>Shared claim-specific concepts:</w:t>
      </w:r>
      <w:r>
        <w:t xml:space="preserve"> drought, severity, production; EU scope visible. This is a provisional connection, not an outcome finding.</w:t>
      </w:r>
    </w:p>
    <w:p>
      <w:pPr>
        <w:pStyle w:val="SourceNote"/>
      </w:pPr>
      <w:r>
        <w:rPr>
          <w:b/>
        </w:rPr>
        <w:t>Available abstract (not full text):</w:t>
      </w:r>
      <w:r>
        <w:t xml:space="preserve"> Flash drought is a unique natural hazard due to its rapid rate of intensification with potentially detrimental effects on agriculture production. So far few work has been done to investigate the space and time behavior of flash droughts across Central Europe. In this study, we examine the space and time characteristics (Frequency, Rate of intensification, Severity, and Extent) of flash drought events in Central Europe between 1970 and 2020. The weekly averaged top layer (1-10cm) soil moisture (SM) data set of the Global Land Data Assimilation System (GLDAS) has been used as an indicator for identifying flash drought events. Here, we adopted a new definition for flash droughts by considering the intensity, duration, and persistence of flash drought. The results of this study reveal that the occurrence of flash droughts over Central Europe increased rapidly in the last two decades. The intensification rate and severity of flash drought show positive correlation. Moreover, the areal extent of flash drought events increased since 1970 and their centroid shifted towards the southern part of Central Europe. This study provides a better understanding of flash drought process and its dynamics over Central Europe.</w:t>
      </w:r>
    </w:p>
    <w:p>
      <w:pPr/>
      <w:r>
        <w:rPr>
          <w:b/>
        </w:rPr>
        <w:t>POSSIBLE 2023:</w:t>
      </w:r>
      <w:r>
        <w:t xml:space="preserve"> A generalized framework for quantifying and monitoring the severity of meteorological drought — https://doi.org/10.1080/10106049.2023.2228261</w:t>
      </w:r>
    </w:p>
    <w:p>
      <w:pPr/>
      <w:r>
        <w:rPr>
          <w:b/>
        </w:rPr>
        <w:t>Shared claim-specific concepts:</w:t>
      </w:r>
      <w:r>
        <w:t xml:space="preserve"> drought, severity, current, quantify; EU scope not established. This is a provisional connection, not an outcome finding.</w:t>
      </w:r>
    </w:p>
    <w:p>
      <w:pPr>
        <w:pStyle w:val="SourceNote"/>
      </w:pPr>
      <w:r>
        <w:rPr>
          <w:b/>
        </w:rPr>
        <w:t>Available abstract (not full text):</w:t>
      </w:r>
      <w:r>
        <w:t xml:space="preserve"> The current study proposes a new framework for quantifying and monitoring the severity of meteorological drought. The proposed framework consists of three phases. The first phase of the framework uses K-component Gaussian Mixture Distribution (GMD) in the computation. The second phase is mainly based on the dissimilarity matrix-based clustering using C-index and Monte Carlo Feature-based Selection (MCFS) method. The third phase uses the Markov chain, transition probabilities, and a non-homogeneous Poisson process under the Bayesian estimation. The Relative Importance (RI) values are used to choose appropriate stations. The Deviance Information Criteria (DIC) is used to check model suitability, and Root Mean Square Error (RMSE) is utilized for determining model performance. The proposed framework is validated to the 52 meteorological stations in Pakistan for 49 years from 1968 to 2016. Moreover, the outcomes of the current analysis provide insight to quantify and monitor meteorological drought comprehensively and accurately.</w:t>
      </w:r>
    </w:p>
    <w:p>
      <w:pPr/>
      <w:r>
        <w:rPr>
          <w:b/>
        </w:rPr>
        <w:t>POSSIBLE 2023:</w:t>
      </w:r>
      <w:r>
        <w:t xml:space="preserve"> 44% of steep slope cropland in Europe vulnerable to drought — https://doi.org/10.1016/j.geosus.2023.12.001</w:t>
      </w:r>
    </w:p>
    <w:p>
      <w:pPr/>
      <w:r>
        <w:rPr>
          <w:b/>
        </w:rPr>
        <w:t>Shared claim-specific concepts:</w:t>
      </w:r>
      <w:r>
        <w:t xml:space="preserve"> drought, severity, production, agricultural, increase; EU scope visible. This is a provisional connection, not an outcome finding.</w:t>
      </w:r>
    </w:p>
    <w:p>
      <w:pPr>
        <w:pStyle w:val="SourceNote"/>
      </w:pPr>
      <w:r>
        <w:rPr>
          <w:b/>
        </w:rPr>
        <w:t>Available abstract (not full text):</w:t>
      </w:r>
      <w:r>
        <w:t xml:space="preserve"> Steep-slope cropland plays a vital role in food production, economic development, ecosystem diversity, and European cultural heritage. However, these systems are susceptible to extreme weather events. The 2022 summer drought significantly impacted European agriculture, but the specific effects on steep-slope crops remain uncertain. Clarifying this is essential for comprehending similar future events and for implementing effective water management strategies to ensure the sustainability of steep-slope agriculture and associated ecosystem services. This study quantitatively analyzes the spatial distribution of twelve major European steep-slope (&gt;12%) crops and assesses agricultural drought severity during the 2022 events using open-access spatial data. The satellite-based Vegetation Health Index (VHI) is utilized to identify critical hotspots. Results show that olive grove is the most widespread crop in steep slope agriculture (34% of total area), followed by wheat (24%), maize (16%), and vineyard (11%). Almost half of the steep-slope agriculture in Europe suffered drought during summer 2022. Vineyards were hardest affected at 79%, primarily in northern Portugal, northern Spain, southern France, and central Italy. Sunflowers followed at 62%, mainly in Spain, central Italy, southern France, and northern Romania. Olive groves ranked third at 59%, with the most impact in northern Po</w:t>
      </w:r>
    </w:p>
    <w:p>
      <w:pPr/>
      <w:r>
        <w:rPr>
          <w:b/>
        </w:rPr>
        <w:t>POSSIBLE 2023:</w:t>
      </w:r>
      <w:r>
        <w:t xml:space="preserve"> Drought hazards and stakeholder perception: Unraveling the interlinkages between drought severity, perceived impacts, preparedness, and management — https://doi.org/10.1007/s13280-023-01849-w</w:t>
      </w:r>
    </w:p>
    <w:p>
      <w:pPr/>
      <w:r>
        <w:rPr>
          <w:b/>
        </w:rPr>
        <w:t>Shared claim-specific concepts:</w:t>
      </w:r>
      <w:r>
        <w:t xml:space="preserve"> drought, severity, levels, climate; EU scope visible. This is a provisional connection, not an outcome finding.</w:t>
      </w:r>
    </w:p>
    <w:p>
      <w:pPr>
        <w:pStyle w:val="SourceNote"/>
      </w:pPr>
      <w:r>
        <w:rPr>
          <w:b/>
        </w:rPr>
        <w:t>Available abstract (not full text):</w:t>
      </w:r>
      <w:r>
        <w:t xml:space="preserve"> The future risk for droughts and water shortages calls for substantial efforts by authorities to adapt at local levels. Understanding their perception of drought hazards, risk and vulnerability can help to identify drivers of and barriers to drought risk planning and management in a changing climate at the local level. This paper presents a novel interdisciplinary drought case study in Sweden that integrates soft data from a nationwide survey among more than 100 local practitioners and hard data based on hydrological measurements to provide a holistic assessment of the links between drought severity and the perceived levels of drought severity, impacts, preparedness, and management for two consecutive drought events. The paper highlights challenges for drought risk planning and management in a changing climate at the local level and elaborates on how improved understanding of local practitioners to plan for climate change adaptation can be achieved.</w:t>
      </w:r>
    </w:p>
    <w:p>
      <w:pPr/>
      <w:r>
        <w:rPr>
          <w:b/>
        </w:rPr>
        <w:t>POSSIBLE 2022:</w:t>
      </w:r>
      <w:r>
        <w:t xml:space="preserve"> A copula-based assessment of renewable energy droughts across Europe — https://doi.org/10.1016/j.renene.2022.10.091</w:t>
      </w:r>
    </w:p>
    <w:p>
      <w:pPr/>
      <w:r>
        <w:rPr>
          <w:b/>
        </w:rPr>
        <w:t>Shared claim-specific concepts:</w:t>
      </w:r>
      <w:r>
        <w:t xml:space="preserve"> drought, severity, production, climate;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r>
        <w:rPr>
          <w:b/>
        </w:rPr>
        <w:t>POSSIBLE 2022:</w:t>
      </w:r>
      <w:r>
        <w:t xml:space="preserve"> The 2018–2020 Multi‐Year Drought Sets a New Benchmark in Europe — https://doi.org/10.1029/2021ef002394</w:t>
      </w:r>
    </w:p>
    <w:p>
      <w:pPr/>
      <w:r>
        <w:rPr>
          <w:b/>
        </w:rPr>
        <w:t>Shared claim-specific concepts:</w:t>
      </w:r>
      <w:r>
        <w:t xml:space="preserve"> drought, compared, climate;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Effect of Drought Stress on Potato Production: A Review — https://doi.org/10.3390/agronomy12030635</w:t>
      </w:r>
    </w:p>
    <w:p>
      <w:pPr/>
      <w:r>
        <w:rPr>
          <w:b/>
        </w:rPr>
        <w:t>Shared claim-specific concepts:</w:t>
      </w:r>
      <w:r>
        <w:t xml:space="preserve"> drought, severity, production, current, climate; EU scope not established. This is a provisional connection, not an outcome finding.</w:t>
      </w:r>
    </w:p>
    <w:p>
      <w:pPr>
        <w:pStyle w:val="SourceNote"/>
      </w:pPr>
      <w:r>
        <w:rPr>
          <w:b/>
        </w:rPr>
        <w:t>Available abstract (not full text):</w:t>
      </w:r>
      <w:r>
        <w:t xml:space="preserve"> Potato is the third most consumed crop globally after rice and wheat. It is a short-duration crop, versatile in use, suitable for growing in a wide range of environments, and its production is increasing rapidly. The modern potato is considered a drought-sensitive crop, and it is susceptible to yield loss because of drought stress. Unfortunately, drought severity, frequency, and extent have been increasing around the globe because of climate change. Potato drought susceptibility has primarily been attributed to its shallow root system. However, several studies in past decades have suggested that drought susceptibility of potato also depends upon the type, developmental stage, and the morphology of the genotype, and the duration and severity of drought stress. They have been overlooked, and root depth is considered the only significant cause of potato drought susceptibility. This review combines these studies to understand the varying response of potato genotypes. This review also explores the current potato production scenario and the effect of varying degrees of drought stress on potatoes’ growth, development, and yield. In the absence of drought-tolerant genotypes, agronomic practices should be improved to mitigate drought stress. Late maturing cultivars, nutrient management, mulching, and foliar application of plant growth regulators can be used during prolonged droughts. Ir</w:t>
      </w:r>
    </w:p>
    <w:p>
      <w:pPr/>
      <w:r>
        <w:rPr>
          <w:b/>
        </w:rPr>
        <w:t>POSSIBLE 2022:</w:t>
      </w:r>
      <w:r>
        <w:t xml:space="preserve"> The Complex and Spatially Diverse Patterns of Hydrological Droughts Across Europe — https://doi.org/10.1029/2022wr031976</w:t>
      </w:r>
    </w:p>
    <w:p>
      <w:pPr/>
      <w:r>
        <w:rPr>
          <w:b/>
        </w:rPr>
        <w:t>Shared claim-specific concepts:</w:t>
      </w:r>
      <w:r>
        <w:t xml:space="preserve"> drought, severity, assessed; EU scope visible. This is a provisional connection, not an outcome finding.</w:t>
      </w:r>
    </w:p>
    <w:p>
      <w:pPr>
        <w:pStyle w:val="SourceNote"/>
      </w:pPr>
      <w:r>
        <w:rPr>
          <w:b/>
        </w:rPr>
        <w:t>Available abstract (not full text):</w:t>
      </w:r>
      <w:r>
        <w:t xml:space="preserve">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pPr>
        <w:pStyle w:val="Heading2"/>
      </w:pPr>
      <w:r>
        <w:t>579.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greenhouse, gas, emissions;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Internal Combustion Engines and Carbon-Neutral Fuels: A Perspective on Emission Neutrality in the European Union — https://doi.org/10.3390/en17051172</w:t>
      </w:r>
    </w:p>
    <w:p>
      <w:pPr/>
      <w:r>
        <w:rPr>
          <w:b/>
        </w:rPr>
        <w:t>Shared claim-specific concepts:</w:t>
      </w:r>
      <w:r>
        <w:t xml:space="preserve"> union, first, climate-neutral, continent, transport, aims; EU scope visible. This is a provisional connection, not an outcome finding.</w:t>
      </w:r>
    </w:p>
    <w:p>
      <w:pPr>
        <w:pStyle w:val="SourceNote"/>
      </w:pPr>
      <w:r>
        <w:rPr>
          <w:b/>
        </w:rPr>
        <w:t>Available abstract (not full text):</w:t>
      </w:r>
      <w:r>
        <w:t xml:space="preserve"> Nowadays, there is an intense debate in the European Union (EU) regarding the limits to achieve the European Green Deal, to make Europe the first climate-neutral continent in the world. In this context, there are also different opinions about the role that thermal engines should play. Furhermore, there is no clear proposal regarding the possibilities of the use of green hydrogen in the transport decarbonization process, even though it should be a key element. Thus, there are still no precise guidelines regarding the role of green hydrogen, with it being exclusively used as a raw material to produce E-fuels. This review aims to evaluate the possibilities of applying the different alternative technologies available to successfully complete the process already underway to achieve Climate Neutrality by about 2050, depending on the maturity of the technologies currently available, and those anticipated to be available in the coming decades.</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union, first, emissions, relationship, between;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Climate Obstruction across Europe — https://doi.org/10.1093/oso/9780197762042.001.0001</w:t>
      </w:r>
    </w:p>
    <w:p>
      <w:pPr/>
      <w:r>
        <w:rPr>
          <w:b/>
        </w:rPr>
        <w:t>Shared claim-specific concepts:</w:t>
      </w:r>
      <w:r>
        <w:t xml:space="preserve"> union, first, continent, emissions, including, between;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580.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2024:</w:t>
      </w:r>
      <w:r>
        <w:t xml:space="preserve"> Tracking Candidemia Trends and Antifungal Resistance Patterns across Europe: An In-Depth Analysis of Surveillance Systems and Surveillance Studies — https://doi.org/10.3390/jof10100685</w:t>
      </w:r>
    </w:p>
    <w:p>
      <w:pPr/>
      <w:r>
        <w:rPr>
          <w:b/>
        </w:rPr>
        <w:t>Shared claim-specific concepts:</w:t>
      </w:r>
      <w:r>
        <w:t xml:space="preserve"> methods, in-depth, system, trends; EU scope visible. This is a provisional connection, not an outcome finding.</w:t>
      </w:r>
    </w:p>
    <w:p>
      <w:pPr>
        <w:pStyle w:val="SourceNote"/>
      </w:pPr>
      <w:r>
        <w:rPr>
          <w:b/>
        </w:rPr>
        <w:t>Available abstract (not full text):</w:t>
      </w:r>
      <w:r>
        <w:t xml:space="preserve">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r>
        <w:rPr>
          <w:b/>
        </w:rPr>
        <w:t>POSSIBLE 2024:</w:t>
      </w:r>
      <w:r>
        <w:t xml:space="preserve"> Different Types of Questionnaires as a Tool in Placemaking Research — https://doi.org/10.1163/9789004691919_007</w:t>
      </w:r>
    </w:p>
    <w:p>
      <w:pPr/>
      <w:r>
        <w:rPr>
          <w:b/>
        </w:rPr>
        <w:t>Shared claim-specific concepts:</w:t>
      </w:r>
      <w:r>
        <w:t xml:space="preserve"> in-depth, questionnaire, process; EU scope not established. This is a provisional connection, not an outcome finding.</w:t>
      </w:r>
    </w:p>
    <w:p>
      <w:pPr>
        <w:pStyle w:val="SourceNote"/>
      </w:pPr>
      <w:r>
        <w:rPr>
          <w:b/>
        </w:rPr>
        <w:t>Available abstract (not full text):</w:t>
      </w:r>
      <w:r>
        <w:t xml:space="preserve"> Urban spaces require increasing their attractiveness by exploring the social and spatial implications of new lifestyles.Broad civic knowledge is the basis for placemaking to shape user-centred and inclusive spaces of everyday life.Gathering information on the sense of the place is crucial to finding out and understanding the place-related identity of its users to make the place more appealing and usable.The most popular survey tool is a questionnaire constructed as a series of questions and used for collecting information about a population's attributes, attitudes or actions.Administered in person or online, questionnaire surveys may provide broad coverage of urban communities -however, they require significantly large human resources to carry out.The survey based on personal contact with the respondent may limit time allocated to its implementation, thus affecting the sample selection.Also, the researcher's involvement in the questionnaire-filling process can be problematic if he or she reveals the Kimic et al. topic of interest and if the sequencing of questionnaire themes influences responses.Similarly, an online questionnaire may not reach some potential respondents due to their reduced access to the internet etc.These limitations may affect the results' reliability.Taking into account the above-mentioned aspects, the idea of this chapter is to present selected types of que</w:t>
      </w:r>
    </w:p>
    <w:p>
      <w:pPr/>
      <w:r>
        <w:rPr>
          <w:b/>
        </w:rPr>
        <w:t>POSSIBLE 2024:</w:t>
      </w:r>
      <w:r>
        <w:t xml:space="preserve"> Evaluation of the SARC-F Questionnaire as a Diagnostic Tool for Sarcopenia in Geriatric Age-group in India — https://doi.org/10.59556/japi.72.0574</w:t>
      </w:r>
    </w:p>
    <w:p>
      <w:pPr/>
      <w:r>
        <w:rPr>
          <w:b/>
        </w:rPr>
        <w:t>Shared claim-specific concepts:</w:t>
      </w:r>
      <w:r>
        <w:t xml:space="preserve"> materials, methods, questionnaire; EU scope visible. This is a provisional connection, not an outcome finding.</w:t>
      </w:r>
    </w:p>
    <w:p>
      <w:pPr>
        <w:pStyle w:val="SourceNote"/>
      </w:pPr>
      <w:r>
        <w:rPr>
          <w:b/>
        </w:rPr>
        <w:t>Available abstract (not full text):</w:t>
      </w:r>
      <w:r>
        <w:t xml:space="preserve"> INTRODUCTION: With medical science advancing in leaps and bounds, average lifespan is now trending upward, and we are now facing an increasing prevalence of diseases of the elderly, sarcopenia being one of them. Unfortunately, sarcopenia, especially in India, remains to be frequently overlooked, underdiagnosed, and largely understudied. One of the greatest hindrances to the diagnosis of sarcopenia is high costs and limited availability of diagnostic modalities such as magnetic resonance imaging (MRI) and dual energy X-ray absorptiometry (DEXA) scan. Accessible, feasible, and affordable means to diagnose sarcopenia is thus the need of the hour. MATERIALS AND METHODS: We performed a cross-sectional observational study among 300 patients aged 65 years or above (including both outpatient and inpatient departments) at MM Institute of Medical Sciences, Mullana between June 2021 and June 2022. Patients were evaluated as per the European Working Group for Sarcopenia in Older People (EWGSOP) algorithm using bioelectrical impedance analysis (BIA) and the results were compared with results of the SARC-F questionnaire. Statistical analyses were then carried out using IBM Statistical Package for the Social Sciences (SPSS) Statistics version 26. RESULTS: = 0.74). SARC-F showed a sensitivity of 73.2% and a specificity of 37.3% with a positive predictive value of 86.51% and a negative predicti</w:t>
      </w:r>
    </w:p>
    <w:p>
      <w:pPr/>
      <w:r>
        <w:rPr>
          <w:b/>
        </w:rPr>
        <w:t>POSSIBLE 2024:</w:t>
      </w:r>
      <w:r>
        <w:t xml:space="preserve"> Questionnaire as an important tool for identifying factors influencing teething delay — https://doi.org/10.33295/1992-576x-2024-1-27</w:t>
      </w:r>
    </w:p>
    <w:p>
      <w:pPr/>
      <w:r>
        <w:rPr>
          <w:b/>
        </w:rPr>
        <w:t>Shared claim-specific concepts:</w:t>
      </w:r>
      <w:r>
        <w:t xml:space="preserve"> materials, methods, questionnaire, first; EU scope not established. This is a provisional connection, not an outcome finding.</w:t>
      </w:r>
    </w:p>
    <w:p>
      <w:pPr>
        <w:pStyle w:val="SourceNote"/>
      </w:pPr>
      <w:r>
        <w:rPr>
          <w:b/>
        </w:rPr>
        <w:t>Available abstract (not full text):</w:t>
      </w:r>
      <w:r>
        <w:t xml:space="preserve"> Aim. To identify risk factors for delayed eruption of permanent anterior teeth in children aged 7 to 14 years, based on clinical examination, radiological examination, parental/caregiver questioning. Materials and Methods. The study included Ukrainian children aged 7-14 years who had delayed eruption of permanent teeth. They were divided into two groups. Group I was composed of 56 (40.0%) children aged 7-9 years with early mixed dentition; Group II was made of 84 (60.0%) individuals aged 10-14 years who had the final stage of mixed dentition. After careful history taking and physical examination, a clinical examination was performed to identify abnormal positions of incisors or canines and to determine the condition of the oral cavity and the bite; a radiological examination included CBCT; and the children’s parents /caregivers were surveyed with the use of the questionnaire we had developed. Results. It has been established that the main risk factors for delayed eruption of permanent teeth are arch-length deficiency, recurrent colds, respiratory disorders, delay in chewing food, pathology in the first trimester of pregnancy, premature extraction of primary teeth, use of a pacifier, delayed loss of deciduous teeth, bad habits, allergies, formula and mixed feeding, orthodontic treatment in the parents’ history, ectopic teething, and injuries to the maxillofacial area in children</w:t>
      </w:r>
    </w:p>
    <w:p>
      <w:pPr/>
      <w:r>
        <w:rPr>
          <w:b/>
        </w:rPr>
        <w:t>POSSIBLE 2023:</w:t>
      </w:r>
      <w:r>
        <w:t xml:space="preserve"> Linguistic and cultural adaptation of the EARP Questionnaire to European Portuguese. — https://openalex.org/W4313800247</w:t>
      </w:r>
    </w:p>
    <w:p>
      <w:pPr/>
      <w:r>
        <w:rPr>
          <w:b/>
        </w:rPr>
        <w:t>Shared claim-specific concepts:</w:t>
      </w:r>
      <w:r>
        <w:t xml:space="preserve"> methods, questionnaire, health, experts, process, four; EU scope visible. This is a provisional connection, not an outcome finding.</w:t>
      </w:r>
    </w:p>
    <w:p>
      <w:pPr>
        <w:pStyle w:val="SourceNote"/>
      </w:pPr>
      <w:r>
        <w:rPr>
          <w:b/>
        </w:rPr>
        <w:t>Available abstract (not full text):</w:t>
      </w:r>
      <w:r>
        <w:t xml:space="preserve"> OBJECTIVE: This study aims at the linguistic and cultural adaptation of the Early ARthritis for Psoriatic Patients (EARP) questionnaire into European Portuguese, for psoriatic patients attending dermatology medical examination. METHODS: Firstly, we performed a process of translation and back-translation of the English version of the EARP Questionnaire to European Portuguese, with interim and final harmonization. The resulting Portuguese version was approved by the EARP original author. Secondly, individual interviews were conducted to complete the linguistic and cultural adaptation of the initial translated Portuguese version, with the think-aloud and probe methods. At this stage, we conducted eight interviews, four with rheumatology and dermatology doctors (experts), and four with patients with psoriasis and psoriatic arthritis. Finally, the version resulting from the adaptation process was back-translated from Portuguese to English. RESULTS: Our results showed that EARP Questionnaire's items are easy to understand and do not raise comprehension concerns in experts or patients. Our findings suggested that items demanding health literacy from patients and that do not include a precise cue to signal the inflammatory nature of the joint pain may lead to confusion while answering, potentially leading to the patient's need for assistance. CONCLUSION: The Portuguese version of the E</w:t>
      </w:r>
    </w:p>
    <w:p>
      <w:pPr>
        <w:pStyle w:val="Heading2"/>
      </w:pPr>
      <w:r>
        <w:t>581.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2023:</w:t>
      </w:r>
      <w:r>
        <w:t xml:space="preserve"> Systematic analysis of PMV and SET* in an imagined normal environment — https://doi.org/10.1201/9781003410843-27</w:t>
      </w:r>
    </w:p>
    <w:p>
      <w:pPr/>
      <w:r>
        <w:rPr>
          <w:b/>
        </w:rPr>
        <w:t>Shared claim-specific concepts:</w:t>
      </w:r>
      <w:r>
        <w:t xml:space="preserve"> set, different, between, increase; EU scope not established. This is a provisional connection, not an outcome finding.</w:t>
      </w:r>
    </w:p>
    <w:p>
      <w:pPr>
        <w:pStyle w:val="SourceNote"/>
      </w:pPr>
      <w:r>
        <w:rPr>
          <w:b/>
        </w:rPr>
        <w:t>Available abstract (not full text):</w:t>
      </w:r>
      <w:r>
        <w:t xml:space="preserve"> The Predicted Mean Vote (PMV) and Standard Effective Temperature (SET*) are widely used models in international standards to quantify thermal comfort. Nonetheless, literature is scarce on the quantification of the interrelationship between these two models, demanding a systematic study. Therefore, in this study, the interrelationship between PMV and SET* in an assumed normal environment is investigated. For this purpose, a large set of data samples was generated by considering various thermal variables at different levels within certain threshold limits and employed in the designated model formulation of PMV and SET*. The mathematical models were established to quantify the interrelationship between PMV and SET* for various clothing insulation (I cl ). In addition, frequency distributions of PMV and SET* based on established models were evaluated, which showed that the relevant relationship between the proposed models was substantially based on computation outputs rather than computation/heat variables. The parametric analyses showed that these models were significantly and synergistically influenced by different heat variables, and their selection may play an important role in defining thermal comfort using these two models. The results of both models were influenced by air velocity (V) at the lower operating temperature (T op ) and relative humidity (φ) at the higher Top in t</w:t>
      </w:r>
    </w:p>
    <w:p>
      <w:pPr/>
      <w:r>
        <w:rPr>
          <w:b/>
        </w:rPr>
        <w:t>POSSIBLE 2022:</w:t>
      </w:r>
      <w:r>
        <w:t xml:space="preserve"> Transcriptome Profiling Based on Larvae at Different Time Points After Hatching Provides a Core Set of Gene Resource for Understanding the Metabolic Mechanisms of the Brood-Care Behavior in Octopus ocellatus — https://doi.org/10.3389/fphys.2021.762681</w:t>
      </w:r>
    </w:p>
    <w:p>
      <w:pPr/>
      <w:r>
        <w:rPr>
          <w:b/>
        </w:rPr>
        <w:t>Shared claim-specific concepts:</w:t>
      </w:r>
      <w:r>
        <w:t xml:space="preserve"> provide, set, different, between; EU scope not established. This is a provisional connection, not an outcome finding.</w:t>
      </w:r>
    </w:p>
    <w:p>
      <w:pPr>
        <w:pStyle w:val="SourceNote"/>
      </w:pPr>
      <w:r>
        <w:rPr>
          <w:b/>
        </w:rPr>
        <w:t>Available abstract (not full text):</w:t>
      </w:r>
      <w:r>
        <w:t xml:space="preserve"> The metabolic processes of organisms are very complex. Each process is crucial and affects the growth, development, and reproduction of organisms. Metabolism-related mechanisms inOctopus ocellatusbehaviors have not been widely studied. Brood-care is a common behavior in most organisms, which can improve the survival rate and constitution of larvae.Octopus ocellatuscarried out this behavior, but it was rarely noticed by researchers before. In our study, 3,486 differentially expressed genes (DEGs) were identified based on transcriptome analysis ofO. ocellatus. We identify metabolism-related DEGs using GO and KEGG enrichment analyses. Then, we construct protein–protein interaction networks to search the functional relationships between metabolism-related DEGs. Finally, we identified 10 hub genes related to multiple gene functions or involved in multiple signal pathways and verified them using quantitative real-time polymerase chain reaction (qRT-PCR). Protein–protein interaction networks were first used to study the effects of brood-care behavior on metabolism in the process of growing ofO. ocellatuslarvae, and the results provide us valuable genetic resources for understanding the metabolic processes of invertebrate larvae. The data lay a foundation for further study the brood-care behavior and metabolic mechanisms of invertebrates.</w:t>
      </w:r>
    </w:p>
    <w:p>
      <w:pPr/>
      <w:r>
        <w:rPr>
          <w:b/>
        </w:rPr>
        <w:t>POSSIBLE 2022:</w:t>
      </w:r>
      <w:r>
        <w:t xml:space="preserve"> Why is manufacturing not more sustainable? The effects of different sustainability practices on sustainability outcomes and competitive advantage — https://doi.org/10.1016/j.jclepro.2022.130392</w:t>
      </w:r>
    </w:p>
    <w:p>
      <w:pPr/>
      <w:r>
        <w:rPr>
          <w:b/>
        </w:rPr>
        <w:t>Shared claim-specific concepts:</w:t>
      </w:r>
      <w:r>
        <w:t xml:space="preserve"> different, differential, between, over; EU scope not established. This is a provisional connection, not an outcome finding.</w:t>
      </w:r>
    </w:p>
    <w:p>
      <w:pPr>
        <w:pStyle w:val="SourceNote"/>
      </w:pPr>
      <w:r>
        <w:rPr>
          <w:b/>
        </w:rPr>
        <w:t>Available abstract (not full text):</w:t>
      </w:r>
      <w:r>
        <w:t xml:space="preserve"> Over the last decades, there has been growing worldwide concern for the notable contribution of manufacturing activities to environmental damages. In this context, there is an open debate regarding the incentives of companies to move from mere compliance strategies towards voluntary adoption of environmental responsibility strategies, simultaneously considering economic, environmental and social objectives. This paper aims to analyse the effect of different sets of sustainability practices on sustainability outcomes and the competitive advantage of manufacturing firms. The study distinguishes between internal, external monitoring and external collaborative sustainability practices and considers their effect on regulatory, environmental and manufacturing sustainability outcomes in order to identify their contribution to the competitive advantage of firms. Drawing on natural resource-based view theory, social exchange theory and transaction cost theory, and recent evidence in the field, the study tests several hypotheses using data from the fourth round of the High-Performance Management (HPM) project. Through structural equation modelling with partial least square methodology (PLS-SEM), this study shows the existence of differential effects of sustainability practices on sustainability outcomes and competitive advantage using a sample of 263 manufacturing plants located in 15 co</w:t>
      </w:r>
    </w:p>
    <w:p>
      <w:pPr>
        <w:pStyle w:val="Heading2"/>
      </w:pPr>
      <w:r>
        <w:t>582.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r>
        <w:rPr>
          <w:b/>
        </w:rPr>
        <w:t>POSSIBLE 2025:</w:t>
      </w:r>
      <w:r>
        <w:t xml:space="preserve"> Development of the Hydrogen Market and Local Green Hydrogen Offtake in Africa — https://doi.org/10.3390/hydrogen6030043</w:t>
      </w:r>
    </w:p>
    <w:p>
      <w:pPr/>
      <w:r>
        <w:rPr>
          <w:b/>
        </w:rPr>
        <w:t>Shared claim-specific concepts:</w:t>
      </w:r>
      <w:r>
        <w:t xml:space="preserve"> article, hydrogen, energy; EU scope not established. This is a provisional connection, not an outcome finding.</w:t>
      </w:r>
    </w:p>
    <w:p>
      <w:pPr>
        <w:pStyle w:val="SourceNote"/>
      </w:pPr>
      <w:r>
        <w:rPr>
          <w:b/>
        </w:rPr>
        <w:t>Available abstract (not full text):</w:t>
      </w:r>
      <w:r>
        <w:t xml:space="preserve"> Creating a hydrogen market in Africa is a great opportunity to assist in the promotion of sustainable energy solutions and economic growth. This article addresses the legislation and regulations that need to be developed to facilitate growth in the hydrogen market and allow local green hydrogen offtake across the continent. By reviewing current policy and strategy within particular African countries and best practices globally from key hydrogen economies, the review establishes compelling issues, challenges, and opportunities unique to Africa. The study identifies the immense potential in Africa for renewable energy, and, in particular, for solar and wind, as the foundation for the production of green hydrogen. It examines how effective policy frameworks can establish a vibrant hydrogen economy by bridging infrastructural gaps, cost hurdles, and regulatory barriers. The paper also addresses how local offtake contracts for green hydrogen can be used to stimulate economic diversification, energy security, and sustainable development. Policy advice is provided to assist African authorities and stakeholders in the deployment of enabling regulatory frameworks and the mobilization of funds. The paper contributes to global hydrogen energy discussions by introducing Africa as an eligible stakeholder in the emerging hydrogen economy and outlining prospects for its inclusion into regiona</w:t>
      </w:r>
    </w:p>
    <w:p>
      <w:pPr/>
      <w:r>
        <w:rPr>
          <w:b/>
        </w:rPr>
        <w:t>POSSIBLE 2024:</w:t>
      </w:r>
      <w:r>
        <w:t xml:space="preserve"> European historical consciousness and the “culture of memory” as a reflection of “Pan-European” values — https://doi.org/10.31857/s1026945224090176</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article presents an analysis of the Resolution of the European Parliament “On European Historical Consciousness” (2024). Increased attention is paid to the so-called “common European” values, which in this international document are positioned as the basis for interpreting the past of Europe, as well as key guidelines for the formation of a European “culture of memory” and “critical” historical consciousness. The author comes to the conclusion that the attempts of the European Parliament (through strengthening self-reflexive public discourse) to promote mutual understanding and reconciliation within and between individual social groups, nations and states are doomed to failure in advance, since the proposed algorithm has a pronounced artificial character.</w:t>
      </w:r>
    </w:p>
    <w:p>
      <w:pPr/>
      <w:r>
        <w:rPr>
          <w:b/>
        </w:rPr>
        <w:t>POSSIBLE 2024:</w:t>
      </w:r>
      <w:r>
        <w:t xml:space="preserve"> Institutional efficiency in the context of Ukraine’s prospects of European integration. Article 1. Institutional effectiveness in the EU countries — https://doi.org/10.15407/etet2024.01.028</w:t>
      </w:r>
    </w:p>
    <w:p>
      <w:pPr/>
      <w:r>
        <w:rPr>
          <w:b/>
        </w:rPr>
        <w:t>Shared claim-specific concepts:</w:t>
      </w:r>
      <w:r>
        <w:t xml:space="preserve"> article, author, presents, increase, over; EU scope visible. This is a provisional connection, not an outcome finding.</w:t>
      </w:r>
    </w:p>
    <w:p>
      <w:pPr>
        <w:pStyle w:val="SourceNote"/>
      </w:pPr>
      <w:r>
        <w:rPr>
          <w:b/>
        </w:rPr>
        <w:t>Available abstract (not full text):</w:t>
      </w:r>
      <w:r>
        <w:t xml:space="preserve"> The article presents the results of a study of institutional efficiency in EU countries based on the Worldwide Governance Indicators (WGI) methodology implemented by the World Bank. The segmentation of the European institutional space is shown, and it is proved that the differentiation of the institutional efficiency of the European countries is the result of the historical features of the institutional architecture of the EU, which implies socio-institutional eclecticism that ensures the inclusiveness of the institutional environment. The peculiarities of the institutional development of the leading countries are characterized and it is shown that they maintain their status over long periods of time, external dependence on global fluctuations and growing uncertainty. It is revealed that as the pan-European space expands, the indicators of the institutional efficiency of countries tend to decrease, on which basis assumptions are made about the limits of the positive expansion of the pan-European economic and socio-institutional space. The author founds that most EU countries reached the maximum of institutional efficiency in the late 1990s and early 2000s, while for many countries it was 2004-2005, the years of the penultimate pre-crisis stage of integration, with maximum expectations and maximum synergy. It has been proven that integration into the EU is not necessarily a fact</w:t>
      </w:r>
    </w:p>
    <w:p>
      <w:pPr/>
      <w:r>
        <w:rPr>
          <w:b/>
        </w:rPr>
        <w:t>POSSIBLE 2024:</w:t>
      </w:r>
      <w:r>
        <w:t xml:space="preserve"> The role of African countries in the diversification of European supply chains from the perspective of the European Union — https://doi.org/10.31338/1641-2478pe.4.24.7</w:t>
      </w:r>
    </w:p>
    <w:p>
      <w:pPr/>
      <w:r>
        <w:rPr>
          <w:b/>
        </w:rPr>
        <w:t>Shared claim-specific concepts:</w:t>
      </w:r>
      <w:r>
        <w:t xml:space="preserve"> article, author, presents, union, role; EU scope visible. This is a provisional connection, not an outcome finding.</w:t>
      </w:r>
    </w:p>
    <w:p>
      <w:pPr>
        <w:pStyle w:val="SourceNote"/>
      </w:pPr>
      <w:r>
        <w:rPr>
          <w:b/>
        </w:rPr>
        <w:t>Available abstract (not full text):</w:t>
      </w:r>
      <w:r>
        <w:t xml:space="preserve"> This article presents the analysis of the role of African economies in diversifying European supply chains amid growing trade tensions between the EU, USA, and China. The author identifies key strengths, such as access to raw materials and low labour costs, while addressing challenges like weak infrastructure and political instability. Using a mixed-methods approach, including statistical analysis and content evaluation of EU policy documents, this research highlights the EU’s strategy to reduce reliance on China by increasing co-operation with African countries. The findings suggest that while Africa has potential, its integration into European supply chains remains limited due to structural constraints.</w:t>
      </w:r>
    </w:p>
    <w:p>
      <w:pPr>
        <w:pStyle w:val="Heading2"/>
      </w:pPr>
      <w:r>
        <w:t>583.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2022:</w:t>
      </w:r>
      <w:r>
        <w:t xml:space="preserve"> Decarbonising Economies — https://doi.org/10.1017/9781108934039</w:t>
      </w:r>
    </w:p>
    <w:p>
      <w:pPr/>
      <w:r>
        <w:rPr>
          <w:b/>
        </w:rPr>
        <w:t>Shared claim-specific concepts:</w:t>
      </w:r>
      <w:r>
        <w:t xml:space="preserve"> ways; EU scope not established. This is a provisional connection, not an outcome finding.</w:t>
      </w:r>
    </w:p>
    <w:p>
      <w:pPr>
        <w:pStyle w:val="SourceNote"/>
      </w:pPr>
      <w:r>
        <w:rPr>
          <w:b/>
        </w:rPr>
        <w:t>Available abstract (not full text):</w:t>
      </w:r>
      <w:r>
        <w:t xml:space="preserve"> Based on an interdisciplinary investigation of future visions, scenarios, and case-studies of low carbon innovation taking place across economic domains, Decarbonising Economies analyses the ways in which questions of agency, power, geography and materiality shape the conditions of possibility for a low carbon future. It explores how and why the challenge of changing our economies are variously ascribed to a lack of finance, a lack of technology, a lack of policy and a lack of public engagement, and shows how the realities constraining change are more fundamentally tied to the inertia of our existing high carbon society and limited visions for what a future low carbon world might become. Through showcasing the first seeds of innovation seeking to enable transformative change, Decarbonising Economies will also chart a course for future research and policy action towards our climate goals. This title is also available as Open Access on Cambridge Core.</w:t>
      </w:r>
    </w:p>
    <w:p>
      <w:pPr/>
      <w:r>
        <w:rPr>
          <w:b/>
        </w:rPr>
        <w:t>POSSIBLE 2022:</w:t>
      </w:r>
      <w:r>
        <w:t xml:space="preserve"> Scope for EU–Japan cooperation in decarbonising the global LNG market — https://doi.org/10.26485/spe/2022/124/7</w:t>
      </w:r>
    </w:p>
    <w:p>
      <w:pPr/>
      <w:r>
        <w:rPr>
          <w:b/>
        </w:rPr>
        <w:t>Shared claim-specific concepts:</w:t>
      </w:r>
      <w:r>
        <w:t xml:space="preserve"> fully, decarbonise, likely, ways; EU scope visible. This is a provisional connection, not an outcome finding.</w:t>
      </w:r>
    </w:p>
    <w:p>
      <w:pPr>
        <w:pStyle w:val="SourceNote"/>
      </w:pPr>
      <w:r>
        <w:rPr>
          <w:b/>
        </w:rPr>
        <w:t>Available abstract (not full text):</w:t>
      </w:r>
      <w:r>
        <w:t xml:space="preserve"> Background: Global climate ambitions seem to be at odds with the future use of natural gas. However, the inability to fully electrify the demand for energy has forced developed economies to seek ways to decarbonise the gas industry. This article investigates the option to further use LNG terminals as a source of carbon-neutral energy supply for the EU and Japan, which together account for 50% of the global demand for LNG. Research purpose: The aim of this paper is to verify the potential pathways toward continued utilisation of the EU and Japanese LNG infrastructure in a low-carbon or even climate-neutral future. Methods: A literature review of different technologies that enable CO2-neutral gas production or imports is conducted to identify potential pathways for decarbonisation. A SWOT analysis of the two selected scenarios is then performed to present their upsides and downsides and to identify potential areas for cooperation. Finally, the costs associated with the two development paths are analysed to verify where the main challenges lie. Conclusions: The study confirms that the success of gas conversion facilities will rely heavily on technological advancements that would reduce the unit cost of natural gas processing. By contrast, biomethane imports will require operational support to effectively compete with other energy carriers. The author concludes that both gas decarb</w:t>
      </w:r>
    </w:p>
    <w:p>
      <w:pPr>
        <w:pStyle w:val="Heading2"/>
      </w:pPr>
      <w:r>
        <w:t>584.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r>
        <w:rPr>
          <w:b/>
        </w:rPr>
        <w:t>POSSIBLE 2024:</w:t>
      </w:r>
      <w:r>
        <w:t xml:space="preserve"> The European difficult goal of being strategically autonomous — https://doi.org/10.32796/cice.2024.107.7801</w:t>
      </w:r>
    </w:p>
    <w:p>
      <w:pPr/>
      <w:r>
        <w:rPr>
          <w:b/>
        </w:rPr>
        <w:t>Shared claim-specific concepts:</w:t>
      </w:r>
      <w:r>
        <w:t xml:space="preserve"> goal, strategic, autonomy, concept, focused, much; EU scope visible. This is a provisional connection, not an outcome finding.</w:t>
      </w:r>
    </w:p>
    <w:p>
      <w:pPr>
        <w:pStyle w:val="SourceNote"/>
      </w:pPr>
      <w:r>
        <w:rPr>
          <w:b/>
        </w:rPr>
        <w:t>Available abstract (not full text):</w:t>
      </w:r>
      <w:r>
        <w:t xml:space="preserve"> The issue of the “strategic autonomy of the European Union (EU)” is being subject to high interest within the EU policy circles. This term, originally propelled by France and mainly focused on defence, has evolved to include a much broader set of security considerations as the economy, the health or technology to just name a few. However, this concept still retains an important defence dimension. This paper deeply explores this issue, mainly in relation to the defence dimension, but looking at the organizational, industrial and technological aspects which are closely related, trying to identify the different constraints that may bound or endanger this autonomy.</w:t>
      </w:r>
    </w:p>
    <w:p>
      <w:pPr/>
      <w:r>
        <w:rPr>
          <w:b/>
        </w:rPr>
        <w:t>POSSIBLE 2024:</w:t>
      </w:r>
      <w:r>
        <w:t xml:space="preserve"> DYNAMICS OF THE EU STRATEGIC COMMUNICATIONS REGARDING THE EUROPEAN INTEGRATION OF UKRAINE — https://doi.org/10.24193/ojmne.2024.45.04</w:t>
      </w:r>
    </w:p>
    <w:p>
      <w:pPr/>
      <w:r>
        <w:rPr>
          <w:b/>
        </w:rPr>
        <w:t>Shared claim-specific concepts:</w:t>
      </w:r>
      <w:r>
        <w:t xml:space="preserve"> main, achieve, strategic; EU scope visible. This is a provisional connection, not an outcome finding.</w:t>
      </w:r>
    </w:p>
    <w:p>
      <w:pPr>
        <w:pStyle w:val="SourceNote"/>
      </w:pPr>
      <w:r>
        <w:rPr>
          <w:b/>
        </w:rPr>
        <w:t>Available abstract (not full text):</w:t>
      </w:r>
      <w:r>
        <w:t xml:space="preserve"> This research covers the analysis of changes in the strategic communications of the European Union regarding the European integration of Ukraine during 2000-2023. Specifically, it pays attention to the reactions of key EU officials to significant political events and foreign policy challenges. Having used the semantic analysis of official documents and speeches, the study presents the evolution of approaches and perspectives, revealing the hidden strategies, intentions, and ideological influences that shape the EU policy. The analysis emphasizes the growing importance of Ukraine in the strategic plans of the EU, while the geopolitical context significantly affects the European integration process. Examining the communication activity of the main EU institutions since 2022, the study has revealed specific messages regarding Ukraine's prospects for becoming a member of the EU, recognizing the successes in carrying out reforms and the country’s efforts to achieve the goals underlying its status as a candidate for membership.</w:t>
      </w:r>
    </w:p>
    <w:p>
      <w:pPr/>
      <w:r>
        <w:rPr>
          <w:b/>
        </w:rPr>
        <w:t>POSSIBLE 2024:</w:t>
      </w:r>
      <w:r>
        <w:t xml:space="preserve"> Achieving European Union strategic autonomy: circularity in critical raw materials value chains — https://doi.org/10.1093/ia/iiae127</w:t>
      </w:r>
    </w:p>
    <w:p>
      <w:pPr/>
      <w:r>
        <w:rPr>
          <w:b/>
        </w:rPr>
        <w:t>Shared claim-specific concepts:</w:t>
      </w:r>
      <w:r>
        <w:t xml:space="preserve"> achieve, strategic, autonomy, question, why, security; EU scope visible. This is a provisional connection, not an outcome finding.</w:t>
      </w:r>
    </w:p>
    <w:p>
      <w:pPr>
        <w:pStyle w:val="SourceNote"/>
      </w:pPr>
      <w:r>
        <w:rPr>
          <w:b/>
        </w:rPr>
        <w:t>Available abstract (not full text):</w:t>
      </w:r>
      <w:r>
        <w:t xml:space="preserve"> Abstract Why is it important to understand the potential of circular economy for security? With the green transition in full swing and vulnerabilities in value chains as a consequence of the COVID–19 pandemic and Russian aggression towards Ukraine, this question has never been more timely. Titanium metal constitutes a poignant case, as it is a critical raw material essential for the strategic civil aerospace and defence sectors. In addition, circular economy solutions constitute a viable solution to mitigate import dependencies in the case of this particular raw material. The European Union, with one of the largest aviation industries globally, is dependent on titanium imports from Russia and the United States. The latter, in turn, (re)imports titanium scrap from EU aviation manufacturing to increase material efficiency and reduce costs through recycling. Based on extensive stakeholder interviews across several countries and quantitative trade data, this article presents a first-time analysis of how, in the case of the titanium value chain, circular economy solutions can support the EU Open Strategic Autonomy (OSA) objectives, as enshrined in the 2023 Critical Raw Materials Act. We suggest that in order for the EU to achieve both the OSA and decarbonization objectives, it is essential to prioritize the establishment of recycling facilities as part of reshoring of the mid-value </w:t>
      </w:r>
    </w:p>
    <w:p>
      <w:pPr/>
      <w:r>
        <w:rPr>
          <w:b/>
        </w:rPr>
        <w:t>POSSIBLE 2023:</w:t>
      </w:r>
      <w:r>
        <w:t xml:space="preserve"> UKRAINE'S DIGITAL AUTONOMY ACHIEVING AS A STRATEGIC VECTOR FOR EU INTEGRATION — https://doi.org/10.56197/2786-5827/2023-2-1-3</w:t>
      </w:r>
    </w:p>
    <w:p>
      <w:pPr/>
      <w:r>
        <w:rPr>
          <w:b/>
        </w:rPr>
        <w:t>Shared claim-specific concepts:</w:t>
      </w:r>
      <w:r>
        <w:t xml:space="preserve"> main, need, strategic, autonomy, strengthening, security; EU scope visible. This is a provisional connection, not an outcome finding.</w:t>
      </w:r>
    </w:p>
    <w:p>
      <w:pPr>
        <w:pStyle w:val="SourceNote"/>
      </w:pPr>
      <w:r>
        <w:rPr>
          <w:b/>
        </w:rPr>
        <w:t>Available abstract (not full text):</w:t>
      </w:r>
      <w:r>
        <w:t xml:space="preserve"> Introduction. The article substantiates directions for achieving digital and technological autonomy of the Ukraine for integration with the EU in the context digital transformation of the EU's strategic priorities. The authors systematized the phases of adoption the strategic documents on EU digital autonomy. The components of European strategic autonomy were identified. The importance of the digital and technological sphere in strengthening the sustainability of the European economy was substantiated. The conceptual foundations for achieving digital autonomy in the EU are the factors that have led to the need to implement this priority in the strategic development of countries were identified. The main components of digital autonomy are highlighted, namely cybersecurity; awareness raising, digital skills acquisition; industrial policy, research, investment and supply chain strengthening; building alliances and promoting international cooperation. The obstacles to digital development in Ukraine in the context of military operations were identified. Possibilities of overcoming the threats to the formation of digital autonomy in Ukraine were identified and ways of consolidation with the European principles of digital space formation are outlined. Materials and methods. The purpose of the article was achieved using the methods of systematic, critical and scientific analysis, metho</w:t>
      </w:r>
    </w:p>
    <w:p>
      <w:pPr/>
      <w:r>
        <w:rPr>
          <w:b/>
        </w:rPr>
        <w:t>POSSIBLE 2023:</w:t>
      </w:r>
      <w:r>
        <w:t xml:space="preserve"> High speed rail as a strategic tool for achieving European Transport policy goals: smart, integrated and sustainable mobility — https://openalex.org/W7217390847</w:t>
      </w:r>
    </w:p>
    <w:p>
      <w:pPr/>
      <w:r>
        <w:rPr>
          <w:b/>
        </w:rPr>
        <w:t>Shared claim-specific concepts:</w:t>
      </w:r>
      <w:r>
        <w:t xml:space="preserve"> main, need, strategic, cannot; EU scope visible. This is a provisional connection, not an outcome finding.</w:t>
      </w:r>
    </w:p>
    <w:p>
      <w:pPr>
        <w:pStyle w:val="SourceNote"/>
      </w:pPr>
      <w:r>
        <w:rPr>
          <w:b/>
        </w:rPr>
        <w:t>Available abstract (not full text):</w:t>
      </w:r>
      <w:r>
        <w:t xml:space="preserve"> While infrastructure is the main prerequisite for a successful HSR system, regulation also plays an important role, and, over the past decade, the European Union interventions have been crucial for exploiting all the potential benefits offered by HSR services. Italy is a clear example of that. In Italy, in fact, the effects have been particularly positive in terms of increased traffic, reduced transport costs, flight substitution, and mitigation of the environmental impacts of transport, also thanks to the development of particularly efficient railway infrastructures, modern regulation systems, and competition between operators. EU and national governments should actively facilitate and stimulate HSR market development, eliminating any technical and regulatory barriers that could reduce the potential benefits of competition, with price reduction, quality enhancement, and organisational and technological innovations underlining the importance of the open market. An accelerated migration toward the ERTMS (European Rail Traffic Management System) is essential and strategic, considering the benefits that the system provides in terms of safety, improved interoperability, and increased performance, efficiency, and energy savings. The Connecting Europe Facility (CEF) budget should be rendered available for developing such implementation pilot studies, including the on-track and on-boa</w:t>
      </w:r>
    </w:p>
    <w:p>
      <w:pPr/>
      <w:r>
        <w:rPr>
          <w:b/>
        </w:rPr>
        <w:t>POSSIBLE 2023:</w:t>
      </w:r>
      <w:r>
        <w:t xml:space="preserve"> IMPLEMENTATION OF EUROPEAN PRINCIPLES IN STRATEGIC PLANNING OF POST-WAR RECOVERY OF UKRAINE — https://doi.org/10.56197/2786-5827/2023-2-2-2</w:t>
      </w:r>
    </w:p>
    <w:p>
      <w:pPr/>
      <w:r>
        <w:rPr>
          <w:b/>
        </w:rPr>
        <w:t>Shared claim-specific concepts:</w:t>
      </w:r>
      <w:r>
        <w:t xml:space="preserve"> main, goal, strategic, autonomy, strengthening, security; EU scope visible. This is a provisional connection, not an outcome finding.</w:t>
      </w:r>
    </w:p>
    <w:p>
      <w:pPr>
        <w:pStyle w:val="SourceNote"/>
      </w:pPr>
      <w:r>
        <w:rPr>
          <w:b/>
        </w:rPr>
        <w:t>Available abstract (not full text):</w:t>
      </w:r>
      <w:r>
        <w:t xml:space="preserve"> Introduction. The article defines the most important strategic planning principles of economic development in the EU and justification of the possibility of their implementation for the post-war recovery of Ukraine. Features are characterized and objects of influence (intervention) in the process of post-war reconstruction are determined. Obstacles to synchronizing strategic planning in Ukraine with European principles in conditions of military operations have been identified. Ways of consolidation with the European agenda have been determined, namely strengthening of cooperation in the field of green economy: decarbonization, waste management; digital development: cyber security; capacity building and acquisition of digital skills; harmonization of industrial policy, creation of alliances and promotion of international cooperation. Materials and methods. The goal of the article was achieved using the following methods: system analysis, content analysis, methods of scientific generalization, induction and deduction. Scientific publications and reports of international organizations in the relevant fields, normative legal acts, in particular regulations, work programs and documents of the European Commission, draft plans for the recovery of Ukraine, scientific works of foreign and Ukrainian researchers were used. Results and discussion. The article argues that the implementation</w:t>
      </w:r>
    </w:p>
    <w:p>
      <w:pPr/>
      <w:r>
        <w:rPr>
          <w:b/>
        </w:rPr>
        <w:t>POSSIBLE 2023:</w:t>
      </w:r>
      <w:r>
        <w:t xml:space="preserve"> TRENDS AND MAIN WAYS OF UPGRADING EUROPEAN EDUCATION — https://doi.org/10.32342/2522-4115-2023-1-25-13</w:t>
      </w:r>
    </w:p>
    <w:p>
      <w:pPr/>
      <w:r>
        <w:rPr>
          <w:b/>
        </w:rPr>
        <w:t>Shared claim-specific concepts:</w:t>
      </w:r>
      <w:r>
        <w:t xml:space="preserve"> main, goal, achieve, strategic, concept;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The Regional Development Trap in Europe — https://doi.org/10.1080/00130095.2022.2080655</w:t>
      </w:r>
    </w:p>
    <w:p>
      <w:pPr/>
      <w:r>
        <w:rPr>
          <w:b/>
        </w:rPr>
        <w:t>Shared claim-specific concepts:</w:t>
      </w:r>
      <w:r>
        <w:t xml:space="preserve"> shed, light, concept;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585.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r>
        <w:rPr>
          <w:b/>
        </w:rPr>
        <w:t>POSSIBLE 2023:</w:t>
      </w:r>
      <w:r>
        <w:t xml:space="preserve"> Representative government in south Germany and the myth of the Sonderweg — https://doi.org/10.31235/osf.io/tcwzs</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Bavaria and Württemberg were two German states in which estates-based representative government survived the early modern period, which has traditionally been considered the period when representative institutions were supposedly in decline. I will show that these two states were among those European states which preserved their representative institutions and avoided becoming “absolutist.” Germany shared a heritage of medieval constitutionalism with the other countries of Western Europe. In the early modern period, the estates of Brandenburg and East Prussia, both ruled by the Hohenzollerns, were among the strongest in Europe. I will put the developments in the south German states into a wider German and European perspective. I believe that the path of constitutional development taken by the south German states, and the other states including Prussia, showed that Germany in its entirety did in fact follow a path not that much different from the other European states, in contradiction to the theory that Germany developed differently from them, in a more absolutist and authoritarian direction.</w:t>
      </w:r>
    </w:p>
    <w:p>
      <w:pPr/>
      <w:r>
        <w:rPr>
          <w:b/>
        </w:rPr>
        <w:t>POSSIBLE 2022:</w:t>
      </w:r>
      <w:r>
        <w:t xml:space="preserve"> National Recovery and Resilience Plan: Germany — https://doi.org/10.6092/issn.1561-8048/15651</w:t>
      </w:r>
    </w:p>
    <w:p>
      <w:pPr/>
      <w:r>
        <w:rPr>
          <w:b/>
        </w:rPr>
        <w:t>Shared claim-specific concepts:</w:t>
      </w:r>
      <w:r>
        <w:t xml:space="preserve"> german, government, electricity, germany; EU scope visible. This is a provisional connection, not an outcome finding.</w:t>
      </w:r>
    </w:p>
    <w:p>
      <w:pPr>
        <w:pStyle w:val="SourceNote"/>
      </w:pPr>
      <w:r>
        <w:rPr>
          <w:b/>
        </w:rPr>
        <w:t>Available abstract (not full text):</w:t>
      </w:r>
      <w:r>
        <w:t xml:space="preserve"> By helping to give birth to the establishment of NextGenerationEU and the Recovery and Resilience Facility, the German government made a U-turn in relation to the Covid-19 pandemic compared with its earlier austerity approach in the management of the Euro crisis. Opposition to the new European debt and transfer instruments has been silent and political leaders have integrated the additional grants into their planning processes concerning changing the country’s energy supply and expanding digitalisation. While the Recovery and Resilience Plan was assessed positively, some preconditions for implementing it still seem to be missing, such as better electricity and high-capacity broadband networks. The process of transforming the German economy structurally to be greener and more digitalised has, however, neglected the social implications. While a minor proportion of the RRP will be spent on strengthening social resilience, many vulnerable groups are not in the focus of the state’s activities. The EU’s conclusions in the 2019 Country Specific Recommendations are treated rather in economic than in social terms. A sustainable new growth model would need to tackle also long-standing problems such as the high external surplus, the low public investment rate, income inequality and the relatively high at-risk-of-poverty rate.</w:t>
      </w:r>
    </w:p>
    <w:p>
      <w:pPr/>
      <w:r>
        <w:rPr>
          <w:b/>
        </w:rPr>
        <w:t>POSSIBLE 2022:</w:t>
      </w:r>
      <w:r>
        <w:t xml:space="preserve"> The politics of government reorganization in Western Europe — https://doi.org/10.1111/gove.12670</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The reorganization of governments is crucial for parties to express their policy preferences once they reach office. Yet these activities are not confined to the direct aftermath of general elections or to wide‐ranging structural reforms. Instead, governments reorganize and adjust their machinery of government all the time. This paper aims to assess these structural choices with a particular focus at the core of the state, comparing four Western European democracies (Germany, France, the Netherlands, and United Kingdom) from 1980 to 2013. Our empirical analysis shows that stronger shifts in cabinets' ideological profiles in the short‐ and long‐term as well as the units' proximity to political executives yield significant effects. In contrast, Conservative governments, commonly regarded as key promoters of reorganizing governments, are not significant for the likelihood of structural change. We discuss the effects of this politics of government reorganization for different research debates assessing the inner workings of governments.</w:t>
      </w:r>
    </w:p>
    <w:p>
      <w:pPr>
        <w:pStyle w:val="Heading2"/>
      </w:pPr>
      <w:r>
        <w:t>586.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2022:</w:t>
      </w:r>
      <w:r>
        <w:t xml:space="preserve"> Worst Cases and Reality — https://doi.org/10.1353/apr.2022.0008</w:t>
      </w:r>
    </w:p>
    <w:p>
      <w:pPr/>
      <w:r>
        <w:rPr>
          <w:b/>
        </w:rPr>
        <w:t>Shared claim-specific concepts:</w:t>
      </w:r>
      <w:r>
        <w:t xml:space="preserve"> worst, case, increase, based, four; EU scope visible. This is a provisional connection, not an outcome finding.</w:t>
      </w:r>
    </w:p>
    <w:p>
      <w:pPr>
        <w:pStyle w:val="SourceNote"/>
      </w:pPr>
      <w:r>
        <w:rPr>
          <w:b/>
        </w:rPr>
        <w:t>Available abstract (not full text):</w:t>
      </w:r>
      <w:r>
        <w:t xml:space="preserve"> Worst Cases and Reality Walter C. Clemens Jr. (bio) Samuel F. Wells. Fearing the Worst: How Korea Transformed the Cold War. New York: Columbia University Press, 2020. Charles J. Hanley. Ghost Flames: Life and Death in a Hidden War, Korea 1950–1953. New York: PublicAffairs, 2020. Based mainly on official documents and scholarly writings, fearing the Worst reviews the Korean War mainly from the perspective of governments. Ghost Flames views the war as experienced by twenty individuals. It is based on interviews and private papers as well as archival documents and reports by the South Korean Truth and Reconciliation Commission. Taken together, these two books provide a top-down and bottom-up picture of terrible events that still haunt and ricochet in world affairs. Actions derive from perceptions and hopes that produce beliefs or, at least, working assumptions. Sometimes reality intrudes to challenge or reinforce those assumptions. All the major powers from the late 1940s to the early 1950s were like blind people bumping into one another in a forest. The Truman administration believed that Stalin and Mao Zedong were close partners determined to spread communism. Not until war began did Washington see North Korea as a threat to peace and stability. American leaders in 1949 and 1950 said that the US defense perimeter excluded Taiwan and the Republic of Korea (ROK). The United States</w:t>
      </w:r>
    </w:p>
    <w:p>
      <w:pPr>
        <w:pStyle w:val="Heading2"/>
      </w:pPr>
      <w:r>
        <w:t>587.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r>
        <w:rPr>
          <w:b/>
        </w:rPr>
        <w:t>POSSIBLE 2023:</w:t>
      </w:r>
      <w:r>
        <w:t xml:space="preserve"> Correcting Subseasonal Forecast Errors with an Explainable ANN to Understand Misrepresented Sources of Predictability of European Summer Temperatures — https://doi.org/10.1175/aies-d-22-0047.1</w:t>
      </w:r>
    </w:p>
    <w:p>
      <w:pPr/>
      <w:r>
        <w:rPr>
          <w:b/>
        </w:rPr>
        <w:t>Shared claim-specific concepts:</w:t>
      </w:r>
      <w:r>
        <w:t xml:space="preserve"> predicted, following, sources, conditions, reasons, need; EU scope visible. This is a provisional connection, not an outcome finding.</w:t>
      </w:r>
    </w:p>
    <w:p>
      <w:pPr>
        <w:pStyle w:val="SourceNote"/>
      </w:pPr>
      <w:r>
        <w:rPr>
          <w:b/>
        </w:rPr>
        <w:t>Available abstract (not full text):</w:t>
      </w:r>
      <w:r>
        <w:t xml:space="preserve">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sources, within, eastern, caused;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2022:</w:t>
      </w:r>
      <w:r>
        <w:t xml:space="preserve"> The position of China in trade in services within the European Union — https://doi.org/10.24136/oc.2022.010</w:t>
      </w:r>
    </w:p>
    <w:p>
      <w:pPr/>
      <w:r>
        <w:rPr>
          <w:b/>
        </w:rPr>
        <w:t>Shared claim-specific concepts:</w:t>
      </w:r>
      <w:r>
        <w:t xml:space="preserve"> within, aim, article, need; EU scope visible. This is a provisional connection, not an outcome finding.</w:t>
      </w:r>
    </w:p>
    <w:p>
      <w:pPr>
        <w:pStyle w:val="SourceNote"/>
      </w:pPr>
      <w:r>
        <w:rPr>
          <w:b/>
        </w:rPr>
        <w:t>Available abstract (not full text):</w:t>
      </w:r>
      <w:r>
        <w:t xml:space="preserve"> Research background: In recent decades, services in international trade have been growing steadily in importance, and there has been strong growth in China?s trade in services as a result of the ?opening up? policy. China has become the European Union?s second biggest trading partner in services with the European Union (EU), being China?s largest trading partner. The EU is one of the addressees of the Chinese Belt and Road Initiative, which creates opportunities and threads to the European Internal Market in services. Purpose of the article: The aim of this paper is to contribute to the literature and fulfil the research gap on the position of China in intra-EU trade in services. Methods: We identified the most important types of services offered by China to purchasers from the EU countries. By using the Revealed Symmetric Comparative Advantage (RSCA) and trade balance (LFI) indices, we classified the Chinese exports to the EU Internal Market by types of services and by their trade position. Findings &amp; value added: We found out that China might be perceived as a strong competitor for intra-EU trade in selected services, especially those concerning low-end service tasks, that use relatively low-skilled labour and are less knowledge- and capital-intensive. However, China?s attitude is changing towards more sophisticated services for example R&amp;D. It creates a need for a new approa</w:t>
      </w:r>
    </w:p>
    <w:p>
      <w:pPr>
        <w:pStyle w:val="Heading2"/>
      </w:pPr>
      <w:r>
        <w:t>588.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r>
        <w:rPr>
          <w:b/>
        </w:rPr>
        <w:t>POSSIBLE 2025:</w:t>
      </w:r>
      <w:r>
        <w:t xml:space="preserve"> Health in the climate crossroads : exploring the integration of health in climate policy and practice in Canada — https://openalex.org/W7116218288</w:t>
      </w:r>
    </w:p>
    <w:p>
      <w:pPr/>
      <w:r>
        <w:rPr>
          <w:b/>
        </w:rPr>
        <w:t>Shared claim-specific concepts:</w:t>
      </w:r>
      <w:r>
        <w:t xml:space="preserve"> four, crossroads; EU scope not established. This is a provisional connection, not an outcome finding.</w:t>
      </w:r>
    </w:p>
    <w:p>
      <w:pPr>
        <w:pStyle w:val="SourceNote"/>
      </w:pPr>
      <w:r>
        <w:rPr>
          <w:b/>
        </w:rPr>
        <w:t>Available abstract (not full text):</w:t>
      </w:r>
      <w:r>
        <w:t xml:space="preserve"> This doctoral thesis critically investigates the integration of health into climate adaptation policy and practice within the Canadian context. Through four empirical chapters, three of which have a particular focus on municipalities in British Columbia, it explores how health is understood, planned for, and acted upon in relation to climate change. This work is grounded in an analysis of interviews, planning documents, survey data, and a regional case study. Chapter 2 presents qualitative findings from interviews with local government leaders, examining their perceptions of climate-related health risks and their experiences with adaptation. It highlights governance gaps and calls for more multi-sectoral collaboration. Chapter 3 analyzes municipal climate action plans across British Columbia to assess how health is incorporated. While health risks are often acknowledged, the study finds limited integration of health systems or consideration of health co-benefits. The chapter recommends advancing a “Health in All Climate Policies” approach to strengthen cross-sector collaboration and public health responsiveness. In Chapter 4, survey data reveal that 23% of Canadians report experiencing physical health impacts from extreme weather events. Additionally, the survey shows that attitudes towards adaptation are influenced by a complex interplay of risk perception, health awareness, c</w:t>
      </w:r>
    </w:p>
    <w:p>
      <w:pPr/>
      <w:r>
        <w:rPr>
          <w:b/>
        </w:rPr>
        <w:t>POSSIBLE 2025:</w:t>
      </w:r>
      <w:r>
        <w:t xml:space="preserve"> Peer Review at the Crossroads — https://doi.org/10.31235/osf.io/b2ra3_v2</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impact on equity and epistemic norms.</w:t>
      </w:r>
    </w:p>
    <w:p>
      <w:pPr/>
      <w:r>
        <w:rPr>
          <w:b/>
        </w:rPr>
        <w:t>POSSIBLE 2025:</w:t>
      </w:r>
      <w:r>
        <w:t xml:space="preserve"> Peer Review at the Crossroads — https://doi.org/10.31235/osf.io/b2ra3_v3</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(Business Process Model and Notation –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w:t>
      </w:r>
    </w:p>
    <w:p>
      <w:pPr/>
      <w:r>
        <w:rPr>
          <w:b/>
        </w:rPr>
        <w:t>POSSIBLE 2024:</w:t>
      </w:r>
      <w:r>
        <w:t xml:space="preserve"> Pathways toward sustainable aviation: Analyzing emissions from air operations in Europe to support policy initiatives — https://doi.org/10.1016/j.tra.2024.104121</w:t>
      </w:r>
    </w:p>
    <w:p>
      <w:pPr/>
      <w:r>
        <w:rPr>
          <w:b/>
        </w:rPr>
        <w:t>Shared claim-specific concepts:</w:t>
      </w:r>
      <w:r>
        <w:t xml:space="preserve"> analyzing, pathways, high, present, industry; EU scope visible. This is a provisional connection, not an outcome finding.</w:t>
      </w:r>
    </w:p>
    <w:p>
      <w:pPr>
        <w:pStyle w:val="SourceNote"/>
      </w:pPr>
      <w:r>
        <w:rPr>
          <w:b/>
        </w:rPr>
        <w:t>Available abstract (not full text):</w:t>
      </w:r>
      <w:r>
        <w:t xml:space="preserve">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Barriers to Electrification: Analyzing Critical Delays and Pathways Forward — https://doi.org/10.3390/wevj15090409</w:t>
      </w:r>
    </w:p>
    <w:p>
      <w:pPr/>
      <w:r>
        <w:rPr>
          <w:b/>
        </w:rPr>
        <w:t>Shared claim-specific concepts:</w:t>
      </w:r>
      <w:r>
        <w:t xml:space="preserve"> analyzing, pathways, high, electrification, rapid; EU scope visible. This is a provisional connection, not an outcome finding.</w:t>
      </w:r>
    </w:p>
    <w:p>
      <w:pPr>
        <w:pStyle w:val="SourceNote"/>
      </w:pPr>
      <w:r>
        <w:rPr>
          <w:b/>
        </w:rPr>
        <w:t>Available abstract (not full text):</w:t>
      </w:r>
      <w:r>
        <w:t xml:space="preserve"> This paper extensively explores the intricate nuances surrounding the delayed transition to new business models for electric vehicles. While there is commendable clarity regarding stakeholders, model possibilities, emission-reduction strategies, state aid initiatives, and citywide prohibitions, the central challenge lies in the gradual pace of this transition. Notably, the persistent high costs of electric vehicles, primarily attributed to exorbitant battery prices and the raw materials involved, represent a formidable hurdle to widespread adoption. In this article, a comprehensive examination of the multifaceted aspects contributing to the delays in the shift towards electrified transport is proposed. By meticulously scrutinizing the intricacies of this delay, the aim is to provide valuable insights that can contribute to accelerating the adoption of electric vehicles. The exploration of these challenges is essential for fostering a nuanced understanding of the impediments hindering the transition and, subsequently, for devising effective strategies to overcome them. The analysis presented herein not only identifies the hurdles but also seeks to offer potential solutions and strategies that can drive the transformative change needed in the realm of electric transportation. Understanding and mitigating the barriers impeding the transition is crucial for fostering a rapid and su</w:t>
      </w:r>
    </w:p>
    <w:p>
      <w:pPr/>
      <w:r>
        <w:rPr>
          <w:b/>
        </w:rPr>
        <w:t>POSSIBLE 2024:</w:t>
      </w:r>
      <w:r>
        <w:t xml:space="preserve"> AMR and Sustainable Development Goals: at a crossroads — https://doi.org/10.1186/s12992-024-01046-8</w:t>
      </w:r>
    </w:p>
    <w:p>
      <w:pPr/>
      <w:r>
        <w:rPr>
          <w:b/>
        </w:rPr>
        <w:t>Shared claim-specific concepts:</w:t>
      </w:r>
      <w:r>
        <w:t xml:space="preserve"> crossroads, rates, achieve; EU scope not established. This is a provisional connection, not an outcome finding.</w:t>
      </w:r>
    </w:p>
    <w:p>
      <w:pPr>
        <w:pStyle w:val="SourceNote"/>
      </w:pPr>
      <w:r>
        <w:rPr>
          <w:b/>
        </w:rPr>
        <w:t>Available abstract (not full text):</w:t>
      </w:r>
      <w:r>
        <w:t xml:space="preserve"> Antimicrobial resistance (AMR) poses a significant global health threat, primarily stemming from its misuse and overuse in both veterinary and public healthcare systems. The consequences of AMR are severe, leading to more severe infections, increased health protection costs, prolonged hospital stays, unresponsive treatments, and elevated fatality rates. The impact of AMR is direct and far-reaching, particularly affecting the Sustainable Development Goals (SDGs), underscoring the urgency for concerted global actions to achieve these objectives. Disproportionately affecting underprivileged populations, AMR compounds their vulnerabilities, pushing them further into poverty. Moreover, AMR has ramifications for food production, jeopardizing sustainable agriculture and diminishing the livelihoods of farmers. The emergence of antibiotic-resistant bacteria in underprivileged areas heightens the risk of complications and mortality. Climate change further contributes to AMR, as evidenced by increased instances of foodborne salmonellosis and the development of antibiotic resistance, resulting in substantial healthcare costs. Effectively addressing AMR demands collaboration among governments, entrepreneurs, and the public sector to establish institutions and policies across all regulatory levels. Expanding SDG 17, which focuses on partnerships for sustainable development, would facilitate </w:t>
      </w:r>
    </w:p>
    <w:p>
      <w:pPr>
        <w:pStyle w:val="Heading2"/>
      </w:pPr>
      <w:r>
        <w:t>589.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2025:</w:t>
      </w:r>
      <w:r>
        <w:t xml:space="preserve"> Optimizing ATM and ATC Procedures for Mitigating CO2 and Non-CO2 Emissions: The Role of Climate Impact Metrics — https://doi.org/10.20944/preprints202510.0967.v1</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This paper presents a comprehensive multidisciplinary review of recent advancements about the aviation emissions modeling methodologies and the related mitigation strategies through optimized in-flight operational procedures. With reference to the Terminal Manoeuvring Area (TMA), it critically examines current and emerging strategies, particularly those enabled by GNSS-based capabilities and Performance Based Navigation (PBN), to enhance aircraft efficiency and reduce fuel consumption and associated chemical emissions. The study also explores the state-of-the-art methodologies for modeling both CO₂ and non-CO₂ emissions and addresses the problem of contrails formation, highlighting the main relevant aspects that can be useful for the definition of future mitigation strategies. Furthermore, it analyzes evolving optimization techniques aimed at real-time 4D trajectory planning able to take into account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2024:</w:t>
      </w:r>
      <w:r>
        <w:t xml:space="preserve"> Changes in climate indicators of degradation of UNESCO cultural heritage sites in the European part of Russia — https://doi.org/10.21638/spbu07.2024.306</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pPr/>
      <w:r>
        <w:rPr>
          <w:b/>
        </w:rPr>
        <w:t>POSSIBLE 2024:</w:t>
      </w:r>
      <w:r>
        <w:t xml:space="preserve"> Predicting the effect of climate change and management on net carbon sequestration in the forest ecosystems of the European part of Russia with the complex of models — https://doi.org/10.1016/j.ecolmodel.2024.110835</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pPr/>
      <w:r>
        <w:rPr>
          <w:b/>
        </w:rPr>
        <w:t>POSSIBLE 2024:</w:t>
      </w:r>
      <w:r>
        <w:t xml:space="preserve"> The future of the Portuguese (SW Europe) most vulnerable coastal areas under climate change – Part II: Future extreme coastal flooding from downscaled bias corrected wave climate projections — https://doi.org/10.1016/j.oceaneng.2024.118448</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Episodic extreme coastal flooding is considered one of the most serious threats to the global coastlines, endangering infrastructure, ecosystems, and communities. The synchronized effects of extreme wave events, storm surges and astronomical tides are particularly worrying in the context of sea level rise (SLR), and a comprehensive understanding of their future dynamics remains challenging. In this study, an innovative approach for a vulnerability assessment of sandy low-lying coastal areas, based on dynamic ensemble projections is proposed. In the current Part II study, the combined effects of future projected SLR, tides, storm surges and wave action are investigated at five key-locations along the Portuguese coastline, considering projected digital terrain models, built upon the shoreline projections obtained in Part I. Future extreme total water levels are obtained through a probabilistic approach, and extreme wave events are defined considering high wave energy thresholds in a changing climate. Overall, extreme coastal flooding is projected across several urbanized sections along the Portuguese coastline, especially in areas without artificial protection infrastructures. Dune erosion is expected along the sandy stretches, reducing the natural protection against extreme coastal events up to 13.3%, and promoting widespread overtopping, leaving populations more exposed. Future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demonstrate;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590.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suitability, species, important, importance, addresses;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Understanding and addressing shortfalls in European wild bee data — https://doi.org/10.1016/j.biocon.2024.110455</w:t>
      </w:r>
    </w:p>
    <w:p>
      <w:pPr/>
      <w:r>
        <w:rPr>
          <w:b/>
        </w:rPr>
        <w:t>Shared claim-specific concepts:</w:t>
      </w:r>
      <w:r>
        <w:t xml:space="preserve"> species, despite, major, important, addresses;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conversely, all, species, importance;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Fertility Control for Wildlife: A European Perspective — https://doi.org/10.3390/ani13030428</w:t>
      </w:r>
    </w:p>
    <w:p>
      <w:pPr/>
      <w:r>
        <w:rPr>
          <w:b/>
        </w:rPr>
        <w:t>Shared claim-specific concepts:</w:t>
      </w:r>
      <w:r>
        <w:t xml:space="preserve"> increasing, environmental, species; EU scope visible. This is a provisional connection, not an outcome finding.</w:t>
      </w:r>
    </w:p>
    <w:p>
      <w:pPr>
        <w:pStyle w:val="SourceNote"/>
      </w:pPr>
      <w:r>
        <w:rPr>
          <w:b/>
        </w:rPr>
        <w:t>Available abstract (not full text):</w:t>
      </w:r>
      <w:r>
        <w:t xml:space="preserve"> Trends of human population growth and landscape development in Europe show that wildlife impacts are escalating. Lethal methods, traditionally employed to mitigate these impacts, are often ineffective, environmentally hazardous and face increasing public opposition. Fertility control is advocated as a humane tool to mitigate these impacts. This review describes mammalian and avian wildlife contraceptives' effect on reproduction of individuals and populations, delivery methods, potential costs and feasibility of using fertility control in European contexts. These contexts include small, isolated wildlife populations and situations in which lethal control is either illegal or socially unacceptable, such as urban settings, national parks and areas where rewilding occurs. The review highlights knowledge gaps, such as impact of fertility control on recruitment, social and spatial behaviour and on target and non-target species, provides a decision framework to assist decisions about the potential use of wildlife fertility control, and suggests eight reasons for Europe to invest in this area. Although developing and registering contraceptives in Europe will have substantial costs, these are relatively small when compared to wildlife's economic and environmental impact. Developing safe and effective contraceptives will be essential if European countries want to meet public demand for m</w:t>
      </w:r>
    </w:p>
    <w:p>
      <w:pPr/>
      <w:r>
        <w:rPr>
          <w:b/>
        </w:rPr>
        <w:t>POSSIBLE 2023:</w:t>
      </w:r>
      <w:r>
        <w:t xml:space="preserve"> Conservation easements – project selection criteria for quarries in Europe — https://doi.org/10.3389/fcosc.2023.1304712</w:t>
      </w:r>
    </w:p>
    <w:p>
      <w:pPr/>
      <w:r>
        <w:rPr>
          <w:b/>
        </w:rPr>
        <w:t>Shared claim-specific concepts:</w:t>
      </w:r>
      <w:r>
        <w:t xml:space="preserve"> conversely, environmental, all, species, ecological; EU scope visible. This is a provisional connection, not an outcome finding.</w:t>
      </w:r>
    </w:p>
    <w:p>
      <w:pPr>
        <w:pStyle w:val="SourceNote"/>
      </w:pPr>
      <w:r>
        <w:rPr>
          <w:b/>
        </w:rPr>
        <w:t>Available abstract (not full text):</w:t>
      </w:r>
      <w:r>
        <w:t xml:space="preserve"> Private sector support is essential to achieve the EU Green Deal's biodiversity goals, given that a significant portion of Natura 2000 and potential restoration sites are privately owned (European Commission, kein Datum).The extractive industry is a prime example of how private business impacts biodiversity policy implementation.Historically, European land has often been altered or degraded by agriculture, forestry, and other land uses. While resource extraction can lead to further destruction, well-managed former quarries and reclamation sites can provide vital habitats for endangered species, including those adjacent to Natura 2000 sites. This presents an opportunity to rehabilitate habitats that have suffered significant loss (European Commission, 2019).New, enhanced reporting requirements will intensify public scrutiny of private firms' biodiversity impact, demanding inventive and proactive approaches to harmonise resource extraction with nature preservation. Conversely, voluntary efforts to maximise long-term biodiversity value in quarries could spawn new business models by leveraging current and future fiscal incentives linked to nature restoration and promoting biodiversity-friendly land use.It's relevant to explore how the extractive industry can proactively surpass legal norms for net biodiversity gains. A dual case-both communicative and financial-is essential to pers</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baltic, all, central, position;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591.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2025:</w:t>
      </w:r>
      <w:r>
        <w:t xml:space="preserve"> Theoretical Foundations — https://doi.org/10.4324/9781003694625_ch14</w:t>
      </w:r>
    </w:p>
    <w:p>
      <w:pPr/>
      <w:r>
        <w:rPr>
          <w:b/>
        </w:rPr>
        <w:t>Shared claim-specific concepts:</w:t>
      </w:r>
      <w:r>
        <w:t xml:space="preserve"> analyse, theoretical, based; EU scope not established. This is a provisional connection, not an outcome finding.</w:t>
      </w:r>
    </w:p>
    <w:p>
      <w:pPr>
        <w:pStyle w:val="SourceNote"/>
      </w:pPr>
      <w:r>
        <w:rPr>
          <w:b/>
        </w:rPr>
        <w:t>Available abstract (not full text):</w:t>
      </w:r>
      <w:r>
        <w:t xml:space="preserve"> The four TPACK course (re)design professional development modules developed in the MARCH ET project are based on five theoretical foundations. Understanding these theoretical foundations helps us comprehend the modules’ course design and the considerations that go into choosing it. The first theoretical foundation is ‘social constructivism,’ which is an approach to good teaching and learning. The second theoretical foundation is the pedagogical design of the modules, which is based on an old but still very useful ‘pedagogical model’ developed by Van Gelder (1970) , referred to in Dutch as the didactische analyse model (DA model). The third theoretical foundation is the revised Bloom’s Taxonomy (Anderson &amp; Krathwohl, 2001) for defining learning outcomes (often called ‘learning objectives’). The fourth theoretical foundation is Biggs ‘constructive alignment’ of learning outcomes, the learning process and assessments ( Biggs, 2003 ), a widely accepted principle of pedagogically sound course design. The fifth and final foundation is the ‘action research’ approach. It is used as a reflection method by the participants in their own teaching practice.</w:t>
      </w:r>
    </w:p>
    <w:p>
      <w:pPr/>
      <w:r>
        <w:rPr>
          <w:b/>
        </w:rPr>
        <w:t>POSSIBLE 2024:</w:t>
      </w:r>
      <w:r>
        <w:t xml:space="preserve"> Theoretical Framework for Analysing Regional Economic Governance: A Comparative Study of African Blocs, — https://doi.org/10.5281/zenodo.18929910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 "background":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"purpose and objectives":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"methodology":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"key insights": "The framework reveals that a significant theme across blocs is the disjuncture between rhetorical commitments to gender mainstreaming in treaties and the marginalisation of women from core economic decision-making roles. A key analytical finding</w:t>
      </w:r>
    </w:p>
    <w:p>
      <w:pPr/>
      <w:r>
        <w:rPr>
          <w:b/>
        </w:rPr>
        <w:t>POSSIBLE 2023:</w:t>
      </w:r>
      <w:r>
        <w:t xml:space="preserve"> Theoretical and methodological aspects of analysing the foreign economic activity of enterprises — https://doi.org/10.56318/eem2023.01.051</w:t>
      </w:r>
    </w:p>
    <w:p>
      <w:pPr/>
      <w:r>
        <w:rPr>
          <w:b/>
        </w:rPr>
        <w:t>Shared claim-specific concepts:</w:t>
      </w:r>
      <w:r>
        <w:t xml:space="preserve"> objective, analyse, theoretical, aspects, well, foreign; EU scope not established. This is a provisional connection, not an outcome finding.</w:t>
      </w:r>
    </w:p>
    <w:p>
      <w:pPr>
        <w:pStyle w:val="SourceNote"/>
      </w:pPr>
      <w:r>
        <w:rPr>
          <w:b/>
        </w:rPr>
        <w:t>Available abstract (not full text):</w:t>
      </w:r>
      <w:r>
        <w:t xml:space="preserve"> It is important for enterprises to determine exactly the current reserves for the development of export activities and, based on them, make adequate and objective management decisions regarding the further implementation of foreign economic activity. Therefore, the purpose of the study is to develop a comprehensive methodology for analysing foreign economic activity based on the determination of factors of the external and internal environment of the enterprise functioning, which affect the analysis of foreign economic activity, as well as the study of the process of implementing a comprehensive methodology for analysing foreign economic activity of the enterprise, based on the consistent implementation of stages: the stage of information and analytical support, the analytical and calculation stage, and the management stage – analytical processing of calculations and the formulation of reasonable conclusions. The study used the following methods: dialectical, analysis and synthesis, comparison, theoretical generalisation, and tabular method. The process of implementing a comprehensive methodology for analysing the foreign economic activity of the enterprise is considered, which provides an opportunity to obtain complete and objective information on the state of implementation of the foreign economic activity of the enterprise, the development and implementation of the foreign e</w:t>
      </w:r>
    </w:p>
    <w:p>
      <w:pPr/>
      <w:r>
        <w:rPr>
          <w:b/>
        </w:rPr>
        <w:t>POSSIBLE 2023:</w:t>
      </w:r>
      <w:r>
        <w:t xml:space="preserve"> A Theoretical Framework for Analysing Key Educational Issues in Niger: An African-Centred Perspective for thePeriod — https://doi.org/10.5281/zenodo.18385898</w:t>
      </w:r>
    </w:p>
    <w:p>
      <w:pPr/>
      <w:r>
        <w:rPr>
          <w:b/>
        </w:rPr>
        <w:t>Shared claim-specific concepts:</w:t>
      </w:r>
      <w:r>
        <w:t xml:space="preserve"> theoretical, national, both, system; EU scope not established. This is a provisional connection, not an outcome finding.</w:t>
      </w:r>
    </w:p>
    <w:p>
      <w:pPr>
        <w:pStyle w:val="SourceNote"/>
      </w:pPr>
      <w:r>
        <w:rPr>
          <w:b/>
        </w:rPr>
        <w:t>Available abstract (not full text):</w:t>
      </w:r>
      <w:r>
        <w:t xml:space="preserve"> This article proposes a theoretical framework for analysing the most pressing educational challenges in Niger between 2021 and 2023, centring African epistemologies to transcend deficit-oriented narratives. It critiques prevailing theoretical models, frequently imported without adaptation, for failing to capture the complex socio-cultural and political-economic realities that shape Niger's education system. The framework synthesises an African-centred perspective, drawing principally on the concepts of *Ubuntu* and endogenous knowledge systems, and integrates these with critical pedagogy and postcolonial theory. This interdisciplinary approach is constructed through a critical synthesis of contemporary empirical studies, policy documents from the Nigerien Ministry of National Education, and reports from regional bodies published within the specified period. The analysis elucidates how core issues—including persistently low enrolment and completion rates for girls, curriculum relevance, and the impact of insecurity—are interconnected through historical legacies and contemporary geopolitical pressures. It argues that sustainable solutions must be grounded in local community values, languages, and knowledge production. The significance of this work lies in providing a structured, context-sensitive analytical tool for researchers, policymakers, and practitioners. It facilitates a s</w:t>
      </w:r>
    </w:p>
    <w:p>
      <w:pPr>
        <w:pStyle w:val="Heading2"/>
      </w:pPr>
      <w:r>
        <w:t>592.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2024:</w:t>
      </w:r>
      <w:r>
        <w:t xml:space="preserve"> Climate, Energy and Security: The New Social Contract of Europe and Spain — https://doi.org/10.52783/pst.1914</w:t>
      </w:r>
    </w:p>
    <w:p>
      <w:pPr/>
      <w:r>
        <w:rPr>
          <w:b/>
        </w:rPr>
        <w:t>Shared claim-specific concepts:</w:t>
      </w:r>
      <w:r>
        <w:t xml:space="preserve"> article, five, energy, presented; EU scope visible. This is a provisional connection, not an outcome finding.</w:t>
      </w:r>
    </w:p>
    <w:p>
      <w:pPr>
        <w:pStyle w:val="SourceNote"/>
      </w:pPr>
      <w:r>
        <w:rPr>
          <w:b/>
        </w:rPr>
        <w:t>Available abstract (not full text):</w:t>
      </w:r>
      <w:r>
        <w:t xml:space="preserve">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How have the European Union countries approached the Europe 2020 targets? — https://doi.org/10.1080/27684520.2024.2378171</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pPr/>
      <w:r>
        <w:rPr>
          <w:b/>
        </w:rPr>
        <w:t>POSSIBLE 2024:</w:t>
      </w:r>
      <w:r>
        <w:t xml:space="preserve"> Summer-time performance of Finnish housing: POE of five apartments — https://doi.org/10.1108/ijbpa-03-2024-0059</w:t>
      </w:r>
    </w:p>
    <w:p>
      <w:pPr/>
      <w:r>
        <w:rPr>
          <w:b/>
        </w:rPr>
        <w:t>Shared claim-specific concepts:</w:t>
      </w:r>
      <w:r>
        <w:t xml:space="preserve"> five, finland, conditions; EU scope visible. This is a provisional connection, not an outcome finding.</w:t>
      </w:r>
    </w:p>
    <w:p>
      <w:pPr>
        <w:pStyle w:val="SourceNote"/>
      </w:pPr>
      <w:r>
        <w:rPr>
          <w:b/>
        </w:rPr>
        <w:t>Available abstract (not full text):</w:t>
      </w:r>
      <w:r>
        <w:t xml:space="preserve"> Purpose Despite the increased retrofitting of Finnish residential buildings, there are limited post-retrofit studies on the actual measured indoor environmental quality (IEQ) and occupant satisfaction during summer-time. This paper provides a better understanding of the actual performance of retrofitted residential apartment buildings in Finland, focusing on some aspects of and the risk of summer overheating through post-occupancy evaluation (POE). Design/methodology/approach The study used both qualitative and quantitative data collection methods, including satisfaction surveys, indoor air temperature and relative humidity measurements, self-reported behaviour forms, open-ended discussions, and site visits in five apartments in different residential buildings in Tampere city, monitored during the summer-time, for at least 2 weeks at a time. Findings While occupants were positive regarding most aspects of IEQ, concerns about indoor air quality (IAQ), summer overheating and acoustic comfort were raised. The summer-time monitoring highlighted that indoor air temperatures could reach as high as 27 °C for 2–9 days depending on the monitored apartment. Little cloud cover and warmer outdoor temperatures directly influenced indoor air temperature overheating. For some aspects of the investigated IEQ parameters, it was noted that while occupants’ satisfaction was influenced by the leng</w:t>
      </w:r>
    </w:p>
    <w:p>
      <w:pPr/>
      <w:r>
        <w:rPr>
          <w:b/>
        </w:rPr>
        <w:t>POSSIBLE 2023:</w:t>
      </w:r>
      <w:r>
        <w:t xml:space="preserve"> Energy Economic Development in Europe — https://doi.org/10.3390/books978-3-0365-7112-6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Transition and the Economy: A Review Article — https://doi.org/10.3390/en16072965</w:t>
      </w:r>
    </w:p>
    <w:p>
      <w:pPr/>
      <w:r>
        <w:rPr>
          <w:b/>
        </w:rPr>
        <w:t>Shared claim-specific concepts:</w:t>
      </w:r>
      <w:r>
        <w:t xml:space="preserve"> article, energy, discussion, direction; EU scope not established. This is a provisional connection, not an outcome finding.</w:t>
      </w:r>
    </w:p>
    <w:p>
      <w:pPr>
        <w:pStyle w:val="SourceNote"/>
      </w:pPr>
      <w:r>
        <w:rPr>
          <w:b/>
        </w:rPr>
        <w:t>Available abstract (not full text):</w:t>
      </w:r>
      <w:r>
        <w:t xml:space="preserve"> The global energy sector is in a period of transition, during which time it is expected that renewable and low-carbon energy sources, such as wind and solar, will replace traditional fossil fuels, including oil, gas, and coal. The energy transition is happening not only to limit the environmental impact of fossil fuel production and consumption but also to ensure energy security, reliability, access, affordability, and sustainability. The importance of the energy transition has been amplified by recent events, notably the Russian-Ukraine conflict. Economic, financial, and trade sanctions against Russia, and in particular its oil and gas industry, have forced countries to find new suppliers in the short term, but also to investigate new and more sustainable sources to guarantee long-term energy security. Given the importance of energy, it is perhaps not unexpected that there is a considerable body of recent academic literature, particularly over the last 4–5 years, studying what industries, consumers, governments, and markets can do to help bring about a faster energy transition. In this paper, we provide a review of the literature that pertains to the economic aspects of the energy transition. While our initial search of the literature is targeted at uncovering all relevant articles on the subject, we focus most of our discussion on the most influential articles in prominent jo</w:t>
      </w:r>
    </w:p>
    <w:p>
      <w:pPr/>
      <w:r>
        <w:rPr>
          <w:b/>
        </w:rPr>
        <w:t>POSSIBLE 2023:</w:t>
      </w:r>
      <w:r>
        <w:t xml:space="preserve"> A methodology to characterize energy consumption in small and medium-sized enterprises at national level in European countries — https://doi.org/10.1007/s10098-023-02606-z</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Abstract The 25 million of European small and medium-sized enterprises (SMEs) represent 99% of businesses and account for the two thirds of total employment and a half of Gross Domestic Product. Thus, SMEs are considered as the backbone of European’ economy. The crucial importance of energy efficiency and its potential in SMEs is worldwide recognized. However, the energy use and consumption information of SMEs are very limited, and the disaggregated data between SMEs and large enterprises are often not available at national or European level. The aim of this work is to present a methodology for the energy consumption characterization of European SMEs at national level. The proposed methodology, based on the combination of official national energy statistics and energy consumption data according to the European Energy Efficiency Directive Article 8, has been developed and applied to Italy and Austria. Preliminary results show significant differences in the relative weight of SMEs’ energy consumption between the two countries mainly due to their specific productive structures. The application of this methodology to the available data on further five European countries provides useful insights on the impact of different national approaches to comply with Art.8. This methodology shows that harmonizing the different strategies to monitor energy audits obligation would significantly </w:t>
      </w:r>
    </w:p>
    <w:p>
      <w:pPr>
        <w:pStyle w:val="Heading2"/>
      </w:pPr>
      <w:r>
        <w:t>593.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r>
        <w:rPr>
          <w:b/>
        </w:rPr>
        <w:t>POSSIBLE 2024:</w:t>
      </w:r>
      <w:r>
        <w:t xml:space="preserve"> Iran’s growing role in Eurasian transport and communication projects — https://doi.org/10.17223/15617793/504/10</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Iran, belonging to the “middle powers” type in terms of its military and economic capabilities, is one of the influential and energetic states in Eurasia with great ambitions. In the emerging new geopolitical reality, accompanied by an imbalance of the existing international system and a change in the configuration of forces, Iran positions itself as an important regional player. The aim of this study is to analyze the growing role of Iran in the emerging Eurasian transport and communication systems. The emerging transport and communication systems in Eurasia with the participation of two major regional centers of power – Russia and China – became a challenge for Iran. The respond of the Iranian administration is increasing the activity of its Eurasian diplomacy. In turn, Russia and China, recognizing Iran’s unique geopolitical location, show interest in building strategic and mutually beneficial cooperation in the field of joint implementation of transport and communication projects. Iran’s transit potential is one of the factors contributing to the strengthening of cooperation with the countries of Central Asia. At the same time, there is mutual interest when the countries of Central Asia that do not have access to the open sea respond positively to Iran’s proposal to strengthen transport and communication cooperation. The Chinese BRI project, where Central Asian countries pl</w:t>
      </w:r>
    </w:p>
    <w:p>
      <w:pPr/>
      <w:r>
        <w:rPr>
          <w:b/>
        </w:rPr>
        <w:t>POSSIBLE 2024:</w:t>
      </w:r>
      <w:r>
        <w:t xml:space="preserve"> ROLE OF INFRASTRUCTURE IN GROWING THE REGIONAL ECONOMY — https://openalex.org/W7215585999</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This article is written about the development of infrastructures in the development of the economy, in which the international and regional infrastructures are highlighted.</w:t>
      </w:r>
    </w:p>
    <w:p>
      <w:pPr/>
      <w:r>
        <w:rPr>
          <w:b/>
        </w:rPr>
        <w:t>POSSIBLE 2024:</w:t>
      </w:r>
      <w:r>
        <w:t xml:space="preserve"> The role of biogumus in potato growing in the conditions of Uzbekistan — https://doi.org/10.1051/e3sconf/202456303025</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This comprehensive scientific article delves into the critical role that biohumus plays in enhancing soil quality and productivity, specifically within the context of potato cultivation. It meticulously explores the multifaceted process of biohumus preparation, outlining the technology and methods involved, and details the optimal rates and timing for applying biohumus to achieve the best outcomes. Biohumus, a rich, organic fertilizer derived from the vermicomposting process, involves the breakdown of organic material by earthworms. This natural fertilizer is lauded for its ability to improve soil structure, enhance water retention, and increase microbial activity, which together contribute to a more fertile ground for plant growth. In the case of potato cultivation, which demands high soil fertility and structure to ensure the development of quality tubers, the application of biohumus is particularly beneficial. The article methodically examines various strategies for the preparation of biohumus, emphasizing the importance of selecting the right raw materials, controlling the vermicomposting environment, and ensuring the maturity of the biohumus before its application. It stresses the significance of understanding the specific needs of the soil and the potato plants to determine the appropriate application rates and periods.</w:t>
      </w:r>
    </w:p>
    <w:p>
      <w:pPr/>
      <w:r>
        <w:rPr>
          <w:b/>
        </w:rPr>
        <w:t>POSSIBLE 2024:</w:t>
      </w:r>
      <w:r>
        <w:t xml:space="preserve"> Urban tourism: The growing role of VFR and immigration — https://doi.org/10.32920/25246657.v1</w:t>
      </w:r>
    </w:p>
    <w:p>
      <w:pPr/>
      <w:r>
        <w:rPr>
          <w:b/>
        </w:rPr>
        <w:t>Shared claim-specific concepts:</w:t>
      </w:r>
      <w:r>
        <w:t xml:space="preserve"> growing, role, approach; EU scope not established. This is a provisional connection, not an outcome finding.</w:t>
      </w:r>
    </w:p>
    <w:p>
      <w:pPr>
        <w:pStyle w:val="SourceNote"/>
      </w:pPr>
      <w:r>
        <w:rPr>
          <w:b/>
        </w:rPr>
        <w:t>Available abstract (not full text):</w:t>
      </w:r>
      <w:r>
        <w:t xml:space="preserve"> Purpose. The purpose of this viewpoint is to offer some insights into the future of urban tourism. The discussion highlights the fact that cities are increasingly hosting immigrants who have a growing impact on how tourism is shaped. Approach. This discussion is based on a literature review and a conceptual approach Findings. The number of immigrants to cities keeps growing. These immigrants are shaping their new communities and changing local culture. They contribute to increased tourism through generating VFR travel and creating new tourist attractions. Limitations and implications. The implications of VFR and immigration on urban tourism are most visible in large urban centers that are major points of entry into a country and international magnets. They are not, however, limited to big cities. Originality/value. This paper discusses a topic rarely discussed: the impact of VFR and immigration on shaping urban tourism.</w:t>
      </w:r>
    </w:p>
    <w:p>
      <w:pPr/>
      <w:r>
        <w:rPr>
          <w:b/>
        </w:rPr>
        <w:t>POSSIBLE 2023:</w:t>
      </w:r>
      <w:r>
        <w:t xml:space="preserve"> Growing role of concrete in sand and climate crises — https://doi.org/10.1016/j.isci.2023.106782</w:t>
      </w:r>
    </w:p>
    <w:p>
      <w:pPr/>
      <w:r>
        <w:rPr>
          <w:b/>
        </w:rPr>
        <w:t>Shared claim-specific concepts:</w:t>
      </w:r>
      <w:r>
        <w:t xml:space="preserve"> growing, role, challenges, improved; EU scope not established. This is a provisional connection, not an outcome finding.</w:t>
      </w:r>
    </w:p>
    <w:p>
      <w:pPr>
        <w:pStyle w:val="SourceNote"/>
      </w:pPr>
      <w:r>
        <w:rPr>
          <w:b/>
        </w:rPr>
        <w:t>Available abstract (not full text):</w:t>
      </w:r>
      <w:r>
        <w:t xml:space="preserve"> Concrete production poses multiple sustainability challenges, including resource over-exploitation and climate change. Here we show that growing global demand for buildings and infrastructure over the past three decades has quadrupled concrete production, reaching ∼26 Gt/year in 2020. As a result, annual requirements for virgin concrete aggregates (∼20 Gt/year) exceeded the extraction of all fossil fuels (∼15 Gt/year), exacerbating sand scarcity, ecosystem destruction, and social conflict. We also show that despite industry efforts to reduce CO 2 emissions by ∼20% per unit of production, mainly through clinker substitution and improved thermal efficiency, increased production has outweighed these gains. Consequently, concrete-related CO 2 emissions have tripled between 1990 and 2020, and its contribution to global emissions has risen from 5% to 9%. We propose that the policy agenda should focus more on limiting production growth by changing how concrete structures are designed, constructed, used, and disposed of to address the sand and climate crises.</w:t>
      </w:r>
    </w:p>
    <w:p>
      <w:pPr/>
      <w:r>
        <w:rPr>
          <w:b/>
        </w:rPr>
        <w:t>POSSIBLE 2023:</w:t>
      </w:r>
      <w:r>
        <w:t xml:space="preserve"> The Role of Lithium-Ion Batteries in the Growing Trend of Electric Vehicles — https://doi.org/10.3390/ma16176063</w:t>
      </w:r>
    </w:p>
    <w:p>
      <w:pPr/>
      <w:r>
        <w:rPr>
          <w:b/>
        </w:rPr>
        <w:t>Shared claim-specific concepts:</w:t>
      </w:r>
      <w:r>
        <w:t xml:space="preserve"> growing, role, goals, challenges; EU scope not established. This is a provisional connection, not an outcome finding.</w:t>
      </w:r>
    </w:p>
    <w:p>
      <w:pPr>
        <w:pStyle w:val="SourceNote"/>
      </w:pPr>
      <w:r>
        <w:rPr>
          <w:b/>
        </w:rPr>
        <w:t>Available abstract (not full text):</w:t>
      </w:r>
      <w:r>
        <w:t xml:space="preserve"> Within the automotive field, there has been an increasing amount of global attention toward the usability of combustion-independent electric vehicles (EVs). Once considered an overly ambitious and costly venture, the popularity and practicality of EVs have been gradually increasing due to the usage of Li-ion batteries (LIBs). Although the topic of LIBs has been extensively covered, there has not yet been a review that covers the current advancements of LIBs from economic, industrial, and technical perspectives. Specific overviews on aspects such as international policy changes, the implementation of cloud-based systems with deep learning capabilities, and advanced EV-based LIB electrode materials are discussed. Recommendations to address the current challenges in the EV-based LIB market are discussed. Furthermore, suggestions for short-term, medium-term, and long-term goals that the LIB-EV industry should follow are provided to ensure its success in the near future. Based on this literature review, it can be suggested that EV-based LIBs will continue to be a hot topic in the years to come and that there is still a large amount of room for their overall advancement.</w:t>
      </w:r>
    </w:p>
    <w:p>
      <w:pPr/>
      <w:r>
        <w:rPr>
          <w:b/>
        </w:rPr>
        <w:t>POSSIBLE 2023:</w:t>
      </w:r>
      <w:r>
        <w:t xml:space="preserve"> The Growing Role of Technology in the Care of Older Adults With Diabetes — https://doi.org/10.2337/dci23-0021</w:t>
      </w:r>
    </w:p>
    <w:p>
      <w:pPr/>
      <w:r>
        <w:rPr>
          <w:b/>
        </w:rPr>
        <w:t>Shared claim-specific concepts:</w:t>
      </w:r>
      <w:r>
        <w:t xml:space="preserve"> growing, role, priorities; EU scope not established. This is a provisional connection, not an outcome finding.</w:t>
      </w:r>
    </w:p>
    <w:p>
      <w:pPr>
        <w:pStyle w:val="SourceNote"/>
      </w:pPr>
      <w:r>
        <w:rPr>
          <w:b/>
        </w:rPr>
        <w:t>Available abstract (not full text):</w:t>
      </w:r>
      <w:r>
        <w:t xml:space="preserve"> The integration of technologies such as continuous glucose monitors, insulin pumps, and smart pens into diabetes management has the potential to support the transformation of health care services that provide a higher quality of diabetes care, lower costs and administrative burdens, and greater empowerment for people with diabetes and their caregivers. Among people with diabetes, older adults are a distinct subpopulation in terms of their clinical heterogeneity, care priorities, and technology integration. The scientific evidence and clinical experience with these technologies among older adults are growing but are still modest. In this review, we describe the current knowledge regarding the impact of technology in older adults with diabetes, identify major barriers to the use of existing and emerging technologies, describe areas of care that could be optimized by technology, and identify areas for future research to fulfill the potential promise of evidence-based technology integrated into care for this important population.</w:t>
      </w:r>
    </w:p>
    <w:p>
      <w:pPr/>
      <w:r>
        <w:rPr>
          <w:b/>
        </w:rPr>
        <w:t>POSSIBLE 2023:</w:t>
      </w:r>
      <w:r>
        <w:t xml:space="preserve"> Growing food, growing food systems: The role of non-profit farms — https://doi.org/10.3389/fsufs.2023.1090682</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The study of non-profit food organizations has focused primarily on food policy, urban gardens, coops, and farmers' markets in cities. Despite significant research on these kinds of food non-profits, research specifically on non-profit farms – organizations that produce food for local communities – is nearly non-existent. We argue that non-profit farms are a category that deserves more research attention. This article asks what services non-profit farms see themselves as providing to their communities, along with a supply of local food. We focus on the missions of non-profit farms, using farms on the GuideStar database of non-profit organizations. We also examine, through interviews and website analysis, the role of non-profit farms in the Hudson Valley, long a hub of non-profit farms. We conclude that local non-profit farms are hybrid organizations that perform services that are similar to local community non-profits, supporting local social welfare, environment, education, and community development roles, along with providing local food access and, in some cases, supporting food system change.</w:t>
      </w:r>
    </w:p>
    <w:p>
      <w:pPr/>
      <w:r>
        <w:rPr>
          <w:b/>
        </w:rPr>
        <w:t>POSSIBLE 2023:</w:t>
      </w:r>
      <w:r>
        <w:t xml:space="preserve"> The growing role of mediation in resolving labour disputes — https://doi.org/10.24144/2307-3322.2023.78.1.51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In the article, the author has emphasized that mediation is faster and easier than litigation, and also brings monetary and non-monetary savings. Monetary savings include the reduction of costs associated with the involvement of lawyers, and the implementation of various procedural and procedural actions. An example of non-monetary savings is the reduction in the amount of stress and anxiety that typically occurs during litigation. And so having a neutral person who can make judicious use of confidential meetings greatly improves the negotiation process. For example, a mediator can provide a necessary reality check by helping the parties assess their strengths and weaknesses.In the article, it has been proved the gradual and decisive increase in the importance of mediation in the resolution of labour disputes, as well as the significant importance of mediation in the USA is given as an example. In the United States, the use of alternative dispute resolution (ADR) by the federal government has increased largely due to the adoption of special laws that direct or encourage the use of this method of labour dispute resolution. Mediation in labour disputes in the US has also become widespread in the private sector.Basic statutes in the US encourage the use of ADR in employment discrimination cases. The National Labour Dispute Resolution Act of 2001 (NEDRA) required, among other thing</w:t>
      </w:r>
    </w:p>
    <w:p>
      <w:pPr/>
      <w:r>
        <w:rPr>
          <w:b/>
        </w:rPr>
        <w:t>POSSIBLE 2023:</w:t>
      </w:r>
      <w:r>
        <w:t xml:space="preserve"> PANoptosis : Mechanisms, biology, and role in disease — https://doi.org/10.1111/imr.13279</w:t>
      </w:r>
    </w:p>
    <w:p>
      <w:pPr/>
      <w:r>
        <w:rPr>
          <w:b/>
        </w:rPr>
        <w:t>Shared claim-specific concepts:</w:t>
      </w:r>
      <w:r>
        <w:t xml:space="preserve"> given, growing, role, improved; EU scope not established. This is a provisional connection, not an outcome finding.</w:t>
      </w:r>
    </w:p>
    <w:p>
      <w:pPr>
        <w:pStyle w:val="SourceNote"/>
      </w:pPr>
      <w:r>
        <w:rPr>
          <w:b/>
        </w:rPr>
        <w:t>Available abstract (not full text):</w:t>
      </w:r>
      <w:r>
        <w:t xml:space="preserve"> Cell death can be executed through distinct subroutines. PANoptosis is a unique inflammatory cell death modality involving the interactions between pyroptosis, apoptosis, and necroptosis, which can be mediated by multifaceted PANoptosome complexes assembled via integrating components from other cell death modalities. There is growing interest in the process and function of PANoptosis. Accumulating evidence suggests that PANoptosis occurs under diverse stimuli, for example, viral or bacterial infection, cytokine storm, and cancer. Given the impact of PANoptosis across the disease spectrum, this review briefly describes the relationships between pyroptosis, apoptosis, and necroptosis, highlights the key molecules in PANoptosome formation and PANoptosis activation, and outlines the multifaceted roles of PANoptosis in diseases together with a potential for therapeutic targeting. We also discuss important concepts and pressing issues for future PANoptosis research. Improved understanding of PANoptosis and its mechanisms is crucial for identifying novel therapeutic targets and strategies.</w:t>
      </w:r>
    </w:p>
    <w:p>
      <w:pPr>
        <w:pStyle w:val="Heading2"/>
      </w:pPr>
      <w:r>
        <w:t>594.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r>
        <w:rPr>
          <w:b/>
        </w:rPr>
        <w:t>POSSIBLE 2023:</w:t>
      </w:r>
      <w:r>
        <w:t xml:space="preserve"> An empirical study on the effect of outdoor illumination and exercise intervention on Children’s vision — https://doi.org/10.3389/fpubh.2023.1270826</w:t>
      </w:r>
    </w:p>
    <w:p>
      <w:pPr/>
      <w:r>
        <w:rPr>
          <w:b/>
        </w:rPr>
        <w:t>Shared claim-specific concepts:</w:t>
      </w:r>
      <w:r>
        <w:t xml:space="preserve"> exercise, different, reducing; EU scope not established. This is a provisional connection, not an outcome finding.</w:t>
      </w:r>
    </w:p>
    <w:p>
      <w:pPr>
        <w:pStyle w:val="SourceNote"/>
      </w:pPr>
      <w:r>
        <w:rPr>
          <w:b/>
        </w:rPr>
        <w:t>Available abstract (not full text):</w:t>
      </w:r>
      <w:r>
        <w:t xml:space="preserve">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pPr/>
      <w:r>
        <w:rPr>
          <w:b/>
        </w:rPr>
        <w:t>POSSIBLE 2023:</w:t>
      </w:r>
      <w:r>
        <w:t xml:space="preserve"> Peripheral Vision in Basketball Players at Different Level of Experience — https://doi.org/10.2478/pjst-2023-0007</w:t>
      </w:r>
    </w:p>
    <w:p>
      <w:pPr/>
      <w:r>
        <w:rPr>
          <w:b/>
        </w:rPr>
        <w:t>Shared claim-specific concepts:</w:t>
      </w:r>
      <w:r>
        <w:t xml:space="preserve"> different, focus, need; EU scope visible. This is a provisional connection, not an outcome finding.</w:t>
      </w:r>
    </w:p>
    <w:p>
      <w:pPr>
        <w:pStyle w:val="SourceNote"/>
      </w:pPr>
      <w:r>
        <w:rPr>
          <w:b/>
        </w:rPr>
        <w:t>Available abstract (not full text):</w:t>
      </w:r>
      <w:r>
        <w:t xml:space="preserve"> Abstract Introduction. This study focuses on the sensory information delivered by the visual system, particularly in the peripheral visual field (PVF). Visual abilities, especially the ability to detect peripheral information, have been identified as important factors for successful performance in team sports. Athletes often need to divide their visual focus between central and peripheral fields to achieve optimal performance. However, research on visual perception in athletes with varying levels of experience is still limited. The aim of the study was to compare peripheral perception of basketball players at different level of experience. Material and Methods. In study 165 basketball players took part at different level of experience. An analysis compare abilities general visual functions (i.e. field of vision) and reaction time to visual stimuli. Peripheral perception was examined using the peripheral test included in Vienna Test System (VTS, Schuhfried, Austria). During the test variables were recorded: total field of vision, viewing angle of the left and right eye., tracking deviation, number of correct reactions, the number of omitted responses and median reaction time – left and right stimuli. Results. The results indicate that the E and U19 groups had significantly shorter response time to stimuli appearing in the peripheral field of vision compared to U15 group. Two mor</w:t>
      </w:r>
    </w:p>
    <w:p>
      <w:pPr/>
      <w:r>
        <w:rPr>
          <w:b/>
        </w:rPr>
        <w:t>POSSIBLE 2023:</w:t>
      </w:r>
      <w:r>
        <w:t xml:space="preserve"> Identifying important questions for Cochrane systematic reviews in Eyes and Vision: Report of a priority setting exercise — https://doi.org/10.1002/cesm.12014</w:t>
      </w:r>
    </w:p>
    <w:p>
      <w:pPr/>
      <w:r>
        <w:rPr>
          <w:b/>
        </w:rPr>
        <w:t>Shared claim-specific concepts:</w:t>
      </w:r>
      <w:r>
        <w:t xml:space="preserve"> exercise, reducing, need; EU scope not established. This is a provisional connection, not an outcome finding.</w:t>
      </w:r>
    </w:p>
    <w:p>
      <w:pPr>
        <w:pStyle w:val="SourceNote"/>
      </w:pPr>
      <w:r>
        <w:rPr>
          <w:b/>
        </w:rPr>
        <w:t>Available abstract (not full text):</w:t>
      </w:r>
      <w:r>
        <w:t xml:space="preserve"> Introduction: Systematic reviews are important to inform decision-making for evidence-based health care and patient choice. Deciding which reviews should be prioritized is a key issue for decision-makers and researchers. Cochrane Eyes and Vision conducted a priority setting exercise for systematic reviews in eye health care. Methods: We established a steering group including practitioners, patient organizations, and researchers. To identify potential systematic review questions, we searched global policy reports, research prioritization exercises, guidelines, systematic review databases, and the Cochrane Library (CENTRAL). We grouped questions into separate condition lists and conducted a two-round online modified Delphi survey, including a ranking request. Participants in the survey were recruited through social media and the networks of the steering group. Results: In Round 1, 343 people ranked one or more of the condition lists. Participants were eye care practitioners (69%), researchers (37%), patients or carers (24%), research providers/funders (5%), or noneye health care practitioners (4%) and from all World Health Organization regions. Two hundred twenty-six people expressed interest in completing Round 2 and 160 of these (71%) completed the Round 2 survey. Reviews on cataract and refractive error, reviews relevant to children, and reviews on rehabilitation were consider</w:t>
      </w:r>
    </w:p>
    <w:p>
      <w:pPr/>
      <w:r>
        <w:rPr>
          <w:b/>
        </w:rPr>
        <w:t>POSSIBLE 2022:</w:t>
      </w:r>
      <w:r>
        <w:t xml:space="preserve"> A Review on Computer Vision Technology for Physical Exercise Monitoring — https://doi.org/10.3390/a15120444</w:t>
      </w:r>
    </w:p>
    <w:p>
      <w:pPr/>
      <w:r>
        <w:rPr>
          <w:b/>
        </w:rPr>
        <w:t>Shared claim-specific concepts:</w:t>
      </w:r>
      <w:r>
        <w:t xml:space="preserve"> exercise, technology, over, active; EU scope not established. This is a provisional connection, not an outcome finding.</w:t>
      </w:r>
    </w:p>
    <w:p>
      <w:pPr>
        <w:pStyle w:val="SourceNote"/>
      </w:pPr>
      <w:r>
        <w:rPr>
          <w:b/>
        </w:rPr>
        <w:t>Available abstract (not full text):</w:t>
      </w:r>
      <w:r>
        <w:t xml:space="preserve"> Physical activity is movement of the body or part of the body to make muscles more active and to lose the energy from the body. Regular physical activity in the daily routine is very important to maintain good physical and mental health. It can be performed at home, a rehabilitation center, gym, etc., with a regular monitoring system. How long and which physical activity is essential for specific people is very important to know because it depends on age, sex, time, people that have specific diseases, etc. Therefore, it is essential to monitor physical activity either at a physical activity center or even at home. Physiological parameter monitoring using contact sensor technology has been practiced for a long time, however, it has a lot of limitations. In the last decades, a lot of inexpensive and accurate non-contact sensors became available on the market that can be used for vital sign monitoring. In this study, the existing research studies related to the non-contact and video-based technologies for various physiological parameters during exercise are reviewed. It covers mainly Heart Rate, Respiratory Rate, Heart Rate Variability, Blood Pressure, etc., using various technologies including PPG, Video analysis using deep learning, etc. This article covers all the technologies using non-contact methods to detect any of the physiological parameters and discusses how technology h</w:t>
      </w:r>
    </w:p>
    <w:p>
      <w:pPr/>
      <w:r>
        <w:rPr>
          <w:b/>
        </w:rPr>
        <w:t>POSSIBLE 2022:</w:t>
      </w:r>
      <w:r>
        <w:t xml:space="preserve"> LONG-TERM VISION FOR RURAL DEVELOPMENT AND CRITICAL ENABLERS FOR ACHIEVING IT - CASE OF MAZOWIECKIE REGION (POLAND) — https://doi.org/10.15544/rd.2021.060</w:t>
      </w:r>
    </w:p>
    <w:p>
      <w:pPr/>
      <w:r>
        <w:rPr>
          <w:b/>
        </w:rPr>
        <w:t>Shared claim-specific concepts:</w:t>
      </w:r>
      <w:r>
        <w:t xml:space="preserve"> visioning, exercise, local, green; EU scope visible. This is a provisional connection, not an outcome finding.</w:t>
      </w:r>
    </w:p>
    <w:p>
      <w:pPr>
        <w:pStyle w:val="SourceNote"/>
      </w:pPr>
      <w:r>
        <w:rPr>
          <w:b/>
        </w:rPr>
        <w:t>Available abstract (not full text):</w:t>
      </w:r>
      <w:r>
        <w:t xml:space="preserve"> Rural areas face significant challenges related to climate and demographic changes as well as green transformation of the economy. First step for such a transition is a long-term vision. Within the SHERPA projects multi-actor platforms were created and they discussed the vision for 2040 for their territories. This participatory process included representatives of science, society, and policy. The participants discussed development challenges, vision and enabling factors for achieving the desirable vision. The aim of the paper is to compare the results of the visioning exercise conducted by the Polish platform located in Mazowieckie region with the results of the other ones and the vision prepared by the European Commission. The results show that the characteristics of a desirable future vision are shared throughout the EU and call for vibrant rural communities and rural attractiveness. Improving availability and accessibility of public and private services as well as digitalization and diversification of rural economy accompanied by a sustainable use of natural resources are key elements of vibrance and attractiveness of rural areas. To achieve this vision not only financial support and more efficient public policies are needed but also greater empowerment of local communities is essential.</w:t>
      </w:r>
    </w:p>
    <w:p>
      <w:pPr>
        <w:pStyle w:val="Heading2"/>
      </w:pPr>
      <w:r>
        <w:t>595.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2023:</w:t>
      </w:r>
      <w:r>
        <w:t xml:space="preserve"> Convoluted filtering for process cycle modeling — https://doi.org/10.1002/eng2.12657</w:t>
      </w:r>
    </w:p>
    <w:p>
      <w:pPr/>
      <w:r>
        <w:rPr>
          <w:b/>
        </w:rPr>
        <w:t>Shared claim-specific concepts:</w:t>
      </w:r>
      <w:r>
        <w:t xml:space="preserve"> after, filtering, limited; EU scope not established. This is a provisional connection, not an outcome finding.</w:t>
      </w:r>
    </w:p>
    <w:p>
      <w:pPr>
        <w:pStyle w:val="SourceNote"/>
      </w:pPr>
      <w:r>
        <w:rPr>
          <w:b/>
        </w:rPr>
        <w:t>Available abstract (not full text):</w:t>
      </w:r>
      <w:r>
        <w:t xml:space="preserve"> Abstract Principles of materials science and engineering, physics, mathematics, and information science are used to extract knowledge and insights from the process‐structure–property‐performance relationships hidden in materials data. The process‐structure modeling can be accelerated without loss of interpretability, with artificial intelligence tools that mimic the salient features of the process and process‐structure relations. In this work, a novel convoluted model‐filtering technique was exploited to build and successfully train the Convoluted Filter (CoFi) artifacts for Fe‐based alloy heat treatment cycles. The artifacts were pre‐trained to filter out deep models that change the surrogate microstructure state after the heat treatment at ambient conditions. Direct representation of the thermal cycle features within knowledge Graph facilitated development of meaningful data models for microstructure evolution, which reduce overfitting to limited datasets.</w:t>
      </w:r>
    </w:p>
    <w:p>
      <w:pPr/>
      <w:r>
        <w:rPr>
          <w:b/>
        </w:rPr>
        <w:t>POSSIBLE 2022:</w:t>
      </w:r>
      <w:r>
        <w:t xml:space="preserve"> Presence-Absence Points for Tree Species Distribution Modelling for Europe — https://doi.org/10.5281/zenodo.5818021</w:t>
      </w:r>
    </w:p>
    <w:p>
      <w:pPr/>
      <w:r>
        <w:rPr>
          <w:b/>
        </w:rPr>
        <w:t>Shared claim-specific concepts:</w:t>
      </w:r>
      <w:r>
        <w:t xml:space="preserve"> after, values, period; EU scope visible. This is a provisional connection, not an outcome finding.</w:t>
      </w:r>
    </w:p>
    <w:p>
      <w:pPr>
        <w:pStyle w:val="SourceNote"/>
      </w:pPr>
      <w:r>
        <w:rPr>
          <w:b/>
        </w:rPr>
        <w:t>Available abstract (not full text):</w:t>
      </w:r>
      <w:r>
        <w:t xml:space="preserve"> The dataset is a collection of presence and absence points for forest tree species for Europe. Each unique combination of longitude, latitude and year was considered as an independent sample. Presence data was obtained from the harmonized tree species occurrence dataset by Heising and Hengl (2020) and absence data from the LUCAS (in-situ source) dataset. A set of 50 different forest tree species was selected from the harmonized tree species dataset and data lacking a temporal observation was overlaid with yearly forest masks derived from land cover maps produced by Parente et al. (2021). We overlaid the points with the probability maps for the classes: 311: Broad-leaved forest, 312: Coniferous forest, 313: Mixed forest, 323: Sclerophyllous forest, 324: Transitional woodland-shrub, 333: Sparsely vegetated area. Points were included in the dataset only if the probability value extracted for at least one of the above classes was ≥ 50% for all the years considered. An additional quality flag was added to distinguish points coming from this operation and the points with original year of observation coming from source datasets. The final dataset contains 4,359,999 observations for and a total of 630 columns. The first 8 columns of the dataset contain metadata information used to uniquely identify the points: id: unique point identifier, year: year of observation, postprocess: quality</w:t>
      </w:r>
    </w:p>
    <w:p>
      <w:pPr/>
      <w:r>
        <w:rPr>
          <w:b/>
        </w:rPr>
        <w:t>POSSIBLE 2022:</w:t>
      </w:r>
      <w:r>
        <w:t xml:space="preserve"> New models for wild ungulates occurrence and hunting yield abundance at European scale — https://doi.org/10.2903/sp.efsa.2022.en-7631</w:t>
      </w:r>
    </w:p>
    <w:p>
      <w:pPr/>
      <w:r>
        <w:rPr>
          <w:b/>
        </w:rPr>
        <w:t>Shared claim-specific concepts:</w:t>
      </w:r>
      <w:r>
        <w:t xml:space="preserve"> limited, period, those; EU scope visible. This is a provisional connection, not an outcome finding.</w:t>
      </w:r>
    </w:p>
    <w:p>
      <w:pPr>
        <w:pStyle w:val="SourceNote"/>
      </w:pPr>
      <w:r>
        <w:rPr>
          <w:b/>
        </w:rPr>
        <w:t>Available abstract (not full text):</w:t>
      </w:r>
      <w:r>
        <w:t xml:space="preserve">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pPr/>
      <w:r>
        <w:rPr>
          <w:b/>
        </w:rPr>
        <w:t>POSSIBLE 2022:</w:t>
      </w:r>
      <w:r>
        <w:t xml:space="preserve"> Ensemble random forest filter: An alternative to the ensemble Kalman filter for inverse modeling — https://doi.org/10.1016/j.jhydrol.2022.128642</w:t>
      </w:r>
    </w:p>
    <w:p>
      <w:pPr/>
      <w:r>
        <w:rPr>
          <w:b/>
        </w:rPr>
        <w:t>Shared claim-specific concepts:</w:t>
      </w:r>
      <w:r>
        <w:t xml:space="preserve"> reconstructing, ensemble, values, computed; EU scope not established. This is a provisional connection, not an outcome finding.</w:t>
      </w:r>
    </w:p>
    <w:p>
      <w:pPr>
        <w:pStyle w:val="SourceNote"/>
      </w:pPr>
      <w:r>
        <w:rPr>
          <w:b/>
        </w:rPr>
        <w:t>Available abstract (not full text):</w:t>
      </w:r>
      <w:r>
        <w:t xml:space="preserve"> The ensemble random forest filter (ERFF) is presented as an alternative to the ensemble Kalman filter (EnKF) for inverse modeling. The EnKF is a data assimilation approach that forecasts and updates parameter estimates sequentially in time as observations are collected. The updating step is based on the experimental covariances computed from an ensemble of realizations, and the updates are given as linear combinations of the differences between observations and forecasted system state values. The ERFF replaces the linear combination in the update step with a non-linear function represented by a random forest. This way, the non-linear relationships between the parameters to be updated and the observations can be captured, and a better update produced. The ERFF is demonstrated for log-conductivity identification from piezometric head observations in several scenarios with varying degrees of heterogeneity (log-conductivity variances going from 1 up to 6.25 (ln m/d)2), number of realizations in the ensemble (50 or 100), and number of piezometric head observations (18 or 36). In all scenarios, the ERFF works well, reconstructing the log-conductivity spatial heterogeneity while matching the observed piezometric heads at selected control points. For benchmarking purposes, the ERFF is compared to the restart EnKF to find that the ERFF is superior to the EnKF for the number of ensemble </w:t>
      </w:r>
    </w:p>
    <w:p>
      <w:pPr/>
      <w:r>
        <w:rPr>
          <w:b/>
        </w:rPr>
        <w:t>POSSIBLE 2022:</w:t>
      </w:r>
      <w:r>
        <w:t xml:space="preserve"> Increase of depression among children and adolescents after the onset of the COVID-19 pandemic in Europe: a systematic review and meta-analysis — https://doi.org/10.1186/s13034-022-00546-y</w:t>
      </w:r>
    </w:p>
    <w:p>
      <w:pPr/>
      <w:r>
        <w:rPr>
          <w:b/>
        </w:rPr>
        <w:t>Shared claim-specific concepts:</w:t>
      </w:r>
      <w:r>
        <w:t xml:space="preserve"> after, mean, long-term; EU scope visible. This is a provisional connection, not an outcome finding.</w:t>
      </w:r>
    </w:p>
    <w:p>
      <w:pPr>
        <w:pStyle w:val="SourceNote"/>
      </w:pPr>
      <w:r>
        <w:rPr>
          <w:b/>
        </w:rPr>
        <w:t>Available abstract (not full text):</w:t>
      </w:r>
      <w:r>
        <w:t xml:space="preserve"> Abstract Background Research points to a high depression burden among youth during the COVID-19 pandemic; however, a lack of systematic evidence exists. We determine the change in depression symptoms among children and adolescents during COVID-19 compared to pre-pandemic baselines. By using country differences in pandemic-related restrictions and school closures in Europe as quasi-experimental design, we evaluate policy impacts on depression. Methods In this systematic review and meta-analysis, following the PRISMA statement, we searched six databases (MEDLINE, EMBASE, PsycINFO, Cochrane Central, Web of Science, WHO COVID-19) using a peer-reviewed search string up until March 18, 2022 with citation tracking and grey literature searches. No limitations regarding language and effect measures existed. We included studies that compared (1) general depression symptoms or (2) clinically relevant depression rates in children and adolescents (≤ 19 years) before and during the COVID-19 pandemic in Europe. The validated Oxford Stringency Index was used as indicator for pandemic-related restrictions. Screening for eligibility, extracting data from published reports and from unpublished data requested directly from study authors, assessing the study risk of bias and grading certainty of evidence using the GRADE approach, were all done in duplicate. Data were pooled in a random-effects mode</w:t>
      </w:r>
    </w:p>
    <w:p>
      <w:pPr/>
      <w:r>
        <w:rPr>
          <w:b/>
        </w:rPr>
        <w:t>POSSIBLE 2022:</w:t>
      </w:r>
      <w:r>
        <w:t xml:space="preserve"> A Lagged Particle Filter for Stable Filtering of Certain High-Dimensional State-Space Models — https://doi.org/10.1137/21m1450392</w:t>
      </w:r>
    </w:p>
    <w:p>
      <w:pPr/>
      <w:r>
        <w:rPr>
          <w:b/>
        </w:rPr>
        <w:t>Shared claim-specific concepts:</w:t>
      </w:r>
      <w:r>
        <w:t xml:space="preserve"> filtering, mean, those; EU scope not established. This is a provisional connection, not an outcome finding.</w:t>
      </w:r>
    </w:p>
    <w:p>
      <w:pPr>
        <w:pStyle w:val="SourceNote"/>
      </w:pPr>
      <w:r>
        <w:rPr>
          <w:b/>
        </w:rPr>
        <w:t>Available abstract (not full text):</w:t>
      </w:r>
      <w:r>
        <w:t xml:space="preserve"> Abstract. We consider the problem of high-dimensional filtering of state-space models (SSMs) at discrete times. This problem is particularly challenging as analytical solutions are typically not available and many numerical approximation methods can have a cost that scales exponentially with the dimension of the hidden state. Inspired by lag-approximation methods for the smoothing problem [G. Kitagawa and S. Sato, Monte Carlo smoothing and self-organising state-space model, in Sequential Monte Carlo Methods in Practice, Springer, New York, 2001, pp. 178–195; J. Olsson et al., Bernoulli, 14 (2008), pp. 155–179], we introduce a lagged approximation of the smoothing distribution that is necessarily biased. For certain classes of SSMs, particularly those that forget the initial condition exponentially fast in time, the bias of our approximation is shown to be uniformly controlled in the dimension and exponentially small in time. We develop a sequential Monte Carlo (SMC) method to recursively estimate expectations with respect to our biased filtering distributions. Moreover, we prove for a class of SSMs that can contain dependencies amongst coordinates that as the dimension [Formula: see text] the cost to achieve a stable mean square error in estimation, for classes of expectations, is of [Formula: see text] per unit time, where [Formula: see text] is the number of simulated samples</w:t>
      </w:r>
    </w:p>
    <w:p>
      <w:pPr>
        <w:pStyle w:val="Heading2"/>
      </w:pPr>
      <w:r>
        <w:t>596.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2024:</w:t>
      </w:r>
      <w:r>
        <w:t xml:space="preserve"> Sex Disparities in Ischemic Heart Disease Mortality in Europe — https://doi.org/10.1016/j.jacadv.2024.101252</w:t>
      </w:r>
    </w:p>
    <w:p>
      <w:pPr/>
      <w:r>
        <w:rPr>
          <w:b/>
        </w:rPr>
        <w:t>Shared claim-specific concepts:</w:t>
      </w:r>
      <w:r>
        <w:t xml:space="preserve"> average, mortality, countries, compared, significant; EU scope visible. This is a provisional connection, not an outcome finding.</w:t>
      </w:r>
    </w:p>
    <w:p>
      <w:pPr>
        <w:pStyle w:val="SourceNote"/>
      </w:pPr>
      <w:r>
        <w:rPr>
          <w:b/>
        </w:rPr>
        <w:t>Available abstract (not full text):</w:t>
      </w:r>
      <w:r>
        <w:t xml:space="preserve">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pPr/>
      <w:r>
        <w:rPr>
          <w:b/>
        </w:rPr>
        <w:t>POSSIBLE 2024:</w:t>
      </w:r>
      <w:r>
        <w:t xml:space="preserve"> Exploring the paradoxical nature of cold temperature mortality in Europe — https://doi.org/10.1038/s41598-024-53675-z</w:t>
      </w:r>
    </w:p>
    <w:p>
      <w:pPr/>
      <w:r>
        <w:rPr>
          <w:b/>
        </w:rPr>
        <w:t>Shared claim-specific concepts:</w:t>
      </w:r>
      <w:r>
        <w:t xml:space="preserve"> average, mortality, high, countries; EU scope visible. This is a provisional connection, not an outcome finding.</w:t>
      </w:r>
    </w:p>
    <w:p>
      <w:pPr>
        <w:pStyle w:val="SourceNote"/>
      </w:pPr>
      <w:r>
        <w:rPr>
          <w:b/>
        </w:rPr>
        <w:t>Available abstract (not full text):</w:t>
      </w:r>
      <w:r>
        <w:t xml:space="preserve"> Abstract While low winter temperatures are associated with increased mortality, this phenomenon has been suggested to be most severe in regions with seemingly mild winters. The study aimed to establish a temperature-based formula that could elucidate the previously ambiguous regional differences in vulnerability to low temperature. European weekly mortality data (2000–2019) were matched with meteorological data to determine for each region vulnerability to temperature decrease and the optimal temperature with lowest mortality. Regression models were developed to generalize and explain these findings considering regional temperature characteristics. Optimal temperature could be predicted based on local average summer temperature (R2 = 85.6%). Regional vulnerability to temperature decrease could be explained by combination of winter and summer temperatures (R2 = 86.1%). Regions with warm winters and cold summers showed the highest vulnerability to decrease of temperature during winter. Contrary to theories about economic disparities Eastern Europe exhibited resistance comparable to Scandinavia. The southern edges of Europe demonstrated serious low temperature vulnerability to decreased temperatures, even if temperature was relatively high around 20 °C. This suggests that the observed connection primarily reflects the modulation of the length of respiratory virus infection seasons</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average, mortality, high, all, three, countries;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Mortality trends in idiopathic pulmonary fibrosis in Europe between 2013 and 2018 — https://doi.org/10.1183/13993003.02080-2023</w:t>
      </w:r>
    </w:p>
    <w:p>
      <w:pPr/>
      <w:r>
        <w:rPr>
          <w:b/>
        </w:rPr>
        <w:t>Shared claim-specific concepts:</w:t>
      </w:r>
      <w:r>
        <w:t xml:space="preserve"> average, mortality, countries, suggest; EU scope visible. This is a provisional connection, not an outcome finding.</w:t>
      </w:r>
    </w:p>
    <w:p>
      <w:pPr>
        <w:pStyle w:val="SourceNote"/>
      </w:pPr>
      <w:r>
        <w:rPr>
          <w:b/>
        </w:rPr>
        <w:t>Available abstract (not full text):</w:t>
      </w:r>
      <w:r>
        <w:t xml:space="preserve"> BACKGROUND: Previous research has suggested that the incidence of idiopathic pulmonary fibrosis (IPF) is increasing in the UK and elsewhere. The aim of this study is to provide contemporary estimates of IPF mortality rates across 24 European Union (EU) countries from 2013 to 2018, using death certificate data from the European Statistics Institution (EUROSTAT) database. METHODS: We extracted country data for IPF (International Classification of Diseases, 10th Revision: code J84.1) mortality from the EUROSTAT dataset. We calculated country-, age- and sex-specific death registration rates between 2013 and 2018. We used direct standardisation to compare rates between countries. We calculated annual trends in mortality rate ratios using a segmented regression model. RESULTS: The overall standardised mortality rate in 24 EU countries during this period was 3.90 (95% CI 3.80-3.90) per 100 000 person-years, with the rate rising from 3.70 in 2013 to 4.00 in 2018 (average annual percent change 1.74%, 95% CI 0.91-2.59%). We observed substantial inter-country differences, with the highest rates detected in Ireland, the UK and Finland, the lowest rate in Bulgaria, and middle rates in Germany, Greece, Italy, the Netherlands, Portugal and Slovenia. CONCLUSIONS: The IPF mortality rate is increasing across Europe. There are currently more than 17 000 deaths recorded from IPF each year in Europ</w:t>
      </w:r>
    </w:p>
    <w:p>
      <w:pPr>
        <w:pStyle w:val="Heading2"/>
      </w:pPr>
      <w:r>
        <w:t>597.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aim, promising, current;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identify, promising, pathways;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Review on the contribution of farming practices and technologies towards climate-smart agricultural outcomes in a European context — https://doi.org/10.1016/j.atech.2024.100413</w:t>
      </w:r>
    </w:p>
    <w:p>
      <w:pPr/>
      <w:r>
        <w:rPr>
          <w:b/>
        </w:rPr>
        <w:t>Shared claim-specific concepts:</w:t>
      </w:r>
      <w:r>
        <w:t xml:space="preserve"> aim, promising, well; EU scope visible. This is a provisional connection, not an outcome finding.</w:t>
      </w:r>
    </w:p>
    <w:p>
      <w:pPr>
        <w:pStyle w:val="SourceNote"/>
      </w:pPr>
      <w:r>
        <w:rPr>
          <w:b/>
        </w:rPr>
        <w:t>Available abstract (not full text):</w:t>
      </w:r>
      <w:r>
        <w:t xml:space="preserve"> The aim of this review was to provide an overview of existing farming practices and technologies in Europe by assessing their contribution to climate-smart agricultural (CSA) outcomes. Following the PRISMA protocol, 110 final selected studies were scrutinized. Altogether 74 different practices and technologies were identified. Using an inductive approach, the identified practices and technologies were categorized, and their potential contribution towards contextualized CSA outcomes—productivity, resilience, GHG mitigation, biodiversity improvement, animal welfare support, water and energy use efficiency—was assessed. Among CSA farming practices, this review highlighted legume-based cover crops, crop rotation, intercropping, and crop diversification as having promising potential to achieve CSA outcomes. Among CSA technologies, precision fertilization, crop protection, and irrigation showed promising potential. Moreover, pasture grazing, legume-based feed additives, improved forage production and holistic husbandry management with precision technologies were identified as promising contributors to CSA outcomes. The review emphasizes that the utilization of smart farming technologies and practices in crop and livestock production systems could positively contribute to achieving one or more outcomes. Overall, the GHG mitigation and farm productivity improvement outcomes were relati</w:t>
      </w:r>
    </w:p>
    <w:p>
      <w:pPr/>
      <w:r>
        <w:rPr>
          <w:b/>
        </w:rPr>
        <w:t>POSSIBLE 2023:</w:t>
      </w:r>
      <w:r>
        <w:t xml:space="preserve"> Use of existing gas infrastructure in European hydrogen economy — https://doi.org/10.1016/j.ijhydene.2023.04.283</w:t>
      </w:r>
    </w:p>
    <w:p>
      <w:pPr/>
      <w:r>
        <w:rPr>
          <w:b/>
        </w:rPr>
        <w:t>Shared claim-specific concepts:</w:t>
      </w:r>
      <w:r>
        <w:t xml:space="preserve"> aim, identify, promising, finland; EU scope visible. This is a provisional connection, not an outcome finding.</w:t>
      </w:r>
    </w:p>
    <w:p>
      <w:pPr>
        <w:pStyle w:val="SourceNote"/>
      </w:pPr>
      <w:r>
        <w:rPr>
          <w:b/>
        </w:rPr>
        <w:t>Available abstract (not full text):</w:t>
      </w:r>
      <w:r>
        <w:t xml:space="preserve"> The rapidly increasing production volume of clean hydrogen creates challenges for transport infrastructure. This study improves understanding of hydrogen transport options in Europe and provides more detailed analysis on the prospects for hydrogen transport in Finland. Previous studies and ongoing pipeline projects were reviewed to identify potential and barriers to hydrogen transport. A fatigue life assessment tool was built because material challenges have been one of the main concerns of hydrogen transportation. Many European countries aim at utilizing existing gas infrastructure for hydrogen. Conducted studies and pilot facilities have provided promising results. Hydrogen reduces the fatigue life of the pipeline, but existing pipelines can be used for hydrogen if pressure variation is maintained at a reasonable level and the maximum operation pressure is limited. Moreover, the use of existing pipelines can reduce hydrogen transport costs, but the suitability of every pipeline for hydrogen must be analyzed, and several issues such as leakage, leakage detection, effects of hydrogen on pipeline assets and end users, corrosion, maintenance, and metering of gas flow must be considered. The development of hydrogen transport will vary within countries depending on the structure of the existing gas infrastructure, and on the future hydrogen use profile.</w:t>
      </w:r>
    </w:p>
    <w:p>
      <w:pPr/>
      <w:r>
        <w:rPr>
          <w:b/>
        </w:rPr>
        <w:t>POSSIBLE 2023:</w:t>
      </w:r>
      <w:r>
        <w:t xml:space="preserve"> Identifying Promising Domains of Decarbonization Technologies: An Improved Methodology — https://doi.org/10.23919/splitech58164.2023.10193705</w:t>
      </w:r>
    </w:p>
    <w:p>
      <w:pPr/>
      <w:r>
        <w:rPr>
          <w:b/>
        </w:rPr>
        <w:t>Shared claim-specific concepts:</w:t>
      </w:r>
      <w:r>
        <w:t xml:space="preserve"> identify, promising, applied; EU scope not established. This is a provisional connection, not an outcome finding.</w:t>
      </w:r>
    </w:p>
    <w:p>
      <w:pPr>
        <w:pStyle w:val="SourceNote"/>
      </w:pPr>
      <w:r>
        <w:rPr>
          <w:b/>
        </w:rPr>
        <w:t>Available abstract (not full text):</w:t>
      </w:r>
      <w:r>
        <w:t xml:space="preserve"> Humanity has sought ways to decarbonize the economies and mitigate the effects of global warming. The scientific community has been producing intensive research on decarbonizing technologies and strategies. This article introduces an improved methodology, based on two available text-mining software, to identify the most relevant domains of decarbonizing technologies presented in scientific papers, research projects and patents. The improvements include the definition of an approach to obtain a final rank of the technologies’ domains and an enhanced procedure to create the semantic dictionary, a critical component for the bibliometric analysis. Moreover, a more robust and comprehensive search string was defined, reconciling the particularities of the used text-mining software. The methodology was applied to the 2011 to 2021 period. The results evidence the twenty better-ranked domains, where energy efficiency/management, hydrogen, generic renewable energy, carbon capture, energy storage and biofuel occupy the six first positions. Hydrogen, carbon capture and energy storage are the domains with a more accelerated increase in the scientific community’s relative interest. In contrast, energy efficiency and management, biofuel, and low-carbon transportation have lost relative interest. Moreover, results show that electrification, hydrogen, and geothermal energy domains significantly</w:t>
      </w:r>
    </w:p>
    <w:p>
      <w:pPr/>
      <w:r>
        <w:rPr>
          <w:b/>
        </w:rPr>
        <w:t>POSSIBLE 2023:</w:t>
      </w:r>
      <w:r>
        <w:t xml:space="preserve"> 2017-2023: state of the art of gene therapies in rare diseases in Europe: the dynamics of clinical R&amp;D, new approved treatments and expected therapies in the pipelines — https://doi.org/10.20517/rdodj.2023.29</w:t>
      </w:r>
    </w:p>
    <w:p>
      <w:pPr/>
      <w:r>
        <w:rPr>
          <w:b/>
        </w:rPr>
        <w:t>Shared claim-specific concepts:</w:t>
      </w:r>
      <w:r>
        <w:t xml:space="preserve"> aim, promising, required, current; EU scope visible. This is a provisional connection, not an outcome finding.</w:t>
      </w:r>
    </w:p>
    <w:p>
      <w:pPr>
        <w:pStyle w:val="SourceNote"/>
      </w:pPr>
      <w:r>
        <w:rPr>
          <w:b/>
        </w:rPr>
        <w:t>Available abstract (not full text):</w:t>
      </w:r>
      <w:r>
        <w:t xml:space="preserve"> Aim: Gene therapies have been tested over the past three decades, and after a first market authorization in 2017, the field is starting to deliver. The study aims to analyze the current development dynamics of gene therapies for rare diseases using the GENOTRIAL database®, which gathers information on gene therapy clinical trials and studies conducted between 2017 and 2023 in Europe. Methods: The study involved extracting and filtering clinical trial data from the EudraCT database. Trials with the keyword "Gene Therapy" were selected and filtered using the "Rare disease" filter. Manual verification was conducted to ensure that the selected trial only concerned gene therapy treatments authorized in Europe for rare diseases in phases I to III. A total of 300 European country-related clinical investigations representing a total of 93 European-specific clinical studies were included in the GENOTRIAL database. The trials were classified by development phases, temporal status, sponsors and investigating countries, rare diseases with their related therapeutic area, and approval regulatory information of the identified gene therapies. Results: Analysis reveals that rare diseases present a promising area for gene therapy development. On average, eight rare disease gene therapy trials are launched each year in Europe. The main sponsors of European clinical trials of gene therapies for ra</w:t>
      </w:r>
    </w:p>
    <w:p>
      <w:pPr/>
      <w:r>
        <w:rPr>
          <w:b/>
        </w:rPr>
        <w:t>POSSIBLE 2022:</w:t>
      </w:r>
      <w:r>
        <w:t xml:space="preserve"> Saline soils worldwide: Identifying the most promising areas for saline agriculture — https://doi.org/10.1016/j.jaridenv.2022.104775</w:t>
      </w:r>
    </w:p>
    <w:p>
      <w:pPr/>
      <w:r>
        <w:rPr>
          <w:b/>
        </w:rPr>
        <w:t>Shared claim-specific concepts:</w:t>
      </w:r>
      <w:r>
        <w:t xml:space="preserve"> aim, identify, promising, well; EU scope not established. This is a provisional connection, not an outcome finding.</w:t>
      </w:r>
    </w:p>
    <w:p>
      <w:pPr>
        <w:pStyle w:val="SourceNote"/>
      </w:pPr>
      <w:r>
        <w:rPr>
          <w:b/>
        </w:rPr>
        <w:t>Available abstract (not full text):</w:t>
      </w:r>
      <w:r>
        <w:t xml:space="preserve"> Salinization poses a major challenge for modern agriculture with considerable areas being salt-affected worldwide. However, these lands can be cultivated by applying saline agriculture, involving soil, water and salt-tolerant crop management methods. The agricultural use of saline soils helps in addressing food security in times of population growth and climate change. Therefore, there is a need to map saline soils and examine conditions under which saline agriculture can be implemented. The aim of this study is to identify locations and surface area of saline soils. The potential areas for saline agricultural production are mapped using the QGIS software with a focus on the most promising lands for saline agriculture. To identify these most promising areas, we apply criteria of soil salinity, soil fertility, soil pH, water availability, presence of irrigation equipment, as well as depleted water basins. Our results show that the total area of salt-affected soils equals 17 million km2, but the largest potential for saline agriculture lays in saline soils above 4 dS/m ECe in non-depleted water basins totalling to 2 million km2. We conclude that further socio-economic analysis is needed to fully determine countries which should be prioritized in exploring the future potential for sustainable food production.</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identify, promising, sector, well, current;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pStyle w:val="Heading2"/>
      </w:pPr>
      <w:r>
        <w:t>598.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2024:</w:t>
      </w:r>
      <w:r>
        <w:t xml:space="preserve"> On the diversity of spatial planning instruments across Europe — https://doi.org/10.4337/9781839106255.00016</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pPr/>
      <w:r>
        <w:rPr>
          <w:b/>
        </w:rPr>
        <w:t>POSSIBLE 2024:</w:t>
      </w:r>
      <w:r>
        <w:t xml:space="preserve"> The meaning of spatial planning in the law of European countries — https://doi.org/10.4337/9781839106255.00014</w:t>
      </w:r>
    </w:p>
    <w:p>
      <w:pPr/>
      <w:r>
        <w:rPr>
          <w:b/>
        </w:rPr>
        <w:t>Shared claim-specific concepts:</w:t>
      </w:r>
      <w:r>
        <w:t xml:space="preserve"> countries, only; EU scope visible. This is a provisional connection, not an outcome finding.</w:t>
      </w:r>
    </w:p>
    <w:p>
      <w:pPr>
        <w:pStyle w:val="SourceNote"/>
      </w:pPr>
      <w:r>
        <w:rPr>
          <w:b/>
        </w:rPr>
        <w:t>Available abstract (not full text):</w:t>
      </w:r>
      <w:r>
        <w:t xml:space="preserve"> The law on spatial planning in member states is fundamental to its practice. The terms used give insights into the way planning is understood. Law assigns powers, duties, rights and lines of accountability for spatial planning. It establishes the outline of planning instruments, procedures and for some countries, their substantive goals for planning. Legal definitions and terms used in Europe are diverse. The chapter explains that there is common attention to establishing arrangements for the regulation of physical development, and in most cases legal means to protect environmental assets. Many countries mandate sustainability and/or economic growth goals for planning in law. No two definitions are the same. Some explain planning primarily as a set of procedures whereas others say much more about what planning is intended to achieve. Some countries specify the components of planning in detail, others provide only a framework within which the specifics can change quickly.</w:t>
      </w:r>
    </w:p>
    <w:p>
      <w:pPr/>
      <w:r>
        <w:rPr>
          <w:b/>
        </w:rPr>
        <w:t>POSSIBLE 2024:</w:t>
      </w:r>
      <w:r>
        <w:t xml:space="preserve"> PLANNED ECONOMY: THE HISTORICAL EXPERIENCE OF THE USSR AND EASTERN EUROPEAN COUNTRIES — https://openalex.org/W7161532853</w:t>
      </w:r>
    </w:p>
    <w:p>
      <w:pPr/>
      <w:r>
        <w:rPr>
          <w:b/>
        </w:rPr>
        <w:t>Shared claim-specific concepts:</w:t>
      </w:r>
      <w:r>
        <w:t xml:space="preserve"> countries, not, production, but, also; EU scope visible. This is a provisional connection, not an outcome finding.</w:t>
      </w:r>
    </w:p>
    <w:p>
      <w:pPr>
        <w:pStyle w:val="SourceNote"/>
      </w:pPr>
      <w:r>
        <w:rPr>
          <w:b/>
        </w:rPr>
        <w:t>Available abstract (not full text):</w:t>
      </w:r>
      <w:r>
        <w:t xml:space="preserve"> This article explores the phenomenon of the planned economy as a centralized management system in which the state exercises strict control over production, pricing, and resource allocation. The study demonstrates that the planned economy model was not a domestic policy of the Union of Soviet Socialist Republics (USSR), but rather a widespread phenomenon that was also implemented in countries across Western and Eastern Europe. The key goal is to eliminate economic backwardness and overcome the «anarchy of production» inherent in capitalism. The authors have analyzed the advantages and disadvantages of implementing a planned economy. They have proven the effectiveness of accelerated industrialization in priority sectors of the economy and the solution of national economic problems in the short term. However, in the long term, the implementation of a planned economy has revealed its systemic drawbacks (chronic shortages of consumer goods, suppression of initiatives, and a complete lack of flexibility).</w:t>
      </w:r>
    </w:p>
    <w:p>
      <w:pPr/>
      <w:r>
        <w:rPr>
          <w:b/>
        </w:rPr>
        <w:t>POSSIBLE 2023:</w:t>
      </w:r>
      <w:r>
        <w:t xml:space="preserve"> EUROPEAN EXPERIENCE OF STRATEGIC PLANNING FOR THE DEVELOPMENT OF TERRITORIAL COMMUNITIES — https://doi.org/10.37332/2309-1533.2023.1.8</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Purpose. The aim of the article is to study of the best practices of the European experience of strategic planning to increase the competitiveness of domestic territorial communities. Methodology of research. The methodological basis of the study was scientific methods of cognition based on a systematic approach to solving the tasks. A number of general and special scientific research methods were used to achieve the set goal and obtain research results: dialectical; monographic (when processing scientific publications); system analysis (when studying the current state of development of territorial communities); abstract and logical (to substantiate the key characteristics of strategic planning for the development of territorial communities); complex analysis (when forming conclusions and proposals for solving tasks) and others. Findings. An analysis of the best practices of strategic planning of European countries was carried out. It was established that there is no universal model of development of territorial communities in European countries, the way of organizing decentralized power in each country is related to its history, political and managerial culture, economy and social experience. It has been established that the strategic approach in the management of European countries has recently become widespread and is used at all levels, from the national to the level of aut</w:t>
      </w:r>
    </w:p>
    <w:p>
      <w:pPr/>
      <w:r>
        <w:rPr>
          <w:b/>
        </w:rPr>
        <w:t>POSSIBLE 2023:</w:t>
      </w:r>
      <w:r>
        <w:t xml:space="preserve"> FDI and Economic Growth – Perspective of Southeast European Countries — https://doi.org/10.2478/zireb-2023-0006</w:t>
      </w:r>
    </w:p>
    <w:p>
      <w:pPr/>
      <w:r>
        <w:rPr>
          <w:b/>
        </w:rPr>
        <w:t>Shared claim-specific concepts:</w:t>
      </w:r>
      <w:r>
        <w:t xml:space="preserve"> countries, become, not, also; EU scope visible. This is a provisional connection, not an outcome finding.</w:t>
      </w:r>
    </w:p>
    <w:p>
      <w:pPr>
        <w:pStyle w:val="SourceNote"/>
      </w:pPr>
      <w:r>
        <w:rPr>
          <w:b/>
        </w:rPr>
        <w:t>Available abstract (not full text):</w:t>
      </w:r>
      <w:r>
        <w:t xml:space="preserve"> Abstract Emergence of new economic entities, through either integration or disintegration, always creates system inefficiencies resulting in temporary economic setbacks. At the macroeconomic level, this brings about slowdown in economic growth and delayed catching up with more advanced economies. In Europe, the turn of the century brought along political and economic disintegration, on one hand, and economic integration, on the other. Demise of planned economies across Eastern Europe caused serious economic turmoil due to market fragmentation. Meanwhile, creation of new economic architecture in the European Union (EU) has created additional challenges of economic restructuring. Therefore, achieving sustainable economic growth and high income has become the ultimate economic policy objective. Equity investment in form of foreign direct investment (FDI) has proven to be the right choice, because influx of fresh capital and know-how enabled strong economic growth and restructuring through increasing labor productivity and economic efficiency. Stronger competitive pressure through FDI contributed to dynamic restructuring, resembling in increasing exports and stronger integration into global economy. Yet, growth rates across countries were not always proportional to the volume of inward FDI, which indicates a certain level of underperformance for some countries. The aim of the paper</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countries, production, energy;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pStyle w:val="Heading2"/>
      </w:pPr>
      <w:r>
        <w:t>599.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European S2k guidelines for hidradenitis suppurativa/acne inversa part 2: Treatment — https://doi.org/10.1111/jdv.20472</w:t>
      </w:r>
    </w:p>
    <w:p>
      <w:pPr/>
      <w:r>
        <w:rPr>
          <w:b/>
        </w:rPr>
        <w:t>Shared claim-specific concepts:</w:t>
      </w:r>
      <w:r>
        <w:t xml:space="preserve"> part, not, experts; EU scope visible. This is a provisional connection, not an outcome finding.</w:t>
      </w:r>
    </w:p>
    <w:p>
      <w:pPr>
        <w:pStyle w:val="SourceNote"/>
      </w:pPr>
      <w:r>
        <w:rPr>
          <w:b/>
        </w:rPr>
        <w:t>Available abstract (not full text):</w:t>
      </w:r>
      <w:r>
        <w:t xml:space="preserve"> INTRODUCTION: This second part of the S2k guidelines is an update of the 2015 S1 European guidelines. OBJECTIVE: These guidelines aim to provide an accepted decision aid for the selection, implementation and assessment of appropriate and sufficient therapy for patients with hidradenitis suppurativa/acne inversa (HS). METHODS: The chapters have been selected after a Delphi procedure among the experts/authors. Certain passages have been adopted without changes from the previous version. Potential treatment complications are not included, being beyond the scope of these guidelines. RESULTS: Since the S1 guidelines publication, validation of new therapeutic approaches has almost completely overhauled the knowledge in the field of HS treatment. Inflammatory nodules/abscesses/draining tunnels are the primary lesions, which enable the classification of the disease severity by new validated tools. In relation to the degree of detectable inflammation, HS is classified into the inflammatory and the predominantly non-inflammatory forms. While the intensity of the inflammatory form can be subdivided by the IHS4 classification in mild, moderate and severe HS and is treated by medication accordingly, the decision on surgical treatment of the predominantly non-inflammatory form is based on the Hurley stage of the affected localization. The effectiveness of oral tetracyclines as an alternative</w:t>
      </w:r>
    </w:p>
    <w:p>
      <w:pPr/>
      <w:r>
        <w:rPr>
          <w:b/>
        </w:rPr>
        <w:t>POSSIBLE 2024:</w:t>
      </w:r>
      <w:r>
        <w:t xml:space="preserve"> Do Preliminary References Increase Public Support for European Law? Experimental Evidence from Germany — https://doi.org/10.1017/s0020818323000243</w:t>
      </w:r>
    </w:p>
    <w:p>
      <w:pPr/>
      <w:r>
        <w:rPr>
          <w:b/>
        </w:rPr>
        <w:t>Shared claim-specific concepts:</w:t>
      </w:r>
      <w:r>
        <w:t xml:space="preserve"> preliminary, many, citizens; EU scope visible. This is a provisional connection, not an outcome finding.</w:t>
      </w:r>
    </w:p>
    <w:p>
      <w:pPr>
        <w:pStyle w:val="SourceNote"/>
      </w:pPr>
      <w:r>
        <w:rPr>
          <w:b/>
        </w:rPr>
        <w:t>Available abstract (not full text):</w:t>
      </w:r>
      <w:r>
        <w:t xml:space="preserve"> Abstract Explanations for the successful expansion and consolidation of the European Union and its legal system have long emphasized the importance of domestic courts’ sending preliminary references to the Court of Justice. Key to many of these theoretical accounts is the claim that domestic courts are better equipped than the Court of Justice to compel national governments to comply with EU law. Integrating insights from the comparative judicial politics literature into the context of the EU's preliminary references system, we provide a theoretical and empirical foundation for this claim by arguing that incorporating domestic courts into the EU legal process enhances public support for expansive judicial interpretations of EU law. We go on to argue, however, that this transfer of legitimacy depends on citizens’ views of the national and European courts. We support our argument with evidence from a preregistered survey experiment fielded in Germany.</w:t>
      </w:r>
    </w:p>
    <w:p>
      <w:pPr/>
      <w:r>
        <w:rPr>
          <w:b/>
        </w:rPr>
        <w:t>POSSIBLE 2023:</w:t>
      </w:r>
      <w:r>
        <w:t xml:space="preserve"> Impact of the European Green Deal on Business Operations—Preliminary Benchmarking — https://doi.org/10.3390/su15107780</w:t>
      </w:r>
    </w:p>
    <w:p>
      <w:pPr/>
      <w:r>
        <w:rPr>
          <w:b/>
        </w:rPr>
        <w:t>Shared claim-specific concepts:</w:t>
      </w:r>
      <w:r>
        <w:t xml:space="preserve"> preliminary, many, also, well; EU scope visible. This is a provisional connection, not an outcome finding.</w:t>
      </w:r>
    </w:p>
    <w:p>
      <w:pPr>
        <w:pStyle w:val="SourceNote"/>
      </w:pPr>
      <w:r>
        <w:rPr>
          <w:b/>
        </w:rPr>
        <w:t>Available abstract (not full text):</w:t>
      </w:r>
      <w:r>
        <w:t xml:space="preserve"> Sustainable development is present in almost every aspect of today’s life. The European Green Deal is characterized by a holistic approach that covers both energy sectors and other spillovers for European Union countries. Implementing the European Green Deal requires many different activities in three main areas. In the countries of the European Union, policies are being implemented to reduce the negative impact of economic activity on the natural environment, because it also affects human health and may even threaten the vitality of some populations. In this article, the research conducted was aimed at identifying actions taken by businesses in order to implement the guidelines of the European Green Deal and the factors hindering and motivating the implementation of eco-changes. It is a program that should be implemented in countries and visible in the activities of enterprises. However, what is its real impact on the pro-ecological and pro-social activities of enterprises? Answers to the listed questions were obtained on the basis of the opinion of an inter-national group of professionals. The study is international, and is a comparative analysis. Operational activities undertaken by businesses in order to implement the guidelines of the European Green Deal and of environmental protection, as well as factors hindering and motivating the implementation of environmental changes</w:t>
      </w:r>
    </w:p>
    <w:p>
      <w:pPr/>
      <w:r>
        <w:rPr>
          <w:b/>
        </w:rPr>
        <w:t>POSSIBLE 2023:</w:t>
      </w:r>
      <w:r>
        <w:t xml:space="preserve"> DELIBERATIVE DEMOCRACY OR DELIBERATIVE SUPRANATIONALISM ? PRELIMINARY INSITGHTS FROM THE CONFERENCE ON THE FUTURE OF EUROPE — https://doi.org/10.24193/ojmne.2023.42.08</w:t>
      </w:r>
    </w:p>
    <w:p>
      <w:pPr/>
      <w:r>
        <w:rPr>
          <w:b/>
        </w:rPr>
        <w:t>Shared claim-specific concepts:</w:t>
      </w:r>
      <w:r>
        <w:t xml:space="preserve"> preliminary, not, only, democratic; EU scope visible. This is a provisional connection, not an outcome finding.</w:t>
      </w:r>
    </w:p>
    <w:p>
      <w:pPr>
        <w:pStyle w:val="SourceNote"/>
      </w:pPr>
      <w:r>
        <w:rPr>
          <w:b/>
        </w:rPr>
        <w:t>Available abstract (not full text):</w:t>
      </w:r>
      <w:r>
        <w:t xml:space="preserve"> The goal of this article is to assess the effectiveness of deliberative democratic mechanisms in the practice of international organization, with the Conference on the Future of Europe serving as the main object of the study.The analysis is focused on a comparison of the usefulness of two concepts (deliberative democracy and deliberative supranationalism) to the analysis of the EU political decision-making.On the basis of both approaches four hypotheses are formulated and initially verified.The dependent variables of the hypotheses are confronted with the essential features of the course and follow-up of the Conference in the first year after its conclusion.The most important results of the study include four findings.Firstly, the structure of the Conference did not fully correspond to the assumptions of the concept of deliberative democracy, while -secondly -the substantial quality of the Conference's proposals was low.Thirdly, one year after the conclusion of the Conference, no interinstitutional debate on the implementation of its proposals has started.Fourthly, there is no inter-state discussion on the results of the Conference, no Convention is planned, and support for introducing treaty changes is low.So far, the only measurable results of the Conference are minor non-treaty reforms proposed by the Commission.Therefore, the introduction of the principles of deliberative d</w:t>
      </w:r>
    </w:p>
    <w:p>
      <w:pPr/>
      <w:r>
        <w:rPr>
          <w:b/>
        </w:rPr>
        <w:t>POSSIBLE 2023:</w:t>
      </w:r>
      <w:r>
        <w:t xml:space="preserve"> 1 Preliminaries — https://doi.org/10.1515/9783110786996-001</w:t>
      </w:r>
    </w:p>
    <w:p>
      <w:pPr/>
      <w:r>
        <w:rPr>
          <w:b/>
        </w:rPr>
        <w:t>Shared claim-specific concepts:</w:t>
      </w:r>
      <w:r>
        <w:t xml:space="preserve"> see, many, not, but, also; EU scope visible. This is a provisional connection, not an outcome finding.</w:t>
      </w:r>
    </w:p>
    <w:p>
      <w:pPr>
        <w:pStyle w:val="SourceNote"/>
      </w:pPr>
      <w:r>
        <w:rPr>
          <w:b/>
        </w:rPr>
        <w:t>Available abstract (not full text):</w:t>
      </w:r>
      <w:r>
        <w:t xml:space="preserve"> Preliminaries 1.Printing in Arabic before 1700: the Western European PressesAs a commodity, paper reached Europe in the 12 th century through the Arab merchants who traversed North Africa. 1 Like parchment, this early paper was very fragile, as it was made with plant-based resins that gave it little sturdiness.Over the following two centuries, manufacturing technologies and paper workshops appeared in Europe, where animal-based glues and more evolved tools were used in paper production.The gradual replacement of wool with flax brought greater strength to the final product and allowed paper to last longer.One of the centers of paper manufacture was Genoa, where many printing presses were then set up, owing to the availability of paper.As a marking technique, stamping was developed quite early in human history.On the Mediterranean coasts, the process of applying engraved brass plates to tanned animal skins, to obtain ornamental motifs, was transferred to making covers for manuscript codices. 2 In the 14 th century, Europe saw the coming of imprinted cloths from East Asia, made by pressing colored inks onto the textiles with wood or metal tools.3 Towards the middle of the 14 th century, Middle Eastern and subsequently European printing technology had reached the phase of xylographs or block prints: wooden plates engraved with sacred words, biblical scenes, images of saints, or bri</w:t>
      </w:r>
    </w:p>
    <w:p>
      <w:pPr/>
      <w:r>
        <w:rPr>
          <w:b/>
        </w:rPr>
        <w:t>POSSIBLE 2022:</w:t>
      </w:r>
      <w:r>
        <w:t xml:space="preserve"> A Preliminary European-Scale Assessment of Microplastics in Urban Wastewater — https://doi.org/10.3389/fenvs.2022.912323</w:t>
      </w:r>
    </w:p>
    <w:p>
      <w:pPr/>
      <w:r>
        <w:rPr>
          <w:b/>
        </w:rPr>
        <w:t>Shared claim-specific concepts:</w:t>
      </w:r>
      <w:r>
        <w:t xml:space="preserve"> preliminary, not, well; EU scope visible. This is a provisional connection, not an outcome finding.</w:t>
      </w:r>
    </w:p>
    <w:p>
      <w:pPr>
        <w:pStyle w:val="SourceNote"/>
      </w:pPr>
      <w:r>
        <w:rPr>
          <w:b/>
        </w:rPr>
        <w:t>Available abstract (not full text):</w:t>
      </w:r>
      <w:r>
        <w:t xml:space="preserve"> Microplastics (MP) are not well defined from an analytical point of view and their measurement in the environment is still challenging. At the same time, their increasingly widespread presence is raising concerns for human health and ecosystems. In this contribution, we present a preliminary European-scale assessment of the environmental input of MP through urban wastewater and urban runoff. We quantify the emissions associated with urban wastewater based on the range of observed concentrations in wastewater treatment plants (WWTPs) effluents, and the emissions from tire wear particles (TWP) by assuming that a percentage of the particles generated on roads eventually reaches surface waters. In spite of the large uncertainties entailed in the calculation, it is apparent that TWP dominate the input of total plastic loads into European surface waters. The management of urban runoff, road runoff, and combined sewer overflows (CSO) is essential to control the emissions of MP from urban areas. On the other hand, WWTPs retain the majority of MP in the sewage sludge. The spreading of sewage sludge onto soil therefore represents a potential pathway of MP from urban wastewater into the environment.</w:t>
      </w:r>
    </w:p>
    <w:p>
      <w:pPr/>
      <w:r>
        <w:rPr>
          <w:b/>
        </w:rPr>
        <w:t>POSSIBLE 2022:</w:t>
      </w:r>
      <w:r>
        <w:t xml:space="preserve"> The Regional Development Trap in Europe — https://doi.org/10.1080/00130095.2022.2080655</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European consensus-based interdisciplinary guideline for melanoma. Part 2: Treatment - Update 2022 — https://doi.org/10.1016/j.ejca.2022.04.018</w:t>
      </w:r>
    </w:p>
    <w:p>
      <w:pPr/>
      <w:r>
        <w:rPr>
          <w:b/>
        </w:rPr>
        <w:t>Shared claim-specific concepts:</w:t>
      </w:r>
      <w:r>
        <w:t xml:space="preserve"> part, not, experts; EU scope visible. This is a provisional connection, not an outcome finding.</w:t>
      </w:r>
    </w:p>
    <w:p>
      <w:pPr>
        <w:pStyle w:val="SourceNote"/>
      </w:pPr>
      <w:r>
        <w:rPr>
          <w:b/>
        </w:rPr>
        <w:t>Available abstract (not full text):</w:t>
      </w:r>
      <w:r>
        <w:t xml:space="preserve"> A unique collaboration of multidisciplinary experts from the European Dermatology Forum (EDF), the European Association of Dermato-Oncology (EADO), and the European Organization of Research and Treatment of Cancer (EORTC) was formed to make recommendations on cutaneous melanoma diagnosis and treatment, based on the systematic literature reviews and the experts' experience. Cutaneous melanomas are excised with one to 2-cm safety margins. Sentinel lymph node dissection shall be performed as a staging procedure in patients with tumor thickness ≥1.0 mm or ≥0.8 mm with additional histological risk factors, although there is as yet no clear survival benefit for this approach. Therapeutic decisions in stage III/IV patients should be primarily made by an interdisciplinary oncology team ("tumor board"). Adjuvant therapies can be proposed in stage III/completely resected stage IV patients and are primarily anti-PD-1, independent of mutational status, or alternatively dabrafenib plus trametinib for BRAF mutant patients. In distant metastases (stage IV), either resected or not, systemic treatment is always indicated. For first-line treatment particularly in BRAF wild-type patients, immunotherapy with PD-1 antibodies alone or in combination with CTLA-4 antibodies shall be considered. In stage IV melanoma with a BRAF-V600 E/K mutation, first-line therapy with BRAF/MEK inhibitors can be offer</w:t>
      </w:r>
    </w:p>
    <w:p>
      <w:pPr>
        <w:pStyle w:val="Heading2"/>
      </w:pPr>
      <w:r>
        <w:t>600.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2024:</w:t>
      </w:r>
      <w:r>
        <w:t xml:space="preserve"> Using Numerical Weather Prediction Models for Climate Modeling — https://doi.org/10.1134/s0001433824700610</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The concept of seamless prediction atmospheric models designed both for numerical weather forecasting and climate change modeling is considered. It consists of the fact that there are no artificial time boundaries in the atmosphere that separate synoptic, seasonal, and interannual scales. Due to the nonlinearity of the atmosphere, the processes of all spatial and time scales interact with each other. Thus, an atmospheric model focused on reproducing any phenomena must adequately reproduce phenomena of all time scales. It is wrong to talk about seamless atmosphere models as universal models that function at any possible mesh sizes. The same model cannot be used at the horizontal resolution of about 1–2 and 50–80 km, since the processes of convective precipitation formation are mainly described explicitly in the first case, while the deep convection is a subgrid scale process that has to be parametrized in the second case. This article provides an overview of the implementations of multiscale models with the example of some foreign (the unified model (UM) of the UK MetOffice and the European model EC Earth 3) and Russian SL-AV (Semi-Lagrangian, based on the Absolute Vorticity equation) atmosphere general circulation model. An example of a modification to the deep convection parameterization developed for the climate version of the SL-AV model is given that significantly </w:t>
      </w:r>
    </w:p>
    <w:p>
      <w:pPr/>
      <w:r>
        <w:rPr>
          <w:b/>
        </w:rPr>
        <w:t>POSSIBLE 2024:</w:t>
      </w:r>
      <w:r>
        <w:t xml:space="preserve"> The fire weather in Europe: large-scale trends towards higher danger — https://doi.org/10.1088/1748-9326/ad5b09</w:t>
      </w:r>
    </w:p>
    <w:p>
      <w:pPr/>
      <w:r>
        <w:rPr>
          <w:b/>
        </w:rPr>
        <w:t>Shared claim-specific concepts:</w:t>
      </w:r>
      <w:r>
        <w:t xml:space="preserve"> weather, regional, climate, warming; EU scope visible. This is a provisional connection, not an outcome finding.</w:t>
      </w:r>
    </w:p>
    <w:p>
      <w:pPr>
        <w:pStyle w:val="SourceNote"/>
      </w:pPr>
      <w:r>
        <w:rPr>
          <w:b/>
        </w:rPr>
        <w:t>Available abstract (not full text):</w:t>
      </w:r>
      <w:r>
        <w:t xml:space="preserve"> Abstract The climate over Europe has been recorded to be hotter, drier, and more fire-prone over the last decade than ever before, leading to concerns about how climate change will alter fire weather in the future. A typical measure to estimate fire weather severity based on climate is the Canadian fire weather index (FWI). In this study, we used high-resolution, bias-corrected climate model output (∼9 km) from six CMIP6 climate models and four shared socio-economic pathway projections (SSPs) to calculate consistent and comparable daily FWI datasets for Europe from 1950 to 2080. Our study aims to identify regional and large-scale shifts in fire weather severity and its predictability over time to support adaptive planning. We show that irrespective of the future SSP, fire weather will become more severe, but the increase is much stronger under high greenhouse gas emissions. This leads to new areas being exposed to severe fire weather, such as central Europe and rapidly warming mountainous areas. Already fire-prone regions in southern Europe will experience more extreme conditions. We conclude that only the low-emission SSP1-2.6 pathway can prevent strong increases in fire weather beyond the 2050s. Fire surveillance and management will become more important, even in areas and in seasons where they have not been in the focus so far.</w:t>
      </w:r>
    </w:p>
    <w:p>
      <w:pPr/>
      <w:r>
        <w:rPr>
          <w:b/>
        </w:rPr>
        <w:t>POSSIBLE 2023:</w:t>
      </w:r>
      <w:r>
        <w:t xml:space="preserve"> Evaluating neural network models in site-specific solar PV forecasting using numerical weather prediction data and weather observations — https://doi.org/10.1016/j.renene.2023.02.130</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The effective use of solar photovoltaic (PV) installations implies the integration of solar PV output into overall energy consumption planning, optimization, and control. Moreover, day-ahead trading of electricity in Europe makes day-ahead solar PV forecasting utterly important, and thus its accuracy becomes of particular interest. Data-driven PV forecasting models are typically trained using numerical weather prediction (NWP) data, the availability of which represents one of the main obstacles in modeling. In this study, we investigate an alternative scenario, in which an artificial neural network (ANN) is trained on weather observations and then tested on NWP data to simulate the model's use in operational PV forecasting. In the experiments, solar PV output data, historical weather observations, and historical NWP data were collected from three sites in eastern Finland. The results showed that, although training ANN on observational data leads to a slight decrease in its performance compared to ANN trained on NWP data, it still outperforms a physical model. In practice, this alternative scenario means that if historical NWP data are not available for model training, observational data allow effective model selection and parameter tuning, and then generalization error estimates are gradually updated using online NWP data.</w:t>
      </w:r>
    </w:p>
    <w:p>
      <w:pPr/>
      <w:r>
        <w:rPr>
          <w:b/>
        </w:rPr>
        <w:t>POSSIBLE 2023:</w:t>
      </w:r>
      <w:r>
        <w:t xml:space="preserve"> EURO1k: A high-resolution European weather model developed by Meteomatics — https://doi.org/10.5194/egusphere-egu23-16670</w:t>
      </w:r>
    </w:p>
    <w:p>
      <w:pPr/>
      <w:r>
        <w:rPr>
          <w:b/>
        </w:rPr>
        <w:t>Shared claim-specific concepts:</w:t>
      </w:r>
      <w:r>
        <w:t xml:space="preserve"> uses, weather, local,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the weather accurately due to limitations in spatial resolution. Global models with broad resolution are unable to represent small-scale weather features, such as convective thunderstorms or local wind patterns, while regional high resolution models are highly dependent on boundary conditions and typically provide forecasts for a small domain. To fill this gap, Meteomatics has developed the EURO1k model, the first pan-European weather model with a 1km2 resolution. The EURO1k model consists of approximately 20 million grid points and is run 24 times per day, with a forecast horizon of 24 hours. It is based on the WRF (Weather Research and Forecasting) model and uses global ECMWF-IFS model data for boundary conditions. In addition to standard data sources such as weather stations, radar and satellite data, and radiosondes, the EURO1k model also ingests data from a network of Meteodrones, small unmanned aircraft systems (UAS) developed by Meteomatics which collect vertical atmospheric profiles up to 6000m in altitude. The high resolution of the EURO1k model allows it to accurately represent small-scale weather patterns, resulting in highly accurate and precise forec</w:t>
      </w:r>
    </w:p>
    <w:p>
      <w:pPr/>
      <w:r>
        <w:rPr>
          <w:b/>
        </w:rPr>
        <w:t>POSSIBLE 2023:</w:t>
      </w:r>
      <w:r>
        <w:t xml:space="preserve"> EURO1k: A high-resolution European weather model developed by Meteomatics — https://doi.org/10.5194/ems2023-486</w:t>
      </w:r>
    </w:p>
    <w:p>
      <w:pPr/>
      <w:r>
        <w:rPr>
          <w:b/>
        </w:rPr>
        <w:t>Shared claim-specific concepts:</w:t>
      </w:r>
      <w:r>
        <w:t xml:space="preserve"> uses, weather,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atmospheric processes accurately due to limitations in spatial resolution. To fill this gap, Meteomatics has developed the EURO1k model, the first pan-European weather model with a spatial resolution of 1 km. The EURO1k model grid covers 4250 x 4580 km and is run in a rapid-update setup with 24 initializations per day, each run with a lead time of 24 hours. It is based on the Weather Research and Forecasting (WRF) model and uses global ECMWF-IFS model data for boundary conditions. In addition to standard data sources such as weather stations, radar and satellite data, and radiosondes, the EURO1k model also assimilates data from a network of Meteodrones, unmanned aircraft systems (UAS) developed by Meteomatics which collect vertical atmospheric profiles up to 6000m in altitude. The high spatial and temporal resolution of the EURO1k model allows to accurately represent small-scale weather patterns, resulting in highly accurate and precise forecasts. Indeed, statistical analyses of EURO1k model output against observations from 5000 weather stations in Europe demonstrate increased accuracy compared to other global and regional models. This has important implications </w:t>
      </w:r>
    </w:p>
    <w:p>
      <w:pPr/>
      <w:r>
        <w:rPr>
          <w:b/>
        </w:rPr>
        <w:t>POSSIBLE 2023:</w:t>
      </w:r>
      <w:r>
        <w:t xml:space="preserve"> Gaussian copula modeling of extreme cold and weak-wind events over Europe conditioned on winter weather regimes — https://doi.org/10.1088/1748-9326/acb6aa</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A transition to renewable energy is needed to mitigate climate change. In Europe, this transition has been led by wind energy, which is one of the fastest growing energy sources. However, energy demand and production are sensitive to meteorological conditions and atmospheric variability at multiple time scales. To accomplish the required balance between these two variables, critical conditions of high demand and low wind energy supply must be considered in the design of energy systems. We describe a methodology for modeling joint distributions of meteorological variables without making any assumptions about their marginal distributions. In this context, Gaussian copulas are used to model the correlated nature of cold and weak-wind events. The marginal distributions are modeled with logistic regressions defining two sets of binary variables as predictors: four large-scale weather regimes (WRs) and the months of the extended winter season. By applying this framework to ERA5 data, we can compute the joint probabilities of co-occurrence of cold and weak-wind events on a high-resolution grid ( 0.2 ∘ ) .Our results show that (a) WRs must be considered when modeling cold and weak-wind events, (b) it is essential to account for the correlations between these events when modeling their joint distribution, (c) we need to analyze each month separately, and (d) the highest estimat</w:t>
      </w:r>
    </w:p>
    <w:p>
      <w:pPr/>
      <w:r>
        <w:rPr>
          <w:b/>
        </w:rPr>
        <w:t>POSSIBLE 2023:</w:t>
      </w:r>
      <w:r>
        <w:t xml:space="preserve"> A ML approach for Post-processing of NWP model on the European Weather Cloud — https://doi.org/10.5194/ems2023-489</w:t>
      </w:r>
    </w:p>
    <w:p>
      <w:pPr/>
      <w:r>
        <w:rPr>
          <w:b/>
        </w:rPr>
        <w:t>Shared claim-specific concepts:</w:t>
      </w:r>
      <w:r>
        <w:t xml:space="preserve"> weather, different; EU scope visible. This is a provisional connection, not an outcome finding.</w:t>
      </w:r>
    </w:p>
    <w:p>
      <w:pPr>
        <w:pStyle w:val="SourceNote"/>
      </w:pPr>
      <w:r>
        <w:rPr>
          <w:b/>
        </w:rPr>
        <w:t>Available abstract (not full text):</w:t>
      </w:r>
      <w:r>
        <w:t xml:space="preserve"> In the present study, the research activities aiming at investigating the use of modern Machine Learning algorithms for the early detection of convective systems are shown.The study conceived and carried out at the Italian Air-Force Meteorological Centre, co-funded in the framework of the EUMETNET-SRNWP-EPS Project, focuses on the post-processing of NWP model output to provide to the forecasters an improved Decision Support System specifically designed for aviation hazards and severe weather phenomena, such as thunderstorms. In detail, the NWP fields generated from operational Limited Area Models (COSMO-IT, 2.2 km horizontal resolution) running at CNMCA (Centro Nazionale Meteorologia e Climatologia Aerospaziale, Italian AirForce Met Service) and ECMWF, were processed and fed, as input features, to a properly designed decision tree. Different targets were defined to train the ML model, starting from independent observation datasets, which include radar, lightning and satellite-derived observations. The products mentioned above and the input features were co-located in space and time to assess the correlation between the signal (the information content of NWP products) and the weather phenomenon (e.g., convective instability). The ML tool operates in near real-time mode for the prediction/test phase and offline mode for the training/validation phase. It runs on the European Weath</w:t>
      </w:r>
    </w:p>
    <w:p>
      <w:pPr/>
      <w:r>
        <w:rPr>
          <w:b/>
        </w:rPr>
        <w:t>POSSIBLE 2023:</w:t>
      </w:r>
      <w:r>
        <w:t xml:space="preserve"> Intersecting near-optimal spaces: European power systems with more resilience to weather variability — https://doi.org/10.1016/j.eneco.2022.106496</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We suggest a new methodology for designing robust energy systems. For this, we investigate so-called near-optimal solutions to energy system optimisation models; solutions whose objective values deviate only marginally from the optimum. Using a refined method for obtaining explicit geometric descriptions of these near-optimal feasible spaces, we find designs that are as robust as possible to perturbations. This contributes to the ongoing debate on how to define and work with robustness in energy systems modelling. We apply our methods in an investigation using multiple decades of weather data. For the first time, we run a capacity expansion model of the European power system (one node per country) with a three-hourly temporal resolution and 41 years of weather data. While an optimisation with 41 weather years is at the limits of computational feasibility, we use the near-optimal feasible spaces of single years to gain an understanding of the design space over the full time period. Specifically, we intersect all near-optimal feasible spaces for the individual years in order to get designs that are likely to be feasible over the entire time period. We find significant potential for investment flexibility, and verify the feasibility of these designs by simulating the resulting dispatch problem with four decades of weather data. They are characterised by a shift towards more onshor</w:t>
      </w:r>
    </w:p>
    <w:p>
      <w:pPr/>
      <w:r>
        <w:rPr>
          <w:b/>
        </w:rPr>
        <w:t>POSSIBLE 2023:</w:t>
      </w:r>
      <w:r>
        <w:t xml:space="preserve"> ClimaX: A foundation model for weather and climate — https://doi.org/10.48550/arxiv.2301.10343</w:t>
      </w:r>
    </w:p>
    <w:p>
      <w:pPr/>
      <w:r>
        <w:rPr>
          <w:b/>
        </w:rPr>
        <w:t>Shared claim-specific concepts:</w:t>
      </w:r>
      <w:r>
        <w:t xml:space="preserve"> weather, different, climate; EU scope not established. This is a provisional connection, not an outcome finding.</w:t>
      </w:r>
    </w:p>
    <w:p>
      <w:pPr>
        <w:pStyle w:val="SourceNote"/>
      </w:pPr>
      <w:r>
        <w:rPr>
          <w:b/>
        </w:rPr>
        <w:t>Available abstract (not full text):</w:t>
      </w:r>
      <w:r>
        <w:t xml:space="preserve"> Most state-of-the-art approaches for weather and climate modeling are based on physics-informed numerical models of the atmosphere. These approaches aim to model the non-linear dynamics and complex interactions between multiple variables, which are challenging to approximate. Additionally, many such numerical models are computationally intensive, especially when modeling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We develop and demonstrate ClimaX, a flexible and generalizable deep learning model for weather and climate science that can be trained using heterogeneous datasets spanning different variables, spatio-temporal coverage, and physical groundings. ClimaX extends the Transformer architecture with novel encoding and aggregation blocks that allow effective use of available compute while maintaining general utility. ClimaX is pre-trained with a self-supervised learning objective on climate datasets derived from CMIP6. The pre-trained ClimaX can then be fine-tuned to address a </w:t>
      </w:r>
    </w:p>
    <w:p>
      <w:pPr>
        <w:pStyle w:val="Heading2"/>
      </w:pPr>
      <w:r>
        <w:t>601.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r>
        <w:rPr>
          <w:b/>
        </w:rPr>
        <w:t>POSSIBLE 2022:</w:t>
      </w:r>
      <w:r>
        <w:t xml:space="preserve"> Model order reduction for bifurcating phenomena in fluid‐structure interaction problems — https://doi.org/10.1002/fld.5118</w:t>
      </w:r>
    </w:p>
    <w:p>
      <w:pPr/>
      <w:r>
        <w:rPr>
          <w:b/>
        </w:rPr>
        <w:t>Shared claim-specific concepts:</w:t>
      </w:r>
      <w:r>
        <w:t xml:space="preserve"> order, phenomena; EU scope not established. This is a provisional connection, not an outcome finding.</w:t>
      </w:r>
    </w:p>
    <w:p>
      <w:pPr>
        <w:pStyle w:val="SourceNote"/>
      </w:pPr>
      <w:r>
        <w:rPr>
          <w:b/>
        </w:rPr>
        <w:t>Available abstract (not full text):</w:t>
      </w:r>
      <w:r>
        <w:t xml:space="preserve"> This work explores the development and the analysis of an efficient reduced order model for the study of a bifurcating phenomenon, known as the Coandă effect, in a multi-physics setting involving fluid and solid media. Taking into consideration a fluid-structure interaction problem, we aim at generalizing previous works towards a more reliable description of the physics involved. In particular, we provide several insights on how the introduction of an elastic structure influences the bifurcating behavior. We have addressed the computational burden by developing a reduced order branch-wise algorithm based on a monolithic proper orthogonal decomposition. We compared different constitutive relations for the solid, and we observed that a nonlinear hyper-elastic law delays the bifurcation w.r.t. the standard model, while the same effect is even magnified when considering linear elastic solid.</w:t>
      </w:r>
    </w:p>
    <w:p>
      <w:pPr/>
      <w:r>
        <w:rPr>
          <w:b/>
        </w:rPr>
        <w:t>POSSIBLE 2022:</w:t>
      </w:r>
      <w:r>
        <w:t xml:space="preserve"> Review of degradation and failure phenomena in photovoltaic modules — https://doi.org/10.1016/j.rser.2022.112160</w:t>
      </w:r>
    </w:p>
    <w:p>
      <w:pPr/>
      <w:r>
        <w:rPr>
          <w:b/>
        </w:rPr>
        <w:t>Shared claim-specific concepts:</w:t>
      </w:r>
      <w:r>
        <w:t xml:space="preserve"> order, phenomena, they; EU scope not established. This is a provisional connection, not an outcome finding.</w:t>
      </w:r>
    </w:p>
    <w:p>
      <w:pPr>
        <w:pStyle w:val="SourceNote"/>
      </w:pPr>
      <w:r>
        <w:rPr>
          <w:b/>
        </w:rPr>
        <w:t>Available abstract (not full text):</w:t>
      </w:r>
      <w:r>
        <w:t xml:space="preserve"> The degradation of photovoltaic (PV) systems is one of the key factors to address in order to reduce the cost of the electricity produced by increasing the operational lifetime of PV systems. To reduce the degradation, it is imperative to know the degradation and failure phenomena. This review article has been prepared to present an overview of the state-of-the-art knowledge on the reliability of PV modules. Whilst the most common technology today is mono- and multi-crystalline silicon, this article aims to give a generic summary which is relevant for a wider range of photovoltaic technologies including cadmium telluride, copper indium gallium selenide and emerging low-cost high-efficiency technologies. The review consists of three parts: firstly, a brief contextual summary about reliability metrics and how reliability is measured. Secondly, a summary of the main stress factors and how they influence module degradation. Finally, a detailed review of degradation and failure modes, which has been partitioned by the individual component within a PV module. This section connects the degradation phenomena and failure modes to the module component, and its effects on the PV system. Building on this knowledge, strategies to improve the operational lifetime of PV systems and thus, to reduce the electricity cost can be devised. Through extensive testing and failure analysis, researchers</w:t>
      </w:r>
    </w:p>
    <w:p>
      <w:pPr/>
      <w:r>
        <w:rPr>
          <w:b/>
        </w:rPr>
        <w:t>POSSIBLE 2022:</w:t>
      </w:r>
      <w:r>
        <w:t xml:space="preserve"> Conceptualizing Emotion Regulation and Coregulation as Family-Level Phenomena — https://doi.org/10.1007/s10567-022-00378-4</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The ability to regulate one's emotions is foundational for healthy development and functioning in a multitude of domains, whereas difficulties in emotional regulation are recognized as a risk factor for a range of adverse outcomes in childhood, adolescence, and adulthood. Caregivers play a key role in cultivating the development of emotion regulation through coregulation, or the processes by which they provide external support or scaffolding as children navigate their emotional experiences. The vast majority of research to date has examined coregulation in the context of caregiver-child dyads. In this paper, we consider emotion regulation and coregulation as family-level processes that unfold within and across multiple family subsystems and explore how triadic and whole family interactions may contribute to the development of children's emotion regulation skills. Furthermore, we will examine the implications of a family-centered perspective on emotion regulation for prevention of and intervention for childhood emotional and behavioral disorders. Because emotion regulation skills undergo such dramatic maturation during children's first several years of life, much of our focus will be on coregulation within and across the family system during early childhood; however, as many prevention and intervention approaches are geared toward school-aged children and adolescents, we will al</w:t>
      </w:r>
    </w:p>
    <w:p>
      <w:pPr/>
      <w:r>
        <w:rPr>
          <w:b/>
        </w:rPr>
        <w:t>POSSIBLE 2022:</w:t>
      </w:r>
      <w:r>
        <w:t xml:space="preserve"> A Reduced Order Model based on Artificial Neural Networks for nonlinear aeroelastic phenomena and application to composite material beams — https://doi.org/10.1016/j.compstruct.2022.115845</w:t>
      </w:r>
    </w:p>
    <w:p>
      <w:pPr/>
      <w:r>
        <w:rPr>
          <w:b/>
        </w:rPr>
        <w:t>Shared claim-specific concepts:</w:t>
      </w:r>
      <w:r>
        <w:t xml:space="preserve"> order, phenomena, potential; EU scope not established. This is a provisional connection, not an outcome finding.</w:t>
      </w:r>
    </w:p>
    <w:p>
      <w:pPr>
        <w:pStyle w:val="SourceNote"/>
      </w:pPr>
      <w:r>
        <w:rPr>
          <w:b/>
        </w:rPr>
        <w:t>Available abstract (not full text):</w:t>
      </w:r>
      <w:r>
        <w:t xml:space="preserve"> Applications of composite materials in industry have increased due to their high stiffness-to-weight ratio. In the particular case of unidirectional fibers or perpendicular fabrics, the materials behavior is orthotropic, so that an extra degree of freedom, related to the orientation of the fibers, must be included in the structural optimization. Composite material thin walled beam models have been developed for reducing the computational cost of the simulations. Traditionally, these models have been coupled with potential aerodynamics to calculate the aeroelastic response, and thus, the viscous nonlinear effects have been omitted. In order to capture these effects, this manuscript focus on the development of a Reduced Order Model enhanced by an Artificial Neural Network for the analysis of composite structures under aerodynamic loads. The presented methodology shows the training process of the neural network, the comparison with high fidelity simulations and the design optimization of a carbon fiber laminated foam beam. It is demonstrated that the model reduces the computational cost by orders of magnitude, while still capturing structural couplings and being capable of increasing the flutter velocity by more than 10% with respect to the longitudinal orientation.</w:t>
      </w:r>
    </w:p>
    <w:p>
      <w:pPr/>
      <w:r>
        <w:rPr>
          <w:b/>
        </w:rPr>
        <w:t>POSSIBLE 2022:</w:t>
      </w:r>
      <w:r>
        <w:t xml:space="preserve"> A Framework for European Thought on Psychology, Education, and Health Based on Foucault’s The Order of Things — https://doi.org/10.3390/histories2030018</w:t>
      </w:r>
    </w:p>
    <w:p>
      <w:pPr/>
      <w:r>
        <w:rPr>
          <w:b/>
        </w:rPr>
        <w:t>Shared claim-specific concepts:</w:t>
      </w:r>
      <w:r>
        <w:t xml:space="preserve"> order, phenomena, potential; EU scope visible. This is a provisional connection, not an outcome finding.</w:t>
      </w:r>
    </w:p>
    <w:p>
      <w:pPr>
        <w:pStyle w:val="SourceNote"/>
      </w:pPr>
      <w:r>
        <w:rPr>
          <w:b/>
        </w:rPr>
        <w:t>Available abstract (not full text):</w:t>
      </w:r>
      <w:r>
        <w:t xml:space="preserve"> In European thought, the relationship among the fields of psychology, education, and health is both complex and obscured. Foucault’s acclaimed work, The Order of Things, offers a framework to evaluate their interconnection by identifying three distinct periods of European thought since the 16th century with respect to the ordering of phenomena—Renaissance, Classical and Modern. Theoretically dense and often difficult to decipher, the book’s categorization of language, value and being has been understandably underused, yet it provides deep insights into what have come to be known as psychology, education and health and remains invaluable in understanding the origin, limits and consequences of these fields. How Foucault’s analysis can be interpreted concerning the development of these areas as to each of the three periods of European thought is investigated. An approach based on narrative research appraises the analysis offered in the book. The results, presented for the first time in table form, compare these three periods, demonstrating a continuing practical value to Foucault’s insights. With the aid of the framework revealed by these tables, the boundaries and relationship of psychology, education and health become clear and their limitations—plus potential solutions to them—can be identified to mitigate anticipated negative consequences.</w:t>
      </w:r>
    </w:p>
    <w:p>
      <w:pPr>
        <w:pStyle w:val="Heading2"/>
      </w:pPr>
      <w:r>
        <w:t>602.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2024:</w:t>
      </w:r>
      <w:r>
        <w:t xml:space="preserve"> Water use in a sustainable net zero energy system: what are the implications of employing bioenergy with carbon capture and storage? — https://doi.org/10.54337/ijsepm.8159</w:t>
      </w:r>
    </w:p>
    <w:p>
      <w:pPr/>
      <w:r>
        <w:rPr>
          <w:b/>
        </w:rPr>
        <w:t>Shared claim-specific concepts:</w:t>
      </w:r>
      <w:r>
        <w:t xml:space="preserve"> bioenergy, mitigation, needed, use, integrated, assessment; EU scope not established. This is a provisional connection, not an outcome finding.</w:t>
      </w:r>
    </w:p>
    <w:p>
      <w:pPr>
        <w:pStyle w:val="SourceNote"/>
      </w:pPr>
      <w:r>
        <w:rPr>
          <w:b/>
        </w:rPr>
        <w:t>Available abstract (not full text):</w:t>
      </w:r>
      <w:r>
        <w:t xml:space="preserve">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pPr/>
      <w:r>
        <w:rPr>
          <w:b/>
        </w:rPr>
        <w:t>POSSIBLE 2024:</w:t>
      </w:r>
      <w:r>
        <w:t xml:space="preserve"> Expert insights into future trajectories: assessing cost reductions and scalability of carbon dioxide removal technologies — https://doi.org/10.3389/fclim.2024.1331901</w:t>
      </w:r>
    </w:p>
    <w:p>
      <w:pPr/>
      <w:r>
        <w:rPr>
          <w:b/>
        </w:rPr>
        <w:t>Shared claim-specific concepts:</w:t>
      </w:r>
      <w:r>
        <w:t xml:space="preserve"> bioenergy, gtco2, deployment; EU scope visible. This is a provisional connection, not an outcome finding.</w:t>
      </w:r>
    </w:p>
    <w:p>
      <w:pPr>
        <w:pStyle w:val="SourceNote"/>
      </w:pPr>
      <w:r>
        <w:rPr>
          <w:b/>
        </w:rPr>
        <w:t>Available abstract (not full text):</w:t>
      </w:r>
      <w:r>
        <w:t xml:space="preserve">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bioenergy, overall, use, integrated;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r>
        <w:rPr>
          <w:b/>
        </w:rPr>
        <w:t>POSSIBLE 2024:</w:t>
      </w:r>
      <w:r>
        <w:t xml:space="preserve"> Sustainable bioenergy contributes to cost-effective climate change mitigation in China — https://doi.org/10.1016/j.isci.2024.110232</w:t>
      </w:r>
    </w:p>
    <w:p>
      <w:pPr/>
      <w:r>
        <w:rPr>
          <w:b/>
        </w:rPr>
        <w:t>Shared claim-specific concepts:</w:t>
      </w:r>
      <w:r>
        <w:t xml:space="preserve"> bioenergy, provide, mitigation, integrated, regional; EU scope not established. This is a provisional connection, not an outcome finding.</w:t>
      </w:r>
    </w:p>
    <w:p>
      <w:pPr>
        <w:pStyle w:val="SourceNote"/>
      </w:pPr>
      <w:r>
        <w:rPr>
          <w:b/>
        </w:rPr>
        <w:t>Available abstract (not full text):</w:t>
      </w:r>
      <w:r>
        <w:t xml:space="preserve"> Bioenergy development is critical for achieving carbon neutrality. Biomass residues from agriculture, forest, and livestock manure provide substantial bioenergy resources in China, but their availability, climate, and economic impacts have not been evaluated systematically. Here we assess biomass sustainability, bioenergy potential, greenhouse gas emissions (GHG) reduction, and cost-effectiveness using an integrated data-modeling approach. Nationally, only 27% of biomass can be used for sustainable bioenergy production, but can contribute to significant climate change mitigation with optimized regional utilization. The annual GHG reduction can reach 1.0 Gt CO 2 e for bioenergy, or 1.4 Gt CO 2 e for bioenergy with carbon capture and storage (BECCS), which is comparable to total terrestrial ecosystem carbon sinks in China. The abatement cost varies regionally but is lower than many other carbon removal technologies. Our findings reveal region-specific bioenergy pathways that contribute to carbon neutrality, and encourage future assessments to explore factors including technological advances and carbon markets.</w:t>
      </w:r>
    </w:p>
    <w:p>
      <w:pPr/>
      <w:r>
        <w:rPr>
          <w:b/>
        </w:rPr>
        <w:t>POSSIBLE 2024:</w:t>
      </w:r>
      <w:r>
        <w:t xml:space="preserve"> Life cycle assessment and techno-economic analysis of sustainable bioenergy production: a review — https://doi.org/10.1007/s10311-023-01694-z</w:t>
      </w:r>
    </w:p>
    <w:p>
      <w:pPr/>
      <w:r>
        <w:rPr>
          <w:b/>
        </w:rPr>
        <w:t>Shared claim-specific concepts:</w:t>
      </w:r>
      <w:r>
        <w:t xml:space="preserve"> bioenergy, use, assessment; EU scope not established. This is a provisional connection, not an outcome finding.</w:t>
      </w:r>
    </w:p>
    <w:p>
      <w:pPr>
        <w:pStyle w:val="SourceNote"/>
      </w:pPr>
      <w:r>
        <w:rPr>
          <w:b/>
        </w:rPr>
        <w:t>Available abstract (not full text):</w:t>
      </w:r>
      <w:r>
        <w:t xml:space="preserve"> Abstract The global expansion of the bioenergy industry raises concerns, emphasizing the need for careful evaluation and sustainable management. To facilitate this, life cycle assessments beyond greenhouse gas emissions and energy balance are essential, along with the standardization of assessment methodologies to enable meaningful comparisons. Here, we review life cycle assessment, chemical aspects, and policy implication of bioenergy production. We discuss life cycle assessment in terms of concepts, methods, impacts, greenhouse gases, land use, water consumption, bioethanol, biodiesel, biogas, and techno-economic analysis. Chemical aspects comprise reaction processes and means to improve efficiency. Concerning policies, tools, and frameworks that encourage sustainable energy production are presented. We found that carbon dioxide removal ranges from 45 to 99% in various bioenergy processes. The review also emphasizes the importance of chemistry in advancing sustainable bioenergy production for a more sustainable and secure energy future.</w:t>
      </w:r>
    </w:p>
    <w:p>
      <w:pPr/>
      <w:r>
        <w:rPr>
          <w:b/>
        </w:rPr>
        <w:t>POSSIBLE 2023:</w:t>
      </w:r>
      <w:r>
        <w:t xml:space="preserve"> Potential of land-based climate change mitigation strategies on abandoned cropland — https://doi.org/10.1038/s43247-023-00696-7</w:t>
      </w:r>
    </w:p>
    <w:p>
      <w:pPr/>
      <w:r>
        <w:rPr>
          <w:b/>
        </w:rPr>
        <w:t>Shared claim-specific concepts:</w:t>
      </w:r>
      <w:r>
        <w:t xml:space="preserve"> bioenergy, overall, mitigation, deployment; EU scope not established. This is a provisional connection, not an outcome finding.</w:t>
      </w:r>
    </w:p>
    <w:p>
      <w:pPr>
        <w:pStyle w:val="SourceNote"/>
      </w:pPr>
      <w:r>
        <w:rPr>
          <w:b/>
        </w:rPr>
        <w:t>Available abstract (not full text):</w:t>
      </w:r>
      <w:r>
        <w:t xml:space="preserve"> Abstract Natural revegetation, afforestation, and lignocellulosic crops for bioenergy, possibly coupled with a developing technology like carbon capture and storage, are the most common land-based climate change mitigation options. However, they can compete for land and threaten food security or nature conservation. Using abandoned cropland for their deployment can minimize these risks, but associated potentials are unclear. Here, we compare alternative land-based mitigation options by integrating historical and future (up to 2050) abandoned cropland with site-specific biomass yields and life-cycle emissions. Considering natural revegetation in biodiversity priority areas and different measures in the remaining land can achieve a mitigation potential of 0.8–4.0 GtCO2-equivalents yr−1 (2–11% of 2021 global CO2 emissions). Afforestation generally provides larger climate benefits than bioenergy, but bioenergy with carbon capture and storage delivers the highest mitigation in most locations. Overall, these results offer refined estimates of mitigation potentials from abandoned cropland and highlight opportunities for context-specific mitigation measures.</w:t>
      </w:r>
    </w:p>
    <w:p>
      <w:pPr/>
      <w:r>
        <w:rPr>
          <w:b/>
        </w:rPr>
        <w:t>POSSIBLE 2023:</w:t>
      </w:r>
      <w:r>
        <w:t xml:space="preserve"> Capacity gaps in land-based mitigation technologies and practices: A first stock take — https://doi.org/10.1016/j.landusepol.2023.106888</w:t>
      </w:r>
    </w:p>
    <w:p>
      <w:pPr/>
      <w:r>
        <w:rPr>
          <w:b/>
        </w:rPr>
        <w:t>Shared claim-specific concepts:</w:t>
      </w:r>
      <w:r>
        <w:t xml:space="preserve"> bioenergy, mitigation, use, regional; EU scope visible. This is a provisional connection, not an outcome finding.</w:t>
      </w:r>
    </w:p>
    <w:p>
      <w:pPr>
        <w:pStyle w:val="SourceNote"/>
      </w:pPr>
      <w:r>
        <w:rPr>
          <w:b/>
        </w:rPr>
        <w:t>Available abstract (not full text):</w:t>
      </w:r>
      <w:r>
        <w:t xml:space="preserve"> Land-based mitigation technologies and practices (LMTs) reduce GHG emissions associated with land use and/or enhance terrestrial GHG sinks. This article investigates capacity gaps to successfully facilitate LMT adoption and/or scaling in the regions of Latin America, Europe, North America, sub-Saharan Africa and Southeast Asia. We look at LMTs such as agricultural land management, agroforestry, bioenergy with carbon capture and storage (BECCS), biochar, forest management, and peat/wetland management. We used a triangulation method based on literature review, an online survey, and semi-structured interviews with experts from Academia, Industry, NGOs, Local Communities and Government, to capture and analyze the most prominent capacity gaps by LMT and according to regional contexts. This approach identified ‘understanding’, ‘awareness’ and ‘economic/finance’ as the most important capacity gaps when it comes to LMT adoption and scaling across the aforementioned regions. A recommended first step for increased LMT adoption would be to address the knowledge and understanding capacity gaps, which, in turn, could help make LMTs more attractive to stakeholders. Policymakers in cooperation with other stakeholders might reflect on dedicated support policies and regulatory frameworks that level the playing field for LMTs (as compared to mitigation technologies and practices in energy and ot</w:t>
      </w:r>
    </w:p>
    <w:p>
      <w:pPr>
        <w:pStyle w:val="Heading2"/>
      </w:pPr>
      <w:r>
        <w:t>603.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2024:</w:t>
      </w:r>
      <w:r>
        <w:t xml:space="preserve"> Objectives of the European Green Deal — https://doi.org/10.4324/9781003486732-8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2023:</w:t>
      </w:r>
      <w:r>
        <w:t xml:space="preserve"> The European Green Deal: Challenges and opportunities for the Southern Mediterranean — https://doi.org/10.1080/13629395.2023.2237295</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(EGD) marked the commitment of the European Union (EU) to a carbon-free, socially inclusive economic system. Even if conceived as an essentially domestic growth strategy, the EGD is inspiring EU diplomacy, as economic cooperation will be needed to realize the EGD’s ambitious vision. This profile aims to investigate and reflect on the potential implications of the EGD for the countries in the EU’s Southern Neighbourhood, especially in the energy sector, agriculture and food system, trade in raw materials, climate action, and circular economy. We expect the EGD to result in an increased investment in renewable energy, a reduction in emissions, green diplomacy, and funding opportunities for green projects and green infrastructures. The EGD brings with it attractive opportunities for a better cooperation on climate action and opportunities for job creation, green growth, and sustainable development. We believe that the EGD has the potential to be a win–win deal for the EU and its Southern Neighbours, with the EU goal to supply green inputs and of creating a market for green products.</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The European (Green?) Deal: a systematic analysis of environmental sustainability — https://doi.org/10.1002/sd.2671</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Abstract Transitioning towards a sustainable society is at the core of public planning in the EU through the European Green Deal (EGD). However, is the EGD a master plan for actual sustainable development in the EU? This work aims to answer this question through an analysis of the environmental sustainability within the EGD's plans through the method of critical discourse analysis, and discussing the results with previous efforts for sustainable development in the EU and in the UN. The results of the analysis identify fundamental flaws in the environmental sustainability of the EGD, which seems to repeat mistakes of previous efforts for sustainability planning in the EU. This work concludes that economic growth is the predominant focus in public planning and that the EGD needs a review of various environmental aspects to be considered the master plan for a transition towards a sustainable EU.</w:t>
      </w:r>
    </w:p>
    <w:p>
      <w:pPr/>
      <w:r>
        <w:rPr>
          <w:b/>
        </w:rPr>
        <w:t>POSSIBLE 2023:</w:t>
      </w:r>
      <w:r>
        <w:t xml:space="preserve"> Making the European Green Deal Work — https://doi.org/10.4324/9781003246985</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This book critically analyses different dimensions in the sustainable transitions outlined by the European Green Deal, focusing on both internal actions and external relations and highlighting the EU’s diverging powers and capabilities in achieving the core objectives. As with the Green Deal itself, the chapters cover different policies including financial instruments, energy policies, climate policies and external policies and apply the ideal-type logics of appropriateness and consequences to analyse sustainable transformations. The variety of the cases contribute to a broad understanding of how different actors interpret and implement the aims of the European Green Deal, including especially those lagging behind, who, for various reasons, are struggling with the sustainable transition. From examining their policies, the book illuminates the challenges and opportunities they are facing. Overall, the contributions address key questions surrounding the EU’s powers and limits in inducing transformative change and implementing the European Green Deal. This book will be of key interest to scholars, students and practitioners of EU sustainability policies, sustainability transitions and green economy, environmental studies, energy policy, energy governance and climate change, public policy, comparative politics and international relations.</w:t>
      </w:r>
    </w:p>
    <w:p>
      <w:pPr/>
      <w:r>
        <w:rPr>
          <w:b/>
        </w:rPr>
        <w:t>POSSIBLE 2023:</w:t>
      </w:r>
      <w:r>
        <w:t xml:space="preserve"> Mapping the social dimension of the European Green Deal — https://doi.org/10.1177/13882627231208698</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The European Green Deal calls for various economic reforms that will deeply disrupt the social order of European societies. As the European Commission makes very clear in its communications on the EGD, societal support for the profound changes that will inevitably accompany a ‘green transition’ hinges on social inclusion of stakeholders and social groups. This article aims to identify the social policy instruments proposed by the EGD to address the social implications of its ‘green transition’, and to explore how they relate to societal expectations. Analytically, it distinguishes between protective (redistributive) and productive (economy-oriented) social policy and argues that democratic social inclusion – which the European Commission strives to achieve – requires protective social policy. Empirically, the paper analyzes a) the socio-political instruments set out in the EGD and b) public statements made by a range of European-level actors who participated in the debates on the EGD. Our findings show that productive social policy prevails in the EGD's proposed instruments and in stakeholders’ demands, but that there are also vague indications of a more nuanced concept of social inclusion that acknowledges social conflict.</w:t>
      </w:r>
    </w:p>
    <w:p>
      <w:pPr/>
      <w:r>
        <w:rPr>
          <w:b/>
        </w:rPr>
        <w:t>POSSIBLE 2023:</w:t>
      </w:r>
      <w:r>
        <w:t xml:space="preserve"> Developing a green industrial policy for the European Green Deal — https://doi.org/10.4337/9781802200065.00010</w:t>
      </w:r>
    </w:p>
    <w:p>
      <w:pPr/>
      <w:r>
        <w:rPr>
          <w:b/>
        </w:rPr>
        <w:t>Shared claim-specific concepts:</w:t>
      </w:r>
      <w:r>
        <w:t xml:space="preserve"> green, deal, aims, economies; EU scope visible. This is a provisional connection, not an outcome finding.</w:t>
      </w:r>
    </w:p>
    <w:p>
      <w:pPr>
        <w:pStyle w:val="SourceNote"/>
      </w:pPr>
      <w:r>
        <w:rPr>
          <w:b/>
        </w:rPr>
        <w:t>Available abstract (not full text):</w:t>
      </w:r>
      <w:r>
        <w:t xml:space="preserve"> The European Green Deal, the flagship initiative of the von der Leyen Commission, aims at making Europe the first climate-neutral continent by 2050. This is not going to be an easy ride. To be successful, the European Green Deal will have to foster broad, paradigmatic shifts in the European industrial structure, such as the ones from fossil fuels to renewables, or from internal combustion engine cars to electric cars. As shifting economies from brown to green represents one of the largest socio-economic transformations ever seen in history, it is often referred to as an industrial revolution against a deadline. In this context, green industrial policy emerges as a cornerstone of the European Green Deal. This article provides a policy framework for what a green industrial policy should look like, and proposes a set of key recommendations to develop a green industrial policy for the European Green Deal.</w:t>
      </w:r>
    </w:p>
    <w:p>
      <w:pPr/>
      <w:r>
        <w:rPr>
          <w:b/>
        </w:rPr>
        <w:t>POSSIBLE 2023:</w:t>
      </w:r>
      <w:r>
        <w:t xml:space="preserve"> Greenhouse gas emissions and Green Deal in the European Union — https://doi.org/10.3389/fenvs.2023.1141473</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pPr>
        <w:pStyle w:val="Heading2"/>
      </w:pPr>
      <w:r>
        <w:t>604.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food, each, use, but, biodiversity, loss;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Multifaceted Conscription: A Comparative Study of Six European Countries — https://doi.org/10.31374/sjms.166</w:t>
      </w:r>
    </w:p>
    <w:p>
      <w:pPr/>
      <w:r>
        <w:rPr>
          <w:b/>
        </w:rPr>
        <w:t>Shared claim-specific concepts:</w:t>
      </w:r>
      <w:r>
        <w:t xml:space="preserve"> identifies, six, various;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2023:</w:t>
      </w:r>
      <w:r>
        <w:t xml:space="preserve"> Perspective: Food and Nutrition Insecurity in Europe: Challenges and Opportunities for Dietitians — https://doi.org/10.1016/j.advnut.2023.07.008</w:t>
      </w:r>
    </w:p>
    <w:p>
      <w:pPr/>
      <w:r>
        <w:rPr>
          <w:b/>
        </w:rPr>
        <w:t>Shared claim-specific concepts:</w:t>
      </w:r>
      <w:r>
        <w:t xml:space="preserve"> identifies, food, consequences; EU scope visible. This is a provisional connection, not an outcome finding.</w:t>
      </w:r>
    </w:p>
    <w:p>
      <w:pPr>
        <w:pStyle w:val="SourceNote"/>
      </w:pPr>
      <w:r>
        <w:rPr>
          <w:b/>
        </w:rPr>
        <w:t>Available abstract (not full text):</w:t>
      </w:r>
      <w:r>
        <w:t xml:space="preserve">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identifies, various, but;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Excess resource use and cost of drug-resistant infections for six key pathogens in Europe: a systematic review and Bayesian meta-analysis — https://doi.org/10.1016/j.cmi.2023.12.013</w:t>
      </w:r>
    </w:p>
    <w:p>
      <w:pPr/>
      <w:r>
        <w:rPr>
          <w:b/>
        </w:rPr>
        <w:t>Shared claim-specific concepts:</w:t>
      </w:r>
      <w:r>
        <w:t xml:space="preserve"> six, each, use; EU scope visible. This is a provisional connection, not an outcome finding.</w:t>
      </w:r>
    </w:p>
    <w:p>
      <w:pPr>
        <w:pStyle w:val="SourceNote"/>
      </w:pPr>
      <w:r>
        <w:rPr>
          <w:b/>
        </w:rPr>
        <w:t>Available abstract (not full text):</w:t>
      </w:r>
      <w:r>
        <w:t xml:space="preserve"> BACKGROUND: Quantifying the resource use and cost of antimicrobial resistance establishes the magnitude of the problem and drives action. OBJECTIVES: Assessment of resource use and cost associated with infections with six key drug-resistant pathogens in Europe. METHODS: A systematic review and Bayesian meta-analysis. DATA SOURCES: MEDLINE (Ovid), Embase (Ovid), Econlit databases, and grey literature for the period 1 January 1990, to 21 June 2022. STUDY ELIGIBILITY CRITERIA: Resource use and cost outcomes (including excess length of stay, overall costs, and other excess in or outpatient costs) were compared between patients with defined antibiotic-resistant infections caused by carbapenem-resistant (CR) Pseudomonas aeruginosa and Acinetobacter baumannii, CR or third-generation cephalosporin Escherichia coli (3GCREC) and Klebsiella pneumoniae, methicillin-resistant Staphylococcus aureus, and vancomycin-resistant Enterococcus faecium, and patients with drug-susceptible or no infection. PARTICIPANTS: All patients diagnosed with drug-resistant bloodstream infections (BSIs). INTERVENTIONS: NA. ASSESSMENT OF RISK OF BIAS: An adapted version of the Joanna Briggs Institute assessment tool, incorporating case-control, cohort, and economic assessment frameworks. METHODS OF DATA SYNTHESIS: Hierarchical Bayesian meta-analyses were used to assess pathogen-specific resource use estimates. RES</w:t>
      </w:r>
    </w:p>
    <w:p>
      <w:pPr/>
      <w:r>
        <w:rPr>
          <w:b/>
        </w:rPr>
        <w:t>POSSIBLE 2022:</w:t>
      </w:r>
      <w:r>
        <w:t xml:space="preserve"> Identifying the Key Success Factors of Plant-Based Food Brands in Europe — https://doi.org/10.3390/su15010306</w:t>
      </w:r>
    </w:p>
    <w:p>
      <w:pPr/>
      <w:r>
        <w:rPr>
          <w:b/>
        </w:rPr>
        <w:t>Shared claim-specific concepts:</w:t>
      </w:r>
      <w:r>
        <w:t xml:space="preserve"> six, food, each, marketing, but, high; EU scope visible. This is a provisional connection, not an outcome finding.</w:t>
      </w:r>
    </w:p>
    <w:p>
      <w:pPr>
        <w:pStyle w:val="SourceNote"/>
      </w:pPr>
      <w:r>
        <w:rPr>
          <w:b/>
        </w:rPr>
        <w:t>Available abstract (not full text):</w:t>
      </w:r>
      <w:r>
        <w:t xml:space="preserve"> Plant-based food (PBF) is on the rise as an alternative for animal-based food. Europe is leading in the market size compared with the global market. However, the high failure rate for new food products is challenging the success of new PBF in the market. This paper aims to unravel the key success factors (KSFs) from existing brands, contributing to the knowledge on how to achieve success in PBF market. Two subsequent studies employing online surveys were included, which targeted food expert participants. Study 1 focused on the collection of KSFs related to PBF brands utilizing the card sorting approach. Study 2 employed cluster analysis to further investigate the KSFs among different PBF brands. The findings identified six clusters of KSFs under the external and internal factors supporting the success of the PBF brands. Two (‘Consumer’ and ‘Trend’) and four (‘Ideology’, ‘Marketing strategy’, ‘Innovation management’, and ‘Management structure’) clusters were assigned into external and internal factors, respectively. Furthermore, cluster analysis identified four brand clusters: ‘Mature’, ‘Targeted’, ‘Newcomer’, and ‘Established but diversifying’ clusters. Each brand cluster utilized different KSFs into their strategies; however, both external and internal factors were applied, suggesting that there is no one-size-fits-all KSF to succeed in the market.</w:t>
      </w:r>
    </w:p>
    <w:p>
      <w:pPr>
        <w:pStyle w:val="Heading2"/>
      </w:pPr>
      <w:r>
        <w:t>605.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2024:</w:t>
      </w:r>
      <w:r>
        <w:t xml:space="preserve"> Incorporating stressor interactions into spatially explicit cumulative impact assessments — https://doi.org/10.1002/eap.3056</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Human-induced stressors are impacting the oceans and reducing the biodiversity of marine ecosystems. The many stressors affecting marine environments do not act in isolation. However, their cumulative impact is difficult to predict. Most of the available methods for quantifying cumulative impacts on marine ecosystems sum the impact of individual stressors to estimate cumulative impact. We demonstrate how experimental evidence from interacting stressors can be accounted for in cumulative impact assessments. We adapted a widely used additive model to incorporate nonadditive stressor interactions into a marine spatially explicit cumulative impact assessment for seagrasses. We combined experimental data on the impact of multiple stressors with spatial data on stressor intensity to test whether stressor interactions impact seagrasses in a case study region in South Australia. We also assessed how uncertainty about cumulative impacts changes when uncertainty in stressor interactions is included in the impact mapping. The results from an additive spatial cumulative impact assessment model were compared with results from the model incorporating interactions. Cumulative effects from the interaction model were more variable than those produced by the additive model. Five of the 15 stressor interactions that we tested produced impacts that significantly deviated from those predicted by an</w:t>
      </w:r>
    </w:p>
    <w:p>
      <w:pPr/>
      <w:r>
        <w:rPr>
          <w:b/>
        </w:rPr>
        <w:t>POSSIBLE 2024:</w:t>
      </w:r>
      <w:r>
        <w:t xml:space="preserve"> Disentangling marine plastic impacts in Life Cycle Assessment: Spatially explicit Characterization Factors for ecosystem quality — https://doi.org/10.1016/j.scitotenv.2024.175019</w:t>
      </w:r>
    </w:p>
    <w:p>
      <w:pPr/>
      <w:r>
        <w:rPr>
          <w:b/>
        </w:rPr>
        <w:t>Shared claim-specific concepts:</w:t>
      </w:r>
      <w:r>
        <w:t xml:space="preserve"> explicit, assessments, impacts, sustainability; EU scope visible. This is a provisional connection, not an outcome finding.</w:t>
      </w:r>
    </w:p>
    <w:p>
      <w:pPr>
        <w:pStyle w:val="SourceNote"/>
      </w:pPr>
      <w:r>
        <w:rPr>
          <w:b/>
        </w:rPr>
        <w:t>Available abstract (not full text):</w:t>
      </w:r>
      <w:r>
        <w:t xml:space="preserve"> Inputs of persistent plastic items to marine environments continue to pose a serious and long-term threat to marine fauna and ecosystem health, justifying further interventions on local and global scales. While Life Cycle Assessment (LCA) is frequently used for sustainability evaluations by industries and policymakers, plastic leakage to the environment and its subsequent impacts remains absent from the framework. Incorporating plastic pollution in the assessments requires development of both inventories and impact assessment methods. Here, we propose spatially explicit Characterization Factors (CF) for quantifying the impacts of plastic entanglement on marine megafauna (mammals, birds and reptiles) on a global scale. We utilize Lagrangian particle tracking and a Species Sensitivity Distribution (SSD) model along with species susceptibility records to estimate potential entanglement impacts stemming from lost plastic-based fishing gear. By simulating plastic losses from fishing hotspots within all Exclusive Economic Zones (EEZs) we provide country-specific impact estimates for use in LCA. The impacts were found to be similar across regions, although the median CF associated with Oceania was higher compared to Europe, Africa and Asia. Our findings underscore the presence of susceptible species across the world and the transboundary issue of plastic pollution. We discuss the appl</w:t>
      </w:r>
    </w:p>
    <w:p>
      <w:pPr/>
      <w:r>
        <w:rPr>
          <w:b/>
        </w:rPr>
        <w:t>POSSIBLE 2024:</w:t>
      </w:r>
      <w:r>
        <w:t xml:space="preserve"> Biodiversity impact assessment for finance — https://doi.org/10.1111/jiec.13515</w:t>
      </w:r>
    </w:p>
    <w:p>
      <w:pPr/>
      <w:r>
        <w:rPr>
          <w:b/>
        </w:rPr>
        <w:t>Shared claim-specific concepts:</w:t>
      </w:r>
      <w:r>
        <w:t xml:space="preserve"> explicit, impacts, emerging, making; EU scope visible. This is a provisional connection, not an outcome finding.</w:t>
      </w:r>
    </w:p>
    <w:p>
      <w:pPr>
        <w:pStyle w:val="SourceNote"/>
      </w:pPr>
      <w:r>
        <w:rPr>
          <w:b/>
        </w:rPr>
        <w:t>Available abstract (not full text):</w:t>
      </w:r>
      <w:r>
        <w:t xml:space="preserve"> Abstract Biodiversity loss, driven by human activities, significantly affects the environment, human societies, and economies. Using the extended multi‐regional input–output (EEMRIO) and life cycle assessment (LCA) techniques, we offer insights into how these methodologies can be used to inform financial decisions related to biodiversity focusing on two key aspects: biodiversity impacts and ecosystem service dependencies. Our method combines spatially explicit characterization factors from LC‐IMPACT with the Global Resource Input‐Output Assesment (GLORIA) database to estimate biodiversity impacts. As a case study we assess the biodiversity impact of the MSCI All Country World Index (MSCI ACWI) which consist of about 3000 large‐ and mid‐sized companies, from 23 developed and 24 emerging countries. The results demonstrate that most of the biodiversity impact is caused in the Americas, followed by Asia, despite its low representation in the index's country weight (6%). Europe shows the least impact. These results emphasize the need to account for global supply chain linkages as products sold in one country might have significant biodiversity impacts elsewhere due to sourcing of production inputs. Second, our results identify the main determinants of the index's impact: land use, followed by water stress and climate change. Although most of the impact is localized in few sectors, t</w:t>
      </w:r>
    </w:p>
    <w:p>
      <w:pPr/>
      <w:r>
        <w:rPr>
          <w:b/>
        </w:rPr>
        <w:t>POSSIBLE 2022:</w:t>
      </w:r>
      <w:r>
        <w:t xml:space="preserve"> Spatially explicit life cycle assessments reveal hotspots of environmental impacts from renewable electricity generation — https://doi.org/10.1038/s43247-022-00521-7</w:t>
      </w:r>
    </w:p>
    <w:p>
      <w:pPr/>
      <w:r>
        <w:rPr>
          <w:b/>
        </w:rPr>
        <w:t>Shared claim-specific concepts:</w:t>
      </w:r>
      <w:r>
        <w:t xml:space="preserve"> explicit, assessments, impacts, technologies, energy, power; EU scope not established. This is a provisional connection, not an outcome finding.</w:t>
      </w:r>
    </w:p>
    <w:p>
      <w:pPr>
        <w:pStyle w:val="SourceNote"/>
      </w:pPr>
      <w:r>
        <w:rPr>
          <w:b/>
        </w:rPr>
        <w:t>Available abstract (not full text):</w:t>
      </w:r>
      <w:r>
        <w:t xml:space="preserve"> Abstract Renewable energy generation has great potential to reduce greenhouse gas emissions, however, it may exacerbate other environmental impacts, such as water scarcity, elsewhere in the supply chain. Here, we reveal a wide range of global environmental impacts of concentrated solar power, run-of-river hydropower, and biomass burning compared to classical coal-fired power: Spatially explicit life cycle impact assessment is used to evaluate their supply chains with respect to demand for energy, land, material, and water, greenhouse gas emissions, and impacts on human health and ecosystem quality with a focus on mining. Hotspot analyses in terms of location and type of impact show that there is no clear preference for any of the technologies, mainly because water consumption is often critical on-site. The examined concentrated solar power plant is the least suitable for a sustainable energy transition: Its spatial hotspots are spreading the furthest globally and may exceed those of coal combustion in number and severity. The presented methodology is the basis to mitigate such environmental hotspots.</w:t>
      </w:r>
    </w:p>
    <w:p>
      <w:pPr>
        <w:pStyle w:val="Heading2"/>
      </w:pPr>
      <w:r>
        <w:t>606.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r>
        <w:rPr>
          <w:b/>
        </w:rPr>
        <w:t>POSSIBLE 2025:</w:t>
      </w:r>
      <w:r>
        <w:t xml:space="preserve"> Factors Influencing the Purchase of Battery Electric Vehicles (BEVs) — https://doi.org/10.31803/tg-2024052312222</w:t>
      </w:r>
    </w:p>
    <w:p>
      <w:pPr/>
      <w:r>
        <w:rPr>
          <w:b/>
        </w:rPr>
        <w:t>Shared claim-specific concepts:</w:t>
      </w:r>
      <w:r>
        <w:t xml:space="preserve"> bevs, better, bev, charging; EU scope visible. This is a provisional connection, not an outcome finding.</w:t>
      </w:r>
    </w:p>
    <w:p>
      <w:pPr>
        <w:pStyle w:val="SourceNote"/>
      </w:pPr>
      <w:r>
        <w:rPr>
          <w:b/>
        </w:rPr>
        <w:t>Available abstract (not full text):</w:t>
      </w:r>
      <w:r>
        <w:t xml:space="preserve"> This research aims to identify the key factors influencing the new registrations of battery electric vehicles (BEVs) in Germany. Focusing the topics economy, mobility change and climate sustainability a mixed-methods approach was used combining a regression analysis based on public databases and qualitative interviews with experts, represented by vehicle testing organizations, BEV leasing companies, car dealerships and automotive magazines. The study revealed similarities as well as discrepancies between expert opinions and the regression analysis results in the fields of real GDP, education rate, the average range of BEVs, the real estate price index, charging infrastructure and political conviction. Regarding practical implications, the results of this study help BEV manufacturers to enhance their marketing and product strategies. The findings of this study could help decision-makers to better understand the mind set of BEV customers.</w:t>
      </w:r>
    </w:p>
    <w:p>
      <w:pPr/>
      <w:r>
        <w:rPr>
          <w:b/>
        </w:rPr>
        <w:t>POSSIBLE 2025:</w:t>
      </w:r>
      <w:r>
        <w:t xml:space="preserve"> E-Private Mobility Index: A Novel Tool for Assessing BEV Transition Feasibility — https://doi.org/10.3390/su17093983</w:t>
      </w:r>
    </w:p>
    <w:p>
      <w:pPr/>
      <w:r>
        <w:rPr>
          <w:b/>
        </w:rPr>
        <w:t>Shared claim-specific concepts:</w:t>
      </w:r>
      <w:r>
        <w:t xml:space="preserve"> bevs, bev, charging; EU scope visible. This is a provisional connection, not an outcome finding.</w:t>
      </w:r>
    </w:p>
    <w:p>
      <w:pPr>
        <w:pStyle w:val="SourceNote"/>
      </w:pPr>
      <w:r>
        <w:rPr>
          <w:b/>
        </w:rPr>
        <w:t>Available abstract (not full text):</w:t>
      </w:r>
      <w:r>
        <w:t xml:space="preserve"> While the speed of the transition to battery electric vehicles (BEVs) depends on real-world driving behaviors and socioeconomic conditions, relevant predictions are often not based on real trip data. This study analyzes over 200,000 private car trips, tracked via onboard telematics across Italy, in order to assess the feasibility of replacing internal combustion engine vehicles (ICEVs) with BEVs. Given that drivers are resistant to changing their habits, we introduce the E-Private Mobility Index, which quantifies the percentage of traditional cars at present that are functionally compatible with a medium BEV, assuming home charging. Nationwide, this index reaches 30%, but only 15% of car owners would also see financial benefits. By quantifying both the potential to replace traditional cars with electric ones and the associated economic impacts, our analysis supports sustainable mobility by offering insights into the rate of penetration of sustainable and green mobility, in line with the objectives of the European Green Deal. With its unprecedented statistical significance, the study not only provides a data-driven upper threshold of BEV penetration but also offers a flexible framework for shaping future policies, allowing the adaptation of parameters and assumptions to guide a scalable transition to electric private mobility.</w:t>
      </w:r>
    </w:p>
    <w:p>
      <w:pPr/>
      <w:r>
        <w:rPr>
          <w:b/>
        </w:rPr>
        <w:t>POSSIBLE 2024:</w:t>
      </w:r>
      <w:r>
        <w:t xml:space="preserve"> Investigating the Moderating Role of Government Incentive Policy on Consumer Adoption of Battery Electric Vehicles (BEV) in Malaysia — https://doi.org/10.6007/ijarbss/v14-i3/20992</w:t>
      </w:r>
    </w:p>
    <w:p>
      <w:pPr/>
      <w:r>
        <w:rPr>
          <w:b/>
        </w:rPr>
        <w:t>Shared claim-specific concepts:</w:t>
      </w:r>
      <w:r>
        <w:t xml:space="preserve"> adoption, bevs, better, bev; EU scope not established. This is a provisional connection, not an outcome finding.</w:t>
      </w:r>
    </w:p>
    <w:p>
      <w:pPr>
        <w:pStyle w:val="SourceNote"/>
      </w:pPr>
      <w:r>
        <w:rPr>
          <w:b/>
        </w:rPr>
        <w:t>Available abstract (not full text):</w:t>
      </w:r>
      <w:r>
        <w:t xml:space="preserve"> As concerns about climate change, global warming, and environmental degradation continue to escalate, the adoption of electric vehicles, particularly Battery Electric Vehicles (BEVs), has emerged as a promising solution for a more sustainable future. This study delves into the willingness of Malaysian consumers to embrace BEVs, with a specific focus on the moderating role of government incentives and policies. Drawing upon the Theory of Planned Behaviour (TPB) as the theoretical framework, this study extends the TPB model by incorporating four additional external variables to better understand the factors influencing adoption intention. Employing a quantitative research approach, this investigation utilizes a cross-sectional survey method to collect empirical data from car consumers across Malaysia. The survey instrument, adapted from previous studies, comprehensively assesses nine constructs relevant to this research. Data analysis will be conducted using Structural Equation Modelling (SEM), specifically employing the Partial Least Squares SEM (PLS-SEM) approach, to examine the formulated hypotheses. The findings of this study aim to shed light on the determinants of BEV adoption intention among Malaysian consumers, with implications for policymakers, automotive industry players, and researchers. Further research avenues are also proposed to deepen our understanding of the com</w:t>
      </w:r>
    </w:p>
    <w:p>
      <w:pPr/>
      <w:r>
        <w:rPr>
          <w:b/>
        </w:rPr>
        <w:t>POSSIBLE 2024:</w:t>
      </w:r>
      <w:r>
        <w:t xml:space="preserve"> Automated Parking Planning with Vision-Based BEV Approach — https://doi.org/10.48550/arxiv.2406.15430</w:t>
      </w:r>
    </w:p>
    <w:p>
      <w:pPr/>
      <w:r>
        <w:rPr>
          <w:b/>
        </w:rPr>
        <w:t>Shared claim-specific concepts:</w:t>
      </w:r>
      <w:r>
        <w:t xml:space="preserve"> demonstrates, bev; EU scope not established. This is a provisional connection, not an outcome finding.</w:t>
      </w:r>
    </w:p>
    <w:p>
      <w:pPr>
        <w:pStyle w:val="SourceNote"/>
      </w:pPr>
      <w:r>
        <w:rPr>
          <w:b/>
        </w:rPr>
        <w:t>Available abstract (not full text):</w:t>
      </w:r>
      <w:r>
        <w:t xml:space="preserve"> Automated Valet Parking (AVP) is a crucial component of advanced autonomous driving systems, focusing on the endpoint task within the "human-vehicle interaction" process to tackle the challenges of the "last mile".The perception module of the automated parking algorithm has evolved from local perception using ultrasonic radar and global scenario precise map matching for localization to a high-level map-free Birds Eye View (BEV) perception solution.The BEV scene places higher demands on the real-time performance and safety of automated parking planning tasks. This paper proposes an improved automated parking algorithm based on the A* algorithm, integrating vehicle kinematic models, heuristic function optimization, bidirectional search, and Bezier curve optimization to enhance the computational speed and real-time capabilities of the planning algorithm.Numerical optimization methods are employed to generate the final parking trajectory, ensuring the safety of the parking path. The proposed approach is experimentally validated in the commonly used industrial CARLA-ROS joint simulation environment. Compared to traditional algorithms, this approach demonstrates reduced computation time with more challenging collision-risk test cases and improved performance in comfort metrics.</w:t>
      </w:r>
    </w:p>
    <w:p>
      <w:pPr/>
      <w:r>
        <w:rPr>
          <w:b/>
        </w:rPr>
        <w:t>POSSIBLE 2023:</w:t>
      </w:r>
      <w:r>
        <w:t xml:space="preserve"> Exponential adoption of battery electric cars — https://doi.org/10.1371/journal.pone.0295692</w:t>
      </w:r>
    </w:p>
    <w:p>
      <w:pPr/>
      <w:r>
        <w:rPr>
          <w:b/>
        </w:rPr>
        <w:t>Shared claim-specific concepts:</w:t>
      </w:r>
      <w:r>
        <w:t xml:space="preserve"> suggest, adoption, bevs, bev, near, countries; EU scope visible. This is a provisional connection, not an outcome finding.</w:t>
      </w:r>
    </w:p>
    <w:p>
      <w:pPr>
        <w:pStyle w:val="SourceNote"/>
      </w:pPr>
      <w:r>
        <w:rPr>
          <w:b/>
        </w:rPr>
        <w:t>Available abstract (not full text):</w:t>
      </w:r>
      <w:r>
        <w:t xml:space="preserve"> The adoption of battery electric vehicles (BEVs) may significantly reduce greenhouse gas emissions caused by road transport. However, there is wide disagreement as to how soon battery electric vehicles will play a major role in overall transportation. Focusing on battery electric passenger cars, we analyze BEV adoption across 17 individual countries, Europe, and the World, and consistently find exponential growth trends. Modeling-based estimates of future adoption given past trends suggest system-wide adoption substantially faster than typical economic analyses have proposed so far. For instance, we estimate the majority of passenger cars in Europe to be electric by about 2031. Within regions, the predicted times of mass adoption are largely insensitive to model details. Despite significant differences in current electric fleet sizes across regions, their growth rates consistently indicate fast doubling times of approximately 15 months, hinting at radical economic and infrastructural consequences in the near future.</w:t>
      </w:r>
    </w:p>
    <w:p>
      <w:pPr/>
      <w:r>
        <w:rPr>
          <w:b/>
        </w:rPr>
        <w:t>POSSIBLE 2023:</w:t>
      </w:r>
      <w:r>
        <w:t xml:space="preserve"> Impacts of charging behavior on BEV charging infrastructure needs and energy use — https://doi.org/10.1016/j.trd.2023.103645</w:t>
      </w:r>
    </w:p>
    <w:p>
      <w:pPr/>
      <w:r>
        <w:rPr>
          <w:b/>
        </w:rPr>
        <w:t>Shared claim-specific concepts:</w:t>
      </w:r>
      <w:r>
        <w:t xml:space="preserve"> adoption, bevs, bev, charging, increased; EU scope visible. This is a provisional connection, not an outcome finding.</w:t>
      </w:r>
    </w:p>
    <w:p>
      <w:pPr>
        <w:pStyle w:val="SourceNote"/>
      </w:pPr>
      <w:r>
        <w:rPr>
          <w:b/>
        </w:rPr>
        <w:t>Available abstract (not full text):</w:t>
      </w:r>
      <w:r>
        <w:t xml:space="preserve"> Battery electric vehicles (BEVs) are vital in the sustainable future of transport systems. Increased BEV adoption makes the realistic assessment of charging infrastructure demand critical. The current literature on charging infrastructure often uses outdated charging behavior assumptions such as universal access to home chargers and the “Liquid-fuel” mental model. We simulate charging infrastructure needs using a large-scale agent-based simulation of Sweden with detailed individual characteristics, including dwelling types and activity patterns. The two state-of-art archetypes of charging behaviors, “Plan-ahead” and “Event-triggered”, mirror the current infrastructure built-up, suggesting 2.3–4.5 times more public chargers per BEV than the “Liquid-fuel” mental model. We also estimate roughly 30–150 BEVs served by a slow charger may be needed for non-home residential overnight charging.</w:t>
      </w:r>
    </w:p>
    <w:p>
      <w:pPr>
        <w:pStyle w:val="Heading2"/>
      </w:pPr>
      <w:r>
        <w:t>607.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2024:</w:t>
      </w:r>
      <w:r>
        <w:t xml:space="preserve"> What was, is and will be: A bibliometric analysis of European Green Deal (EGD) — https://doi.org/10.1386/tmsd_00086_1</w:t>
      </w:r>
    </w:p>
    <w:p>
      <w:pPr/>
      <w:r>
        <w:rPr>
          <w:b/>
        </w:rPr>
        <w:t>Shared claim-specific concepts:</w:t>
      </w:r>
      <w:r>
        <w:t xml:space="preserve"> green, deal, egd, sustainability, union; EU scope visible. This is a provisional connection, not an outcome finding.</w:t>
      </w:r>
    </w:p>
    <w:p>
      <w:pPr>
        <w:pStyle w:val="SourceNote"/>
      </w:pPr>
      <w:r>
        <w:rPr>
          <w:b/>
        </w:rPr>
        <w:t>Available abstract (not full text):</w:t>
      </w:r>
      <w:r>
        <w:t xml:space="preserve"> European Green Deal (EGD) was introduced by the European Union in December 2019 with a pledge to transform the European Union into a carbon-neutral economy by the year 2050. This study intends to undertake a bibliometric evaluation of the existing literature on EGD. This research aims to precisely identify and evaluate the most influential sources, contributors and cited works in the EGD literature, as well as delineate primary research directions and geographical hotspots, thereby offering a comprehensive overview of the current state and trends within the field. An attempt has been made to identify the trends of the research on EGD, along with the top countries contributing to the literature on EGD. The emerging keywords in the EGD literature are traced to provide future research directions. A total of 846 research documents are obtained from the Scopus database, and the Visualization of Similarities (VOS) viewer software is used for data analysis. The results of the analysis reveal that sustainability, sustainable development, energy efficiency, energy policies, greenhouse emissions, climate change, biodiversity, circular economy and renewable energy emerge as prominent and interconnected areas of research within the academic discourse on the EGD.</w:t>
      </w:r>
    </w:p>
    <w:p>
      <w:pPr/>
      <w:r>
        <w:rPr>
          <w:b/>
        </w:rPr>
        <w:t>POSSIBLE 2024:</w:t>
      </w:r>
      <w:r>
        <w:t xml:space="preserve"> DIGITALIZATION OF THE EUROPEAN GREEN DEAL (EGD) AND SUSTAINABLE DEVELOPMENT GOALS (SDG) - A FACTOR IN EMPOWERING SUSTAINABLE LOCAL PROJECTS: A REVIEW OF LITERATURE AND POTENTIAL ACHIEVEMENTS — https://doi.org/10.61432/cpne0201129g</w:t>
      </w:r>
    </w:p>
    <w:p>
      <w:pPr/>
      <w:r>
        <w:rPr>
          <w:b/>
        </w:rPr>
        <w:t>Shared claim-specific concepts:</w:t>
      </w:r>
      <w:r>
        <w:t xml:space="preserve"> green, deal, egd, sustainability, union; EU scope visible. This is a provisional connection, not an outcome finding.</w:t>
      </w:r>
    </w:p>
    <w:p>
      <w:pPr>
        <w:pStyle w:val="SourceNote"/>
      </w:pPr>
      <w:r>
        <w:rPr>
          <w:b/>
        </w:rPr>
        <w:t>Available abstract (not full text):</w:t>
      </w:r>
      <w:r>
        <w:t xml:space="preserve"> The Sustainable Development Goals and the European Green Deal are calls to action for countries around the world, and especially for the member states of the European Union, to address and practically solve many common problems. When discussing the European Green Deal (EGD) in particular, these problems are predominantly ecological in nature. The goal of decarbonization is closely linked to the structure of the economy, and to properly implement the provisions of greening the economy, proper education is necessary. For mass education, the use of IoT is a step towards the digitalization of education, project and other networking, as well as harmonious innovations on the path to sustainability. To highlight the importance and interdependence of these areas, the paper presents a systematic review of the literature on these fields.</w:t>
      </w:r>
    </w:p>
    <w:p>
      <w:pPr/>
      <w:r>
        <w:rPr>
          <w:b/>
        </w:rPr>
        <w:t>POSSIBLE 2023:</w:t>
      </w:r>
      <w:r>
        <w:t xml:space="preserve"> Reforms in green transportation with the European green deal (EGD) and evaluation of Turkey's compliance policies with the EGD in freight transportation in the light of legal regulations — https://openalex.org/W7132553149</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Avrupa Yeşil Mutabakatı (AYM), Avrupa Birliği'nin (AB) 2019 yılında duyurduğu ve sürdürülebilirlik hedeflerine ulaşmayı amaçlayan kapsamlı bir politika ve eylem planıdır. Bu mutabakat, 2050 yılına kadar Avrupa'yı karbon nötr bir kıta yapmayı hedeflemektedir. Bu amaç doğrultusunda, farklı sektörlerde (enerji, ulaşım, sanayi, tarım vb.) çeşitli politika ve düzenlemeler hayata geçirilmektedir. AYM'nin temel taşlarından biri de “Sürdürülebilir Akıllı Ulaşım Eylem Planı”dır. Bu Eylem Planı, ulaşım sektöründe çevre dostu ve akıllı çözümleri teşvik ederek ulaşımın çevresel etkileri azaltmayı ve ulaşımı daha sürdürülebilir bir hale getirmeyi hedeflenmektedir. AB ile sıkı ticari ilişkiye sahip ve AB aday ülke statüsünde bulunan Türkiye için de AB’nin AYM ile girdiği yeşil dönüşüm sürecine uyum sağlaması, Türkiye’nin ticari ve ekonomik zorluklar yaşama, yatırımlarda azalma, uluslararası itibar kaybı, AB katılım sürecinde zorluklar ve çevresel sorunlarda artış gibi olumsuzluklarla karşılaşmaması adına önem arz etmektedir. Bu durumu göz önünde bulunduran Türkiye politikalarında çeşitli düzenlemeler yapmaktadır. Yüksek sera gazı emisyonundan sorumlu taşımacılık sektörü, AYM yer edinen bir alandır. Buna göre Türkiye, çevresel etkileri azaltmak, enerji verimliliğini artırmak ve sürdürülebilir ulaşım altyapısını geliştirmek için çeşitli politika ve yasal düzenlemeleri hayata geçirmiştir. Bu ça</w:t>
      </w:r>
    </w:p>
    <w:p>
      <w:pPr/>
      <w:r>
        <w:rPr>
          <w:b/>
        </w:rPr>
        <w:t>POSSIBLE 2023:</w:t>
      </w:r>
      <w:r>
        <w:t xml:space="preserve"> BRIDGING MARITIME SPATIAL PLANNING [MSP] AND THE EUROPEAN GREEN DEAL [EGD]: Recommendations on how to strengthen the integration of EGD maritime components into MSP — https://openalex.org/W7126351769</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European Green Deal — https://doi.org/10.4324/9781003246985-3</w:t>
      </w:r>
    </w:p>
    <w:p>
      <w:pPr/>
      <w:r>
        <w:rPr>
          <w:b/>
        </w:rPr>
        <w:t>Shared claim-specific concepts:</w:t>
      </w:r>
      <w:r>
        <w:t xml:space="preserve"> green, deal, egd, main; EU scope visible. This is a provisional connection, not an outcome finding.</w:t>
      </w:r>
    </w:p>
    <w:p>
      <w:pPr>
        <w:pStyle w:val="SourceNote"/>
      </w:pPr>
      <w:r>
        <w:rPr>
          <w:b/>
        </w:rPr>
        <w:t>Available abstract (not full text):</w:t>
      </w:r>
      <w:r>
        <w:t xml:space="preserve"> This chapter investigates the transformative nature of the European Green Deal (EGD) by assessing the shortsightedness of the 2020 Package, the 2030 Framework, and the EGD. Specifically, the chapter examines the roles of the main EU institutions (European Commission, Council of the EU, and European Parliament) during policy formulation by focusing on the level of shortsightedness. The chapter applies a previously developed shortsightedness framework to the legislative packages and the institutions’ positions. The framework consists of four indicators: (1) The extent to which the targets are in line with science-based long-term objectives; (2) the stringency of the legislation; (3) the adaptability of the legislation; and (4) the presence of long-term thinking in the legislation. Overall, the chapter concludes that the EGD is not as transformative as portrayed by the Commission but rather a continuation of existing trends. The chapter confirms the image of the European Parliament as an ‘environmental champion’ as many of the farsighted aspects of EU climate policy correlate with the Parliament&amp;s;s position. While the shortsightedness of the Council&amp;s;s and the Commission&amp;s;s positions fluctuates over time, the Council has been the most shortsighted.</w:t>
      </w:r>
    </w:p>
    <w:p>
      <w:pPr/>
      <w:r>
        <w:rPr>
          <w:b/>
        </w:rPr>
        <w:t>POSSIBLE 2023:</w:t>
      </w:r>
      <w:r>
        <w:t xml:space="preserve"> The “Greening” of Empire: The European Green Deal as the EU first agenda — https://doi.org/10.1016/j.polgeo.2023.102925</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The recent past has seen the proposal of multiple ‘Green New Deals’ across geographies as a means to fight against the climate crisis and ecological breakdown. Of these, the European Green Deal- EGD represents the world's first public commitment to reduce greenhouse gas emissions of at least 55% by 2030 compared to 1990 levels. Because the EGD plans to “transform the EU,” in this paper we examine how it fits within a historical continuum of colonial and neo-colonial relations. We argue that the EGD is the latest discursive strategy for the ‘greening' of empire through four registers: (1) turning ecological crises into profitable opportunities; (2) portraying the EU as a ‘moral’ intervener; (3) building on a ‘green' “will to improve”; and (4) securitizing and consolidating the empire. We find how the EU acts in key policy arenas of diplomacy, trade and investment leading to the ‘greening' of the empire that ensures its continued economic and political leadership while fundamentally maintaining a status quo. We conclude with some reflections on the role of the EU to cede place to other possibilities of building anti-colonial ecologies.</w:t>
      </w:r>
    </w:p>
    <w:p>
      <w:pPr/>
      <w:r>
        <w:rPr>
          <w:b/>
        </w:rPr>
        <w:t>POSSIBLE 2023:</w:t>
      </w:r>
      <w:r>
        <w:t xml:space="preserve"> The European Green Deal: Challenges and opportunities for the Southern Mediterranean — https://doi.org/10.1080/13629395.2023.2237295</w:t>
      </w:r>
    </w:p>
    <w:p>
      <w:pPr/>
      <w:r>
        <w:rPr>
          <w:b/>
        </w:rPr>
        <w:t>Shared claim-specific concepts:</w:t>
      </w:r>
      <w:r>
        <w:t xml:space="preserve"> green, deal, egd, ambitious, strategy, union; EU scope visible. This is a provisional connection, not an outcome finding.</w:t>
      </w:r>
    </w:p>
    <w:p>
      <w:pPr>
        <w:pStyle w:val="SourceNote"/>
      </w:pPr>
      <w:r>
        <w:rPr>
          <w:b/>
        </w:rPr>
        <w:t>Available abstract (not full text):</w:t>
      </w:r>
      <w:r>
        <w:t xml:space="preserve"> The European Green Deal (EGD) marked the commitment of the European Union (EU) to a carbon-free, socially inclusive economic system. Even if conceived as an essentially domestic growth strategy, the EGD is inspiring EU diplomacy, as economic cooperation will be needed to realize the EGD’s ambitious vision. This profile aims to investigate and reflect on the potential implications of the EGD for the countries in the EU’s Southern Neighbourhood, especially in the energy sector, agriculture and food system, trade in raw materials, climate action, and circular economy. We expect the EGD to result in an increased investment in renewable energy, a reduction in emissions, green diplomacy, and funding opportunities for green projects and green infrastructures. The EGD brings with it attractive opportunities for a better cooperation on climate action and opportunities for job creation, green growth, and sustainable development. We believe that the EGD has the potential to be a win–win deal for the EU and its Southern Neighbours, with the EU goal to supply green inputs and of creating a market for green products.</w:t>
      </w:r>
    </w:p>
    <w:p>
      <w:pPr/>
      <w:r>
        <w:rPr>
          <w:b/>
        </w:rPr>
        <w:t>POSSIBLE 2023:</w:t>
      </w:r>
      <w:r>
        <w:t xml:space="preserve"> The European (Green?) Deal: a systematic analysis of environmental sustainability — https://doi.org/10.1002/sd.2671</w:t>
      </w:r>
    </w:p>
    <w:p>
      <w:pPr/>
      <w:r>
        <w:rPr>
          <w:b/>
        </w:rPr>
        <w:t>Shared claim-specific concepts:</w:t>
      </w:r>
      <w:r>
        <w:t xml:space="preserve"> green, deal, egd, sustainability; EU scope visible. This is a provisional connection, not an outcome finding.</w:t>
      </w:r>
    </w:p>
    <w:p>
      <w:pPr>
        <w:pStyle w:val="SourceNote"/>
      </w:pPr>
      <w:r>
        <w:rPr>
          <w:b/>
        </w:rPr>
        <w:t>Available abstract (not full text):</w:t>
      </w:r>
      <w:r>
        <w:t xml:space="preserve"> Abstract Transitioning towards a sustainable society is at the core of public planning in the EU through the European Green Deal (EGD). However, is the EGD a master plan for actual sustainable development in the EU? This work aims to answer this question through an analysis of the environmental sustainability within the EGD's plans through the method of critical discourse analysis, and discussing the results with previous efforts for sustainable development in the EU and in the UN. The results of the analysis identify fundamental flaws in the environmental sustainability of the EGD, which seems to repeat mistakes of previous efforts for sustainability planning in the EU. This work concludes that economic growth is the predominant focus in public planning and that the EGD needs a review of various environmental aspects to be considered the master plan for a transition towards a sustainable EU.</w:t>
      </w:r>
    </w:p>
    <w:p>
      <w:pPr>
        <w:pStyle w:val="Heading2"/>
      </w:pPr>
      <w:r>
        <w:t>608.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pStyle w:val="Heading2"/>
      </w:pPr>
      <w:r>
        <w:t>609.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r>
        <w:rPr>
          <w:b/>
        </w:rPr>
        <w:t>POSSIBLE 2024:</w:t>
      </w:r>
      <w:r>
        <w:t xml:space="preserve"> Enforcement actions against European banks in the years 2005–2022. Do financial penalties imposed on European banks follow any patterns? — https://doi.org/10.1057/s41261-024-00242-1</w:t>
      </w:r>
    </w:p>
    <w:p>
      <w:pPr/>
      <w:r>
        <w:rPr>
          <w:b/>
        </w:rPr>
        <w:t>Shared claim-specific concepts:</w:t>
      </w:r>
      <w:r>
        <w:t xml:space="preserve"> bank, database, approach, countries; EU scope visible. This is a provisional connection, not an outcome finding.</w:t>
      </w:r>
    </w:p>
    <w:p>
      <w:pPr>
        <w:pStyle w:val="SourceNote"/>
      </w:pPr>
      <w:r>
        <w:rPr>
          <w:b/>
        </w:rPr>
        <w:t>Available abstract (not full text):</w:t>
      </w:r>
      <w:r>
        <w:t xml:space="preserve"> Abstract This study aims to identify, by year and over the entire period under study (2005–2022), the countries with the most restrictive bank sanctioning policies in terms of amounts and numbers of penalties to point out the most active institutions in terms of imposing penalties, and to determine the regularities governing the process of imposing these burdens. Using linear ordering methods, groups of countries with similar levels of supervisory stringency identified with one of the supervisory actions, which are financial penalties, are distinguished. A total of 53 banks (the 50 largest European banks and an additional three banks designated as G-SIIs by the EBA) are identified from a constructed database of more than 300 European banks with penalties imposed between 2005 and 2022. The study’s conclusions indicate that the frequency of penalties cannot be clearly equated with the restrictiveness of supervisory institutions, as evidenced by the example of Hungary (multiplication of small penalties). The positioning of countries regarding the number of penalties, their value and grouping using linear ordering allows the conclusion that highly developed countries are characterized by relatively high restrictiveness. The results also show the difference between the Anglo-Saxon and continental models. The analysis in this article is the first comprehensive study of penalties impo</w:t>
      </w:r>
    </w:p>
    <w:p>
      <w:pPr/>
      <w:r>
        <w:rPr>
          <w:b/>
        </w:rPr>
        <w:t>POSSIBLE 2024:</w:t>
      </w:r>
      <w:r>
        <w:t xml:space="preserve"> An evaluation of the inflation forecasting performance of the European Central Bank, the Federal Reserve, and the Bank of England — https://doi.org/10.1002/for.3063</w:t>
      </w:r>
    </w:p>
    <w:p>
      <w:pPr/>
      <w:r>
        <w:rPr>
          <w:b/>
        </w:rPr>
        <w:t>Shared claim-specific concepts:</w:t>
      </w:r>
      <w:r>
        <w:t xml:space="preserve"> bank, very, approach; EU scope visible. This is a provisional connection, not an outcome finding.</w:t>
      </w:r>
    </w:p>
    <w:p>
      <w:pPr>
        <w:pStyle w:val="SourceNote"/>
      </w:pPr>
      <w:r>
        <w:rPr>
          <w:b/>
        </w:rPr>
        <w:t>Available abstract (not full text):</w:t>
      </w:r>
      <w:r>
        <w:t xml:space="preserve"> Abstract We provide an overview of the formulation of the forecasts of the European Central Bank, the Federal Reserve, and the Bank of England. We also provide statistical assessments of the performance of the forecasting process of those central banks. We find that the inflation forecasts have, by‐and‐large, been unbiased and efficient at the very short‐term forecast horizon. The performance deteriorates over longer horizons. This latter finding could be attributable, inter alia, to the approach applied in the integration in the forecasting process of the assumptions on the future market‐implied interest rate path.</w:t>
      </w:r>
    </w:p>
    <w:p>
      <w:pPr/>
      <w:r>
        <w:rPr>
          <w:b/>
        </w:rPr>
        <w:t>POSSIBLE 2023:</w:t>
      </w:r>
      <w:r>
        <w:t xml:space="preserve"> Ecological Indicator Values for Europe (EIVE) 1.0 — https://doi.org/10.3897/vcs.98324</w:t>
      </w:r>
    </w:p>
    <w:p>
      <w:pPr/>
      <w:r>
        <w:rPr>
          <w:b/>
        </w:rPr>
        <w:t>Shared claim-specific concepts:</w:t>
      </w:r>
      <w:r>
        <w:t xml:space="preserve"> addition, values, database; EU scope visible. This is a provisional connection, not an outcome finding.</w:t>
      </w:r>
    </w:p>
    <w:p>
      <w:pPr>
        <w:pStyle w:val="SourceNote"/>
      </w:pPr>
      <w:r>
        <w:rPr>
          <w:b/>
        </w:rPr>
        <w:t>Available abstract (not full text):</w:t>
      </w:r>
      <w:r>
        <w:t xml:space="preserve">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pPr/>
      <w:r>
        <w:rPr>
          <w:b/>
        </w:rPr>
        <w:t>POSSIBLE 2023:</w:t>
      </w:r>
      <w:r>
        <w:t xml:space="preserve"> Genetic diversity and selection signatures in a gene bank panel of maize inbred lines from Southeast Europe compared with two West European panels — https://doi.org/10.1186/s12870-023-04336-2</w:t>
      </w:r>
    </w:p>
    <w:p>
      <w:pPr/>
      <w:r>
        <w:rPr>
          <w:b/>
        </w:rPr>
        <w:t>Shared claim-specific concepts:</w:t>
      </w:r>
      <w:r>
        <w:t xml:space="preserve"> compared, bank, very; EU scope visible. This is a provisional connection, not an outcome finding.</w:t>
      </w:r>
    </w:p>
    <w:p>
      <w:pPr>
        <w:pStyle w:val="SourceNote"/>
      </w:pPr>
      <w:r>
        <w:rPr>
          <w:b/>
        </w:rPr>
        <w:t>Available abstract (not full text):</w:t>
      </w:r>
      <w:r>
        <w:t xml:space="preserve"> Southeast Europe (SEE) is a very important maize-growing region, comparable to the Corn belt region of the United States, with similar dent germplasm (dent by dent hybrids). Historically, this region has undergone several genetic material swaps, following the trends in the US, with one of the most significant swaps related to US aid programs after WWII. The imported accessions used to make double-cross hybrids were also mixed with previously adapted germplasm originating from several more distant OPVs, supporting the transition to single cross-breeding. Many of these materials were deposited at the Maize Gene Bank of the Maize Research Institute Zemun Polje (MRIZP) between the 1960s and 1980s. A part of this Gene Bank (572 inbreds) was genotyped with Affymetrix Axiom Maize Genotyping Array with 616,201 polymorphic variants. Data were merged with two other genotyping datasets with mostly European flint (TUM dataset) and dent (DROPS dataset) germplasm. The final pan-European dataset consisted of 974 inbreds and 460,243 markers. Admixture analysis showed seven ancestral populations representing European flint, B73/B14, Lancaster, B37, Wf9/Oh07, A374, and Iodent pools. Subpanel of inbreds with SEE origin showed a lack of Iodent germplasm, marking its historical context. Several signatures of selection were identified at chromosomes 1, 3, 6, 7, 8, 9, and 10. The regions under select</w:t>
      </w:r>
    </w:p>
    <w:p>
      <w:pPr/>
      <w:r>
        <w:rPr>
          <w:b/>
        </w:rPr>
        <w:t>POSSIBLE 2023:</w:t>
      </w:r>
      <w:r>
        <w:t xml:space="preserve"> On the relationship between corruption and bank lending activity: European evidence — https://doi.org/10.1108/jfc-10-2022-0253</w:t>
      </w:r>
    </w:p>
    <w:p>
      <w:pPr/>
      <w:r>
        <w:rPr>
          <w:b/>
        </w:rPr>
        <w:t>Shared claim-specific concepts:</w:t>
      </w:r>
      <w:r>
        <w:t xml:space="preserve"> addition, world, bank, findings, approach, countries; EU scope visible. This is a provisional connection, not an outcome finding.</w:t>
      </w:r>
    </w:p>
    <w:p>
      <w:pPr>
        <w:pStyle w:val="SourceNote"/>
      </w:pPr>
      <w:r>
        <w:rPr>
          <w:b/>
        </w:rPr>
        <w:t>Available abstract (not full text):</w:t>
      </w:r>
      <w:r>
        <w:t xml:space="preserve"> Purpose This paper aims to study the effect of country-level perceptions of corruption on commercial banks’ lending activity over the importance of loans and the quality of loan portfolios of banks in Europe. Design/methodology/approach The paper uses country-level perceptions of corruption scores from Transparency International, individual bank-specific data from ORBIS and macroeconomic data from the World Bank. The sample is composed of 640 commercial banks in 42 European countries from 2013 to 2019. The authors estimate, by pooled OLS, the relationship between corruption and the importance of loans and the quality of the banks’ loan portfolios. In addition, several robustness tests reinforce the results. Findings The results show that corruption negatively impacts the importance of loans in bank assets and positively impacts the proportion of bad loans. In addition, trade openness increases the weight of loans and the weight of nonperforming loans. Bank size, capital and risk also affect bank lending activity. Finally, European Monetary Union (EMU) membership reinforces the negative (positive) effect on loans (bad loans). Research limitations/implications The results highlight the importance of fighting corruption. Governments, regulators and banks benefit from pursuing transparency-oriented policies to decrease the perception of corruption and foster economic development. O</w:t>
      </w:r>
    </w:p>
    <w:p>
      <w:pPr/>
      <w:r>
        <w:rPr>
          <w:b/>
        </w:rPr>
        <w:t>POSSIBLE 2022:</w:t>
      </w:r>
      <w:r>
        <w:t xml:space="preserve"> The Effect of COVID-19 on the Value Relevance of European Firms’ Financial Statements — https://doi.org/10.33094/ijaefa.v14i1.661</w:t>
      </w:r>
    </w:p>
    <w:p>
      <w:pPr/>
      <w:r>
        <w:rPr>
          <w:b/>
        </w:rPr>
        <w:t>Shared claim-specific concepts:</w:t>
      </w:r>
      <w:r>
        <w:t xml:space="preserve"> addition, compared, countries, almost, same; EU scope visible. This is a provisional connection, not an outcome finding.</w:t>
      </w:r>
    </w:p>
    <w:p>
      <w:pPr>
        <w:pStyle w:val="SourceNote"/>
      </w:pPr>
      <w:r>
        <w:rPr>
          <w:b/>
        </w:rPr>
        <w:t>Available abstract (not full text):</w:t>
      </w:r>
      <w:r>
        <w:t xml:space="preserve"> The main topic of this study was the value relevance of accounting information. It employed a sample of 1,645 companies listed on the stock exchanges of the top six European Economies (in terms of GDP) – France, Germany, Italy, the Netherlands, Spain and the United Kingdom – for the period 2010-2020. The study’s analysis was based on the Ohlson model and used linear regression. The paper examines the difference between these countries in terms of value relevance. In addition, the paper examines the effects that the Covid-19 pandemic outbreak had on the value relevance of financial statements. The purpose is to examine how investors have been affected by the pandemic and the influence it has had on the importance of financial statements and specific accounting variables. Furthermore, we compare the importance of the two most significant accounting variables, earnings and book value (equity) before and after the pandemic. The results suggest that the explanatory power of financial statements is almost the same for all countries, except Germany, where it is significantly higher. The explanatory power of financial statements decreased in all countries after the start of the pandemic. Moreover, in most countries, earnings seem to have lost value relevance compared with book value due to the financial crisis.</w:t>
      </w:r>
    </w:p>
    <w:p>
      <w:pPr>
        <w:pStyle w:val="Heading2"/>
      </w:pPr>
      <w:r>
        <w:t>610.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The revival of bagged trees: hierarchical shrinkage as a regularization tool — https://doi.org/10.1088/2632-2153/aea39d</w:t>
      </w:r>
    </w:p>
    <w:p>
      <w:pPr/>
      <w:r>
        <w:rPr>
          <w:b/>
        </w:rPr>
        <w:t>Shared claim-specific concepts:</w:t>
      </w:r>
      <w:r>
        <w:t xml:space="preserve"> abstract, shrinkage, structural, present, also, offering; EU scope not established. This is a provisional connection, not an outcome finding.</w:t>
      </w:r>
    </w:p>
    <w:p>
      <w:pPr>
        <w:pStyle w:val="SourceNote"/>
      </w:pPr>
      <w:r>
        <w:rPr>
          <w:b/>
        </w:rPr>
        <w:t>Available abstract (not full text):</w:t>
      </w:r>
      <w:r>
        <w:t xml:space="preserve"> Abstract We present methodological refinements and new insights into hierarchical shrinkage (HS), a post-hoc regularization technique for decision trees that shrinks node predictions toward ancestral means. By contrasting HS with the implicit regularization from feature sub-sampling in random forests (RFs), we clarify when bagging and RFs exhibit similar regularization behavior and explore how the optimal shrinkage parameter depends on the signal-to-noise ratio (SNR). Our analysis also highlights key interactions between tree depth, feature cardinality, and degrees of freedom. To address limitations of the original HS method, such as its insensitivity to split informativeness and bias toward high-cardinality features, we propose a novel method called adaptive HS (adHS), which adjusts shrinkage based on feature entropy and estimated overfitting. We further examine the tunability of RFs across SNR regimes and show that bagging combined with HS can recover tunability gains in certain data regimes when it comes to predictive performance, offering a computationally efficient post-hoc alternative to repeated refitting for structural hyperparameter tuning in RFs. Additionally, adHS can improve the stability and interpretability of feature importance rankings derived from SHAP values and mean decrease in impurity.</w:t>
      </w:r>
    </w:p>
    <w:p>
      <w:pPr/>
      <w:r>
        <w:rPr>
          <w:b/>
        </w:rPr>
        <w:t>POSSIBLE 2026:</w:t>
      </w:r>
      <w:r>
        <w:t xml:space="preserve"> Urban Industrial Land Shrinkage in China: Formation Mechanisms, Identification, and Response Strategies — https://doi.org/10.3390/land15010138</w:t>
      </w:r>
    </w:p>
    <w:p>
      <w:pPr/>
      <w:r>
        <w:rPr>
          <w:b/>
        </w:rPr>
        <w:t>Shared claim-specific concepts:</w:t>
      </w:r>
      <w:r>
        <w:t xml:space="preserve"> shrinkage, structural; EU scope not established. This is a provisional connection, not an outcome finding.</w:t>
      </w:r>
    </w:p>
    <w:p>
      <w:pPr>
        <w:pStyle w:val="SourceNote"/>
      </w:pPr>
      <w:r>
        <w:rPr>
          <w:b/>
        </w:rPr>
        <w:t>Available abstract (not full text):</w:t>
      </w:r>
      <w:r>
        <w:t xml:space="preserve"> In the context of urban development transforming from external expansion to internal improvement, identifying the patterns and characteristics of urban industrial land shrinkage and proposing response strategies are crucial for achieving high-quality and sustainable urban development. Unlike previous studies that focused on the expansion of industrial land based on absolute changes in land area, we propose a formation mechanism for urban industrial land shrinkage from the perspectives of both absolute and potential shrinkage. We quantitatively identified the Chinese cities that experienced shrinkage between 2006 and 2020, and developed a comprehensive indicator system to investigate the changes in the structural and functional characteristics of industrial land use during this process. The results indicated that urban industrial land shrinkage has become a widespread phenomenon nationwide. Absolute shrinkage was predominantly attributed to resource depletion and a lack of economic development, while potential shrinkage was mainly influenced by high-quality development and a lack of economic development. Cities exhibiting potential shrinkage experienced more severe structural deterioration, while cities with absolute shrinkage faced greater functional degradation. Extensive land use remains a serious challenge that must be addressed in industrial land redevelopment. Finally, we </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r>
        <w:rPr>
          <w:b/>
        </w:rPr>
        <w:t>POSSIBLE 2025:</w:t>
      </w:r>
      <w:r>
        <w:t xml:space="preserve"> How Service Exclusion Affects Rural Depopulation. An Approach Based on Structural Equation Modelling — https://doi.org/10.1111/soru.70005</w:t>
      </w:r>
    </w:p>
    <w:p>
      <w:pPr/>
      <w:r>
        <w:rPr>
          <w:b/>
        </w:rPr>
        <w:t>Shared claim-specific concepts:</w:t>
      </w:r>
      <w:r>
        <w:t xml:space="preserve"> abstract, depopulation, structural; EU scope visible. This is a provisional connection, not an outcome finding.</w:t>
      </w:r>
    </w:p>
    <w:p>
      <w:pPr>
        <w:pStyle w:val="SourceNote"/>
      </w:pPr>
      <w:r>
        <w:rPr>
          <w:b/>
        </w:rPr>
        <w:t>Available abstract (not full text):</w:t>
      </w:r>
      <w:r>
        <w:t xml:space="preserve">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pPr/>
      <w:r>
        <w:rPr>
          <w:b/>
        </w:rPr>
        <w:t>POSSIBLE 2025:</w:t>
      </w:r>
      <w:r>
        <w:t xml:space="preserve"> WHAT DOES IT TAKE TO ‘ ACCEPT ’ URBAN SHRINKAGE ? A Comparative Analysis of Discursive Pathways to Policy and Action on Shrinking Cities in the Netherlands and Finland — https://doi.org/10.1111/1468-2427.70029</w:t>
      </w:r>
    </w:p>
    <w:p>
      <w:pPr/>
      <w:r>
        <w:rPr>
          <w:b/>
        </w:rPr>
        <w:t>Shared claim-specific concepts:</w:t>
      </w:r>
      <w:r>
        <w:t xml:space="preserve"> abstract, shrinkage, structural, decline, also, shrinking; EU scope visible. This is a provisional connection, not an outcome finding.</w:t>
      </w:r>
    </w:p>
    <w:p>
      <w:pPr>
        <w:pStyle w:val="SourceNote"/>
      </w:pPr>
      <w:r>
        <w:rPr>
          <w:b/>
        </w:rPr>
        <w:t>Available abstract (not full text):</w:t>
      </w:r>
      <w:r>
        <w:t xml:space="preserve"> Abstract Shrinking cities are increasingly drawing global attention, but urban shrinkage is seldom considered as an enduring structural condition necessitating a move beyond growth‐centric strategies. The focus often remains on mitigating symptoms rather than embracing the broader implications of long‐term decline. Understanding of what drives decision‐makers to shift from mere recognition to acceptance of shrinkage, and to rethink conventional responses, remains underexplored. Drawing on Schmidt's discursive institutionalism, this study examines how discourse drives institutional change in two European regions: Parkstad Limburg in the Netherlands, and Satakunta in Finland. Our analysis goes beyond agenda‐setting to examine how discourse on shrinking cities evolves, enabling decision‐makers not only to recognize the problem but also to acknowledge its profound implications and complex challenges. We conclude that accepting shrinkage necessitates optimistic reframing, robust knowledge generation and national‐level engagement. While contextual factors play a role, acceptance is unlikely without addressing these critical dimensions.</w:t>
      </w:r>
    </w:p>
    <w:p>
      <w:pPr>
        <w:pStyle w:val="Heading2"/>
      </w:pPr>
      <w:r>
        <w:t>611.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2023:</w:t>
      </w:r>
      <w:r>
        <w:t xml:space="preserve"> European Exchanges, Networks and Contexts — https://doi.org/10.3366/edinburgh/9781474499170.003.0016</w:t>
      </w:r>
    </w:p>
    <w:p>
      <w:pPr/>
      <w:r>
        <w:rPr>
          <w:b/>
        </w:rPr>
        <w:t>Shared claim-specific concepts:</w:t>
      </w:r>
      <w:r>
        <w:t xml:space="preserve"> took, account, distribution, well; EU scope visible. This is a provisional connection, not an outcome finding.</w:t>
      </w:r>
    </w:p>
    <w:p>
      <w:pPr>
        <w:pStyle w:val="SourceNote"/>
      </w:pPr>
      <w:r>
        <w:rPr>
          <w:b/>
        </w:rPr>
        <w:t>Available abstract (not full text):</w:t>
      </w:r>
      <w:r>
        <w:t xml:space="preserve"> This chapter investigates the development and integration of European news communication along with the formation of new types of news publication capable of conveying details and impressions of a rapidly changing geopolitical order to the first mass audiences. Particularly fertile generators of new genres were the Thirty Years War and English Civil War, which in turn received the effects of news distribution while supplying new material for consumption. New research demonstrates, for instance, that events occurring as far away as Naples were discussed in London, whereas Neapolitans took cues from regime-changing episodes in Civil War Britain. The study takes account of recent studies tending to emphasise continuities as well as discontinuities, not only between the press history of Britain and Ireland and the press history of neighbouring states, but also between the history of printed newspapers and of older media types.</w:t>
      </w:r>
    </w:p>
    <w:p>
      <w:pPr/>
      <w:r>
        <w:rPr>
          <w:b/>
        </w:rPr>
        <w:t>POSSIBLE 2022:</w:t>
      </w:r>
      <w:r>
        <w:t xml:space="preserve"> Urbanization the Eastern Borders of Old Europe — https://doi.org/10.15388/archlit.2022.23.12</w:t>
      </w:r>
    </w:p>
    <w:p>
      <w:pPr/>
      <w:r>
        <w:rPr>
          <w:b/>
        </w:rPr>
        <w:t>Shared claim-specific concepts:</w:t>
      </w:r>
      <w:r>
        <w:t xml:space="preserve"> took, account, materials; EU scope visible. This is a provisional connection, not an outcome finding.</w:t>
      </w:r>
    </w:p>
    <w:p>
      <w:pPr>
        <w:pStyle w:val="SourceNote"/>
      </w:pPr>
      <w:r>
        <w:rPr>
          <w:b/>
        </w:rPr>
        <w:t>Available abstract (not full text):</w:t>
      </w:r>
      <w:r>
        <w:t xml:space="preserve"> Maria Gimbutas created an impressive picture of Old Europe, using, among others, materials from Trypillia Culture. From the very beginning, she took into account new archaeological discoveries from the 70s of the 20th century, namely, information about the large settlements. But fifty years ago, their studies were just beginning and this topic was not particularly popular among researchers outside of Ukraine. Today, news about life on the eastern borders of Old Europe, where these megasites, appeared more than 6000 years ago, appeares on the pages of leading archaeological publications and becomes the subject of discussions among archaeologists from different countries.</w:t>
      </w:r>
    </w:p>
    <w:p>
      <w:pPr>
        <w:pStyle w:val="Heading2"/>
      </w:pPr>
      <w:r>
        <w:t>612.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r>
        <w:rPr>
          <w:b/>
        </w:rPr>
        <w:t>POSSIBLE 2023:</w:t>
      </w:r>
      <w:r>
        <w:t xml:space="preserve"> Addressing Environmental Migration in the European Union Discourse — https://doi.org/10.14324/111.444/000203.v2</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r>
        <w:rPr>
          <w:b/>
        </w:rPr>
        <w:t>POSSIBLE 2023:</w:t>
      </w:r>
      <w:r>
        <w:t xml:space="preserve"> An Independent European Macroeconomics? A History of European Macroeconomics through the Lens of the European Economic Review — https://doi.org/10.1016/j.euroecorev.2023.104559</w:t>
      </w:r>
    </w:p>
    <w:p>
      <w:pPr/>
      <w:r>
        <w:rPr>
          <w:b/>
        </w:rPr>
        <w:t>Shared claim-specific concepts:</w:t>
      </w:r>
      <w:r>
        <w:t xml:space="preserve"> important, question, like; EU scope visible. This is a provisional connection, not an outcome finding.</w:t>
      </w:r>
    </w:p>
    <w:p>
      <w:pPr>
        <w:pStyle w:val="SourceNote"/>
      </w:pPr>
      <w:r>
        <w:rPr>
          <w:b/>
        </w:rPr>
        <w:t>Available abstract (not full text):</w:t>
      </w:r>
      <w:r>
        <w:t xml:space="preserve"> Economics in Europe has become more international since the 1970s. To a certain extent, this internationalisation is also an ‘Americanisation’ as many European economists have adopted the standards and approaches of US economics. This prompts an important question: amidst this convergence, are there any fields that have managed to retain a distinctively European character?In this article, we use topic modelling and bibliometric coupling to identify European specialties between 1969 and 2002. We focus on macroeconomic articles published in the European Economic Review and compare their bibliographic references and textual content to what has been published in the top 5 journals.Despite economics internationalization since the 1970s, European macroeconomics displayed distinct characteristics across two distinct periods. In the late 1970s and early 1980s, European macroeconomists maintained a certain distance from US debates centered around rational expectations and new classical economics. However, they embraced the concept of microfoundations through the lens of disequilibrium theory, fostering transnational collaborations and offering a unique framework for addressing various macroeconomic issues. Nevertheless, both the prominence of new classical economics in the US and the decline of the disequilibrium approach after the mid-1980s, European macroeconomics shifted towards clos</w:t>
      </w:r>
    </w:p>
    <w:p>
      <w:pPr/>
      <w:r>
        <w:rPr>
          <w:b/>
        </w:rPr>
        <w:t>POSSIBLE 2022:</w:t>
      </w:r>
      <w:r>
        <w:t xml:space="preserve"> Wind erosion in European agricultural landscapes: More than physics — https://doi.org/10.1002/pan3.10418</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pPr/>
      <w:r>
        <w:rPr>
          <w:b/>
        </w:rPr>
        <w:t>POSSIBLE 2022:</w:t>
      </w:r>
      <w:r>
        <w:t xml:space="preserve"> Mediating Europe — https://doi.org/10.1515/9781845459352</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The on-going constitutionalization of Europe has led to various changes in media and communications, opening up areas of debate regarding the role of traditional and new media in developing a specific European public sphere as part of the wider European Project. This timely volume addresses the little understood relationship between old and new media, communications policy at the European level, issues of regulation and competition within the EU, the role of the European Parliament in media policymaking, and the questions emerging about the sustainability of traditional public service broadcasting. To understand the concrete significance of these debates two contributions address specific practical areas, i.e. the potential of online environments and specific developments in European media contexts, such as channel strategies, web-related services, iDTV and community networks. Consequently, Mediating Europe provides an original and important contribution to understanding the role of the media in shaping a European public sphere.</w:t>
      </w:r>
    </w:p>
    <w:p>
      <w:pPr>
        <w:pStyle w:val="Heading2"/>
      </w:pPr>
      <w:r>
        <w:t>613.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Development and Institutionalization of Urban Agriculture Policy: Emerging Governance Models in Three Norwegian Cities — https://doi.org/10.1007/978-3-031-41550-0_12</w:t>
      </w:r>
    </w:p>
    <w:p>
      <w:pPr/>
      <w:r>
        <w:rPr>
          <w:b/>
        </w:rPr>
        <w:t>Shared claim-specific concepts:</w:t>
      </w:r>
      <w:r>
        <w:t xml:space="preserve"> three, sector; EU scope not established. This is a provisional connection, not an outcome finding.</w:t>
      </w:r>
    </w:p>
    <w:p>
      <w:pPr>
        <w:pStyle w:val="SourceNote"/>
      </w:pPr>
      <w:r>
        <w:rPr>
          <w:b/>
        </w:rPr>
        <w:t>Available abstract (not full text):</w:t>
      </w:r>
      <w:r>
        <w:t xml:space="preserve"> Abstract Urban agriculture has been closely associated with citizen activism and voluntary work based on local bottom-up initiatives. However, municipalities have been interested in urban agriculture, and this chapter presents the development of public policies and the main actors in three cities, Oslo, Bergen and Trondheim. They show many common traits in institutionalization of urban agriculture policy. But there are also differences particularly between role of voluntary groups and bottom-up and top-down processes, degree of networking, relationship to ordinary peri-urban agriculture and new forms of urban agriculture, and the implementation of urban agriculture in plans. Oslo shows a politically driven implementation through traditional participatory methods with plans and visions for developing urban agriculture as a social activity in green/urban spaces and as new ways of professional production of food in dense urban areas. In Bergen, the voluntary sector has an active role as co-creators of policy through political activism and participation in strategy development and in running competence center. In Trondheim, the policy is co-produced with the growers each year based on their experiences, and the connection to ordinary, professional agriculture is strong. While Oslo and Bergen have developed strategies for developing urban agriculture, Trondheim has consciously chose</w:t>
      </w:r>
    </w:p>
    <w:p>
      <w:pPr/>
      <w:r>
        <w:rPr>
          <w:b/>
        </w:rPr>
        <w:t>POSSIBLE 2024:</w:t>
      </w:r>
      <w:r>
        <w:t xml:space="preserve"> THE EFFECTS OF SUSTAINABLE DEVELOPMENT ON AGRICULTURE, INFLATION, AND UNDEREMPLOYMENT ACROSS NATIONS: A COMPARATIVE STUDY BETWEEN THREE OECD COUNTRIES — https://doi.org/10.29121/shodhkosh.v5.i6.2024.2091</w:t>
      </w:r>
    </w:p>
    <w:p>
      <w:pPr/>
      <w:r>
        <w:rPr>
          <w:b/>
        </w:rPr>
        <w:t>Shared claim-specific concepts:</w:t>
      </w:r>
      <w:r>
        <w:t xml:space="preserve"> three, agricultural, economy; EU scope not established. This is a provisional connection, not an outcome finding.</w:t>
      </w:r>
    </w:p>
    <w:p>
      <w:pPr>
        <w:pStyle w:val="SourceNote"/>
      </w:pPr>
      <w:r>
        <w:rPr>
          <w:b/>
        </w:rPr>
        <w:t>Available abstract (not full text):</w:t>
      </w:r>
      <w:r>
        <w:t xml:space="preserve"> This study aims to analyse the outcomes of sustainable development on agriculture, inflation, and underemployment in three diverse countries - Australia, Canada, and India. By comparing these countries, we can gain insights into how sustainable development practices differ across different economic and social contexts. Additionally, this comparative analysis will help identify potential strategies and policies that can be adopted to promote sustainable development in both developed and developing nations. The study found that Government should hasten the spread of technology, particularly that which organizes agricultural output. To allay the worries of agriculturalists, recent agricultural inflation rates have been estimated to range between 5% and 10%. Input and equipment costs are rising, and the government's responsibility in creating a sustainable economy includes funding basic research necessary for renewable energy and resource technology, as well as tax management. The results among others demonstrate that sustainable development lowers inflation in mature nations, which lowers the unemployment rate in developing economies and creates space for increased supply and increased demand, which eventually leads to the perfection of a standard economy. More-so, the government must offer the necessary support in the form of financing, technical knowledge, and other specialized </w:t>
      </w:r>
    </w:p>
    <w:p>
      <w:pPr/>
      <w:r>
        <w:rPr>
          <w:b/>
        </w:rPr>
        <w:t>POSSIBLE 2023:</w:t>
      </w:r>
      <w:r>
        <w:t xml:space="preserve"> Agroecological Challenges in Three Agricultural Development Areas in Aceh — https://doi.org/10.1051/bioconf/20236904019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Agroecological zones group an area on soil and climate differences that interact with crops will have impact on differences in commodities, farming systems, productivity, and farmers’ challenges in managing their agricultural businesses. Aceh Province which is grouped into 3 Agroecological Zones, namely the southwest coast, middle and northeast coasts have different agricultural characteristics. This descriptive research tries to answer the challenges of farmers in managing agricultural businesses in 3 different Agroecological Zones. The results showed that in the southwest zone there were 9 challenges, and in the middle zone there were 10 challenges faced by farmers. The main challenges in these two zones is that agricultural development assistance such as capital, superior seeds, production inputs, counseling, and program supervision is not appropriate and complete. In the northeast zone, there are 13 challenges with the main challenges was the difficulty of farmers in getting subsidized fertilizers. Synchronization of agricultural development programs with the challenges faced by farmers based on the ZAE area is very important, because it will be a more precise and simpler solution to solving agricultural challenges in agricultural-based regional development.</w:t>
      </w:r>
    </w:p>
    <w:p>
      <w:pPr/>
      <w:r>
        <w:rPr>
          <w:b/>
        </w:rPr>
        <w:t>POSSIBLE 2023:</w:t>
      </w:r>
      <w:r>
        <w:t xml:space="preserve"> Research on the sustainable development of agricultural product supply chain in three northeast provinces in China — https://doi.org/10.3389/fpubh.2022.1007486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Background: The sustainable development of the agricultural product supply chain (APSC) is the key to protecting public health. Methods: This paper explores the sustainable development status of the APSC in three northeast provinces of China from 2007 to 2020 and the development trend in the next 5 years by using the entropy weight-matter-element extension model (MEEM) and autoregressive integrated moving average model (ARIMA), taking into account the background of relatively backward development and the high proportion of agricultural output in these three provinces. Results: According to the research results, the sustainable development of the APSC in Jilin Province is relatively stable, Heilongjiang Province has made considerable progress in the sustainable development of the APSC in recent years, while Liaoning Province has shown a significant downward trend in recent years in the sustainable development of the APSC, despite a strong development momentum in previous years. Conclusions: The findings of this paper can be applied to the governance of APSC in other rural areas with uneven development. The assessment also provides guidance on the quality and safety of agricultural products and public health, and raises the awareness of policymakers on the importance of the APSC.</w:t>
      </w:r>
    </w:p>
    <w:p>
      <w:pPr/>
      <w:r>
        <w:rPr>
          <w:b/>
        </w:rPr>
        <w:t>POSSIBLE 2023:</w:t>
      </w:r>
      <w:r>
        <w:t xml:space="preserve"> Reform of Agricultural Land Property Rights System and Green and High-Quality Development of Agriculture: Empirical Evidence Based on China’s “Three Rights Separation” Reform — https://doi.org/10.15244/pjoes/168715</w:t>
      </w:r>
    </w:p>
    <w:p>
      <w:pPr/>
      <w:r>
        <w:rPr>
          <w:b/>
        </w:rPr>
        <w:t>Shared claim-specific concepts:</w:t>
      </w:r>
      <w:r>
        <w:t xml:space="preserve"> three, agricultural, economy; EU scope not established. This is a provisional connection, not an outcome finding.</w:t>
      </w:r>
    </w:p>
    <w:p>
      <w:pPr>
        <w:pStyle w:val="SourceNote"/>
      </w:pPr>
      <w:r>
        <w:rPr>
          <w:b/>
        </w:rPr>
        <w:t>Available abstract (not full text):</w:t>
      </w:r>
      <w:r>
        <w:t xml:space="preserve"> The latest reform of China’s agricultural land property rights system has achieved the separation of rural land ownership, contracting rights, and management rights (the “three rights separation” reform), which is an important means for the Chinese government to achieve the rational allocation of agricultural land resources and plays an important role in improving the green and high-quality development of agriculture. Based on the panel data of 30 sample provinces in China from 2001 to 2020, this paper explores the impact of the latest rural land property rights system reform (the “three rights separation” reform) on the high-quality green development of agriculture. Research has found that, firstly, the reform of the agricultural land property rights system that separates the collective ownership of land, the contracting rights of farmers, and the management rights of land can effectively improve the green development of agriculture. Secondly, the “three rights separation” reform can enhance the green development of agriculture through three paths: expanding the scale of agricultural economy, promoting the upgrading of agricultural industrial structure, and innovating agricultural technology. In addition, fiscal investment in supporting agriculture has played a positive regulatory role in the impact of the “three rights separation” reform on the green development of agricultur</w:t>
      </w:r>
    </w:p>
    <w:p>
      <w:pPr/>
      <w:r>
        <w:rPr>
          <w:b/>
        </w:rPr>
        <w:t>POSSIBLE 2023:</w:t>
      </w:r>
      <w:r>
        <w:t xml:space="preserve"> RURAL DEVELOPMENT IN THE THREE SEAS INITIATIVE. CAN THE INITIATIVE BECOME AN AGRICULTURAL POWERHOUSE? CASE STUDY: ROMANIA — https://openalex.org/W7215376526</w:t>
      </w:r>
    </w:p>
    <w:p>
      <w:pPr/>
      <w:r>
        <w:rPr>
          <w:b/>
        </w:rPr>
        <w:t>Shared claim-specific concepts:</w:t>
      </w:r>
      <w:r>
        <w:t xml:space="preserve"> three, agricultural, ukraine; EU scope visible. This is a provisional connection, not an outcome finding.</w:t>
      </w:r>
    </w:p>
    <w:p>
      <w:pPr>
        <w:pStyle w:val="SourceNote"/>
      </w:pPr>
      <w:r>
        <w:rPr>
          <w:b/>
        </w:rPr>
        <w:t>Available abstract (not full text):</w:t>
      </w:r>
      <w:r>
        <w:t xml:space="preserve"> The Three Seas Initiative (3SI) is a platform for improving connectivity between twelve EU Member States allocated between Baltic, Adriatic and Black seas. As the interconnectivity develops the need for a harmonised rural development become more stringent in order to boost the economic growth and resilience of the region. Add to this the food security challenges of the war in Ukraine and we are having before us a new and interesting research area. The paper would identify the trends in the agriculture in the region, the strengths and weakness of the rural development and the problems that need to be addressed. The paper would also map out the main agricultural and rural developments in the Initiative and their financing sources to see whether the regional actors are working together and if so, how they do that. A special interest would be given to Romania as a relevant case study as well as to the formulation of recommendations for the rural development in the Initiative.</w:t>
      </w:r>
    </w:p>
    <w:p>
      <w:pPr/>
      <w:r>
        <w:rPr>
          <w:b/>
        </w:rPr>
        <w:t>POSSIBLE 2023:</w:t>
      </w:r>
      <w:r>
        <w:t xml:space="preserve"> PARTICIPATORY COMMUNICATION VARIATION, ITS IMPACT AND DEVELOPMENT THRESHOLD: Dealing with Geographical Disparities at Three Agricultural Technology Parks, Indonesia — https://doi.org/10.59670/jns.v33i.877</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Although participatory development communication (PDC) is still young, its variations in some countries have been emerging to a dynamic field nurtured by many disciplines. At the same time, PDC practices for sustaining the agricultural sector in different geographics require development thresholds as psychological and sociological necessity. Consequently, the implementation of agricultural innovations in Indonesia often leads to variations in the participation practice in several Agricultural Technology Parks (ATP) that need specific treatment. This study aims to analyse the comparison of variables in each location of ATP Bogor, Lamongan, and Garut. To determine relevant strategies to achieve optimal results or goal(s). This research design was a cross-sectional survey, the data collected through a questionnaire involving 218 relevant respondents. The method used in this research is the T-test method, Kruskal-Wallis Test then continued with the Dunn (Post Hoc) Test. This study results in a P-Value shows each variable &lt;0.05. This indicates there are distinction of each quantity. Hence, it can be stated that there is a significant difference in the concentration of the three ATPs: Bogor, Lamongan, and Garut. As a result, different communication strategies are needed in handling variations in participation. Thus, different locations (geographical side) affect the difference in the</w:t>
      </w:r>
    </w:p>
    <w:p>
      <w:pPr>
        <w:pStyle w:val="Heading2"/>
      </w:pPr>
      <w:r>
        <w:t>614.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r>
        <w:rPr>
          <w:b/>
        </w:rPr>
        <w:t>POSSIBLE 2024:</w:t>
      </w:r>
      <w:r>
        <w:t xml:space="preserve"> Systemic effects of hypophosphatasia characterization of two novel variants in the ALPL gene — https://doi.org/10.3389/fendo.2023.1320516</w:t>
      </w:r>
    </w:p>
    <w:p>
      <w:pPr/>
      <w:r>
        <w:rPr>
          <w:b/>
        </w:rPr>
        <w:t>Shared claim-specific concepts:</w:t>
      </w:r>
      <w:r>
        <w:t xml:space="preserve"> systemic, variant, main; EU scope not established. This is a provisional connection, not an outcome finding.</w:t>
      </w:r>
    </w:p>
    <w:p>
      <w:pPr>
        <w:pStyle w:val="SourceNote"/>
      </w:pPr>
      <w:r>
        <w:rPr>
          <w:b/>
        </w:rPr>
        <w:t>Available abstract (not full text):</w:t>
      </w:r>
      <w:r>
        <w:t xml:space="preserve">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r>
        <w:rPr>
          <w:b/>
        </w:rPr>
        <w:t>POSSIBLE 2023:</w:t>
      </w:r>
      <w:r>
        <w:t xml:space="preserve"> Social Capital of the Territorial Communities of Ukraine in the Conditions of War: Current Transformations and Forecasted Changes — https://doi.org/10.15407/dse2023.02.054</w:t>
      </w:r>
    </w:p>
    <w:p>
      <w:pPr/>
      <w:r>
        <w:rPr>
          <w:b/>
        </w:rPr>
        <w:t>Shared claim-specific concepts:</w:t>
      </w:r>
      <w:r>
        <w:t xml:space="preserve"> according, systemic, ukraine, period, forecasted, capacity; EU scope not established. This is a provisional connection, not an outcome finding.</w:t>
      </w:r>
    </w:p>
    <w:p>
      <w:pPr>
        <w:pStyle w:val="SourceNote"/>
      </w:pPr>
      <w:r>
        <w:rPr>
          <w:b/>
        </w:rPr>
        <w:t>Available abstract (not full text):</w:t>
      </w:r>
      <w:r>
        <w:t xml:space="preserve"> The relevance of the study of current and forecasted transformations of the social capital of territorial communities is due to the need to strengthen social capital at the local level as a means of consolidating the population in the conditions of the destabilizing pressure of war and the risks of reducing the regulatory capabilities of state administration. The purpose of the study is to reveal the transformational shifts in the social capital of the territorial communities of Ukraine in the war and post-war periods. The scientific novelty of the work consists in revealing the peculiarities of the influence of the Russian-Ukrainian war and the humanitarian crisis caused by it on the trends of the development of social capital of the territorial communities of Ukraine. Forecasting of social capital transformations is based on the use of systemic approach, methods of abstraction and generalization, modeling, and scenario forecasting of time series. The use of the scenario approach is due to the low predictability and instability of military actions and includes realistic, optimistic, and pessimistic forecast versions. The prediction according to the realistic version is based on the assumption of building up the potential of social capital by the communities of the country and, above all, the territories freed from temporary occupation. It is substantiated that social capital w</w:t>
      </w:r>
    </w:p>
    <w:p>
      <w:pPr/>
      <w:r>
        <w:rPr>
          <w:b/>
        </w:rPr>
        <w:t>POSSIBLE 2022:</w:t>
      </w:r>
      <w:r>
        <w:t xml:space="preserve"> Deep-learning-based post-processing for probabilistic precipitation forecasting — https://doi.org/10.3389/feart.2022.978041</w:t>
      </w:r>
    </w:p>
    <w:p>
      <w:pPr/>
      <w:r>
        <w:rPr>
          <w:b/>
        </w:rPr>
        <w:t>Shared claim-specific concepts:</w:t>
      </w:r>
      <w:r>
        <w:t xml:space="preserve"> according, systemic, period, terms; EU scope not established. This is a provisional connection, not an outcome finding.</w:t>
      </w:r>
    </w:p>
    <w:p>
      <w:pPr>
        <w:pStyle w:val="SourceNote"/>
      </w:pPr>
      <w:r>
        <w:rPr>
          <w:b/>
        </w:rPr>
        <w:t>Available abstract (not full text):</w:t>
      </w:r>
      <w:r>
        <w:t xml:space="preserve"> Ensemble prediction systems (EPSs) serve as a popular technique to provide probabilistic precipitation prediction in short- and medium-range forecasting. However, numerical models still suffer from imperfect configurations associated with data assimilation and physical parameterization, which can lead to systemic bias. Even state-of-the-art models often fail to provide high-quality precipitation forecasting, especially for extreme events. In this study, two deep-learning-based models—a shallow neural network (NN) and a deep NN with convolutional layers (CNN)—were used as alternative post-processing approaches to further improve the probabilistic forecasting of precipitation over China with 1–7 lead days. A popular conventional method—the censored and shifted gamma distribution-based ensemble model output statistics (CSG EMOS)—was used as the baseline. Re-forecasts run using a frozen EPS—Global Ensemble Forecast System version 12—were collected as the raw ensembles spanning from 2000 to 2019. The re-forecast data were generated once per day and consisted of one control run and four perturbed members. We used the calendar year 2018 as the validation period and 2019 as the testing period, and the remaining 18 years of data were used for training. According to the results, in terms of the continuous ranked probability score (CRPS) and the Brier score, the CNN model significantly ou</w:t>
      </w:r>
    </w:p>
    <w:p>
      <w:pPr/>
      <w:r>
        <w:rPr>
          <w:b/>
        </w:rPr>
        <w:t>POSSIBLE 2022:</w:t>
      </w:r>
      <w:r>
        <w:t xml:space="preserve"> Capitalization of Ukrainian systemically important banks of military aggression of the rf — https://doi.org/10.31617/1.2022(146)07</w:t>
      </w:r>
    </w:p>
    <w:p>
      <w:pPr/>
      <w:r>
        <w:rPr>
          <w:b/>
        </w:rPr>
        <w:t>Shared claim-specific concepts:</w:t>
      </w:r>
      <w:r>
        <w:t xml:space="preserve"> according, ukraine, period; EU scope not established. This is a provisional connection, not an outcome finding.</w:t>
      </w:r>
    </w:p>
    <w:p>
      <w:pPr>
        <w:pStyle w:val="SourceNote"/>
      </w:pPr>
      <w:r>
        <w:rPr>
          <w:b/>
        </w:rPr>
        <w:t>Available abstract (not full text):</w:t>
      </w:r>
      <w:r>
        <w:t xml:space="preserve"> Introduction. Systemically important banks (SIB) play an important role in stability of the do­mestic banking and financial system since their activities significantly affect the country’s finan­cial system and the economy as a whole. Problem. Domestic banking system constantly functions in a mode of stress and uncertainty In conditions of war, therefore the National Bank of Ukraine pays special attention to the activities of systemically important institutions. Ensuring the proper functioning of SIB depends on the level of their capitalization, which is why the capitalization of systemically important banks is an extremely urgent issue today. The aim of the article is to determine the ability of SIB to meet capital adequacy require­ments as a factor of ensuring the stability and reliability of the domestic banking system and its macroeconomic stress resistance under martial law. Methods. Methods of theoretical genera­lization, analysis and synthesis, grouping, sys­tem approach were used in the paper. Results. The value of the capital standards of domestic SIB during the period of martial law was investigated, a comparative analysis of ca­pitalization indicators of SIB of Ukraine with their normative and forecast values under basic and adverse macroeconomic scenarios was car­ried out according to the results of the NBU stress testing. Banks that show signs of an unfa­vorable ma</w:t>
      </w:r>
    </w:p>
    <w:p>
      <w:pPr>
        <w:pStyle w:val="Heading2"/>
      </w:pPr>
      <w:r>
        <w:t>615.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2023:</w:t>
      </w:r>
      <w:r>
        <w:t xml:space="preserve"> Analysis of the European Strategy for Hydrogen: A Comprehensive Review — https://doi.org/10.3390/en16093866</w:t>
      </w:r>
    </w:p>
    <w:p>
      <w:pPr/>
      <w:r>
        <w:rPr>
          <w:b/>
        </w:rPr>
        <w:t>Shared claim-specific concepts:</w:t>
      </w:r>
      <w:r>
        <w:t xml:space="preserve"> all, strategies, developed, union, within; EU scope visible. This is a provisional connection, not an outcome finding.</w:t>
      </w:r>
    </w:p>
    <w:p>
      <w:pPr>
        <w:pStyle w:val="SourceNote"/>
      </w:pPr>
      <w:r>
        <w:rPr>
          <w:b/>
        </w:rPr>
        <w:t>Available abstract (not full text):</w:t>
      </w:r>
      <w:r>
        <w:t xml:space="preserve"> This review focuses on analysing the strategy and aspirations of the European Union within the hydrogen sector. This aim is achieved through the examination of the European Parliament’s hydrogen strategy, allowing for a study of actions and projects in hydrogen technologies. The Parliament’s hydrogen strategy is the document that provides the guideline of how the EU intends to function in the hydrogen sector and manages to cover a wide range of topics, all of them significant to represent the entirety of the hydrogen sector. It touches on subjects such as hydrogen demand, infrastructure, research, and standards, among others. The review discusses also the aspect that the EU intends to be a leader in the hydrogen sector, including the large-scale industrialization of key elements such as electrolysers, and this purpose is corroborated by the large number of associations, strategies, plans, and projects that are being established and developed by the European Union. The most important conclusions to learn from this analysis are that hydrogen has many of the right characteristics to make it the key to decarbonisation, especially in hard-to-abate sectors, and that it is bound to be one of the main actors in the imminent green transition. Moreover, hydrogen seems to be having its breakthrough, and this field’s development can have benefits not only from an environmental perspective </w:t>
      </w:r>
    </w:p>
    <w:p>
      <w:pPr/>
      <w:r>
        <w:rPr>
          <w:b/>
        </w:rPr>
        <w:t>POSSIBLE 2023:</w:t>
      </w:r>
      <w:r>
        <w:t xml:space="preserve"> Digital Health Reimbursement Strategies of 8 European Countries and Israel: Scoping Review and Policy Mapping — https://doi.org/10.2196/49003</w:t>
      </w:r>
    </w:p>
    <w:p>
      <w:pPr/>
      <w:r>
        <w:rPr>
          <w:b/>
        </w:rPr>
        <w:t>Shared claim-specific concepts:</w:t>
      </w:r>
      <w:r>
        <w:t xml:space="preserve"> all, strategies, basis, possible, within; EU scope visible. This is a provisional connection, not an outcome finding.</w:t>
      </w:r>
    </w:p>
    <w:p>
      <w:pPr>
        <w:pStyle w:val="SourceNote"/>
      </w:pPr>
      <w:r>
        <w:rPr>
          <w:b/>
        </w:rPr>
        <w:t>Available abstract (not full text):</w:t>
      </w:r>
      <w:r>
        <w:t xml:space="preserve"> BACKGROUND: The adoption of digital health care within health systems is determined by various factors, including pricing and reimbursement. The reimbursement landscape for digital health in Europe remains underresearched. Although various emergency reimbursement decisions were made during the COVID-19 pandemic to enable health care delivery through videoconferencing and asynchronous care (eg, digital apps), research so far has primarily focused on the policy innovations that facilitated this outside of Europe. OBJECTIVE: This study examines the digital health reimbursement strategies in 8 European countries (Belgium, France, Germany, Italy, the Netherlands, Poland, Sweden, and the United Kingdom) and Israel. METHODS: We mapped available digital health reimbursement strategies using a scoping review and policy mapping framework. We reviewed the literature on the MEDLINE, Embase, Global Health, and Web of Science databases. Supplementary records were identified through Google Scholar and country experts. RESULTS: Our search strategy yielded a total of 1559 records, of which 40 (2.57%) were ultimately included in this study. As of August 2023, digital health solutions are reimbursable to some extent in all studied countries except Poland, although the mechanism of reimbursement differs significantly across countries. At the time of writing, the pricing of digital health solutions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all, strategies, increase;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Investing in AI for social good: an analysis of European national strategies — https://doi.org/10.1007/s00146-022-01445-8</w:t>
      </w:r>
    </w:p>
    <w:p>
      <w:pPr/>
      <w:r>
        <w:rPr>
          <w:b/>
        </w:rPr>
        <w:t>Shared claim-specific concepts:</w:t>
      </w:r>
      <w:r>
        <w:t xml:space="preserve"> all, strategies, union, possible, commission; EU scope visible. This is a provisional connection, not an outcome finding.</w:t>
      </w:r>
    </w:p>
    <w:p>
      <w:pPr>
        <w:pStyle w:val="SourceNote"/>
      </w:pPr>
      <w:r>
        <w:rPr>
          <w:b/>
        </w:rPr>
        <w:t>Available abstract (not full text):</w:t>
      </w:r>
      <w:r>
        <w:t xml:space="preserve"> Artificial Intelligence (AI) has become a driving force in modern research, industry and public administration and the European Union (EU) is embracing this technology with a view to creating societal, as well as economic, value. This effort has been shared by EU Member States which were all encouraged to develop their own national AI strategies outlining policies and investment levels. This study focuses on how EU Member States are approaching the promise to develop and use AI for the good of society through the lens of their national AI strategies. In particular, we aim to investigate how European countries are investing in AI and to what extent the stated plans contribute to the good of people and society as a whole. Our contribution consists of three parts: (i) a conceptualization of AI for social good highlighting the role of AI policy, in particular, the one put forward by the European Commission (EC); (ii) a qualitative analysis of 15 European national strategies mapping investment plans and suggesting their relation to the social good (iii) a reflection on the current status of investments in socially good AI and possible steps to move forward. Our study suggests that while European national strategies incorporate money allocations in the sphere of AI for social good (e.g. education), there is a broader variety of underestimated actions (e.g. multidisciplinary approach </w:t>
      </w:r>
    </w:p>
    <w:p>
      <w:pPr>
        <w:pStyle w:val="Heading2"/>
      </w:pPr>
      <w:r>
        <w:t>616.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2024:</w:t>
      </w:r>
      <w:r>
        <w:t xml:space="preserve"> Phytoliths in dicotyledons occurring in Northwest Europe: establishing a baseline — https://doi.org/10.1093/aob/mcae217</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pPr/>
      <w:r>
        <w:rPr>
          <w:b/>
        </w:rPr>
        <w:t>POSSIBLE 2024:</w:t>
      </w:r>
      <w:r>
        <w:t xml:space="preserve"> Baseline matters: Challenges and implications of different marine heatwave baselines — https://doi.org/10.1016/j.pocean.2024.103404</w:t>
      </w:r>
    </w:p>
    <w:p>
      <w:pPr/>
      <w:r>
        <w:rPr>
          <w:b/>
        </w:rPr>
        <w:t>Shared claim-specific concepts:</w:t>
      </w:r>
      <w:r>
        <w:t xml:space="preserve"> suggest, baseline, strategies; EU scope not established. This is a provisional connection, not an outcome finding.</w:t>
      </w:r>
    </w:p>
    <w:p>
      <w:pPr>
        <w:pStyle w:val="SourceNote"/>
      </w:pPr>
      <w:r>
        <w:rPr>
          <w:b/>
        </w:rPr>
        <w:t>Available abstract (not full text):</w:t>
      </w:r>
      <w:r>
        <w:t xml:space="preserve">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Treatment gaps in the implementation of LDL cholesterol control among high- and very high-risk patients in Europe between 2020 and 2021: the multinational observational SANTORINI study — https://doi.org/10.1016/j.lanepe.2023.100624</w:t>
      </w:r>
    </w:p>
    <w:p>
      <w:pPr/>
      <w:r>
        <w:rPr>
          <w:b/>
        </w:rPr>
        <w:t>Shared claim-specific concepts:</w:t>
      </w:r>
      <w:r>
        <w:t xml:space="preserve"> findings, suggest, baseline; EU scope visible. This is a provisional connection, not an outcome finding.</w:t>
      </w:r>
    </w:p>
    <w:p>
      <w:pPr>
        <w:pStyle w:val="SourceNote"/>
      </w:pPr>
      <w:r>
        <w:rPr>
          <w:b/>
        </w:rPr>
        <w:t>Available abstract (not full text):</w:t>
      </w:r>
      <w:r>
        <w:t xml:space="preserve"> Background: European data pre-2019 suggest statin monotherapy is the most common approach to lipid management for preventing cardiovascular (CV) events, resulting in only one-fifth of high- and very high-risk patients achieving the 2019 ESC/EAS recommended low-density lipoprotein cholesterol (LDL-C) goals. Whether the treatment landscape has evolved, or gaps persist remains of interest. Methods: Baseline data are presented from SANTORINI, an observational, prospective study that documents the use of lipid-lowering therapies (LLTs) in patients ≥18 years at high or very high CV risk between 2020 and 2021 across primary and secondary care settings in 14 European countries. Findings: Of 9602 enrolled patients, 9044 with complete data were included (mean age: 65.3 ± 10.9 years; 72.6% male). Physicians reported using 2019 ESC/EAS guidelines as a basis for CV risk classification in 52.0% (4706/9044) of patients (overall: high risk 29.2%; very high risk 70.8%). However, centrally re-assessed CV risk based on 2019 ESC/EAS guidelines suggested 6.5% (308/4706) and 91.0% (4284/4706) were high- and very high-risk patients, respectively. Overall, 21.8% of patients had no documented LLTs, 54.2% were receiving monotherapy and 24.0% combination LLT. Median (interquartile range [IQR]) LDL-C was 2.1 (1.6, 3.0) mmol/L (82 [60, 117] mg/dL), with 20.1% of patients achieving risk-based LDL-C goals as</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suggest, conclusions;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pStyle w:val="Heading2"/>
      </w:pPr>
      <w:r>
        <w:t>617.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2024:</w:t>
      </w:r>
      <w:r>
        <w:t xml:space="preserve"> Bias-adjusting for underestimated large-scale European warming in regional climate model simulations and implications for future extremes — https://doi.org/10.5194/egusphere-egu24-18186</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pPr/>
      <w:r>
        <w:rPr>
          <w:b/>
        </w:rPr>
        <w:t>POSSIBLE 2024:</w:t>
      </w:r>
      <w:r>
        <w:t xml:space="preserve"> Energy transition in sustainable transport: concepts, policies, and methodologies — https://doi.org/10.1007/s11356-024-34862-x</w:t>
      </w:r>
    </w:p>
    <w:p>
      <w:pPr/>
      <w:r>
        <w:rPr>
          <w:b/>
        </w:rPr>
        <w:t>Shared claim-specific concepts:</w:t>
      </w:r>
      <w:r>
        <w:t xml:space="preserve"> transport, mobility; EU scope not established. This is a provisional connection, not an outcome finding.</w:t>
      </w:r>
    </w:p>
    <w:p>
      <w:pPr>
        <w:pStyle w:val="SourceNote"/>
      </w:pPr>
      <w:r>
        <w:rPr>
          <w:b/>
        </w:rPr>
        <w:t>Available abstract (not full text):</w:t>
      </w:r>
      <w:r>
        <w:t xml:space="preserve"> The growth in population, economic expansion, and urban dynamism has collectively driven a surge in the use of public and private transport, resulting in increased energy consumption in this sector. Consequently, the transport sector requires an energy transition to meet mobility demands, foster economic growth, and achieve emission reduction. The main objective of this article is to systematically review the literature on energy transition in transportation, categorizing research, identifying barriers, and providing analysis to guide future steps, with a special focus on developing countries. The methodology used in this study follows a sequence for a systematic review based on an evidence-informed approach and specific guidelines for systematic reviews, exploring the concepts, methodologies, and policies within the context of the energy transition, considering transport modes and geographical scope. The findings indicate that electricity is the predominant energy source in this transition, although its prevalence varies by transport mode. Biofuels present an alternative, primarily contributing to emission reduction associated with fossil fuel use. Natural gas emerges as a cost-effective option for heavy transport, while hydrogen represents another alternative, with the challenge of developing recharging infrastructure. Determinants of this transition include recharging infras</w:t>
      </w:r>
    </w:p>
    <w:p>
      <w:pPr/>
      <w:r>
        <w:rPr>
          <w:b/>
        </w:rPr>
        <w:t>POSSIBLE 2024:</w:t>
      </w:r>
      <w:r>
        <w:t xml:space="preserve"> External Transport Costs and Implications for Sustainable Transport Policy — https://doi.org/10.3390/su16229687</w:t>
      </w:r>
    </w:p>
    <w:p>
      <w:pPr/>
      <w:r>
        <w:rPr>
          <w:b/>
        </w:rPr>
        <w:t>Shared claim-specific concepts:</w:t>
      </w:r>
      <w:r>
        <w:t xml:space="preserve"> transport, modal; EU scope visible. This is a provisional connection, not an outcome finding.</w:t>
      </w:r>
    </w:p>
    <w:p>
      <w:pPr>
        <w:pStyle w:val="SourceNote"/>
      </w:pPr>
      <w:r>
        <w:rPr>
          <w:b/>
        </w:rPr>
        <w:t>Available abstract (not full text):</w:t>
      </w:r>
      <w:r>
        <w:t xml:space="preserve"> This study investigated the external costs of different transport modes and their implications for sustainable transport policy. Utilising the INCONE60 Cargo Flow Model, we quantified and compared road and maritime transport’s environmental and health impacts within European logistics networks. Our findings revealed that road transport incurred external costs up to four times higher than sea transport due to greater emissions and health-related impacts. By implementing strategic modal shifts and optimising routes, we demonstrated the potential to reduce external costs by up to 80%. These results underscore the importance of integrating external costs into decision-making processes, aligning with global sustainability goals, and providing actionable insights for policymakers to promote sustainable practices in global trade.</w:t>
      </w:r>
    </w:p>
    <w:p>
      <w:pPr/>
      <w:r>
        <w:rPr>
          <w:b/>
        </w:rPr>
        <w:t>POSSIBLE 2023:</w:t>
      </w:r>
      <w:r>
        <w:t xml:space="preserve"> A roadmap to estimating agricultural ammonia volatilization over Europe using satellite observations and simulation data — https://doi.org/10.5194/acp-23-12505-2023</w:t>
      </w:r>
    </w:p>
    <w:p>
      <w:pPr/>
      <w:r>
        <w:rPr>
          <w:b/>
        </w:rPr>
        <w:t>Shared claim-specific concepts:</w:t>
      </w:r>
      <w:r>
        <w:t xml:space="preserve"> simulations, show, increase; EU scope visible. This is a provisional connection, not an outcome finding.</w:t>
      </w:r>
    </w:p>
    <w:p>
      <w:pPr>
        <w:pStyle w:val="SourceNote"/>
      </w:pPr>
      <w:r>
        <w:rPr>
          <w:b/>
        </w:rPr>
        <w:t>Available abstract (not full text):</w:t>
      </w:r>
      <w:r>
        <w:t xml:space="preserve">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pPr/>
      <w:r>
        <w:rPr>
          <w:b/>
        </w:rPr>
        <w:t>POSSIBLE 2023:</w:t>
      </w:r>
      <w:r>
        <w:t xml:space="preserve"> Validating EURO-CORDEX climate simulations for modelling European wind power generation — https://doi.org/10.1016/j.renene.2023.118989</w:t>
      </w:r>
    </w:p>
    <w:p>
      <w:pPr/>
      <w:r>
        <w:rPr>
          <w:b/>
        </w:rPr>
        <w:t>Shared claim-specific concepts:</w:t>
      </w:r>
      <w:r>
        <w:t xml:space="preserve"> simulations, show, lower; EU scope visible. This is a provisional connection, not an outcome finding.</w:t>
      </w:r>
    </w:p>
    <w:p>
      <w:pPr>
        <w:pStyle w:val="SourceNote"/>
      </w:pPr>
      <w:r>
        <w:rPr>
          <w:b/>
        </w:rPr>
        <w:t>Available abstract (not full text):</w:t>
      </w:r>
      <w:r>
        <w:t xml:space="preserve"> As the energy system becomes increasingly dependent on intermittent meteorological sources, there is a need to understand better the possible consequences of a changing climate on weather variability and how it will affect wind power generation in the future. Most previous validation studies of regional climate datasets focus on the distributional properties or, in fewer cases, the variability at lower frequencies, such as interannual and seasonal. However, accurate wind variability at a high-enough resolution (e.g., hourly) is crucial for many aspects of power and energy system analyses. Using European country-level wind generation data and metrics relevant to power and energy system applications, we validate the wind speed output from seven regional climate models from the EURO-CORDEX project. We show that the EURO-CORDEX models adjusted with the Global Wind Atlas (GWA2) can simulate temporal dependencies and generation distributions with accuracy similar to or better than the ERA5 reanalysis. The spatial correlations, however, are exaggerated compared to observations by most analysed models. Assuming the GWA2 scaling is also valid for the future, the projections under the RCP8.5 scenario show a slight negative trend (2026--2065) in capacity factors for most analysed European countries.</w:t>
      </w:r>
    </w:p>
    <w:p>
      <w:pPr/>
      <w:r>
        <w:rPr>
          <w:b/>
        </w:rPr>
        <w:t>POSSIBLE 2023:</w:t>
      </w:r>
      <w:r>
        <w:t xml:space="preserve"> Simulation of the Progress of the Decarbonization Process in Poland’s Road Transport Sector — https://doi.org/10.3390/en16124635</w:t>
      </w:r>
    </w:p>
    <w:p>
      <w:pPr/>
      <w:r>
        <w:rPr>
          <w:b/>
        </w:rPr>
        <w:t>Shared claim-specific concepts:</w:t>
      </w:r>
      <w:r>
        <w:t xml:space="preserve"> simulations, without, transport, mobility; EU scope visible. This is a provisional connection, not an outcome finding.</w:t>
      </w:r>
    </w:p>
    <w:p>
      <w:pPr>
        <w:pStyle w:val="SourceNote"/>
      </w:pPr>
      <w:r>
        <w:rPr>
          <w:b/>
        </w:rPr>
        <w:t>Available abstract (not full text):</w:t>
      </w:r>
      <w:r>
        <w:t xml:space="preserve"> In the years ahead, the majority of the EU member states will be implementing their energy and climate plans. These plans are aimed at fulfilling obligations related to the strategy for the Sustainable and Smart Mobility Strategy and the “Fit for 55” package. The European Commission has presented highly challenging proposals for the decarbonization of the transport sector through electrification and support for innovation. The decarbonization of transport will not be possible without cooperation and mutual understanding between manufacturers, suppliers, and customers, or without proper organization of the transport process itself. High-emission means of transport must be replaced with low-emission ones. In the EU, road transport generates 70% of all transport emissions. There are few scalable decarbonization opportunities in the transport sector. Various kinds of solutions should be promoted, yet at the same time, it is imperative to analyze the current situation and forecast desirable potential future outcomes. By employing optimization theory tools, specifically the SOLVER add-in—an Excel-based optimization tool—the optimum structure of the stock of road transport vehicles in Poland’s commercial road transport sector was searched for. Several research hypotheses were formulated, primarily focusing on the potential for electric vehicles to reduce emissions significantly. These</w:t>
      </w:r>
    </w:p>
    <w:p>
      <w:pPr/>
      <w:r>
        <w:rPr>
          <w:b/>
        </w:rPr>
        <w:t>POSSIBLE 2023:</w:t>
      </w:r>
      <w:r>
        <w:t xml:space="preserve"> Evidence-based transport policy analysis driven by agent-based simulation: the case of mobility in Ústí nad Labem — https://doi.org/10.1007/s11116-023-10453-6</w:t>
      </w:r>
    </w:p>
    <w:p>
      <w:pPr/>
      <w:r>
        <w:rPr>
          <w:b/>
        </w:rPr>
        <w:t>Shared claim-specific concepts:</w:t>
      </w:r>
      <w:r>
        <w:t xml:space="preserve"> transport, mobility, increase, modal, shift, cycling; EU scope not established. This is a provisional connection, not an outcome finding.</w:t>
      </w:r>
    </w:p>
    <w:p>
      <w:pPr>
        <w:pStyle w:val="SourceNote"/>
      </w:pPr>
      <w:r>
        <w:rPr>
          <w:b/>
        </w:rPr>
        <w:t>Available abstract (not full text):</w:t>
      </w:r>
      <w:r>
        <w:t xml:space="preserve"> Abstract There is a raise in public awareness on environmental and health issues in recent years, therefore many municipalities changed their transport policy direction to become more sustainable, especially active mobility based. This study makes use of an activity-based demand model to simulate urban mobility and policies for sustainable transport modes in the Usti nad Labem district using an agent-based model simulator driven by a co-evolutionary algorithm. Two policy scenarios were created by considering the transport literature and analyzing the characteristics and behaviors of citizens as well as the properties of the study area. Three scenarios—the actual situation, a cycleway-infrastructure case, and a bus priority case—were simulated for the study area with MATSim software. Both policy scenarios resulted in a decrease in car usage, with a higher drop seen in the cycleway-infrastructure scenario. 9.11% higher public transport ridership and 2.45% more of public transport modal share are observed in the bus priority compared to the actual situation, however the car-related emissions did not decrease. 6.36% more of cycling modal share was also noticed in the cycleway-infrastructure scenario which, the transport modal shift is enhanced by 2.6 more times than in the bus priority scenario. Car driving hours were significantly reduced in the cycleway scenario (5535 h less in a</w:t>
      </w:r>
    </w:p>
    <w:p>
      <w:pPr>
        <w:pStyle w:val="Heading2"/>
      </w:pPr>
      <w:r>
        <w:t>618.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2024:</w:t>
      </w:r>
      <w:r>
        <w:t xml:space="preserve"> Projection in Arabic: a typological overview — https://doi.org/10.1515/jwl-2024-0019</w:t>
      </w:r>
    </w:p>
    <w:p>
      <w:pPr/>
      <w:r>
        <w:rPr>
          <w:b/>
        </w:rPr>
        <w:t>Shared claim-specific concepts:</w:t>
      </w:r>
      <w:r>
        <w:t xml:space="preserve"> show, three, abstract, examines; EU scope not established. This is a provisional connection, not an outcome finding.</w:t>
      </w:r>
    </w:p>
    <w:p>
      <w:pPr>
        <w:pStyle w:val="SourceNote"/>
      </w:pPr>
      <w:r>
        <w:rPr>
          <w:b/>
        </w:rPr>
        <w:t>Available abstract (not full text):</w:t>
      </w:r>
      <w:r>
        <w:t xml:space="preserve">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pPr/>
      <w:r>
        <w:rPr>
          <w:b/>
        </w:rPr>
        <w:t>POSSIBLE 2024:</w:t>
      </w:r>
      <w:r>
        <w:t xml:space="preserve"> Long-term population projections: Scenarios of low or rebounding fertility — https://doi.org/10.1371/journal.pone.0298190</w:t>
      </w:r>
    </w:p>
    <w:p>
      <w:pPr/>
      <w:r>
        <w:rPr>
          <w:b/>
        </w:rPr>
        <w:t>Shared claim-specific concepts:</w:t>
      </w:r>
      <w:r>
        <w:t xml:space="preserve"> projections, show, fertility, decline, recent; EU scope not established. This is a provisional connection, not an outcome finding.</w:t>
      </w:r>
    </w:p>
    <w:p>
      <w:pPr>
        <w:pStyle w:val="SourceNote"/>
      </w:pPr>
      <w:r>
        <w:rPr>
          <w:b/>
        </w:rPr>
        <w:t>Available abstract (not full text):</w:t>
      </w:r>
      <w:r>
        <w:t xml:space="preserve"> The size of the human population is projected to peak in the 21st century. But quantitative projections past 2100 are rare, and none quantify the possibility of a rebound from low fertility to replacement-level fertility. Moreover, the most recent long-term deterministic projections were published a decade ago; since then there has been further global fertility decline. Here we provide updated long-term cohort-component population projections and extend the set of scenarios in the literature to include scenarios in which future fertility (a) stays below replacement or (b) recovers and increases. We also characterize old-age dependency ratios. We show that any stable, long-run size of the world population would persistently depend on when an increase towards replacement fertility begins. Without such an increase, the 400-year span when more than 2 billion people were alive would be a brief spike in history. Indeed, four-fifths of all births-past, present, and future-would have already happened.</w:t>
      </w:r>
    </w:p>
    <w:p>
      <w:pPr/>
      <w:r>
        <w:rPr>
          <w:b/>
        </w:rPr>
        <w:t>POSSIBLE 2024:</w:t>
      </w:r>
      <w:r>
        <w:t xml:space="preserve"> Subnational probabilistic projections of fertility: rethinking from Latin America — https://doi.org/10.56808/2730-3934.1358</w:t>
      </w:r>
    </w:p>
    <w:p>
      <w:pPr/>
      <w:r>
        <w:rPr>
          <w:b/>
        </w:rPr>
        <w:t>Shared claim-specific concepts:</w:t>
      </w:r>
      <w:r>
        <w:t xml:space="preserve"> projections, show, fertility, over, compared, period; EU scope not established. This is a provisional connection, not an outcome finding.</w:t>
      </w:r>
    </w:p>
    <w:p>
      <w:pPr>
        <w:pStyle w:val="SourceNote"/>
      </w:pPr>
      <w:r>
        <w:rPr>
          <w:b/>
        </w:rPr>
        <w:t>Available abstract (not full text):</w:t>
      </w:r>
      <w:r>
        <w:t xml:space="preserve"> General trends in fertility, mortality, and migration can be discerned and projected into the future with reasonable results, however, there is considerable uncertainty attached to each specific trend from a particular country or region. Then, subnational projections then represent a special chapter within the demographic projections. After introducing subnational projections and its close relationship with the fertility, this work proposes as the main objective to project fertility rates at the subnational level for Argentina using a probabilistic method; the bayesian hierarchical model (BHM), and then compare the results with the point estimates of deterministic projections published by the national organism of statistics. Forecasts were obtained from two models, one including all the countries available in World Population Prospects (WPP) and a second model based only in a subgroup of countries; Argentina, Colombia, Chile, Cuba and Uruguay, both based on data from 1980 to 2010. This set of countries where selected using the transitional to identify a subset of countries with similar patterns among them, that includes Argentina, but show different patterns compared to the rest region. Time period is selected to include years for which these countries reach an adequate data quality. BHM for subnational projections is an extremely useful and flexible method. It presents many ad</w:t>
      </w:r>
    </w:p>
    <w:p>
      <w:pPr/>
      <w:r>
        <w:rPr>
          <w:b/>
        </w:rPr>
        <w:t>POSSIBLE 2024:</w:t>
      </w:r>
      <w:r>
        <w:t xml:space="preserve"> Global fertility in 204 countries and territories, 1950–2021, with forecasts to 2100: a comprehensive demographic analysis for the Global Burden of Disease Study 2021 — https://doi.org/10.1016/s0140-6736(24)00550-6</w:t>
      </w:r>
    </w:p>
    <w:p>
      <w:pPr/>
      <w:r>
        <w:rPr>
          <w:b/>
        </w:rPr>
        <w:t>Shared claim-specific concepts:</w:t>
      </w:r>
      <w:r>
        <w:t xml:space="preserve"> projections, three, four, fertility, decline, over; EU scope not established. This is a provisional connection, not an outcome finding.</w:t>
      </w:r>
    </w:p>
    <w:p>
      <w:pPr>
        <w:pStyle w:val="SourceNote"/>
      </w:pPr>
      <w:r>
        <w:rPr>
          <w:b/>
        </w:rPr>
        <w:t>Available abstract (not full text):</w:t>
      </w:r>
      <w:r>
        <w:t xml:space="preserve"> BACKGROUND: Accurate assessments of current and future fertility-including overall trends and changing population age structures across countries and regions-are essential to help plan for the profound social, economic, environmental, and geopolitical challenges that these changes will bring. Estimates and projections of fertility are necessary to inform policies involving resource and health-care needs, labour supply, education, gender equality, and family planning and support. The Global Burden of Diseases, Injuries, and Risk Factors Study (GBD) 2021 produced up-to-date and comprehensive demographic assessments of key fertility indicators at global, regional, and national levels from 1950 to 2021 and forecast fertility metrics to 2100 based on a reference scenario and key policy-dependent alternative scenarios. METHODS: To estimate fertility indicators from 1950 to 2021, mixed-effects regression models and spatiotemporal Gaussian process regression were used to synthesise data from 8709 country-years of vital and sample registrations, 1455 surveys and censuses, and 150 other sources, and to generate age-specific fertility rates (ASFRs) for 5-year age groups from age 10 years to 54 years. ASFRs were summed across age groups to produce estimates of total fertility rate (TFR). Livebirths were calculated by multiplying ASFR and age-specific female population, then summing across </w:t>
      </w:r>
    </w:p>
    <w:p>
      <w:pPr/>
      <w:r>
        <w:rPr>
          <w:b/>
        </w:rPr>
        <w:t>POSSIBLE 2024:</w:t>
      </w:r>
      <w:r>
        <w:t xml:space="preserve"> Decomposition of official population projections in Brazil — https://doi.org/10.20947/s0102-3098a0263</w:t>
      </w:r>
    </w:p>
    <w:p>
      <w:pPr/>
      <w:r>
        <w:rPr>
          <w:b/>
        </w:rPr>
        <w:t>Shared claim-specific concepts:</w:t>
      </w:r>
      <w:r>
        <w:t xml:space="preserve"> projections, four, fertility, decline, over; EU scope not established. This is a provisional connection, not an outcome finding.</w:t>
      </w:r>
    </w:p>
    <w:p>
      <w:pPr>
        <w:pStyle w:val="SourceNote"/>
      </w:pPr>
      <w:r>
        <w:rPr>
          <w:b/>
        </w:rPr>
        <w:t>Available abstract (not full text):</w:t>
      </w:r>
      <w:r>
        <w:t xml:space="preserve"> Brazil’s population has continually changed over time. However, the effects of each demographic component on official population projections are still unclear. In this research, we replicate the Population Projections Revision 2018 of the Brazilian Institute of Geography and Statistics using a projection matrix model and the cohort-component method by sex, age and geographic regions. Thereafter, we established four alternative scenarios to decompose the official benchmark scenario into four demographic effects (fertility, age structure, mortality, and migration) and one residual effect. The results reveal that fertility and age structure effects have been the main drivers of the population dynamics between 2010 and 2060. On the one hand, the negative effect of fertility below replacement level has been mostly offset by the still positive effect of the age structure, even across regions in the country. On the other hand, age structure effect has been decreasing over time. By 2048, the effects of age structure, mortality and migration will no longer counterbalance fertility effects, resulting in a population decline.</w:t>
      </w:r>
    </w:p>
    <w:p>
      <w:pPr/>
      <w:r>
        <w:rPr>
          <w:b/>
        </w:rPr>
        <w:t>POSSIBLE 2024:</w:t>
      </w:r>
      <w:r>
        <w:t xml:space="preserve"> Fertility and Family Dynamics in the Aftermath of the COVID‐19 Pandemic — https://doi.org/10.1111/padr.12648</w:t>
      </w:r>
    </w:p>
    <w:p>
      <w:pPr/>
      <w:r>
        <w:rPr>
          <w:b/>
        </w:rPr>
        <w:t>Shared claim-specific concepts:</w:t>
      </w:r>
      <w:r>
        <w:t xml:space="preserve"> three, four, fertility, over, pandemic, abstract; EU scope not established. This is a provisional connection, not an outcome finding.</w:t>
      </w:r>
    </w:p>
    <w:p>
      <w:pPr>
        <w:pStyle w:val="SourceNote"/>
      </w:pPr>
      <w:r>
        <w:rPr>
          <w:b/>
        </w:rPr>
        <w:t>Available abstract (not full text):</w:t>
      </w:r>
      <w:r>
        <w:t xml:space="preserve"> Abstract When the COVID‐19 pandemic began in early 2020, speculation was rife both in public and academic spheres over its possible effects on birth rates and partnership behavior. Now, over four years later, we still know surprisingly little about the effect of COVID‐19 on fertility and family dynamics. In this paper, we outline three main takeaways from the scientific literature produced on this topic in the past four years. We argue that (1) we still do not have enough data to answer basic questions about the effect of COVID‐19 on fertility and family dynamics, (2) the data we do have suggest an unexpectedly incoherent and heterogeneous response, and (3) the estimated effects we do have are suspect since shifting and theoretically unexpected prepandemic fertility behavior made identifying a strict causal effect of the pandemic problematic.</w:t>
      </w:r>
    </w:p>
    <w:p>
      <w:pPr/>
      <w:r>
        <w:rPr>
          <w:b/>
        </w:rPr>
        <w:t>POSSIBLE 2023:</w:t>
      </w:r>
      <w:r>
        <w:t xml:space="preserve"> Projection in Politicians' Perceptions of Public Opinion — https://doi.org/10.1111/pops.12900</w:t>
      </w:r>
    </w:p>
    <w:p>
      <w:pPr/>
      <w:r>
        <w:rPr>
          <w:b/>
        </w:rPr>
        <w:t>Shared claim-specific concepts:</w:t>
      </w:r>
      <w:r>
        <w:t xml:space="preserve"> three, out, four, countries; EU scope visible. This is a provisional connection, not an outcome finding.</w:t>
      </w:r>
    </w:p>
    <w:p>
      <w:pPr>
        <w:pStyle w:val="SourceNote"/>
      </w:pPr>
      <w:r>
        <w:rPr>
          <w:b/>
        </w:rPr>
        <w:t>Available abstract (not full text):</w:t>
      </w:r>
      <w:r>
        <w:t xml:space="preserve"> Research has shown that politicians' perceptions of public opinion are subject to social projection. When estimating the opinions of voters on a broad range of issues, politicians tend to assume that their own preferences are shared by voters. This article revisits this finding and adds to the literature in three ways. First, it makes a conceptual contribution by bringing together different approaches to the analysis of projection and its consequences. Second, relying on data from surveys with politicians (n = 866) in four countries (Belgium, Canada, Germany, and Switzerland) conducted between March 2018 and September 2019, it shows that there is more projection in politicians' estimations of their partisan electorate than in their estimations of the general public or of their geographic district. Third, comparing the data on politician projection with data from parallel surveys with citizens, the article reveals that—at least in three out of the four countries studied here—elected politicians are not better at avoiding erroneous projection than ordinary citizens. The article discusses the implications of these findings for the workings of representative democracy.</w:t>
      </w:r>
    </w:p>
    <w:p>
      <w:pPr/>
      <w:r>
        <w:rPr>
          <w:b/>
        </w:rPr>
        <w:t>POSSIBLE 2023:</w:t>
      </w:r>
      <w:r>
        <w:t xml:space="preserve"> Global projections of flash drought show increased risk in a warming climate — https://doi.org/10.1038/s43247-023-00826-1</w:t>
      </w:r>
    </w:p>
    <w:p>
      <w:pPr/>
      <w:r>
        <w:rPr>
          <w:b/>
        </w:rPr>
        <w:t>Shared claim-specific concepts:</w:t>
      </w:r>
      <w:r>
        <w:t xml:space="preserve"> projections, show, expected, over, compared, abstract; EU scope visible. This is a provisional connection, not an outcome finding.</w:t>
      </w:r>
    </w:p>
    <w:p>
      <w:pPr>
        <w:pStyle w:val="SourceNote"/>
      </w:pPr>
      <w:r>
        <w:rPr>
          <w:b/>
        </w:rPr>
        <w:t>Available abstract (not full text):</w:t>
      </w:r>
      <w:r>
        <w:t xml:space="preserve"> Abstract Flash drought, characterized by unusually rapid drying, can have substantial impact on many socioeconomic sectors, particularly agriculture. However, potential changes to flash drought risk in a warming climate remain unknown. In this study, projected changes in flash drought frequency and cropland risk from flash drought are quantified using global climate model simulations. We find that flash drought occurrence is expected to increase globally among all scenarios, with the sharpest increases seen in scenarios with higher radiative forcing and greater fossil fuel usage. Flash drought risk over cropland is expected to increase globally, with the largest increases projected across North America (change in annual risk from 32% in 2015 to 49% in 2100) and Europe (32% to 53%) in the most extreme emissions scenario. Following low-end and medium scenarios compared to high-end scenarios indicates a notable reduction in annual flash drought risk over cropland.</w:t>
      </w:r>
    </w:p>
    <w:p>
      <w:pPr>
        <w:pStyle w:val="Heading2"/>
      </w:pPr>
      <w:r>
        <w:t>619.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2023:</w:t>
      </w:r>
      <w:r>
        <w:t xml:space="preserve"> Unraveling the European Agricultural Policy Sustainable Development Trajectory — https://doi.org/10.3390/land12091749</w:t>
      </w:r>
    </w:p>
    <w:p>
      <w:pPr/>
      <w:r>
        <w:rPr>
          <w:b/>
        </w:rPr>
        <w:t>Shared claim-specific concepts:</w:t>
      </w:r>
      <w:r>
        <w:t xml:space="preserve"> developments, present, two, current, process;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r>
        <w:rPr>
          <w:b/>
        </w:rPr>
        <w:t>POSSIBLE 2022:</w:t>
      </w:r>
      <w:r>
        <w:t xml:space="preserve"> Genomes of leafy and leafless Platanthera orchids illuminate the evolution of mycoheterotrophy — https://doi.org/10.1038/s41477-022-01127-9</w:t>
      </w:r>
    </w:p>
    <w:p>
      <w:pPr/>
      <w:r>
        <w:rPr>
          <w:b/>
        </w:rPr>
        <w:t>Shared claim-specific concepts:</w:t>
      </w:r>
      <w:r>
        <w:t xml:space="preserve"> illuminate, present, two; EU scope not established. This is a provisional connection, not an outcome finding.</w:t>
      </w:r>
    </w:p>
    <w:p>
      <w:pPr>
        <w:pStyle w:val="SourceNote"/>
      </w:pPr>
      <w:r>
        <w:rPr>
          <w:b/>
        </w:rPr>
        <w:t>Available abstract (not full text):</w:t>
      </w:r>
      <w:r>
        <w:t xml:space="preserve"> To improve our understanding of the origin and evolution of mycoheterotrophic plants, we here present the chromosome-scale genome assemblies of two sibling orchid species: partially mycoheterotrophic Platanthera zijinensis and holomycoheterotrophic Platanthera guangdongensis. Comparative analysis shows that mycoheterotrophy is associated with increased substitution rates and gene loss, and the deletion of most photoreceptor genes and auxin transporter genes might be linked to the unique phenotypes of fully mycoheterotrophic orchids. Conversely, trehalase genes that catalyse the conversion of trehalose into glucose have expanded in most sequenced orchids, in line with the fact that the germination of orchid non-endosperm seeds needs carbohydrates from fungi during the protocorm stage. We further show that the mature plant of P. guangdongensis, different from photosynthetic orchids, keeps expressing trehalase genes to hijack trehalose from fungi. Therefore, we propose that mycoheterotrophy in mature orchids is a continuation of the protocorm stage by sustaining the expression of trehalase genes. Our results shed light on the molecular mechanism underlying initial, partial and full mycoheterotrophy.</w:t>
      </w:r>
    </w:p>
    <w:p>
      <w:pPr>
        <w:pStyle w:val="Heading2"/>
      </w:pPr>
      <w:r>
        <w:t>620.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Opportunities for supporting humanitarians: Technology foresight concepts — https://doi.org/10.7249/rra3192-4</w:t>
      </w:r>
    </w:p>
    <w:p>
      <w:pPr/>
      <w:r>
        <w:rPr>
          <w:b/>
        </w:rPr>
        <w:t>Shared claim-specific concepts:</w:t>
      </w:r>
      <w:r>
        <w:t xml:space="preserve"> use, foresight, technology, developed, areas; EU scope visible. This is a provisional connection, not an outcome finding.</w:t>
      </w:r>
    </w:p>
    <w:p>
      <w:pPr>
        <w:pStyle w:val="SourceNote"/>
      </w:pPr>
      <w:r>
        <w:rPr>
          <w:b/>
        </w:rPr>
        <w:t>Available abstract (not full text):</w:t>
      </w:r>
      <w:r>
        <w:t xml:space="preserve"> RAND Europe, with Athena Infonomics and glass.ai, conducted a study that characterised the current landscape of technology use in the sector and explored potential development pathways out to 2030, as well as associated risks and opportunities. The study developed five deep dives of promising technology areas, three foresight concepts and a four-step guidance framework to ensure the suitable deployment of technologies in humanitarian contexts.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use, foresight, technology, possible, strategies, methods;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Emerging Biotechnologies in Europe: Foresight for Policy — https://doi.org/10.2760/4814109</w:t>
      </w:r>
    </w:p>
    <w:p>
      <w:pPr/>
      <w:r>
        <w:rPr>
          <w:b/>
        </w:rPr>
        <w:t>Shared claim-specific concepts:</w:t>
      </w:r>
      <w:r>
        <w:t xml:space="preserve"> use, foresight, technology, create, strategies;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use, foresight, technology, possible, methods, developed;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Understanding the vicious cycle of myopic foresight and constrained technology deployment in transforming the European energy system — https://doi.org/10.1016/j.isci.2024.111369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Short-term planning of myopic decision-makers jeopardizes the long-term energy transition, especially since constraints in deploying clean energy technologies further inhibit their rapid scale-up. Here, we show that the European energy transition followed myopic decision-making in the past and investigate how policy-based tools can secure the energy transition against myopic planning. Short-term decision-making in the European energy transition may fail to comply with climate goals and lead to substantial over-capacities. Carbon prices can only effectively internalize long-term climate goals if they account for constrained technology deployment, increasing to around 400 EUR/tCO 2 in 2050. Idealized carbon prices, conversely, fail to incentivize the decarbonization of those sectors that stand at the beginning of their transition, such as renewable heating or carbon sequestration. Our exploration of myopic decision-making contributes to the understanding of the inhibiting barriers and bridges the gap between short-term decision-making and the long-term energy transition.</w:t>
      </w:r>
    </w:p>
    <w:p>
      <w:pPr/>
      <w:r>
        <w:rPr>
          <w:b/>
        </w:rPr>
        <w:t>POSSIBLE 2023:</w:t>
      </w:r>
      <w:r>
        <w:t xml:space="preserve"> Information Technology Research &amp; Development Foresight in Iran. — https://doi.org/10.35050/jipm010.2017.019</w:t>
      </w:r>
    </w:p>
    <w:p>
      <w:pPr/>
      <w:r>
        <w:rPr>
          <w:b/>
        </w:rPr>
        <w:t>Shared claim-specific concepts:</w:t>
      </w:r>
      <w:r>
        <w:t xml:space="preserve"> use, foresight, technology, achieve, areas, national; EU scope visible. This is a provisional connection, not an outcome finding.</w:t>
      </w:r>
    </w:p>
    <w:p>
      <w:pPr>
        <w:pStyle w:val="SourceNote"/>
      </w:pPr>
      <w:r>
        <w:rPr>
          <w:b/>
        </w:rPr>
        <w:t>Available abstract (not full text):</w:t>
      </w:r>
      <w:r>
        <w:t xml:space="preserve"> This research utilizes resources and collective wisdom of IT experts and other participants in industry to increase the effectiveness of policies and decisions in the area. To achieve this goal, 107 future and emerging technologies from foresight reports and research programs in Europe, Japan, Taiwan and Gartner firm were extracted. Then out of these technologies, 69 cases (categorized in 14 subject areas) were acknowledged by experts’ panel for applying as the Delphi inputs.\nBy using the Delphi method (two rounds), IT R&amp;D barriers and challenges, effective organizations in IT R&amp;D investment, and priorities have been determined, according to the panel members. Then, the view of panel members about each technology was evaluated by criteria such as degree of expertise, importance, forecasted time of technological realization (in the word) and widespread use of technology in Iran, Iran’s status in the life cycle of knowledge and impact of technology in IT applications area.\nThe results of the Delphi process was reported in national level, including Delphi panel members demography, public questions and specialized questions for each of the technologies. Finally the research provides some recommendations for decision makers.</w:t>
      </w:r>
    </w:p>
    <w:p>
      <w:pPr/>
      <w:r>
        <w:rPr>
          <w:b/>
        </w:rPr>
        <w:t>POSSIBLE 2023:</w:t>
      </w:r>
      <w:r>
        <w:t xml:space="preserve"> THEORY AND PRACTICE OF THE APPLICATION OF FORESIGHT TECHNOLOGY IN THE SYSTEM OF LANGUAGE EDUCATION — https://doi.org/10.37547/ijasr-03-01-03</w:t>
      </w:r>
    </w:p>
    <w:p>
      <w:pPr/>
      <w:r>
        <w:rPr>
          <w:b/>
        </w:rPr>
        <w:t>Shared claim-specific concepts:</w:t>
      </w:r>
      <w:r>
        <w:t xml:space="preserve"> use, foresight, technology, methods, application; EU scope not established. This is a provisional connection, not an outcome finding.</w:t>
      </w:r>
    </w:p>
    <w:p>
      <w:pPr>
        <w:pStyle w:val="SourceNote"/>
      </w:pPr>
      <w:r>
        <w:rPr>
          <w:b/>
        </w:rPr>
        <w:t>Available abstract (not full text):</w:t>
      </w:r>
      <w:r>
        <w:t xml:space="preserve"> The article is devoted to the description of the theory and practice of using foresight technology in teaching foreign languages in the educational process of universities, which contributes to the development of predictive competencies, the development of critical and logical thinking, and the improvement of all types of students' speech activity. The history of the emergence and development of Foresight technology, its difference from traditional teaching methods is considered, the definitions of Foresight technology proposed by specialists and scientists are analyzed. Examples of the use of Foresight technology methods in teaching foreign languages, such as "Delphi" and "SWOT-analysis" are given.</w:t>
      </w:r>
    </w:p>
    <w:p>
      <w:pPr/>
      <w:r>
        <w:rPr>
          <w:b/>
        </w:rPr>
        <w:t>POSSIBLE 2023:</w:t>
      </w:r>
      <w:r>
        <w:t xml:space="preserve"> Scenario-Based Foresight in the Age of Digital Technologies and AI — https://doi.org/10.1007/978-3-031-26490-0_4</w:t>
      </w:r>
    </w:p>
    <w:p>
      <w:pPr/>
      <w:r>
        <w:rPr>
          <w:b/>
        </w:rPr>
        <w:t>Shared claim-specific concepts:</w:t>
      </w:r>
      <w:r>
        <w:t xml:space="preserve"> use, foresight, factors; EU scope not established. This is a provisional connection, not an outcome finding.</w:t>
      </w:r>
    </w:p>
    <w:p>
      <w:pPr>
        <w:pStyle w:val="SourceNote"/>
      </w:pPr>
      <w:r>
        <w:rPr>
          <w:b/>
        </w:rPr>
        <w:t>Available abstract (not full text):</w:t>
      </w:r>
      <w:r>
        <w:t xml:space="preserve"> Abstract Scenario-based foresight is used less and less in the corporate world despite continued high satisfaction with the obtained results. In the age of digitalization, many companies feel increasingly forced to short-termism instead of strategic planning. However, emerging digital technologies, such as artificial intelligence (AI), represent a promising approach to cope with the traditional challenges of scenario-based foresight as well as new challenges added by digitalization. Therefore, this work-in-progress paper identifies and analyzes use cases for scenario-based foresight with digital technologies employing a systematic analysis of the relevant literature. In the paper at hand, we show that the use of digital technologies for improving the performance of scenario-based foresight is an emerging field. We identify 14 so-called use cases, i.e., unique goal-oriented applications of digital technologies for scenario-based foresight. In general, the use cases show that currently digital technologies can enhance, not substitute the capabilities of scenario-based foresight practitioners. Digital technologies primarily support the analysis of large amounts of data, e.g., for collecting futuristic data and identifying key influence factors. However, activities that require implicit knowledge and creativity, like the interpretation of scenarios, are currently still left to huma</w:t>
      </w:r>
    </w:p>
    <w:p>
      <w:pPr>
        <w:pStyle w:val="Heading2"/>
      </w:pPr>
      <w:r>
        <w:t>621.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Energy Policy in the European Union within the European Green Deal Strategy — https://doi.org/10.18778/1508-2008.27.13</w:t>
      </w:r>
    </w:p>
    <w:p>
      <w:pPr/>
      <w:r>
        <w:rPr>
          <w:b/>
        </w:rPr>
        <w:t>Shared claim-specific concepts:</w:t>
      </w:r>
      <w:r>
        <w:t xml:space="preserve"> article, main, green, analyzed;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CHALLENGES AND OPPORTUNITIES IN TRAINING LAWYERS FOR UKRAINE'S EUROPEAN FUTURE — https://doi.org/10.36690/2733-2039-2024-60-75</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As Ukraine progresses toward European Union (EU) integration, the transformation of its legal education system has become a pivotal aspect of its alignment with EU standards. The training of legal professionals capable of navigating both Ukrainian and EU legal systems is essential to the implementation of directives, fostering cross-border cooperation, and maintaining the rule of law. However, this process faces challenges including the legacy of Ukraine's post-Soviet legal education, resource constraints, and the need for rapid modernization. By adopting international best practices, fostering partnerships, and integrating modern technologies, Ukraine has the opportunity to create a legal education framework that meets EU demands and empowers its lawyers to thrive in global contexts. This article aims to analyze the challenges and opportunities in training lawyers for Ukraine’s European future. It seeks to compare Ukraine’s legal education practices with those in EU countries, identify critical gaps, and propose actionable reforms to align Ukraine’s legal training systems with EU standards. A comparative analysis methodology is employed, drawing insights from literature, policy documents, and case studies of EU member states and transitioning nations. The study systematically examines disparities in curriculum content, teaching methods, practical skill development, faculty exp</w:t>
      </w:r>
    </w:p>
    <w:p>
      <w:pPr/>
      <w:r>
        <w:rPr>
          <w:b/>
        </w:rPr>
        <w:t>POSSIBLE 2024:</w:t>
      </w:r>
      <w:r>
        <w:t xml:space="preserve"> European Youth Work Developments and Challenges—A Meta-Synthesis — https://doi.org/10.3390/youth4030075</w:t>
      </w:r>
    </w:p>
    <w:p>
      <w:pPr/>
      <w:r>
        <w:rPr>
          <w:b/>
        </w:rPr>
        <w:t>Shared claim-specific concepts:</w:t>
      </w:r>
      <w:r>
        <w:t xml:space="preserve"> article, main, challenges;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pStyle w:val="Heading2"/>
      </w:pPr>
      <w:r>
        <w:t>622.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2023:</w:t>
      </w:r>
      <w:r>
        <w:t xml:space="preserve"> Justification of military neutrality of the Republic of Serbia at a time of erosion of neutrality in Europe — https://doi.org/10.5937/spm82-46850</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pPr/>
      <w:r>
        <w:rPr>
          <w:b/>
        </w:rPr>
        <w:t>POSSIBLE 2023:</w:t>
      </w:r>
      <w:r>
        <w:t xml:space="preserve"> Strategies of US foreign policy at the end of the 20-th – at the beginning of the 21-st centuries — https://doi.org/10.24144/2307-3322.2022.76.2.30</w:t>
      </w:r>
    </w:p>
    <w:p>
      <w:pPr/>
      <w:r>
        <w:rPr>
          <w:b/>
        </w:rPr>
        <w:t>Shared claim-specific concepts:</w:t>
      </w:r>
      <w:r>
        <w:t xml:space="preserve"> beginning, republic, energy, transition; EU scope visible. This is a provisional connection, not an outcome finding.</w:t>
      </w:r>
    </w:p>
    <w:p>
      <w:pPr>
        <w:pStyle w:val="SourceNote"/>
      </w:pPr>
      <w:r>
        <w:rPr>
          <w:b/>
        </w:rPr>
        <w:t>Available abstract (not full text):</w:t>
      </w:r>
      <w:r>
        <w:t xml:space="preserve">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pPr/>
      <w:r>
        <w:rPr>
          <w:b/>
        </w:rPr>
        <w:t>POSSIBLE 2023:</w:t>
      </w:r>
      <w:r>
        <w:t xml:space="preserve"> Assessing waste management efficiency in the European Union: A focus on the Slovak Republic — https://doi.org/10.19040/ecocycles.v9i2.285</w:t>
      </w:r>
    </w:p>
    <w:p>
      <w:pPr/>
      <w:r>
        <w:rPr>
          <w:b/>
        </w:rPr>
        <w:t>Shared claim-specific concepts:</w:t>
      </w:r>
      <w:r>
        <w:t xml:space="preserve"> republic, adopted, energy; EU scope visible. This is a provisional connection, not an outcome finding.</w:t>
      </w:r>
    </w:p>
    <w:p>
      <w:pPr>
        <w:pStyle w:val="SourceNote"/>
      </w:pPr>
      <w:r>
        <w:rPr>
          <w:b/>
        </w:rPr>
        <w:t>Available abstract (not full text):</w:t>
      </w:r>
      <w:r>
        <w:t xml:space="preserve">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pPr/>
      <w:r>
        <w:rPr>
          <w:b/>
        </w:rPr>
        <w:t>POSSIBLE 2022:</w:t>
      </w:r>
      <w:r>
        <w:t xml:space="preserve"> Agrarian strategy and policy of the Republic of Serbia — https://doi.org/10.5937/ekopolj2203897l</w:t>
      </w:r>
    </w:p>
    <w:p>
      <w:pPr/>
      <w:r>
        <w:rPr>
          <w:b/>
        </w:rPr>
        <w:t>Shared claim-specific concepts:</w:t>
      </w:r>
      <w:r>
        <w:t xml:space="preserve"> strategy, republic, two; EU scope visible. This is a provisional connection, not an outcome finding.</w:t>
      </w:r>
    </w:p>
    <w:p>
      <w:pPr>
        <w:pStyle w:val="SourceNote"/>
      </w:pPr>
      <w:r>
        <w:rPr>
          <w:b/>
        </w:rPr>
        <w:t>Available abstract (not full text):</w:t>
      </w:r>
      <w:r>
        <w:t xml:space="preserve">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pPr/>
      <w:r>
        <w:rPr>
          <w:b/>
        </w:rPr>
        <w:t>POSSIBLE 2022:</w:t>
      </w:r>
      <w:r>
        <w:t xml:space="preserve"> Functioning of market and trade in the Republic of Kosovo — https://doi.org/10.53730/ijhs.v6ns8.13282</w:t>
      </w:r>
    </w:p>
    <w:p>
      <w:pPr/>
      <w:r>
        <w:rPr>
          <w:b/>
        </w:rPr>
        <w:t>Shared claim-specific concepts:</w:t>
      </w:r>
      <w:r>
        <w:t xml:space="preserve"> beginning, republic, accelerated; EU scope visible. This is a provisional connection, not an outcome finding.</w:t>
      </w:r>
    </w:p>
    <w:p>
      <w:pPr>
        <w:pStyle w:val="SourceNote"/>
      </w:pPr>
      <w:r>
        <w:rPr>
          <w:b/>
        </w:rPr>
        <w:t>Available abstract (not full text):</w:t>
      </w:r>
      <w:r>
        <w:t xml:space="preserve"> In modern market conditions, trade plays a complex and very important role in economic and social development. In Kosovo, trade and market issues are gaining momentum with the beginning of access to the single European market. At the same time, the first modern strategic guidelines in the field of market development and trade policy were created. The trade development strategies of the Republic of Kosovo were the basis for the preparation and adoption of the Law on Trade. Since 2007, the Law on Trade, as an umbrella law, has been regulating the field of trade and markets in the Republic of Kosovo in a modern and comprehensive manner. However, after its adoption, it is necessary to have a timely and accelerated implementation of the created solutions. It is also necessary to have a determined commitment to supplementing and amending as well as changes to this act in the future, as it is a very dynamic field that requires careful monitoring and a full understanding of the changes taking place in the environment. Special attention should be paid to the analysis of the current situation, further developments and regulation of trade of goods in the Republic of Kosovo.</w:t>
      </w:r>
    </w:p>
    <w:p>
      <w:pPr/>
      <w:r>
        <w:rPr>
          <w:b/>
        </w:rPr>
        <w:t>POSSIBLE 2022:</w:t>
      </w:r>
      <w:r>
        <w:t xml:space="preserve"> DIMENSIONS OF THE FEDERAL REPUBLIC OF GERMANY SECURITY AND DEFENCE POLICY. A CHRONOLOGICAL PERSPECTIVE — https://doi.org/10.53477/2284-9378-22-77</w:t>
      </w:r>
    </w:p>
    <w:p>
      <w:pPr/>
      <w:r>
        <w:rPr>
          <w:b/>
        </w:rPr>
        <w:t>Shared claim-specific concepts:</w:t>
      </w:r>
      <w:r>
        <w:t xml:space="preserve"> beginning, strategy, republic; EU scope visible. This is a provisional connection, not an outcome finding.</w:t>
      </w:r>
    </w:p>
    <w:p>
      <w:pPr>
        <w:pStyle w:val="SourceNote"/>
      </w:pPr>
      <w:r>
        <w:rPr>
          <w:b/>
        </w:rPr>
        <w:t>Available abstract (not full text):</w:t>
      </w:r>
      <w:r>
        <w:t xml:space="preserve"> The Federal Republic of Germany and its armed forces, the Bundeswehr, stand as a cornerstone of the European and NATO defence and security. It is vitally important to understand one of the major European conventional powers’ policies, concepts and overarching capabilities, along with the history behind them in a 21st century evermore complex security environment. The following paper examines the Bundeswehr historical evolution the major focal points in its strategy and capabilities development, since the beginning of the Cold War. The paper extends the historical discussion towards the present moment and the security policies undertaken in the 21st century, reaching the major policy re-evaluations occurring in 2022 and their importance both for the German state and its allies.</w:t>
      </w:r>
    </w:p>
    <w:p>
      <w:pPr/>
      <w:r>
        <w:rPr>
          <w:b/>
        </w:rPr>
        <w:t>POSSIBLE 2022:</w:t>
      </w:r>
      <w:r>
        <w:t xml:space="preserve"> Oil and gas pathway to net-zero: Review and outlook — https://doi.org/10.1016/j.esr.2022.101048</w:t>
      </w:r>
    </w:p>
    <w:p>
      <w:pPr/>
      <w:r>
        <w:rPr>
          <w:b/>
        </w:rPr>
        <w:t>Shared claim-specific concepts:</w:t>
      </w:r>
      <w:r>
        <w:t xml:space="preserve"> outlook, energy, transition; EU scope not established. This is a provisional connection, not an outcome finding.</w:t>
      </w:r>
    </w:p>
    <w:p>
      <w:pPr>
        <w:pStyle w:val="SourceNote"/>
      </w:pPr>
      <w:r>
        <w:rPr>
          <w:b/>
        </w:rPr>
        <w:t>Available abstract (not full text):</w:t>
      </w:r>
      <w:r>
        <w:t xml:space="preserve"> Global climate changes urge prompt energy transition for less carbon emissions, from traditional fossil fuels to renewable and sustainable clean energy. However, in reality, the world's energy majority cannot make U-turn immediately to renewables or clean energy due to the immature technology readiness, insufficient resource availability and unstable energy supply. In the next few decades, the fossil fuels, particularly oil and gas, will continue acting as the primary energy sector. Thus, instead of absolutely abandoning fossil fuel and seeking for impractical carbon mitigation technologies, to decarbonise the oil and gas will be definitely feasible and contribute more to net-zero transitions. This study, initially put eyes on the oil and gas decarbonization, critically reviewing the oil and gas resources, technologies, policies, and their futures toward net-zero. Basically, the status of oil and gas resources from different global regions, including the details of reserves, productions, consumptions, are summarized and analyzed. Moreover, the oil and gas technologies are categorized as gas, thermal and non-thermal, new recovery methods, each of which is specifically discussed in the applicable reservoir, mechanism, features and examples. Then, the global carbon emissions are reviewed in perspectives of emissions from fuel types and world regions as well as mitigations policies</w:t>
      </w:r>
    </w:p>
    <w:p>
      <w:pPr>
        <w:pStyle w:val="Heading2"/>
      </w:pPr>
      <w:r>
        <w:t>623.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2024:</w:t>
      </w:r>
      <w:r>
        <w:t xml:space="preserve"> Urban labs beyond Europe: the formation and contextualization of experimental climate governance in five Latin American cities — https://doi.org/10.1177/09562478241230462</w:t>
      </w:r>
    </w:p>
    <w:p>
      <w:pPr/>
      <w:r>
        <w:rPr>
          <w:b/>
        </w:rPr>
        <w:t>Shared claim-specific concepts:</w:t>
      </w:r>
      <w:r>
        <w:t xml:space="preserve"> based, findings, five, developed, framework, however; EU scope visible. This is a provisional connection, not an outcome finding.</w:t>
      </w:r>
    </w:p>
    <w:p>
      <w:pPr>
        <w:pStyle w:val="SourceNote"/>
      </w:pPr>
      <w:r>
        <w:rPr>
          <w:b/>
        </w:rPr>
        <w:t>Available abstract (not full text):</w:t>
      </w:r>
      <w:r>
        <w:t xml:space="preserve">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pPr/>
      <w:r>
        <w:rPr>
          <w:b/>
        </w:rPr>
        <w:t>POSSIBLE 2024:</w:t>
      </w:r>
      <w:r>
        <w:t xml:space="preserve"> Evaluation of Colon Capsule Utilisation in Europe—CAPTURE EU Survey Findings — https://doi.org/10.3390/jcm14010099</w:t>
      </w:r>
    </w:p>
    <w:p>
      <w:pPr/>
      <w:r>
        <w:rPr>
          <w:b/>
        </w:rPr>
        <w:t>Shared claim-specific concepts:</w:t>
      </w:r>
      <w:r>
        <w:t xml:space="preserve"> findings, full, but; EU scope visible. This is a provisional connection, not an outcome finding.</w:t>
      </w:r>
    </w:p>
    <w:p>
      <w:pPr>
        <w:pStyle w:val="SourceNote"/>
      </w:pPr>
      <w:r>
        <w:rPr>
          <w:b/>
        </w:rPr>
        <w:t>Available abstract (not full text):</w:t>
      </w:r>
      <w:r>
        <w:t xml:space="preserve">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based, findings, five, improving, framework;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Accounting for forest condition in Europe based on an international statistical standard — https://doi.org/10.1038/s41467-023-39434-0</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pPr/>
      <w:r>
        <w:rPr>
          <w:b/>
        </w:rPr>
        <w:t>POSSIBLE 2023:</w:t>
      </w:r>
      <w:r>
        <w:t xml:space="preserve"> Head and neck cancers survival in Europe, Taiwan, and Japan: results from RARECAREnet Asia based on a privacy-preserving federated infrastructure — https://doi.org/10.3389/fonc.2023.1219111</w:t>
      </w:r>
    </w:p>
    <w:p>
      <w:pPr/>
      <w:r>
        <w:rPr>
          <w:b/>
        </w:rPr>
        <w:t>Shared claim-specific concepts:</w:t>
      </w:r>
      <w:r>
        <w:t xml:space="preserve"> based, findings, but; EU scope visible. This is a provisional connection, not an outcome finding.</w:t>
      </w:r>
    </w:p>
    <w:p>
      <w:pPr>
        <w:pStyle w:val="SourceNote"/>
      </w:pPr>
      <w:r>
        <w:rPr>
          <w:b/>
        </w:rPr>
        <w:t>Available abstract (not full text):</w:t>
      </w:r>
      <w:r>
        <w:t xml:space="preserve"> Background: The head and neck cancers (HNCs) incidence differs between Europe and East Asia. Our objective was to determine whether survival of HNC also differs between European and Asian countries. Methods: We used population-based cancer registry data to calculate 5-year relative survival (RS) for the oral cavity, hypopharynx, larynx, nasal cavity, and major salivary gland in Europe, Taiwan, and Japan. We modeled RS with a generalized linear model adjusting for time since diagnosis, sex, age, subsite, and histological grouping. Analyses were performed using federated learning, which enables analyses without sharing sensitive data. Findings: Five-year RS for HNC varied between geographical areas. For each HNC site, Europe had a lower RS than both Japan and Taiwan. HNC subsites and histologies distribution and survival differed between the three areas. Differences between Europe and both Asian countries persisted even after adjustments for all HNC sites but nasal cavity and paranasal sinuses, when comparing Europe and Taiwan. Interpretation: Survival differences can be attributed to different factors including different period of diagnosis, more advanced stage at diagnosis, or different availability/access of treatment. Cancer registries did not have stage and treatment information to further explore the reasons of the observed survival differences. Our analyses have confirmed </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coordination, but;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Key Factors Affecting European Reactions to AI in European Full and Flawed Democracies — https://doi.org/10.48550/arxiv.2311.09231</w:t>
      </w:r>
    </w:p>
    <w:p>
      <w:pPr/>
      <w:r>
        <w:rPr>
          <w:b/>
        </w:rPr>
        <w:t>Shared claim-specific concepts:</w:t>
      </w:r>
      <w:r>
        <w:t xml:space="preserve"> based, findings, developed, full, however; EU scope visible. This is a provisional connection, not an outcome finding.</w:t>
      </w:r>
    </w:p>
    <w:p>
      <w:pPr>
        <w:pStyle w:val="SourceNote"/>
      </w:pPr>
      <w:r>
        <w:rPr>
          <w:b/>
        </w:rPr>
        <w:t>Available abstract (not full text):</w:t>
      </w:r>
      <w:r>
        <w:t xml:space="preserve"> This study examines the key factors that affect European reactions to artificial intelligence (AI) in the context of both full and flawed democracies in Europe. Analysing a dataset of 4,006 respondents, categorised into full democracies and flawed democracies based on the Democracy Index developed by the Economist Intelligence Unit (EIU), this research identifies crucial factors that shape European attitudes toward AI in these two types of democracies. The analysis reveals noteworthy findings. Firstly, it is observed that flawed democracies tend to exhibit higher levels of trust in government entities compared to their counterparts in full democracies. Additionally, individuals residing in flawed democracies demonstrate a more positive attitude toward AI when compared to respondents from full democracies. However, the study finds no significant difference in AI awareness between the two types of democracies, indicating a similar level of general knowledge about AI technologies among European citizens. Moreover, the study reveals that trust in AI measures, specifically "Trust AI Solution", does not significantly vary between full and flawed democracies. This suggests that despite the differences in democratic quality, both types of democracies have similar levels of confidence in AI solutions.</w:t>
      </w:r>
    </w:p>
    <w:p>
      <w:pPr/>
      <w:r>
        <w:rPr>
          <w:b/>
        </w:rPr>
        <w:t>POSSIBLE 2022:</w:t>
      </w:r>
      <w:r>
        <w:t xml:space="preserve"> Forest-based climate change mitigation and adaptation in Europe — https://doi.org/10.36333/fs14</w:t>
      </w:r>
    </w:p>
    <w:p>
      <w:pPr/>
      <w:r>
        <w:rPr>
          <w:b/>
        </w:rPr>
        <w:t>Shared claim-specific concepts:</w:t>
      </w:r>
      <w:r>
        <w:t xml:space="preserve"> efficiency, increased;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findings, action, but, however;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2022:</w:t>
      </w:r>
      <w:r>
        <w:t xml:space="preserve"> The Future of Wood Construction: Opportunities and Barriers Based on Surveys in Europe and Chile — https://doi.org/10.3390/su14074358</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The demand for wood has increased in recent years due to new technical possibilities and environmental concerns. This paper provides an analysis of the factors that affect the use of wood in the construction sector, and an assessment of their importance in individual countries and for groups of stakeholders. The study covers the technical, societal, political, economic, and gender aspects of wood construction, with the aim of increasing global understanding regarding national differences, the current situation, and the potential for further development. The subject was investigated using a survey, and the most important opportunities for and barriers to growth in the use of wood in the construction sector were selected, following a statistical analysis. The results indicate strong regional and cultural differences regarding the acceptance of some of the opportunities and barriers related to the development of wood construction. The findings indicate that there is a need to promote wood construction based on its technical and economic benefits rather than its societal ones. On the other hand, the current societal barriers should be addressed as a priority, together with the establishment of common and harmonized policies. The results of this study, therefore, will contribute to the generation of regional-sensitive information that can be useful for policymakers when updating the</w:t>
      </w:r>
    </w:p>
    <w:p>
      <w:pPr>
        <w:pStyle w:val="Heading2"/>
      </w:pPr>
      <w:r>
        <w:t>624.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r>
        <w:rPr>
          <w:b/>
        </w:rPr>
        <w:t>POSSIBLE 2024:</w:t>
      </w:r>
      <w:r>
        <w:t xml:space="preserve"> Building Blocks of the European Union’s Strategy for Climate Neutrality — https://doi.org/10.1017/9781009341493.003</w:t>
      </w:r>
    </w:p>
    <w:p>
      <w:pPr/>
      <w:r>
        <w:rPr>
          <w:b/>
        </w:rPr>
        <w:t>Shared claim-specific concepts:</w:t>
      </w:r>
      <w:r>
        <w:t xml:space="preserve"> climate, neutrality, union, energy; EU scope visible. This is a provisional connection, not an outcome finding.</w:t>
      </w:r>
    </w:p>
    <w:p>
      <w:pPr>
        <w:pStyle w:val="SourceNote"/>
      </w:pPr>
      <w:r>
        <w:rPr>
          <w:b/>
        </w:rPr>
        <w:t>Available abstract (not full text):</w:t>
      </w:r>
      <w:r>
        <w:t xml:space="preserve">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pPr/>
      <w:r>
        <w:rPr>
          <w:b/>
        </w:rPr>
        <w:t>POSSIBLE 2024:</w:t>
      </w:r>
      <w:r>
        <w:t xml:space="preserve"> EUROPEAN LANDSCAPE OF CLIMATE LAW — https://doi.org/10.46299/979-8-89504-809-2.3</w:t>
      </w:r>
    </w:p>
    <w:p>
      <w:pPr/>
      <w:r>
        <w:rPr>
          <w:b/>
        </w:rPr>
        <w:t>Shared claim-specific concepts:</w:t>
      </w:r>
      <w:r>
        <w:t xml:space="preserve"> achievement, climate, neutrality, union, not, reduction;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Moving Waste Sector Towards Climate Neutrality. Scenario Analysis — https://doi.org/10.7250/conect.2024.100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The upward economic growth, the development of the industrial, transport and agricultural sectors, and technological innovations contribute to the constant stimulation of the demand and supply of new products and services, inevitably contributing to the increase in the amount of waste. Mitigation of climate change is not a short-term goal; therefore, sustainable and reasonable practices in the waste management sector could contribute to positive changes in mitigating GHG emissions and climate change in general. However, it is not clear whether by implementing the current domestic waste management policy of Latvia and the action measures contained in it, it is objectively possible to achieve the strategic goals and desired results set at the European Union as well as at the national level, what is the impact of the set goals and the success of their implementation so far, and whether these political settings will not remain only at the level of ideas and wishes. In the scientific literature, several proposals developed as a result of research have been put forward for reducing the climate neutrality of the waste sector with the help of various technologies and technological innovations. At the same time, it is difficult to evaluate the proposals and solutions put forward in the research results in relation to an individual situation; for example, if a municipality in Latvia woul</w:t>
      </w:r>
    </w:p>
    <w:p>
      <w:pPr/>
      <w:r>
        <w:rPr>
          <w:b/>
        </w:rPr>
        <w:t>POSSIBLE 2024:</w:t>
      </w:r>
      <w:r>
        <w:t xml:space="preserve"> Climate Obstruction across Europe — https://doi.org/10.1093/oso/9780197762042.001.0001</w:t>
      </w:r>
    </w:p>
    <w:p>
      <w:pPr/>
      <w:r>
        <w:rPr>
          <w:b/>
        </w:rPr>
        <w:t>Shared claim-specific concepts:</w:t>
      </w:r>
      <w:r>
        <w:t xml:space="preserve"> climate, union, fossil;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625.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Deciphering the variation in cuticular hydrocarbon profiles of six European honey bee subspecies — https://doi.org/10.1186/s12862-024-02325-z</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The Western honey bee (Apis mellifera) subspecies exhibit local adaptive traits that evolved in response to the different environments that characterize their native distribution ranges. An important trait is the cuticular hydrocarbon (CHC) profile, which helps to prevent desiccation and mediate communication. We compared the CHC profiles of six European subspecies (A. m. mellifera, A. m. carnica, A. m. ligustica, A. m. macedonica, A. m. iberiensis, and A. m. ruttneri) and investigated potential factors shaping their composition. We did not find evidence of adaptation of the CHC profiles of the subspecies to the climatic conditions in their distribution range. Subspecies-specific differences in CHC composition might be explained by phylogenetic constraints or genetic drift. The CHC profiles of foragers were more subspecies-specific than those of nurse bees, while the latter showed more variation in their CHC profiles, likely due to the lower desiccation stress exerted by the controlled environment inside the hive. The strongest profile differences appeared between nurse bees and foragers among all subspecies, suggesting an adaptation to social task and a role in communication. Foragers also showed an increase in the relative amount of alkanes in their profiles compared to nurses, indicating adaptation to climatic conditions.</w:t>
      </w:r>
    </w:p>
    <w:p>
      <w:pPr/>
      <w:r>
        <w:rPr>
          <w:b/>
        </w:rPr>
        <w:t>POSSIBLE 2024:</w:t>
      </w:r>
      <w:r>
        <w:t xml:space="preserve"> Multifaceted Conscription: A Comparative Study of Six European Countries — https://doi.org/10.31374/sjms.166</w:t>
      </w:r>
    </w:p>
    <w:p>
      <w:pPr/>
      <w:r>
        <w:rPr>
          <w:b/>
        </w:rPr>
        <w:t>Shared claim-specific concepts:</w:t>
      </w:r>
      <w:r>
        <w:t xml:space="preserve"> six, different, differ;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2023:</w:t>
      </w:r>
      <w:r>
        <w:t xml:space="preserve"> Expert-Based Assessment of the Potential of Non-Wood Forest Products to Diversify Forest Bioeconomy in Six European Regions — https://doi.org/10.3390/f14020420</w:t>
      </w:r>
    </w:p>
    <w:p>
      <w:pPr/>
      <w:r>
        <w:rPr>
          <w:b/>
        </w:rPr>
        <w:t>Shared claim-specific concepts:</w:t>
      </w:r>
      <w:r>
        <w:t xml:space="preserve"> six, different, potential, differ, role, categories; EU scope visible. This is a provisional connection, not an outcome finding.</w:t>
      </w:r>
    </w:p>
    <w:p>
      <w:pPr>
        <w:pStyle w:val="SourceNote"/>
      </w:pPr>
      <w:r>
        <w:rPr>
          <w:b/>
        </w:rPr>
        <w:t>Available abstract (not full text):</w:t>
      </w:r>
      <w:r>
        <w:t xml:space="preserve"> The forest-based sector plays a significant role in supporting Europe on its pathway towards a more integrated and bio-based circular economy. Beyond the supply of timber, forest ecosystems offer a wide range of products and services beneficial to human wellbeing. Non-wood forest products (NWFPs) play an integral role in provisioning forest ecosystem services and constitute a huge portfolio of species from various taxonomic kingdoms. As diverse as the resources themselves is the list of end-products that may be derived from raw non-wood materials. Multiple value-chains of NWFPs provide benefits to actors across all stages of the supply chain. Forest management has not yet directed full attention towards NWFPs, since timber production remains the main management objective, although multi-purpose management is recognised as a key principle of the sector’s sustainability paradigm. Lack of knowledge of the socio-economic relevance of NWFPs for European societies and diverse property rights frameworks increase the complexity in forest-based decision making additionally. In this study, the future potential of 38 NWFPs for diversifying the forest bioeconomy is investigated by means of multi-criteria analysis, including stakeholder interaction and expert involvement. The results for six case studies in different biogeographical zones in Europe indicate the latent opportunities NWFPs pr</w:t>
      </w:r>
    </w:p>
    <w:p>
      <w:pPr/>
      <w:r>
        <w:rPr>
          <w:b/>
        </w:rPr>
        <w:t>POSSIBLE 2023:</w:t>
      </w:r>
      <w:r>
        <w:t xml:space="preserve"> A review of growth and development of oncology nursing in six European countries — https://doi.org/10.21037/apm-23-82</w:t>
      </w:r>
    </w:p>
    <w:p>
      <w:pPr/>
      <w:r>
        <w:rPr>
          <w:b/>
        </w:rPr>
        <w:t>Shared claim-specific concepts:</w:t>
      </w:r>
      <w:r>
        <w:t xml:space="preserve"> six, level; EU scope visible. This is a provisional connection, not an outcome finding.</w:t>
      </w:r>
    </w:p>
    <w:p>
      <w:pPr>
        <w:pStyle w:val="SourceNote"/>
      </w:pPr>
      <w:r>
        <w:rPr>
          <w:b/>
        </w:rPr>
        <w:t>Available abstract (not full text):</w:t>
      </w:r>
      <w:r>
        <w:t xml:space="preserve"> Oncology nursing consists of a branch of nursing specialised in the care of people affected by cancer. Despite its essential contribution in the field of oncology, there is lack or poor recognition as a specialty across Europe. The aim of this paper is to review the development and growth of oncology nursing in 6 diverse countries in Europe. The paper has been developed by drawing on the relevant national and European literature (e.g., in local language and English language) available in the participating countries. European and international literature has been used complementarily to contextualised the findings to the wider field of cancer nursing across the world. Furthermore, this literature has been utilised to demonstrate how the implications of the paper's outcomes can be relevant to other cancer nursing contexts. The paper discusses the pathways of the development and growth of oncology nursing in France, Cyprus, UK, Croatia, Norway, and Spain. This paper will further contribute to raising the awareness on the extent and level of contribution that oncology nurses are making to improve cancer care on a global scale. This also needs to be in accordance to the policy frameworks on a national, European and global context so that the recognition of the vital contribution of oncology nurses is complemented with its full recognition as a distinct specialty.</w:t>
      </w:r>
    </w:p>
    <w:p>
      <w:pPr/>
      <w:r>
        <w:rPr>
          <w:b/>
        </w:rPr>
        <w:t>POSSIBLE 2023:</w:t>
      </w:r>
      <w:r>
        <w:t xml:space="preserve"> Interim 2022/23 influenza vaccine effectiveness: six European studies, October 2022 to January 2023 — https://doi.org/10.2807/1560-7917.es.2023.28.21.2300116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BackgroundBetween October 2022 and January 2023, influenza A(H1N1)pdm09, A(H3N2) and B/Victoria viruses circulated in Europe with different influenza (sub)types dominating in different areas.AimTo provide interim 2022/23 influenza vaccine effectiveness (VE) estimates from six European studies, covering 16 countries in primary care, emergency care and hospital inpatient settings.MethodsAll studies used the test-negative design, but with differences in other study characteristics, such as data sources, patient selection, case definitions and included age groups. Overall and influenza (sub)type-specific VE was estimated for each study using logistic regression adjusted for potential confounders.ResultsThere were 20,477 influenza cases recruited across the six studies, of which 16,589 (81%) were influenza A. Among all ages and settings, VE against influenza A ranged from 27 to 44%. Against A(H1N1)pdm09 (all ages and settings), VE point estimates ranged from 28% to 46%, higher among children (&lt; 18 years) at 49-77%. Against A(H3N2), overall VE ranged from 2% to 44%, also higher among children (62-70%). Against influenza B/Victoria, overall and age-specific VE were ≥ 50% (87-95% among children &lt; 18 years).ConclusionsInterim results from six European studies during the 2022/23 influenza season indicate a ≥ 27% and ≥ 50% reduction in disease occurrence among all-age influenza vaccine re</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potential, level, categories;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r>
        <w:rPr>
          <w:b/>
        </w:rPr>
        <w:t>POSSIBLE 2022:</w:t>
      </w:r>
      <w:r>
        <w:t xml:space="preserve"> Ticks on the move—climate change-induced range shifts of three tick species in Europe: current and future habitat suitability for Ixodes ricinus in comparison with Dermacentor reticulatus and Dermacentor marginatus — https://doi.org/10.1007/s00436-022-07556-x</w:t>
      </w:r>
    </w:p>
    <w:p>
      <w:pPr/>
      <w:r>
        <w:rPr>
          <w:b/>
        </w:rPr>
        <w:t>Shared claim-specific concepts:</w:t>
      </w:r>
      <w:r>
        <w:t xml:space="preserve"> six, different, potential, required; EU scope visible. This is a provisional connection, not an outcome finding.</w:t>
      </w:r>
    </w:p>
    <w:p>
      <w:pPr>
        <w:pStyle w:val="SourceNote"/>
      </w:pPr>
      <w:r>
        <w:rPr>
          <w:b/>
        </w:rPr>
        <w:t>Available abstract (not full text):</w:t>
      </w:r>
      <w:r>
        <w:t xml:space="preserve">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pPr>
        <w:pStyle w:val="Heading2"/>
      </w:pPr>
      <w:r>
        <w:t>626.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r>
        <w:rPr>
          <w:b/>
        </w:rPr>
        <w:t>POSSIBLE 2024:</w:t>
      </w:r>
      <w:r>
        <w:t xml:space="preserve"> INTRODUCTORY PREFACE: Publication Patterns of the Central European Public Administration Review – A Bibliometric Analysis — https://doi.org/10.17573/cepar.2024.1.01</w:t>
      </w:r>
    </w:p>
    <w:p>
      <w:pPr/>
      <w:r>
        <w:rPr>
          <w:b/>
        </w:rPr>
        <w:t>Shared claim-specific concepts:</w:t>
      </w:r>
      <w:r>
        <w:t xml:space="preserve"> article, introductory, two; EU scope visible. This is a provisional connection, not an outcome finding.</w:t>
      </w:r>
    </w:p>
    <w:p>
      <w:pPr>
        <w:pStyle w:val="SourceNote"/>
      </w:pPr>
      <w:r>
        <w:rPr>
          <w:b/>
        </w:rPr>
        <w:t>Available abstract (not full text):</w:t>
      </w:r>
      <w:r>
        <w:t xml:space="preserve">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pPr/>
      <w:r>
        <w:rPr>
          <w:b/>
        </w:rPr>
        <w:t>POSSIBLE 2024:</w:t>
      </w:r>
      <w:r>
        <w:t xml:space="preserve"> Śvetāśvatara-Upaniṣad 1.1-16 / Translation from Sanskrit, Introductory Article and Commentaries by Yu. Zavhorodnii — https://doi.org/10.15407/orientw2024.03.292</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pPr/>
      <w:r>
        <w:rPr>
          <w:b/>
        </w:rPr>
        <w:t>POSSIBLE 2024:</w:t>
      </w:r>
      <w:r>
        <w:t xml:space="preserve"> Supranational responses to democratic backsliding: norm contestation and discursive polarisation in the European Parliament — https://doi.org/10.1080/13501763.2024.2320270</w:t>
      </w:r>
    </w:p>
    <w:p>
      <w:pPr/>
      <w:r>
        <w:rPr>
          <w:b/>
        </w:rPr>
        <w:t>Shared claim-specific concepts:</w:t>
      </w:r>
      <w:r>
        <w:t xml:space="preserve"> article, polarisation, two, democratic; EU scope visible. This is a provisional connection, not an outcome finding.</w:t>
      </w:r>
    </w:p>
    <w:p>
      <w:pPr>
        <w:pStyle w:val="SourceNote"/>
      </w:pPr>
      <w:r>
        <w:rPr>
          <w:b/>
        </w:rPr>
        <w:t>Available abstract (not full text):</w:t>
      </w:r>
      <w:r>
        <w:t xml:space="preserve"> The European Parliament (EP) has repeatedly been criticised for its slow, insufficient response to democratic backsliding in several member states.At the same time, it is the arena where we find some of the most vigorous defences of the EU's fundamental values and appeals to safeguard the rule of law across the Union.Leveraging an original dataset of MEP statements from plenary debates over the last two EP terms (2009)(2010)(2011)(2012)(2013)(2014)(2015)(2016)(2017)(2018)(2019), this article examines the dynamics of norm contestation in the EP's responses to democratic backsliding.We observe a discursive polarisation primarily along ideological lines, with a notable slippage among European People's Party legislators who shift from scepticism towards EU intervention in rule of law matters to overt support.We show how Eurosceptic MEPs and those from backsliding countries seek to appeal to domestic voters by invoking negative partisanship and anti-Western resentment to discredit EU criticism.In contrast, pro-intervention MEPs situate their discourse at the supranational level and focus on defending European unity and the rule of law as shared identity.Overall, the growing contestation over the nature of fundamental values by Eurosceptics has crystallized a more vocal and differentiated engagement of Europhile MEPs in democratic backsliding debates.</w:t>
      </w:r>
    </w:p>
    <w:p>
      <w:pPr/>
      <w:r>
        <w:rPr>
          <w:b/>
        </w:rPr>
        <w:t>POSSIBLE 2023:</w:t>
      </w:r>
      <w:r>
        <w:t xml:space="preserve"> Polarisation Development at the European Spallation Source — https://doi.org/10.1051/epjconf/202328603004</w:t>
      </w:r>
    </w:p>
    <w:p>
      <w:pPr/>
      <w:r>
        <w:rPr>
          <w:b/>
        </w:rPr>
        <w:t>Shared claim-specific concepts:</w:t>
      </w:r>
      <w:r>
        <w:t xml:space="preserve"> polarisation, two, polarised; EU scope visible. This is a provisional connection, not an outcome finding.</w:t>
      </w:r>
    </w:p>
    <w:p>
      <w:pPr>
        <w:pStyle w:val="SourceNote"/>
      </w:pPr>
      <w:r>
        <w:rPr>
          <w:b/>
        </w:rPr>
        <w:t>Available abstract (not full text):</w:t>
      </w:r>
      <w:r>
        <w:t xml:space="preserve"> To meet the ever-increasing user demand, eleven of the fifteen European Spallation Source (ESS) instruments under construction aim to offer polarised neutrons for user experiments. They include an imaging instrument, a SANS instruments, two reflectometers, three diffractometers, and four spectrometers. In conjunction with in-kind contributions and instrumentation grants, the ESS Polarisation Project will support the incorporation of polarisation analysis on eight of the eleven instruments. The project aims to deliver polarised neutrons for first-science experiments as instruments enter operation. Different polariser and polarisation analyser techniques will be available to accommodate the specifics of experiments on a given instrument. Polarised 3He neutron spin filter using either Metastable Optical Pumping (MEOP) or Spin-Exchange Optical Pumping (SEOP) techniques will provide shared-use equipment among many instruments, with SEOP’s main application being in situ beam-polarisation. Several instruments will also use polarising-supermirror devices. To provide wide-bandwidth spin-flipping capability to the time-of-flight instruments, Adiabatic Fast Passage (AFP) neutron spin flippers, also known as gradient-field radiofrequency spin flippers will be the main method of choice. Devices based on the same AFP principle will also be used to flip 3He nuclear spins. We are constructing </w:t>
      </w:r>
    </w:p>
    <w:p>
      <w:pPr/>
      <w:r>
        <w:rPr>
          <w:b/>
        </w:rPr>
        <w:t>POSSIBLE 2022:</w:t>
      </w:r>
      <w:r>
        <w:t xml:space="preserve"> Transport policies and business practices during COVID-19 and their impact on the management of new transport mobility systems – introductory part — https://doi.org/10.3846/bm.2022.890</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COVID-19 pandemic has had a profound effect on global economies. Transport was a particular sector of the economy that was particularly exposed to the spread of the virus. This has led to many changes in the management and the implementation of various types of business practices in the new mobility companies during the pandemic and post-pandemic periods. The work aimed to analyze the policies in the field of transport in pandemic times and the practices implemented and provided by enterprises in the field of new mobility, including companies sharing vehicles, e.g., car-sharing, bike-sharing, scooter-sharing, and ride-sharing. Furthermore, the article was used to indicate the changes that have occurred in the management of new mobility enterprises in companies operating in Asia, Europe, and America. The work is based on secondary data research and own research. The developed results indicate which operators made the most changes and which continents proposed the most changes to transport policies. The article supports the development of both new policies for the post-pandemic period and new business practices for companies in the new mobility services industry.</w:t>
      </w:r>
    </w:p>
    <w:p>
      <w:pPr/>
      <w:r>
        <w:rPr>
          <w:b/>
        </w:rPr>
        <w:t>POSSIBLE 2022:</w:t>
      </w:r>
      <w:r>
        <w:t xml:space="preserve"> Must Introductory Genetics Start with Mendel? — https://doi.org/10.1007/s11191-022-00361-z</w:t>
      </w:r>
    </w:p>
    <w:p>
      <w:pPr/>
      <w:r>
        <w:rPr>
          <w:b/>
        </w:rPr>
        <w:t>Shared claim-specific concepts:</w:t>
      </w:r>
      <w:r>
        <w:t xml:space="preserve"> introductory, two, developed; EU scope not established. This is a provisional connection, not an outcome finding.</w:t>
      </w:r>
    </w:p>
    <w:p>
      <w:pPr>
        <w:pStyle w:val="SourceNote"/>
      </w:pPr>
      <w:r>
        <w:rPr>
          <w:b/>
        </w:rPr>
        <w:t>Available abstract (not full text):</w:t>
      </w:r>
      <w:r>
        <w:t xml:space="preserve"> Abstract It is 157 years since Mendel presented his results on hybridisation in peas to the Brünn Society for Natural Science. The discipline of genetics has dramatically changed since then, with technological advancements revealing multifactorial causation and trait variability. Whilst none of this complexity featured in the discovery of classical genetics, Mendel and his peas still dominate teaching today. Must genetics always start from such a simplistic, determinist perspective? A number of recent studies (e.g. Donovan, 2021; Dougherty, 2010; Jamieson &amp; Radick, 2013) have made the case for emphasising the complexity of genetics from the beginning. In this study, I will examine the origins and fate of two earlier attempts at reform, from the 1970s and 1980s. One was from Steven Rose, a biochemist in London and founder of the British Society for Social Responsibility in Science, who developed a genetics course for distance teaching at the Open University. The other was from Garland Allen, a historian of science and influential writer of biology textbooks, including four editions of Study of Biology . Both tried to depart from the standard start-with-Mendel script, in ways that aimed to help students better appreciate not only the complexities of genetics but also embedding genetics—and genetic knowledge—in society. Both met significant resistance, with concerns varying from t</w:t>
      </w:r>
    </w:p>
    <w:p>
      <w:pPr/>
      <w:r>
        <w:rPr>
          <w:b/>
        </w:rPr>
        <w:t>POSSIBLE 2022:</w:t>
      </w:r>
      <w:r>
        <w:t xml:space="preserve"> Populism Put to the Polarisation Test: The 2019–20 Election Cycle in Italy — https://doi.org/10.4324/9781003317012-11</w:t>
      </w:r>
    </w:p>
    <w:p>
      <w:pPr/>
      <w:r>
        <w:rPr>
          <w:b/>
        </w:rPr>
        <w:t>Shared claim-specific concepts:</w:t>
      </w:r>
      <w:r>
        <w:t xml:space="preserve"> article, after, polarisation, two; EU scope visible. This is a provisional connection, not an outcome finding.</w:t>
      </w:r>
    </w:p>
    <w:p>
      <w:pPr>
        <w:pStyle w:val="SourceNote"/>
      </w:pPr>
      <w:r>
        <w:rPr>
          <w:b/>
        </w:rPr>
        <w:t>Available abstract (not full text):</w:t>
      </w:r>
      <w:r>
        <w:t xml:space="preserve"> One year after the birth of an unprecedented government characterised by the strong populist stance of both coalition partners (M5S and the Lega) and amid a growing polarisation in party positions on a number of political issues, the European and regional elections of 2019–20 marked an important test for Italy. After presenting the results of the 2019–20 election cycle, the article investigates the most salient lines of party competition and the varying degrees of polarisation. Our analysis shows two kinds of polarisation: the first being the intra-coalitional polarisation which characterised the first Conte government; while the second, affecting the party system as a whole, is driven by the electoral rise of far-right parties.</w:t>
      </w:r>
    </w:p>
    <w:p>
      <w:pPr>
        <w:pStyle w:val="Heading2"/>
      </w:pPr>
      <w:r>
        <w:t>627.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2024:</w:t>
      </w:r>
      <w:r>
        <w:t xml:space="preserve"> Internship Report at the EMCDDA 's Public Health Unit - Insights into the Medical Use of Psychedelic Substances in the EU: regulatory frameworks, public health challenges and future directions. — https://doi.org/10.34626/0gxt-rw14</w:t>
      </w:r>
    </w:p>
    <w:p>
      <w:pPr/>
      <w:r>
        <w:rPr>
          <w:b/>
        </w:rPr>
        <w:t>Shared claim-specific concepts:</w:t>
      </w:r>
      <w:r>
        <w:t xml:space="preserve"> emcdda, monitoring, challenges, health; EU scope visible. This is a provisional connection, not an outcome finding.</w:t>
      </w:r>
    </w:p>
    <w:p>
      <w:pPr>
        <w:pStyle w:val="SourceNote"/>
      </w:pPr>
      <w:r>
        <w:rPr>
          <w:b/>
        </w:rPr>
        <w:t>Available abstract (not full text):</w:t>
      </w:r>
      <w:r>
        <w:t xml:space="preserve"> Avanços recentes na aplicação médica de substâncias psicodélicas para uma série de transtornos de saúde mental e cuidados paliativos despertaram um interesse substancial em todo o mundo. Este interesse acrescido está enraizado no reconhecimento do potencial terapêutico de substâncias psicadélicas específicas e é alimentado pela necessidade de opções de tratamento eficazes para perturbações mentais complexas. Como resultado, surgiram quadros regulamentares diversos e em evolução em todo o mundo, levantando importantes desafios de saúde pública. Uma preocupação fundamental gira em torno do estabelecimento de quadros regulamentares robustos e da adaptação de políticas para garantir a utilização segura e equitativa de substâncias psicadélicas em ambientes médicos, minimizando assim os riscos potenciais. Este esforço implica navegar em intrincados cenários éticos e legais. Além disso, a supervisão regulamentar é indispensável para conter a proliferação de práticas psicadélicas não licenciadas ou ilícitas, que podem pôr em perigo os indivíduos que procuram tratamento. Para abordar estes cenários em evolução, o European Monitoring Centre for Drugs and Drug Addiction (EMCDDA) iniciou vários projetos destinados, em primeiro lugar, a melhorar a compreensão da utilização médica destas substâncias, incluindo investigação sobre a eficácia, os danos potenciais, os quadros regulamentares e as</w:t>
      </w:r>
    </w:p>
    <w:p>
      <w:pPr/>
      <w:r>
        <w:rPr>
          <w:b/>
        </w:rPr>
        <w:t>POSSIBLE 2024:</w:t>
      </w:r>
      <w:r>
        <w:t xml:space="preserve"> European Homicide Monitor: Research, New Developments, and Future — https://doi.org/10.1177/10439862241253386</w:t>
      </w:r>
    </w:p>
    <w:p>
      <w:pPr/>
      <w:r>
        <w:rPr>
          <w:b/>
        </w:rPr>
        <w:t>Shared claim-specific concepts:</w:t>
      </w:r>
      <w:r>
        <w:t xml:space="preserve"> approach, challenges; EU scope visible. This is a provisional connection, not an outcome finding.</w:t>
      </w:r>
    </w:p>
    <w:p>
      <w:pPr>
        <w:pStyle w:val="SourceNote"/>
      </w:pPr>
      <w:r>
        <w:rPr>
          <w:b/>
        </w:rPr>
        <w:t>Available abstract (not full text):</w:t>
      </w:r>
      <w:r>
        <w:t xml:space="preserve"> Homicide as the most serious form of lethal violence has always represented an important research focus in criminology. Much of the existing research, however, is based on aggregated homicide data and is limited to macrolevel analyses. The European Homicide Monitor (EHM) is an initiative promoting standardized international data collection, with the aim of collecting disaggregated and detailed data on homicide. Originally developed by researchers from the Netherlands, Sweden, and Finland, the EHM coding scheme is currently applied in several European countries. In this article, we take stock of the use of the EHM approach by describing its key principles and aims. We also review research conducted within the EHM framework and identify the most significant developments in its use, such as expanding to the Global South, to the historical past, and to more accurate measurement of drug-related incidents. We conclude this investigation by discussing the challenges facing future research in this domain.</w:t>
      </w:r>
    </w:p>
    <w:p>
      <w:pPr/>
      <w:r>
        <w:rPr>
          <w:b/>
        </w:rPr>
        <w:t>POSSIBLE 2024:</w:t>
      </w:r>
      <w:r>
        <w:t xml:space="preserve"> Progress and challenges in the elimination of hepatitis C among people who inject drugs in Germany: results of a pilot study for a national monitoring system, 10 years after the first data collection — https://doi.org/10.1186/s12954-024-01119-2</w:t>
      </w:r>
    </w:p>
    <w:p>
      <w:pPr/>
      <w:r>
        <w:rPr>
          <w:b/>
        </w:rPr>
        <w:t>Shared claim-specific concepts:</w:t>
      </w:r>
      <w:r>
        <w:t xml:space="preserve"> piloted, monitoring, system, help, challenges, health; EU scope visible. This is a provisional connection, not an outcome finding.</w:t>
      </w:r>
    </w:p>
    <w:p>
      <w:pPr>
        <w:pStyle w:val="SourceNote"/>
      </w:pPr>
      <w:r>
        <w:rPr>
          <w:b/>
        </w:rPr>
        <w:t>Available abstract (not full text):</w:t>
      </w:r>
      <w:r>
        <w:t xml:space="preserve"> BACKGROUND: People who inject drugs (PWID) are at high risk of blood-borne infections, and injection drug use contributes significantly to hepatitis C virus (HCV) transmission. The WHO has therefore set targets of reducing HCV incidence and prevalence among PWID and increasing treatment coverage to eliminate HCV by 2030. The DRUCK study (2011-2014) found high HCV prevalence and low treatment coverage among PWID in Germany. To assess progress in the elimination of HCV among PWID, we conducted a cross-sectional study in two German federal states that piloted a future monitoring. METHODS: PWID aged 16 + who injected drugs (previous 12 months) were recruited in low-threshold drug services and opioid agonist treatment (OAT) practices in Berlin and Bavaria between June 2021 and April 2022. Participants completed a questionnaire on sociodemographics, behaviours and access to care, and were tested for hepatitis B virus (HBV) and HCV, and HIV. Data was analysed regarding HCV prevalence, history of treatment, and risk and prevention behaviours. Results were compared with the DRUCK study. RESULTS: A total of 588 PWID, with a median age of 39 (range: 17-66) years and 68% (399/587) male, were included in the analysis. Of the participants, 61% (353/574) reported receiving OAT and 14% (66/469) recent use of shared needles/syringes during the last 30 days. History of imprisonment was reported </w:t>
      </w:r>
    </w:p>
    <w:p>
      <w:pPr/>
      <w:r>
        <w:rPr>
          <w:b/>
        </w:rPr>
        <w:t>POSSIBLE 2024:</w:t>
      </w:r>
      <w:r>
        <w:t xml:space="preserve"> Community mobilisation approaches to preventing adolescent multiple risk behaviour: a realist review — https://doi.org/10.1186/s13643-024-02450-2</w:t>
      </w:r>
    </w:p>
    <w:p>
      <w:pPr/>
      <w:r>
        <w:rPr>
          <w:b/>
        </w:rPr>
        <w:t>Shared claim-specific concepts:</w:t>
      </w:r>
      <w:r>
        <w:t xml:space="preserve"> approach, health, analysed; EU scope not established. This is a provisional connection, not an outcome finding.</w:t>
      </w:r>
    </w:p>
    <w:p>
      <w:pPr>
        <w:pStyle w:val="SourceNote"/>
      </w:pPr>
      <w:r>
        <w:rPr>
          <w:b/>
        </w:rPr>
        <w:t>Available abstract (not full text):</w:t>
      </w:r>
      <w:r>
        <w:t xml:space="preserve"> BACKGROUND: Adolescent multiple risk behaviour (MRB) is a global health issue. Most interventions have focused on the proximal causes of adolescent MRB such as peer or family influence, with systematic reviews reporting mixed evidence of effectiveness. There is increasing recognition that community mobilisation approaches could be beneficial for adolescent health. There are gaps in the current literature, theory and implementation that would benefit from a realist approach. We use a theory-driven evidence synthesis to assess how and why community mobilisation interventions work/do not work to prevent adolescent MRB and in what contexts. METHODS: This realist review used a six-stage iterative process, guided by the RAMESES framework. We systematically searched PubMed, MEDLINE, PsycINFO, Web of Science, CINAHL and Sociological Abstracts, from their inception to 2021. Studies were screened for relevance to the programme theory, assessed for rigour and included based on a priori criteria. Two independent reviewers selected, screened and extracted data from included studies. A realist logic of analysis was used to develop context-mechanism-outcome configurations that contributed to our programme theory. FINDINGS: We reviewed 35 documents describing 22 separate community mobilisation intervention studies. Most studies (n = 17) had a quality assessment score of three or four (out of f</w:t>
      </w:r>
    </w:p>
    <w:p>
      <w:pPr/>
      <w:r>
        <w:rPr>
          <w:b/>
        </w:rPr>
        <w:t>POSSIBLE 2023:</w:t>
      </w:r>
      <w:r>
        <w:t xml:space="preserve"> A methodology to explore the road safety impact of fitness to drive solutions for commercial drivers: The PANACEA project — https://doi.org/10.1016/j.trpro.2023.02.241</w:t>
      </w:r>
    </w:p>
    <w:p>
      <w:pPr/>
      <w:r>
        <w:rPr>
          <w:b/>
        </w:rPr>
        <w:t>Shared claim-specific concepts:</w:t>
      </w:r>
      <w:r>
        <w:t xml:space="preserve"> monitoring, system, health, drivers; EU scope visible. This is a provisional connection, not an outcome finding.</w:t>
      </w:r>
    </w:p>
    <w:p>
      <w:pPr>
        <w:pStyle w:val="SourceNote"/>
      </w:pPr>
      <w:r>
        <w:rPr>
          <w:b/>
        </w:rPr>
        <w:t>Available abstract (not full text):</w:t>
      </w:r>
      <w:r>
        <w:t xml:space="preserve"> In Europe, one in four road deaths occurred in an accident involving a goods vehicle in 2018 (ETSC 2020). Commercial drivers are at higher risk for suffering from physiological, psychological and prescribed medication and illicit drug use, including alcohol misuse. Fitness to drive or driver state monitoring systems integrate technologies able to detect altered driver states and provide them feedback. They constitute an emerging phenomenon, and their effects on changing people's behaviour to drive more safely, and in general, their impact on road safety should be better investigated. The scope of this paper is to present a methodology able to simulate different scenarios to understand how a driver state monitoring system can support improving road safety in the European Union. A conceptual framework is presented to support the definition of the impact assessment methodology and is applied to the PANACEA European research project. The project develops an integrated solution for driving ability assessment of commercial drivers, paired with a countermeasure and coaching solution. The PANACEA system uses algorithms and technologies for detecting, monitoring and assessing alcohol consumption, licit (barbituric) and illicit (methadone substitute) drugs, fatigue and cognitive load (Commercial Health Toolkits (CHTs)). It also provides strategic, tactical and operational countermeasures</w:t>
      </w:r>
    </w:p>
    <w:p>
      <w:pPr/>
      <w:r>
        <w:rPr>
          <w:b/>
        </w:rPr>
        <w:t>POSSIBLE 2023:</w:t>
      </w:r>
      <w:r>
        <w:t xml:space="preserve"> Understanding the illegal drug supply chain structure: a value chain analysis of the supply of hashish to Europe — https://doi.org/10.1057/s41599-023-01770-3</w:t>
      </w:r>
    </w:p>
    <w:p>
      <w:pPr/>
      <w:r>
        <w:rPr>
          <w:b/>
        </w:rPr>
        <w:t>Shared claim-specific concepts:</w:t>
      </w:r>
      <w:r>
        <w:t xml:space="preserve"> system, health, implications; EU scope visible. This is a provisional connection, not an outcome finding.</w:t>
      </w:r>
    </w:p>
    <w:p>
      <w:pPr>
        <w:pStyle w:val="SourceNote"/>
      </w:pPr>
      <w:r>
        <w:rPr>
          <w:b/>
        </w:rPr>
        <w:t>Available abstract (not full text):</w:t>
      </w:r>
      <w:r>
        <w:t xml:space="preserve"> Abstract Despite the social, health, law enforcement, and economic importance of illegal drug supply, the lack of information and understanding regarding these supply chains stands out. This paper carries out a disaggregated analysis of the structure of the hashish supply chain from Morocco to Europe to explain the value contributions at each level, the end-price formation, and the supply chain management practices. The methodology adopted is based on a mixed method of data collection where the primary data are gathered from field interviews with cannabis producers and dealers and secondary information is obtained from official statistics, research papers, informational reports, and documentaries. We review supply and value chain frameworks through the lens of cost–benefit analysis. Our main findings show an unequal contribution on the part of the different levels of distribution, with end-user prices increasing by 7000% of the cost of production during the supply chain. The chain also has high variable costs but limited fixed ones, exacerbating the lack of stability and fostering continuous adaptation. We also detect a reluctance to raise end-user prices but a great propensity to change quality. This research may have implications for several stakeholders. In the case of dealers, we find that they have created a supply-push system thanks to their dominant power, leaning on inf</w:t>
      </w:r>
    </w:p>
    <w:p>
      <w:pPr/>
      <w:r>
        <w:rPr>
          <w:b/>
        </w:rPr>
        <w:t>POSSIBLE 2022:</w:t>
      </w:r>
      <w:r>
        <w:t xml:space="preserve"> Interventions to increase linkage to care and adherence to treatment for hepatitis C among people who inject drugs: A systematic review and practical considerations from an expert panel consultation — https://doi.org/10.1016/j.drugpo.2022.103588</w:t>
      </w:r>
    </w:p>
    <w:p>
      <w:pPr/>
      <w:r>
        <w:rPr>
          <w:b/>
        </w:rPr>
        <w:t>Shared claim-specific concepts:</w:t>
      </w:r>
      <w:r>
        <w:t xml:space="preserve"> emcdda, activities, increase, health, areas; EU scope not established. This is a provisional connection, not an outcome finding.</w:t>
      </w:r>
    </w:p>
    <w:p>
      <w:pPr>
        <w:pStyle w:val="SourceNote"/>
      </w:pPr>
      <w:r>
        <w:rPr>
          <w:b/>
        </w:rPr>
        <w:t>Available abstract (not full text):</w:t>
      </w:r>
      <w:r>
        <w:t xml:space="preserve"> BACKGROUND: Following advances in treatment for hepatitis C (HCV), optimizing linkage to care and adherence to treatment of people who inject drugs became of pivotal importance. An ECDC/EMCDDA stakeholders survey in 2018 indicated that two components of the cascade of care, linkage to care and adherence to treatment, were priority areas for inclusion in the updated guidance, planned for publication in 2022. This systematic review was commissioned with the aim to evaluate the effectiveness of interventions on HCV linkage to care and adherence to treatment among people who inject drugs. METHODS: The full study protocol is available at PROSPERO (2020 CRD42020191116). We searched five databases to identify studies published between 2011 and 2020. Studies were included if they had a comparative study design and reported on the primary outcomes for linkage to care (visits, treatment initiation) and/or adherence to treatment (treatment adherence, treatment completion, SVR12) among people who inject drugs/people receiving opioid substitution therapy. Following the risk of bias (EPHPP) and quality of evidence assessment (GRADE), evidence to decision tables were produced and shared for critical review with an expert panel convened by ECDC and EMCDDA. The expert panel provided further considerations on the benefit, acceptability, and transferability of interventions. RESULTS: Fourteen stu</w:t>
      </w:r>
    </w:p>
    <w:p>
      <w:pPr>
        <w:pStyle w:val="Heading2"/>
      </w:pPr>
      <w:r>
        <w:t>628.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2024:</w:t>
      </w:r>
      <w:r>
        <w:t xml:space="preserve"> Study of the feasibility of energy transition policies applicable in Colombia based on the analysis of international references. — https://openalex.org/W7133450036</w:t>
      </w:r>
    </w:p>
    <w:p>
      <w:pPr/>
      <w:r>
        <w:rPr>
          <w:b/>
        </w:rPr>
        <w:t>Shared claim-specific concepts:</w:t>
      </w:r>
      <w:r>
        <w:t xml:space="preserve"> based, energy, policies; EU scope not established. This is a provisional connection, not an outcome finding.</w:t>
      </w:r>
    </w:p>
    <w:p>
      <w:pPr>
        <w:pStyle w:val="SourceNote"/>
      </w:pPr>
      <w:r>
        <w:rPr>
          <w:b/>
        </w:rPr>
        <w:t>Available abstract (not full text):</w:t>
      </w:r>
      <w:r>
        <w:t xml:space="preserve"> La transición energética es cada día una realidad más cercana a la nuestra razón por la cual en 2015 se firmó el acuerdo de Paris, el cual, propone llegar a la carbono neutralidad para el año 2050 manteniendo el aumento de la temperatura hasta un nivel máximo de 1.5°C por encima de los niveles preindustriales como su objetivo principal. En la COP 27 realizada el año 2022, 7 años después de la firma del acuerdo los balances realizados por la ONU no muestran resultados alentadores, con la tendencia global actual para el año 2030 se registrarían temperaturas 10% mayores a las registradas en el año 2010. Situación crítica que obliga a intensificar los esfuerzos de manera global, en este orden de ideas y entendiendo que los contextos para llevar a cabo transiciones exitosas son diferentes para cada país, se intentan identificar diferentes estrategias y estructuras que se acomoden al contexto colombiano, partiendo del estudio de referentes internacionales con modelos de transición energética avanzados.</w:t>
      </w:r>
    </w:p>
    <w:p>
      <w:pPr/>
      <w:r>
        <w:rPr>
          <w:b/>
        </w:rPr>
        <w:t>POSSIBLE 2024:</w:t>
      </w:r>
      <w:r>
        <w:t xml:space="preserve"> Impacts of large-scale deployment of vertical bifacial photovoltaics on European electricity market dynamics — https://doi.org/10.1038/s41467-024-50762-7</w:t>
      </w:r>
    </w:p>
    <w:p>
      <w:pPr/>
      <w:r>
        <w:rPr>
          <w:b/>
        </w:rPr>
        <w:t>Shared claim-specific concepts:</w:t>
      </w:r>
      <w:r>
        <w:t xml:space="preserve"> energy, system, policies, introduced; EU scope visible. This is a provisional connection, not an outcome finding.</w:t>
      </w:r>
    </w:p>
    <w:p>
      <w:pPr>
        <w:pStyle w:val="SourceNote"/>
      </w:pPr>
      <w:r>
        <w:rPr>
          <w:b/>
        </w:rPr>
        <w:t>Available abstract (not full text):</w:t>
      </w:r>
      <w:r>
        <w:t xml:space="preserve"> Self-sufficiency, climate change and increasing geopolitical risks have driven energy policies to make renewable energy sources dominant in the power production portfolios. The initial boom in the mid-2000s of global photovoltaic installations demonstrated the feasibility of the ambitious renewable energy targets. However, this rapid scale-up has introduced challenges, including price volatility and system integration issues. This communication calls the attention to these emerging challenges and offers quantitative insights on how rapid adoption of a more diversified photovoltaics deployment strategies can mitigate price volatilities, reduce fossil fuel dependence and steer Europe towards a forward-thinking sustainable energy pathway. The analysis reveals that as innovative bifacial photovoltaic systems are incorporated on a large-scale disruptive scenario, four main patterns emerge: economic value of solar production increases, base-load electricity price decreases, sun-rich countries expand their solar contributions, whereas nations with ample grid interconnections enhance their energy imports from neighbouring countries. It also underscores the importance of maintaining photovoltaics an attractive option for energy investors and traders in the future. Establishing this groundwork is critical since a successful integration of large-scale solar systems contributing to decreas</w:t>
      </w:r>
    </w:p>
    <w:p>
      <w:pPr/>
      <w:r>
        <w:rPr>
          <w:b/>
        </w:rPr>
        <w:t>POSSIBLE 2023:</w:t>
      </w:r>
      <w:r>
        <w:t xml:space="preserve"> “The heat of a multitudinous assembly”: Striking short fiction and the rise of feminist potencia — https://doi.org/10.1111/lic3.12740</w:t>
      </w:r>
    </w:p>
    <w:p>
      <w:pPr/>
      <w:r>
        <w:rPr>
          <w:b/>
        </w:rPr>
        <w:t>Shared claim-specific concepts:</w:t>
      </w:r>
      <w:r>
        <w:t xml:space="preserve"> based, potencia, energy, potential; EU scope not established. This is a provisional connection, not an outcome finding.</w:t>
      </w:r>
    </w:p>
    <w:p>
      <w:pPr>
        <w:pStyle w:val="SourceNote"/>
      </w:pPr>
      <w:r>
        <w:rPr>
          <w:b/>
        </w:rPr>
        <w:t>Available abstract (not full text):</w:t>
      </w:r>
      <w:r>
        <w:t xml:space="preserve">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r>
        <w:rPr>
          <w:b/>
        </w:rPr>
        <w:t>POSSIBLE 2023:</w:t>
      </w:r>
      <w:r>
        <w:t xml:space="preserve"> Energy management in collaborative power electronics-based microgrid integrated with renewable energies — https://doi.org/10.5821/dissertation-2117-399823</w:t>
      </w:r>
    </w:p>
    <w:p>
      <w:pPr/>
      <w:r>
        <w:rPr>
          <w:b/>
        </w:rPr>
        <w:t>Shared claim-specific concepts:</w:t>
      </w:r>
      <w:r>
        <w:t xml:space="preserve"> based, energy, introduced, potential, specifically; EU scope not established. This is a provisional connection, not an outcome finding.</w:t>
      </w:r>
    </w:p>
    <w:p>
      <w:pPr>
        <w:pStyle w:val="SourceNote"/>
      </w:pPr>
      <w:r>
        <w:rPr>
          <w:b/>
        </w:rPr>
        <w:t>Available abstract (not full text):</w:t>
      </w:r>
      <w:r>
        <w:t xml:space="preserve"> (English) This thesis is introduced the research performed on microgrid applications, especially in cooperative operating mode. The research is conducted considering two main challenging aspects of microgrid operation over the last years. The reliable and optimum operation of microgrids is surveyed by focusing on: energy management systems, specifically in collaborative microgrid operation and robust power electronics interfaces. This thesis presents a comprehensive review of optimization methods for individual and community microgrids. In addition, different control strategies applied in microgrid systems are studied. The potential pros and cons of various control strategies are analyzed, and the background studies bring brilliant and smart solutions for optimal control in a networked microgrid. A supervised and unsupervised learning clustering is developed in order to control a networked microgrid consisting of industrial, commercial, and residential microgrids. The clustering algorithms are performed based on the maximum load demand and operating reserve of the microgrid. Furthermore, a component size procedure for dispatchable units in a networked microgrid is presented. The proposed algorithm evaluates the component size considering the operating reserve of microgrids. To diminish the adverse effect of component size reduction on microgrids’ reliability, the proposed reduc</w:t>
      </w:r>
    </w:p>
    <w:p>
      <w:pPr/>
      <w:r>
        <w:rPr>
          <w:b/>
        </w:rPr>
        <w:t>POSSIBLE 2023:</w:t>
      </w:r>
      <w:r>
        <w:t xml:space="preserve"> Analysis of European-policies and incentives for microgrids — https://doi.org/10.24084/reepqj23.209</w:t>
      </w:r>
    </w:p>
    <w:p>
      <w:pPr/>
      <w:r>
        <w:rPr>
          <w:b/>
        </w:rPr>
        <w:t>Shared claim-specific concepts:</w:t>
      </w:r>
      <w:r>
        <w:t xml:space="preserve"> based, energy, introduced; EU scope visible. This is a provisional connection, not an outcome finding.</w:t>
      </w:r>
    </w:p>
    <w:p>
      <w:pPr>
        <w:pStyle w:val="SourceNote"/>
      </w:pPr>
      <w:r>
        <w:rPr>
          <w:b/>
        </w:rPr>
        <w:t>Available abstract (not full text):</w:t>
      </w:r>
      <w:r>
        <w:t xml:space="preserve"> One of the best solutions to face the problems in the current European electric systems is based on the implementation of microgrids as a way of increasing the consumption from renewable energy (RE) sources, improving energy efficiency, decreasing GHG emissions and, as a consequence, complying with European Commission (EC) 2020 targets.In this line, different EU regulations have been established but the particularities of each member state regulatory framework could appear as a barrier.For this reason, it is important to study how member states are carrying out the tasks associated with the penetration of microgrids, studying how European directives are transposed and incentives introduced.Besides, representative projects and demonstration cases for microgrids are shown, in order to determine the feasibility of the introduction of this novel concept in real situations.</w:t>
      </w:r>
    </w:p>
    <w:p>
      <w:pPr/>
      <w:r>
        <w:rPr>
          <w:b/>
        </w:rPr>
        <w:t>POSSIBLE 2023:</w:t>
      </w:r>
      <w:r>
        <w:t xml:space="preserve"> Evolution of digital activism on social media: opportunities and challenges — https://doi.org/10.3145/epi.2023.may.03</w:t>
      </w:r>
    </w:p>
    <w:p>
      <w:pPr/>
      <w:r>
        <w:rPr>
          <w:b/>
        </w:rPr>
        <w:t>Shared claim-specific concepts:</w:t>
      </w:r>
      <w:r>
        <w:t xml:space="preserve"> based, evolution, assumption; EU scope not established. This is a provisional connection, not an outcome finding.</w:t>
      </w:r>
    </w:p>
    <w:p>
      <w:pPr>
        <w:pStyle w:val="SourceNote"/>
      </w:pPr>
      <w:r>
        <w:rPr>
          <w:b/>
        </w:rPr>
        <w:t>Available abstract (not full text):</w:t>
      </w:r>
      <w:r>
        <w:t xml:space="preserve"> The social media revolution has affected all areas, including activism. However, there is scepticism about its emancipatory capacity, and it is considered by some to be a distorted form of activism. This article presents a review of the existing literature on digital activism, starting with the concept itself, and examines its impact on the organisation of activists and citizen participation. Likewise, based on the platformisation of these spaces and the evolution of their affordances, we observe a growth in individual, strategic and low-commitment participation, the accentuation of the role of emotions in media that promote virality, and the assumption of playful forms of politainment by activists –especially on TikTok–. On the other hand, the strategies carried out by organisations to promote activism in relation to their causes are investigated, such as the generation of arguments provided by the interest group and the involvement in an action of dissemination, co-creation and replication of activists. Finally, the main challenges of digital activism are indicated: the growing inequality in terms of access to algorithmic visibility between activists and brands, influencers and interest groups; the desirability of complementing playful activism with work in alternative digital media that allows for more stable forms of collaboration; and the need to protect activists against </w:t>
      </w:r>
    </w:p>
    <w:p>
      <w:pPr/>
      <w:r>
        <w:rPr>
          <w:b/>
        </w:rPr>
        <w:t>POSSIBLE 2022:</w:t>
      </w:r>
      <w:r>
        <w:t xml:space="preserve"> Existing tools, user needs and required model adjustments for energy demand modelling of a carbon-neutral Europe — https://doi.org/10.1016/j.erss.2022.102662</w:t>
      </w:r>
    </w:p>
    <w:p>
      <w:pPr/>
      <w:r>
        <w:rPr>
          <w:b/>
        </w:rPr>
        <w:t>Shared claim-specific concepts:</w:t>
      </w:r>
      <w:r>
        <w:t xml:space="preserve"> based, energy, further, policies; EU scope visible. This is a provisional connection, not an outcome finding.</w:t>
      </w:r>
    </w:p>
    <w:p>
      <w:pPr>
        <w:pStyle w:val="SourceNote"/>
      </w:pPr>
      <w:r>
        <w:rPr>
          <w:b/>
        </w:rPr>
        <w:t>Available abstract (not full text):</w:t>
      </w:r>
      <w:r>
        <w:t xml:space="preserve"> To achieve the European Union's target for climate neutrality by 2050 reduced energy demand will make the transition process faster and cheaper. The role of policies that support energy efficiency measures and demand-side management practices will be critical and to ensure that energy demand models are relevant to policymakers and other end-users, understanding how to further improve the models and whether they are tailored to user needs to support efficient decision-making processes is crucial. So far though, no scientific studies have examined the key user needs for energy demand modelling in the context of the climate neutrality targets. In this article we address this gap using a multi-method approach based on empirical and desk research. Through survey and stakeholder meetings and workshops we identify user needs of different stakeholder groups, and we highlight the direction in which energy demand models need to be improved to be relevant to their users. Through a detailed review of existing energy demand models, we provide a full understanding of the key characteristics and capabilities of existing tools, and we identify their limitations and gaps. Our findings show that classical demand-related questions remain important to model users, while most of the existing models can answer these questions. Furthermore, we show that some of the user needs related to sectoral dema</w:t>
      </w:r>
    </w:p>
    <w:p>
      <w:pPr/>
      <w:r>
        <w:rPr>
          <w:b/>
        </w:rPr>
        <w:t>POSSIBLE 2022:</w:t>
      </w:r>
      <w:r>
        <w:t xml:space="preserve"> A high-performance electromagnetic vibration energy harvester based on ring magnets with Halbach configuration: design, optimization, and applications — https://doi.org/10.5821/dissertation-2117-377146</w:t>
      </w:r>
    </w:p>
    <w:p>
      <w:pPr/>
      <w:r>
        <w:rPr>
          <w:b/>
        </w:rPr>
        <w:t>Shared claim-specific concepts:</w:t>
      </w:r>
      <w:r>
        <w:t xml:space="preserve"> based, potencia, energy, system, further, potential; EU scope not established. This is a provisional connection, not an outcome finding.</w:t>
      </w:r>
    </w:p>
    <w:p>
      <w:pPr>
        <w:pStyle w:val="SourceNote"/>
      </w:pPr>
      <w:r>
        <w:rPr>
          <w:b/>
        </w:rPr>
        <w:t>Available abstract (not full text):</w:t>
      </w:r>
      <w:r>
        <w:t xml:space="preserve"> Electromagnetic vibration energy harvesting is a relatively modern technology that has received relevant attention in the last decade from the research community and industry as a potential complement or alternative to the inconvenient employment of batteries for powering ultra-low-power devices, microelectromechanical systems, and wireless sensor networks. However, there are still many flaws in this technology that require to be addressed to develop truly practical, reliable, and cost-effective electromagnetic generators, without which industries can still not avoid relying primarily on batteries for powering wireless devices. This dissertation is mainly concerned with developing a high-power, compact, and yet simplified electromagnetic vibration energy harvester capable of reaching high power density levels without the necessity of a complex design, which is generally accompanied by an increment in fabrication costs. For this purpose, a ring-shaped magnet structure consisting of three ring magnets in a linear Halbach configuration is proposed in the present thesis. This particular structure is also compared, in terms of their output performance, with several ring magnet arrangements that include single magnets, double magnet arrays, and an alternative Halbach configuration to determine the actual benefits of the employed Halbach array within the proposed architecture. Also, t</w:t>
      </w:r>
    </w:p>
    <w:p>
      <w:pPr>
        <w:pStyle w:val="Heading2"/>
      </w:pPr>
      <w:r>
        <w:t>629.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2025:</w:t>
      </w:r>
      <w:r>
        <w:t xml:space="preserve"> Decadal Prediction for the European Energy Sector — https://doi.org/10.1002/met.70054</w:t>
      </w:r>
    </w:p>
    <w:p>
      <w:pPr/>
      <w:r>
        <w:rPr>
          <w:b/>
        </w:rPr>
        <w:t>Shared claim-specific concepts:</w:t>
      </w:r>
      <w:r>
        <w:t xml:space="preserve"> power, sector, share, electricity, wind, climate; EU scope visible. This is a provisional connection, not an outcome finding.</w:t>
      </w:r>
    </w:p>
    <w:p>
      <w:pPr>
        <w:pStyle w:val="SourceNote"/>
      </w:pPr>
      <w:r>
        <w:rPr>
          <w:b/>
        </w:rPr>
        <w:t>Available abstract (not full text):</w:t>
      </w:r>
      <w:r>
        <w:t xml:space="preserve">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pPr/>
      <w:r>
        <w:rPr>
          <w:b/>
        </w:rPr>
        <w:t>POSSIBLE 2025:</w:t>
      </w:r>
      <w:r>
        <w:t xml:space="preserve"> Decoupling carbon emissions from power sector growth in Indonesia — https://doi.org/10.1007/s44274-025-00426-0</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pPr/>
      <w:r>
        <w:rPr>
          <w:b/>
        </w:rPr>
        <w:t>POSSIBLE 2024:</w:t>
      </w:r>
      <w:r>
        <w:t xml:space="preserve"> What pace for direct electrification? Insights from co-optimised pathways in the European chemical and power sector — https://doi.org/10.1016/j.ecmx.2024.100839</w:t>
      </w:r>
    </w:p>
    <w:p>
      <w:pPr/>
      <w:r>
        <w:rPr>
          <w:b/>
        </w:rPr>
        <w:t>Shared claim-specific concepts:</w:t>
      </w:r>
      <w:r>
        <w:t xml:space="preserve"> power, sector, decarbonised, climate, energy; EU scope visible. This is a provisional connection, not an outcome finding.</w:t>
      </w:r>
    </w:p>
    <w:p>
      <w:pPr>
        <w:pStyle w:val="SourceNote"/>
      </w:pPr>
      <w:r>
        <w:rPr>
          <w:b/>
        </w:rPr>
        <w:t>Available abstract (not full text):</w:t>
      </w:r>
      <w:r>
        <w:t xml:space="preserve"> • Analysis of the chemical sector electrification using a novel supply-chain model. • Integrated sector-coupling with a power sector investment model. • Disregarding co-optimization could result in above 3% net present cost underestimation. • A carbon price &gt; 200 EUR/tCO2 by 2050 is needed to achieve climate neutrality. • Doubling of the chemical sector power consumption is likely. Decision makers and private investors impacted by the evolution of the carbon price should limit risks associated with investments in decarbonised options, notably for electrified options. This research demonstrates that considering only static future power prices and carbon content might be insufficient when accelerated sectoral electrification effort is foreseen. To illustrate the phenomenon, this research focuses on the conditions and the extent of electrification in decarbonising the chemical sector in Central-West Europe. Specifically, energy transition pathways until 2050 are considered for the power and the chemical sectors using a novel co-optimisation model, minimising the net present cost of both sectors and considering different carbon price scenarios and deployment rates. The findings indicate that not accounting for the power sector constraints when assessing the chemical sector’s transition pathways overestimates greenhouse gas (GHG) reduction potential and underestimates the net presen</w:t>
      </w:r>
    </w:p>
    <w:p>
      <w:pPr/>
      <w:r>
        <w:rPr>
          <w:b/>
        </w:rPr>
        <w:t>POSSIBLE 2024:</w:t>
      </w:r>
      <w:r>
        <w:t xml:space="preserve"> Analysis of the power sector in Bangladesh: current trends, challenges, and future perspectives — https://doi.org/10.11591/eei.v13i6.7503</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Bangladesh’s economic development is largely dependent on the power sector, which promotes sustainability and growth. The country’s future energy security, however, is seriously threatened by the natural gas reserves running out by 2028. As a result, the current energy mix has to be modified right away to ensure Bangladesh’s sustained economic growth. This research paper offers a thorough analysis of Bangladesh’s power sector’s current state. With a focus on important metrics like installed capacity, electricity generation, and distribution infrastructure, the study seeks to provide insights into the sector’s opportunities, challenges, and strengths. The research highlighting the importance of energy security and forecasting the projected energy demand in Bangladesh. The study also looks at current projects and advancements that have shaped Bangladesh’s power industry. This research also provides an ideal energy option that supports Bangladesh's sustainable growth. This analysis offers significant insights into the dynamics of the power industry in Bangladesh, elucidating it is present trajectory, the challenges it encounters, and the potential avenues for achieving a more sustainable and resilient energy future.</w:t>
      </w:r>
    </w:p>
    <w:p>
      <w:pPr/>
      <w:r>
        <w:rPr>
          <w:b/>
        </w:rPr>
        <w:t>POSSIBLE 2024:</w:t>
      </w:r>
      <w:r>
        <w:t xml:space="preserve"> Environmental Violations in the Power Sector: Accountability and Community Welfare — https://doi.org/10.67929/ecgi-fin-1019-2024</w:t>
      </w:r>
    </w:p>
    <w:p>
      <w:pPr/>
      <w:r>
        <w:rPr>
          <w:b/>
        </w:rPr>
        <w:t>Shared claim-specific concepts:</w:t>
      </w:r>
      <w:r>
        <w:t xml:space="preserve"> power, sector, electricity; EU scope not established. This is a provisional connection, not an outcome finding.</w:t>
      </w:r>
    </w:p>
    <w:p>
      <w:pPr>
        <w:pStyle w:val="SourceNote"/>
      </w:pPr>
      <w:r>
        <w:rPr>
          <w:b/>
        </w:rPr>
        <w:t>Available abstract (not full text):</w:t>
      </w:r>
      <w:r>
        <w:t xml:space="preserve"> This study examines how U.S. power sector firms respond to environmental regulation violations, focusing on facilities flagged by the EPA for non-compliance. In response, these plants implement various strategies to reduce air pollution and prevent future violations, including cutting electricity generation, improving fuel quality, reducing coal use, installing scrubbers, enhancing pollution controls, and investing in energy-efficient generators. Organizational efficiencies and government subsidies further strengthen these efforts. While these actions aid environmental recovery, the costs of compliance are often passed on to local communities through higher electricity prices, raising concerns about social equity. Following a violation, firms generally experience increases in assets, capital expenditures, debt, revenues, and electricity prices, yet operating income remains unaffected. Our findings highlight that while market competition and government subsidies can help alleviate some of the financial burden on consumers, these subsidies often fall short in promoting the long-term investments in advanced technologies necessary for sustained environmental progress.</w:t>
      </w:r>
    </w:p>
    <w:p>
      <w:pPr>
        <w:pStyle w:val="Heading2"/>
      </w:pPr>
      <w:r>
        <w:t>630.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pStyle w:val="Heading2"/>
      </w:pPr>
      <w:r>
        <w:t>631.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r>
        <w:rPr>
          <w:b/>
        </w:rPr>
        <w:t>POSSIBLE 2024:</w:t>
      </w:r>
      <w:r>
        <w:t xml:space="preserve"> Price prediction of polyester yarn based on multiple linear regression model — https://doi.org/10.1371/journal.pone.0310355</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China's polyester textile industry is one of the notable contributors to national economy. This paper takes polyester yarn, core raw material in polyester textile industry chain, as research object, and deeply explores its price indicators and risk hedging mechanisms through multiple linear regression models and Holt-Winters approaches. It is worth mentioning that with continuous development of digital technology, digital transformation of production lines and warehouses has become an important development feature in various industries. This study also actively complies with this trend, and innovatively incorporates the upstream and downstream production line start-up rates into price prediction model. Through this initiative, we can more comprehensively consider the impact of supply and demand changes on price of polyester yarn, thus making prediction results more closely reflect the actual market situation. This quantitative analysis method undoubtedly provides new ideas for enterprises to better grasp market dynamics in digital era.</w:t>
      </w:r>
    </w:p>
    <w:p>
      <w:pPr/>
      <w:r>
        <w:rPr>
          <w:b/>
        </w:rPr>
        <w:t>POSSIBLE 2024:</w:t>
      </w:r>
      <w:r>
        <w:t xml:space="preserve"> Enterprise Value Valuation—BYD as an Example Based on SWOT Model and Multiple Regression Model — https://doi.org/10.17265/2328-2185/2024.04.001</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BYD is one of the largest new energy vehicle companies in China.Analyzing its scenario and the factors that affect its value helps to understand and identify development opportunities and potential problems.On one hand, this paper makes a qualitative analysis of BYD, using SWOT model to study the internal capability and external environment of BYD.On the other hand, the multiple regression model is used for quantitative analysis of BYD's enterprise value, and the model is established based on three factors: enterprise fundamentals, investor behavior and psychology, and macroeconomic policy uncertainty, and the stepwise regression is carried out.The results show that the increase of institutional investors' shareholding ratio, the increase of investor sentiment index, and the increase of M2 growth rate will increase the overall enterprise value, while the increase of economic policy uncertainty will decrease the enterprise value.</w:t>
      </w:r>
    </w:p>
    <w:p>
      <w:pPr/>
      <w:r>
        <w:rPr>
          <w:b/>
        </w:rPr>
        <w:t>POSSIBLE 2023:</w:t>
      </w:r>
      <w:r>
        <w:t xml:space="preserve"> Estimation of Cloudiness Data Based on Multiple Linear Regression Model — https://doi.org/10.31466/kfbd.1150879</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This study estimates cloudiness data using meteorological parameters which include climatic variables and air quality index. Daily average observed values of all meteorological parameters used in this study were transformed to monthly mean data for 1990-2015 period. The monthly mean values of cloudiness were estimated by using the other climatic elements and the value air quality index at urban area in Kayseri. Multiple Linear Regression model was built to determine the mathematical relationships for predicting cloudiness. It has been shown that meteorological parameters affect cloudiness the most in May and October, and the least in September and January. Additionally, according to the estimated models, air quality index value has effect on cloudiness data on January, July, October and November as statistically significant.</w:t>
      </w:r>
    </w:p>
    <w:p>
      <w:pPr/>
      <w:r>
        <w:rPr>
          <w:b/>
        </w:rPr>
        <w:t>POSSIBLE 2023:</w:t>
      </w:r>
      <w:r>
        <w:t xml:space="preserve"> Biosafety management strategy based on multiple linear regression model — https://doi.org/10.2478/amns.2023.1.00362</w:t>
      </w:r>
    </w:p>
    <w:p>
      <w:pPr/>
      <w:r>
        <w:rPr>
          <w:b/>
        </w:rPr>
        <w:t>Shared claim-specific concepts:</w:t>
      </w:r>
      <w:r>
        <w:t xml:space="preserve"> based, multiple, regression, major; EU scope not established. This is a provisional connection, not an outcome finding.</w:t>
      </w:r>
    </w:p>
    <w:p>
      <w:pPr>
        <w:pStyle w:val="SourceNote"/>
      </w:pPr>
      <w:r>
        <w:rPr>
          <w:b/>
        </w:rPr>
        <w:t>Available abstract (not full text):</w:t>
      </w:r>
      <w:r>
        <w:t xml:space="preserve"> Abstract With the rise of artificial intelligence technology in the context of digital development of big data and information, the biosafety management method under the traditional model can hardly fit the development requirements of the times, and the biosafety management under the traditional model has various problems such as slow manual efficiency, tedious management work, and humanization of work. This paper focuses on studying a biosafety management strategy based on a multiple regression model, then analyzes and compares the two methods of the one-dimensional linear regression model and the multiple linear regression model. The study is conducted under the three indicators of biosafety management weight score. Arithmetic means to score and significance of 100 enterprises (schools, pharmaceutical companies, hospitals, and other types of these four major types) under the multiple linear regression model. The results show schools topped the list with a biosafety management weight score of 0.793. The arithmetic mean scores of the four categories of enterprises were ranked in descending order: schools, hospitals, pharmaceutical plants, and other categories. The size of the enterprise has a significant and positive effect on biosafety management, which means that the larger the size of the enterprise, the more resources the enterprise has under its control, and then the imple</w:t>
      </w:r>
    </w:p>
    <w:p>
      <w:pPr/>
      <w:r>
        <w:rPr>
          <w:b/>
        </w:rPr>
        <w:t>POSSIBLE 2023:</w:t>
      </w:r>
      <w:r>
        <w:t xml:space="preserve"> Development of Multiple Linear Regression Models for Predicting Chronic Iron Toxicity to Aquatic Organisms — https://doi.org/10.1002/etc.5623</w:t>
      </w:r>
    </w:p>
    <w:p>
      <w:pPr/>
      <w:r>
        <w:rPr>
          <w:b/>
        </w:rPr>
        <w:t>Shared claim-specific concepts:</w:t>
      </w:r>
      <w:r>
        <w:t xml:space="preserve"> based, multiple, regression, approach; EU scope visible. This is a provisional connection, not an outcome finding.</w:t>
      </w:r>
    </w:p>
    <w:p>
      <w:pPr>
        <w:pStyle w:val="SourceNote"/>
      </w:pPr>
      <w:r>
        <w:rPr>
          <w:b/>
        </w:rPr>
        <w:t>Available abstract (not full text):</w:t>
      </w:r>
      <w:r>
        <w:t xml:space="preserve"> Abstract We developed multiple linear regression (MLR) models for predicting iron (Fe) toxicity to aquatic organisms for use in deriving site-specific water quality guidelines (WQGs). The effects of dissolved organic carbon (DOC), hardness, and pH on Fe toxicity to three representative taxa (Ceriodaphnia dubia, Pimephales promelas, and Raphidocelis subcapitata) were evaluated. Both DOC and pH were identified as toxicity-modifying factors (TMFs) for P. promelas and R. subcapitata, whereas only DOC was a TMF for C. dubia. The MLR models based on effective concentration 10% and 20% values were developed and performed reasonably well, with adjusted R2 of 0.68–0.89 across all species and statistical endpoints. Differences among species in the MLR models precluded development of a pooled model. Instead, the species-specific models were assumed to be representative of invertebrates, fish, and algae and were applied accordingly to normalize toxicity data. The species sensitivity distribution (SSD) included standard laboratory toxicity data and effects data from mesocosm experiments on aquatic insects, with aquatic insects being the predominant taxa in the lowest quartile of the SSD. Using the European Union approach for deriving WQGs, application of MLR models to this SSD resulted in WQGs ranging from 114 to 765 μg l−1 Fe across the TMF conditions evaluated (DOC: 0.5–10 mg l−1; pH: 6.0</w:t>
      </w:r>
    </w:p>
    <w:p>
      <w:pPr/>
      <w:r>
        <w:rPr>
          <w:b/>
        </w:rPr>
        <w:t>POSSIBLE 2023:</w:t>
      </w:r>
      <w:r>
        <w:t xml:space="preserve"> Calculation and Analysis of Green GDP based on EWM and Multiple Linear Regression Model — https://doi.org/10.54097/hbem.v12i.8383</w:t>
      </w:r>
    </w:p>
    <w:p>
      <w:pPr/>
      <w:r>
        <w:rPr>
          <w:b/>
        </w:rPr>
        <w:t>Shared claim-specific concepts:</w:t>
      </w:r>
      <w:r>
        <w:t xml:space="preserve"> based, multiple, regression, scale; EU scope not established. This is a provisional connection, not an outcome finding.</w:t>
      </w:r>
    </w:p>
    <w:p>
      <w:pPr>
        <w:pStyle w:val="SourceNote"/>
      </w:pPr>
      <w:r>
        <w:rPr>
          <w:b/>
        </w:rPr>
        <w:t>Available abstract (not full text):</w:t>
      </w:r>
      <w:r>
        <w:t xml:space="preserve"> With the acceleration of the industrialization process, global problems such as resource shortage and ecological environment deterioration have become increasingly prominent. To uphold the concept of sustainable development, a real, feasible and scientific indicator: green GDP needs to be established urgently. But it is still difficult to promote green GDP on a global scale due to a lack of ideas and technology. In order to calculate and predict GGDP, resource and environmental factors are taken into account. Based on entropy weight method (EWM) and multiple linear regression, an improved global GGDP accounting method is constructed. The future development should pay attention to pollution prevention and ecological environment protection.</w:t>
      </w:r>
    </w:p>
    <w:p>
      <w:pPr/>
      <w:r>
        <w:rPr>
          <w:b/>
        </w:rPr>
        <w:t>POSSIBLE 2023:</w:t>
      </w:r>
      <w:r>
        <w:t xml:space="preserve"> Investment Demand Forecast for Grid Companies Based on Multiple Linear Regression Analysis — https://doi.org/10.4108/eai.19-5-2023.2334303</w:t>
      </w:r>
    </w:p>
    <w:p>
      <w:pPr/>
      <w:r>
        <w:rPr>
          <w:b/>
        </w:rPr>
        <w:t>Shared claim-specific concepts:</w:t>
      </w:r>
      <w:r>
        <w:t xml:space="preserve"> based, multiple, regression, population; EU scope not established. This is a provisional connection, not an outcome finding.</w:t>
      </w:r>
    </w:p>
    <w:p>
      <w:pPr>
        <w:pStyle w:val="SourceNote"/>
      </w:pPr>
      <w:r>
        <w:rPr>
          <w:b/>
        </w:rPr>
        <w:t>Available abstract (not full text):</w:t>
      </w:r>
      <w:r>
        <w:t xml:space="preserve"> Grid investment demand refers to the investment made by provincial power companies to ensure that strategic projects and decisions are steadily promoted, while building a safe and reliable grid according to the needs of social and economic development. First, the role of population, GDP, total energ</w:t>
      </w:r>
    </w:p>
    <w:p>
      <w:pPr>
        <w:pStyle w:val="Heading2"/>
      </w:pPr>
      <w:r>
        <w:t>632.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pStyle w:val="Heading2"/>
      </w:pPr>
      <w:r>
        <w:t>633.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European Union/United Kingdom — https://doi.org/10.1093/law/9780198849155.003.0063</w:t>
      </w:r>
    </w:p>
    <w:p>
      <w:pPr/>
      <w:r>
        <w:rPr>
          <w:b/>
        </w:rPr>
        <w:t>Shared claim-specific concepts:</w:t>
      </w:r>
      <w:r>
        <w:t xml:space="preserve"> application, looks, three, role; EU scope visible. This is a provisional connection, not an outcome finding.</w:t>
      </w:r>
    </w:p>
    <w:p>
      <w:pPr>
        <w:pStyle w:val="SourceNote"/>
      </w:pPr>
      <w:r>
        <w:rPr>
          <w:b/>
        </w:rPr>
        <w:t>Available abstract (not full text):</w:t>
      </w:r>
      <w:r>
        <w:t xml:space="preserve"> Abstract This chapter evaluates international environmental law (IEL) in the courts of the European Union (EU) and the United Kingdom. This topic potentially covers many different kinds of courts, considering that the EU comprises many member states, each with its own court system, and the United Kingdom itself is a system of devolved government with different court systems. To draw out some key themes, the chapter focuses on decisions of the EU courts and the UK courts in England and Wales, as well as particularly notable decisions of other EU member state courts (available in English). The different experiences of IEL in these three sets of courts demonstrate that the doctrines of different legal systems and their legal cultures are critical to the experiences of their courts in implementing IEL. The chapter examines the reception and application of IEL in these different courts in two steps. It first looks at cases in which IEL has been directly applied by courts, considering the complex EU law in this area, and the EU's special role in implementing IEL in member states. The chapter then addresses cases where IEL applies indirectly in judicial reasoning.</w:t>
      </w:r>
    </w:p>
    <w:p>
      <w:pPr/>
      <w:r>
        <w:rPr>
          <w:b/>
        </w:rPr>
        <w:t>POSSIBLE 2021:</w:t>
      </w:r>
      <w:r>
        <w:t xml:space="preserve"> Complex Projects and Transition-Driven Evaluation: The Case of the easyRights European Project — https://doi.org/10.3390/su13042343</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More and more, the evaluation of complex projects is being related to the capacity of the project to deal with crucial social, economic, and environmental issues that society is responsible for and with the activation of systemic changes. Within this “mission” perspective, growing attention is given to learning in action. This paper aims at (i) conceptualizing a methodological framework for complex project evaluation within the context of the Triple-Loop Learning mechanism and (ii) showing its application in a European project as well as including the toolbox developed in coherence with the elaborated framework. It does so by looking at the case of an ongoing Horizon 2020 project aiming to develop language-oriented technologies supporting the inclusion of migrants in Europe. In particular, the paper looks at Triple-Loop Learning as pushed by the reflection on three dimensions: the “what”, the “how”, and the “why” of collective actions in complex projects. The consequent learning process is expected to have transformational potentials at the individual, institutional/organizational, and (in the long term) up to the societal scale. By exploring the opportunities offered by the evaluation tools in the easyRights project, the study highlights the potential of nurturing a wider, arguably neglected as yet, learning space for understanding, engaging, and transforming real contexts and</w:t>
      </w:r>
    </w:p>
    <w:p>
      <w:pPr>
        <w:pStyle w:val="Heading2"/>
      </w:pPr>
      <w:r>
        <w:t>634.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2022:</w:t>
      </w:r>
      <w:r>
        <w:t xml:space="preserve"> ‘Confused about Predicting whether This Kid is Good or Not’ — https://doi.org/10.53088/eej.v1i2.556</w:t>
      </w:r>
    </w:p>
    <w:p>
      <w:pPr/>
      <w:r>
        <w:rPr>
          <w:b/>
        </w:rPr>
        <w:t>Shared claim-specific concepts:</w:t>
      </w:r>
      <w:r>
        <w:t xml:space="preserve"> not, about, predicting; EU scope not established. This is a provisional connection, not an outcome finding.</w:t>
      </w:r>
    </w:p>
    <w:p>
      <w:pPr>
        <w:pStyle w:val="SourceNote"/>
      </w:pPr>
      <w:r>
        <w:rPr>
          <w:b/>
        </w:rPr>
        <w:t>Available abstract (not full text):</w:t>
      </w:r>
      <w:r>
        <w:t xml:space="preserve"> Backgrounds: The study analyzed the evaluation of social attitudes in the primary schools in Karanganyar Regency, Indonesia: honesty, discipline, responsibility, and tolerance. Methods: A qualitative descriptive technique with a case study design was employed in this investigation. There were eight recruits made up of both instructors and pupils. Observation and interview were the approaches utilized in this investigation. Data is evaluated through data reduction, presenting of data, and formulation of conclusions. Technical triangulation and source triangulation were evaluation procedures to evaluate the veracity of the data. Results: This study showed evaluations carried out; there were two evaluations for students and an evaluation for parents at Dabin I RA Kartini Elementary School. The obstacles that were complained about by the teachers were mostly about time constraints. Implications: The results of this study can be a reference for authors, teachers, and school principals in evaluating the assessment of social attitudes correctly Novelty: The present study revealed the evaluation of social attitudes assessment in primary school comprehensively.</w:t>
      </w:r>
    </w:p>
    <w:p>
      <w:pPr/>
      <w:r>
        <w:rPr>
          <w:b/>
        </w:rPr>
        <w:t>POSSIBLE 2021:</w:t>
      </w:r>
      <w:r>
        <w:t xml:space="preserve"> What big data in health care can teach us about predictive policing — https://doi.org/10.4324/9780429265365-6</w:t>
      </w:r>
    </w:p>
    <w:p>
      <w:pPr/>
      <w:r>
        <w:rPr>
          <w:b/>
        </w:rPr>
        <w:t>Shared claim-specific concepts:</w:t>
      </w:r>
      <w:r>
        <w:t xml:space="preserve"> about, forefront, come; EU scope not established. This is a provisional connection, not an outcome finding.</w:t>
      </w:r>
    </w:p>
    <w:p>
      <w:pPr>
        <w:pStyle w:val="SourceNote"/>
      </w:pPr>
      <w:r>
        <w:rPr>
          <w:b/>
        </w:rPr>
        <w:t>Available abstract (not full text):</w:t>
      </w:r>
      <w:r>
        <w:t xml:space="preserve"> The chapter examines how the established use of predictive analytics in one field—policing—can offer insights for its newer application in another—health care—and vice versa. Predictive policing has now been around for decades, employed by police departments across the United States and studied by scholars and policymakers alike. The use of predictive analytics in health care, by contrast, is only now starting to come to the forefront of the profession. Placing the fields side-by-side reveals substantial and important areas of overlap: the balance between privacy and innovation; how professional roles must adapt to new technologies; when reliance on big data changes from blessing to curse; how regulatory regimes should evolve; and many more. As we explore, to the degree that lessons can be learned from this dialogue, they go in both directions.</w:t>
      </w:r>
    </w:p>
    <w:p>
      <w:pPr/>
      <w:r>
        <w:rPr>
          <w:b/>
        </w:rPr>
        <w:t>POSSIBLE 2021:</w:t>
      </w:r>
      <w:r>
        <w:t xml:space="preserve"> Communication processes about predictive genetic testing within high-risk breast cancer families: a two-phase study design — https://doi.org/10.1038/s41598-021-98737-8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Abstract Background: The detection of a pathogenic variant in the BRCA1 or BRCA2 gene has medical and psychological consequences for both, affected mutation carriers and their relatives. This study analyzed the psychological impact of genetic testing and mutation-positive test result as well as associated family communication processes from the perspective of BRCA1 or BRCA2 mutation carriers and their family members.Methods: We conducted a two-phase study with explanatory sequential mixed methods design to understand the perspective of psychological process regarding genetic testing more efficiently. First, we analyzed a survey data of 79 carriers of a BRCA1 or BRCA2 mutation. Second, we conducted focus group interviews of 10 family members to deepen understanding of communication processes in high-risk families.Results: The average age of the BRCA1 or BRCA2 mutation carriers was 48 years, 58% had a history of cancer. The majority (64.6%) had general psychological distress independent of cancer diagnosis in the patients’ history. The point prevalence of depression was 16.9%. The main motives for undergoing genetic testing were desire for safety, prevention and risk assessment for the own children. The mutation carriers were satisfied with the decision to undergo genetic testing. Contrary to their subjective perception, the respondents' knowledge about those mutations was modera</w:t>
      </w:r>
    </w:p>
    <w:p>
      <w:pPr>
        <w:pStyle w:val="Heading2"/>
      </w:pPr>
      <w:r>
        <w:t>635.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2021:</w:t>
      </w:r>
      <w:r>
        <w:t xml:space="preserve"> Early Detection of Failing Automotive Batteries Using Gas Sensors — https://doi.org/10.3390/batteries7020025</w:t>
      </w:r>
    </w:p>
    <w:p>
      <w:pPr/>
      <w:r>
        <w:rPr>
          <w:b/>
        </w:rPr>
        <w:t>Shared claim-specific concepts:</w:t>
      </w:r>
      <w:r>
        <w:t xml:space="preserve"> produced, failing, case; EU scope not established. This is a provisional connection, not an outcome finding.</w:t>
      </w:r>
    </w:p>
    <w:p>
      <w:pPr>
        <w:pStyle w:val="SourceNote"/>
      </w:pPr>
      <w:r>
        <w:rPr>
          <w:b/>
        </w:rPr>
        <w:t>Available abstract (not full text):</w:t>
      </w:r>
      <w:r>
        <w:t xml:space="preserve"> Safety for automotive lithium-ion battery (LIB) applications is of crucial importance, especially for electric vehicle applications using batteries with high capacity and high energy density. In case of a defect inside or outside the cell, serious safety risks are possible including extensive heat generation, toxic and flammable gas generation, and consequently fire and explosion. New regulations (GB 38031-2020) require a warning for passengers at least five minutes before serious incidents. This regulation can hardly be fulfilled with state-of-the-art battery monitoring. In this study, gases produced during battery failure before and during a thermal runaway (TR) are investigated in detail and the use of different gas sensors as early detectors of battery incidents is tested and proposed. The response of several commercially available gas sensors is tested in four battery failure cases: unwanted electrolysis of voltage carrying parts, electrolyte vapor, first venting of the cell and the TR. The experiments show that battery failure detection with gas sensors is possible but depends highly on the failure case. The chosen gas sensor can detect H2 produced by unwanted electrolysis and electrolyte vapor and gases produced by degassing of state-of-the-art LIBs. The results may contribute significantly to failure detection and improvement of battery safety.</w:t>
      </w:r>
    </w:p>
    <w:p>
      <w:pPr/>
      <w:r>
        <w:rPr>
          <w:b/>
        </w:rPr>
        <w:t>POSSIBLE 2021:</w:t>
      </w:r>
      <w:r>
        <w:t xml:space="preserve"> Influence of Aging on the Failing Behavior of Automotive Lithium-Ion Batteries — https://doi.org/10.3390/batteries7020023</w:t>
      </w:r>
    </w:p>
    <w:p>
      <w:pPr/>
      <w:r>
        <w:rPr>
          <w:b/>
        </w:rPr>
        <w:t>Shared claim-specific concepts:</w:t>
      </w:r>
      <w:r>
        <w:t xml:space="preserve"> three, produced, failing; EU scope not established. This is a provisional connection, not an outcome finding.</w:t>
      </w:r>
    </w:p>
    <w:p>
      <w:pPr>
        <w:pStyle w:val="SourceNote"/>
      </w:pPr>
      <w:r>
        <w:rPr>
          <w:b/>
        </w:rPr>
        <w:t>Available abstract (not full text):</w:t>
      </w:r>
      <w:r>
        <w:t xml:space="preserve"> Lithium-ion batteries (LIBs) are a dominant state-of-the-art energy storage system and have importance in the automotive sector. Still, LIBs suffer from aging effects and serious hazards from failing batteries are possible. These failures can lead to exothermic chemical reactions inside the cell, ending up in thermal runaway (TR). TR has caused most electric vehicle (EV) fires. Since statistically most accidents with EVs happen after about one year of vehicle usage, in particular, the failing behavior of aged cells needs to be investigated. Little information is available in open literature about the influence of aging paths on the failing behavior and especially on the degassing behavior of large automotive LIBs. Therefore, this study investigates the influence of three different aging paths (cyclic at −10 °C and at 45 °C and calendric at 60 °C) on the thermal behavior, the vent gas emission, and the vent gas composition. The results show a clear effect of aging on the failing behavior. The aged cells showed a less violent failing reaction, reduced maximal temperatures, lower amount of produced gas, significantly lower amount of CO in the vent gas, and lower mass loss than fresh cells in the same overtemperature experiments. The results are valuable for the scientific and industrial community dealing with LIBs.</w:t>
      </w:r>
    </w:p>
    <w:p>
      <w:pPr/>
      <w:r>
        <w:rPr>
          <w:b/>
        </w:rPr>
        <w:t>POSSIBLE 2021:</w:t>
      </w:r>
      <w:r>
        <w:t xml:space="preserve"> Failure and failing, an ethos of the (self) exiled? The case of the playwright William Saroyan — https://doi.org/10.4000/agon.8325</w:t>
      </w:r>
    </w:p>
    <w:p>
      <w:pPr/>
      <w:r>
        <w:rPr>
          <w:b/>
        </w:rPr>
        <w:t>Shared claim-specific concepts:</w:t>
      </w:r>
      <w:r>
        <w:t xml:space="preserve"> failing, case, status; EU scope not established. This is a provisional connection, not an outcome finding.</w:t>
      </w:r>
    </w:p>
    <w:p>
      <w:pPr>
        <w:pStyle w:val="SourceNote"/>
      </w:pPr>
      <w:r>
        <w:rPr>
          <w:b/>
        </w:rPr>
        <w:t>Available abstract (not full text):</w:t>
      </w:r>
      <w:r>
        <w:t xml:space="preserve"> This article discusses the authorial persona of American novelist and playwright William Saroyan. It is argued that his approach to failure was an essential element of his ethos and a means of endorsing his role and his social status as a writer, reflecting his disapproval of utilitarianism and conventional definitions of success, equated with wealth and celebrity.</w:t>
      </w:r>
    </w:p>
    <w:p>
      <w:pPr>
        <w:pStyle w:val="Heading2"/>
      </w:pPr>
      <w:r>
        <w:t>636.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used, regional, climate, simulations, euro-cordex, rcp8;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regional, climate, present;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Local Climate Risks in sight of realistic climate targets: Projecting Co-occurrence of Heat Extremes in Central Europe Using Downscaled CMIP6 and Regional Scenarios — https://doi.org/10.5194/ems2025-241</w:t>
      </w:r>
    </w:p>
    <w:p>
      <w:pPr/>
      <w:r>
        <w:rPr>
          <w:b/>
        </w:rPr>
        <w:t>Shared claim-specific concepts:</w:t>
      </w:r>
      <w:r>
        <w:t xml:space="preserve"> regional, climate, warming, levels, case; EU scope visible. This is a provisional connection, not an outcome finding.</w:t>
      </w:r>
    </w:p>
    <w:p>
      <w:pPr>
        <w:pStyle w:val="SourceNote"/>
      </w:pPr>
      <w:r>
        <w:rPr>
          <w:b/>
        </w:rPr>
        <w:t>Available abstract (not full text):</w:t>
      </w:r>
      <w:r>
        <w:t xml:space="preserve"> Humanity will face the challenge of adapting to the impacts of global warming besides those that have already occurred, even if political ambitions are realized. Challenges differ regionally and include a wide range of weather extremes, which means not only the increasing frequency of dangerous “usual” climatic events but also unprecedented impacts outside of the climate system's natural variability. Many regions globally, including Central Europe, have already experienced changes in climate extremes higher than the internal variability of the climate system. The signal is shown to be especially robust in case of heat extremes, such as warm days or warm nights, with signals reflecting unusual or even unfamiliar conditions. Our analysis focuses on heat-related extreme events, including their co-occurrence. We use a targeted subset of CMIP6 models known for their robust performance over Europe, supplemented by high-resolution regional climate scenarios. We employed different downscaling techniques, including convection-permitting regional climate simulation, to evaluate the sensitivity of results to methodological choices and to better capture regional-to-local-scale climate signals. Rather than focusing on specific emissions scenario pathways, we analyse projections at different levels of global warming. This approach allows us to explore the manifestation of heat-related extrem</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2024:</w:t>
      </w:r>
      <w:r>
        <w:t xml:space="preserve"> Assessing the effects of heat and droughts on forest-climate interactions in Europe using a regional climate model with an interactively coupled vegetation module — https://doi.org/10.5194/egusphere-egu24-10675</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effects of heat and droughts on forest-climate interactions in Europe using a regional climate model with an interactively coupled vegetation module — https://doi.org/10.5281/zenodo.20128050</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regional, climate, simulations, between;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regional, climate, simulations;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Did the Bronze Age deforestation of Europe affect its climate? A regional climate model study using pollen-based land cover reconstructions — https://doi.org/10.5194/cp-19-1507-2023</w:t>
      </w:r>
    </w:p>
    <w:p>
      <w:pPr/>
      <w:r>
        <w:rPr>
          <w:b/>
        </w:rPr>
        <w:t>Shared claim-specific concepts:</w:t>
      </w:r>
      <w:r>
        <w:t xml:space="preserve"> used, regional, climate, simulations, representing, between; EU scope visible. This is a provisional connection, not an outcome finding.</w:t>
      </w:r>
    </w:p>
    <w:p>
      <w:pPr>
        <w:pStyle w:val="SourceNote"/>
      </w:pPr>
      <w:r>
        <w:rPr>
          <w:b/>
        </w:rPr>
        <w:t>Available abstract (not full text):</w:t>
      </w:r>
      <w:r>
        <w:t xml:space="preserve"> Abstract. This paper studies the impact of land use and land-cover change (LULCC) on the climate around 2 500 years ago (2.5 ka), a period of rapid transitions across the European landscape. One global climate model was used to force two regional climate models (RCMs). The RCMs used two land cover descriptions. The first was from a dynamical vegetation model representing potential land cover; the second a land cover description reconstructed from pollen data by statistical interpolation. The two different land covers enable us to study the impact of land cover on climate conditions. Since the difference in landscape openness between potential and reconstructed land cover is mostly due to LULCC, this can be taken as a measure of early anthropogenic effects on climate. The use of two RCMs enables us to study how sensitive climate models can be to land-cover changes. The results show that the simulated 2.5 ka climate was warmer than the simulated pre-industrial (PI) climate. The largest differences are seen in northern Europe, where the 2.5 ka climate is 2–4 °C warmer than PI. In summer, the difference between the simulated 2.5 ka and PI climates is smaller (0–3 °C), with the smallest differences in southern Europe. Differences in seasonal precipitation are mostly within ±10 %. In parts of northern Europe, the 2.5 ka climate is up to 30 % wetter in winter than that of PI. In summe</w:t>
      </w:r>
    </w:p>
    <w:p>
      <w:pPr/>
      <w:r>
        <w:rPr>
          <w:b/>
        </w:rPr>
        <w:t>POSSIBLE 2023:</w:t>
      </w:r>
      <w:r>
        <w:t xml:space="preserve"> Review of "High resolution LGM climate over Europe and the Alpine region using the regional climate model WRF" by E. Russo and coauthors — https://doi.org/10.5194/egusphere-2023-1197-rc2</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Supplementary material to "High resolution LGM climate over Europe and the Alpine region using the regional climate model WRF" — https://doi.org/10.5194/egusphere-2023-1197-supplement</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Unavailable</w:t>
      </w:r>
    </w:p>
    <w:p>
      <w:pPr>
        <w:pStyle w:val="Heading2"/>
      </w:pPr>
      <w:r>
        <w:t>637.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2023:</w:t>
      </w:r>
      <w:r>
        <w:t xml:space="preserve"> Contesting Europe: Eurosceptic Dissent and Integration Polarization in the European Parliament — https://doi.org/10.1111/jcms.13448</w:t>
      </w:r>
    </w:p>
    <w:p>
      <w:pPr/>
      <w:r>
        <w:rPr>
          <w:b/>
        </w:rPr>
        <w:t>Shared claim-specific concepts:</w:t>
      </w:r>
      <w:r>
        <w:t xml:space="preserve"> abstract, article, provides, comprehensive; EU scope visible. This is a provisional connection, not an outcome finding.</w:t>
      </w:r>
    </w:p>
    <w:p>
      <w:pPr>
        <w:pStyle w:val="SourceNote"/>
      </w:pPr>
      <w:r>
        <w:rPr>
          <w:b/>
        </w:rPr>
        <w:t>Available abstract (not full text):</w:t>
      </w:r>
      <w:r>
        <w:t xml:space="preserve"> Abstract This article provides a comprehensive analysis of Eurosceptic contestation within the legislative arena of the European Parliament (EP) from 2009 to 2019. Under what conditions do Eurosceptics vote differently from their Europhile peers? The literatures on European integration, party competition and policy types lead us to expect variation in Eurosceptic contestation across policy areas. Drawing on roll‐call votes in the EP, we introduce two new measures of such contestation: Eurosceptic dissent, that is, the extent to which Eurosceptics diverge from the Europhile plurality, and integration polarization, that is, the extent to which Eurosceptics and Europhiles oppose each other as cohesive camps. Our two indicators show that Eurosceptic contestation is particularly pronounced when the EP votes on cultural, distributive and constituent issues. When voting on redistributive policies, in contrast, dissent and polarization are curbed by national and ideological diversity.</w:t>
      </w:r>
    </w:p>
    <w:p>
      <w:pPr/>
      <w:r>
        <w:rPr>
          <w:b/>
        </w:rPr>
        <w:t>POSSIBLE 2023:</w:t>
      </w:r>
      <w:r>
        <w:t xml:space="preserve"> Selective European Solidarity: How Recipient Country Characteristics Shape Support for International Redistribution in Europe — https://doi.org/10.1111/jcms.13506</w:t>
      </w:r>
    </w:p>
    <w:p>
      <w:pPr/>
      <w:r>
        <w:rPr>
          <w:b/>
        </w:rPr>
        <w:t>Shared claim-specific concepts:</w:t>
      </w:r>
      <w:r>
        <w:t xml:space="preserve"> abstract, article, union, also; EU scope visible. This is a provisional connection, not an outcome finding.</w:t>
      </w:r>
    </w:p>
    <w:p>
      <w:pPr>
        <w:pStyle w:val="SourceNote"/>
      </w:pPr>
      <w:r>
        <w:rPr>
          <w:b/>
        </w:rPr>
        <w:t>Available abstract (not full text):</w:t>
      </w:r>
      <w:r>
        <w:t xml:space="preserve"> Abstract This article analyses how the characteristics of recipient countries shape individual support for international redistribution in Europe. Whilst a growing body of research has looked into the determinants of support for international redistribution, we argue that individuals may not be willing to redistribute in equal measure to any foreign country. We use data from a survey asking respondents in 14 European countries whether they think their governments should provide financial help to 35 [European Union (EU) and non‐EU] foreign countries in the event of a major crisis. We show that individuals are more likely to support helping foreign countries that speak the same language, are geographically close, have deeper trade links, are poorer than their own and are also EU members. Individuals who are more sceptical towards international redistribution are more likely to discriminate amongst foreign countries in their support for redistribution across borders.</w:t>
      </w:r>
    </w:p>
    <w:p>
      <w:pPr/>
      <w:r>
        <w:rPr>
          <w:b/>
        </w:rPr>
        <w:t>POSSIBLE 2022:</w:t>
      </w:r>
      <w:r>
        <w:t xml:space="preserve"> Two Ways of Completing the European Fundamental Rights Union: Amendment to vs. Reinterpretation of Article 51 of the EU Charter of Fundamental Rights — https://doi.org/10.1017/cel.2022.5</w:t>
      </w:r>
    </w:p>
    <w:p>
      <w:pPr/>
      <w:r>
        <w:rPr>
          <w:b/>
        </w:rPr>
        <w:t>Shared claim-specific concepts:</w:t>
      </w:r>
      <w:r>
        <w:t xml:space="preserve"> abstract, article, union, law, also; EU scope visible. This is a provisional connection, not an outcome finding.</w:t>
      </w:r>
    </w:p>
    <w:p>
      <w:pPr>
        <w:pStyle w:val="SourceNote"/>
      </w:pPr>
      <w:r>
        <w:rPr>
          <w:b/>
        </w:rPr>
        <w:t>Available abstract (not full text):</w:t>
      </w:r>
      <w:r>
        <w:t xml:space="preserve"> Abstract The aim of this Article is to show that the enforcement of Article 2 of the Treaty on European Union (‘TEU’) values vis-à-vis Member States could benefit from the application of the EU Charter of Fundamental Rights (‘CFR’) also in instances where the current interpretation of Article 51(1) CFR prevents this. This would be the case if the CFR were also applicable to purely domestic cases, eg—but not only—with regard to fundamental rights-relevant violations related to the values enshrined in Article 2 TEU. In this case, the European Court of Justice, which has already partly taken this path recently, could prevent the violation of core EU values. The most important historical challenge to those values in Europe today is the systematic dismantling of the rule of law and democracy in certain Member States. It is the very purpose of fundamental rights to provide answers to such dangers. When one speaks of the rule of law and democracy, one necessarily also means fundamental rights. This Article thus advocates an EU which perceives itself as a complete fundamental rights union. While the traditional interpretation of Article 51(1) CFR had a balanced division of competence between the EU and its Member States in mind, the disregard of Article 2 TEU values triggers a clausula rebus sic stantibus: the neat federal balance can only be upheld if both ends stick to the original p</w:t>
      </w:r>
    </w:p>
    <w:p>
      <w:pPr/>
      <w:r>
        <w:rPr>
          <w:b/>
        </w:rPr>
        <w:t>POSSIBLE 2022:</w:t>
      </w:r>
      <w:r>
        <w:t xml:space="preserve"> Wind erosion in European agricultural landscapes: More than physics — https://doi.org/10.1002/pan3.10418</w:t>
      </w:r>
    </w:p>
    <w:p>
      <w:pPr/>
      <w:r>
        <w:rPr>
          <w:b/>
        </w:rPr>
        <w:t>Shared claim-specific concepts:</w:t>
      </w:r>
      <w:r>
        <w:t xml:space="preserve"> abstract, article, climate; EU scope visible. This is a provisional connection, not an outcome finding.</w:t>
      </w:r>
    </w:p>
    <w:p>
      <w:pPr>
        <w:pStyle w:val="SourceNote"/>
      </w:pPr>
      <w:r>
        <w:rPr>
          <w:b/>
        </w:rPr>
        <w:t>Available abstract (not full text):</w:t>
      </w:r>
      <w:r>
        <w:t xml:space="preserve">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pPr/>
      <w:r>
        <w:rPr>
          <w:b/>
        </w:rPr>
        <w:t>POSSIBLE 2022:</w:t>
      </w:r>
      <w:r>
        <w:t xml:space="preserve"> European Union Litigation — https://doi.org/10.1515/ercl-2022-2049</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European Union Litigation — https://doi.org/10.1515/ercl-2022-2038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2021:</w:t>
      </w:r>
      <w:r>
        <w:t xml:space="preserve"> The Integrated Carbon Observation System in Europe — https://doi.org/10.1175/bams-d-19-0364.1</w:t>
      </w:r>
    </w:p>
    <w:p>
      <w:pPr/>
      <w:r>
        <w:rPr>
          <w:b/>
        </w:rPr>
        <w:t>Shared claim-specific concepts:</w:t>
      </w:r>
      <w:r>
        <w:t xml:space="preserve"> abstract, article, provides, climate, also; EU scope visible. This is a provisional connection, not an outcome finding.</w:t>
      </w:r>
    </w:p>
    <w:p>
      <w:pPr>
        <w:pStyle w:val="SourceNote"/>
      </w:pPr>
      <w:r>
        <w:rPr>
          <w:b/>
        </w:rPr>
        <w:t>Available abstract (not full text):</w:t>
      </w:r>
      <w:r>
        <w:t xml:space="preserve">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pPr/>
      <w:r>
        <w:rPr>
          <w:b/>
        </w:rPr>
        <w:t>POSSIBLE 2021:</w:t>
      </w:r>
      <w:r>
        <w:t xml:space="preserve"> European Union Litigation — https://doi.org/10.1515/ercl-2021-2028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Pandemic Politics: The European Union in Times of the Coronavirus Emergency — https://doi.org/10.1111/jcms.13303</w:t>
      </w:r>
    </w:p>
    <w:p>
      <w:pPr/>
      <w:r>
        <w:rPr>
          <w:b/>
        </w:rPr>
        <w:t>Shared claim-specific concepts:</w:t>
      </w:r>
      <w:r>
        <w:t xml:space="preserve"> abstract, article, provides, union, law; EU scope visible. This is a provisional connection, not an outcome finding.</w:t>
      </w:r>
    </w:p>
    <w:p>
      <w:pPr>
        <w:pStyle w:val="SourceNote"/>
      </w:pPr>
      <w:r>
        <w:rPr>
          <w:b/>
        </w:rPr>
        <w:t>Available abstract (not full text):</w:t>
      </w:r>
      <w:r>
        <w:t xml:space="preserve"> Abstract This article provides an assessment of the EU institutions' response to the coronavirus pandemic. By building on a synthesis of the new intergovernmentalism and the emergency politics approach it contends that the effectiveness and legitimacy of de novo bodies like the European Stability Mechanism (ESM) and the European Investment Bank (EIB) have fallen prey to its intergovernmental decision‐making structure, whereas the ECB has proven to be more resilient. The European Commission as the traditional engine of European integration was able to fill the gap with its large‐scale recovery instrument termed ‘Next Generation EU’ and via the creation of a temporary loan‐based instrument to support national short‐term work schemes (SURE). The historic July 2020 European Council produced policy outputs such as the ‘emergency brake’ and the diluted ‘rule of law mechanism’ that have the potential to deepen the rift between polarized member states.</w:t>
      </w:r>
    </w:p>
    <w:p>
      <w:pPr>
        <w:pStyle w:val="Heading2"/>
      </w:pPr>
      <w:r>
        <w:t>638.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2024:</w:t>
      </w:r>
      <w:r>
        <w:t xml:space="preserve"> Unequal geographies of gender-affirming care: A comparative typology of trans-specific healthcare systems across Europe — https://doi.org/10.1016/j.socscimed.2024.117145</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RATIONALE: Gender-affirming healthcare can carry significant benefits for trans people. However, there are substantial geographical inequalities in the provision of and access to trans-specific healthcare across Europe. Comparative healthcare systems research has typically focused on universal services, neglecting provision which serves specific groups within populations (e.g., trans people). OBJECTIVE: This study aimed to develop a comparative typology of trans-specific healthcare systems across 28 European countries (the EU 27 plus the UK), and to examine country-level correlates which may influence or be influenced by these systems. METHODS: Using hierarchical and k-means cluster analysis, countries were classified into four types based on measures of trans-specific healthcare provision, regulation and access. Possible country-level correlates (including socio-political climate, medical outcomes, and the general healthcare system) were investigated. RESULTS AND DISCUSSION: The cluster analysis identified four clusters of trans-specific healthcare systems in Europe, characterized as: 1) Centralized conservative (highly centralized, extensive range of treatments, few trans-specific government policies); 2) Centralized reformist (highly centralized, extensive range of treatments, multiple trans-specific government policies); 3) Decentralized marketized (highly decentralized, mo</w:t>
      </w:r>
    </w:p>
    <w:p>
      <w:pPr/>
      <w:r>
        <w:rPr>
          <w:b/>
        </w:rPr>
        <w:t>POSSIBLE 2024:</w:t>
      </w:r>
      <w:r>
        <w:t xml:space="preserve"> A survey-based assessment of attitudes and needs regarding tinnitus healthcare among patients and healthcare professionals in Europe — https://doi.org/10.3389/fauot.2024.1347283</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Despite good agreement of national guidelines for the assessment and treatment of tinnitus, there is still substantial variation regarding tinnitus-related healthcare across Europe. In contrast to previous work, which has mainly focussed on the perspective of healthcare professionals, we here report the results of separate web-based surveys conducted with clinicians and researchers as well as tinnitus patients. These surveys were devised to obtain information about their respective attitudes and needs with respect to tinnitus healthcare, and to reveal possible interdisciplinary inconsistencies among clinicians and researchers. We mainly targeted participants from Germany, Cyprus, and Greece, the countries in which the institutions of the researchers involved in this project are based. Results showed, firstly, that the treatment satisfaction of the patients was overall more negative than that of the clinicians and researchers, and that the patients' treatment satisfaction did not depend on the number of different treatments they had received. Secondly, patients as well as clinicians and researchers indicated that they were interested in learning more about a variety of tinnitus-related topics, especially treatment strategies, with no marked differences between clinicians from different professional disciplines. This suggests similar tinnitus-specific educational needs in patient</w:t>
      </w:r>
    </w:p>
    <w:p>
      <w:pPr/>
      <w:r>
        <w:rPr>
          <w:b/>
        </w:rPr>
        <w:t>POSSIBLE 2023:</w:t>
      </w:r>
      <w:r>
        <w:t xml:space="preserve"> Racism against racialized migrants in healthcare in Europe: a scoping review — https://doi.org/10.1186/s12939-023-02014-1</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BACKGROUND: Racism is frequently mentioned as a social determinant of migrants' health and a barrier to health services. However, in the European context, racism and its impact on racialized migrants' access to healthcare is remarkably under-researched. This scoping review makes a first step toward filling this void by mapping the existing literature on racial and ethnic discrimination against racialized migrants in healthcare in Europe, identifying evidence gaps, and offering recommendations for future research on this topic. METHODS: Following PRISMA guidelines, four databases were searched for empirical studies published in English between 1992 and 2022. Studies were included if they report findings on manifestations, experiences and/or impacts of racial or ethnic discrimination against racialized migrants in a healthcare setting in a European country. They were summarized by study characteristics (geographical scope, study design, research question and measures) and research findings were synthesized. RESULTS: Out of 2365 initial hits, 1724 records were included in the title/abstract-screening, 87 records in the full text-screening, and 38 records in the data extraction. For many country and healthcare contexts, evidence on racism in healthcare is lacking. Most studies apply an explorative qualitative research design; comparability and generalizability of research results a</w:t>
      </w:r>
    </w:p>
    <w:p>
      <w:pPr/>
      <w:r>
        <w:rPr>
          <w:b/>
        </w:rPr>
        <w:t>POSSIBLE 2023:</w:t>
      </w:r>
      <w:r>
        <w:t xml:space="preserve"> Socio-demographic and regional differences in unmet healthcare needs among migrants in Europe — https://doi.org/10.1371/journal.pone.0285886</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Different barriers that hinder migrants' access to healthcare may have detrimental effect on health but also contribute to health inequalities. Given the lack of evidence on unmet healthcare needs among European migrant population, the study aimed to analyse the demographic, socio-economic and health-related patterning of unmet healthcare needs among migrants in Europe. METHODS: European Health Interview Survey data from 2013-2015 covering 26 countries was used to analyse associations of individual-level factors and unmet healthcare needs among migrants (n = 12,817). Prevalences and 95% confidence intervals for unmet healthcare needs were presented for geographical regions and countries. Associations between unmet healthcare needs and demographic, socio-economic, and health indicators were analysed using Poisson regression models. RESULTS: The overall prevalence of unmet healthcare needs among migrants was 27.8% (95% CI 27.1-28.6) but the estimate varied substantially across geographical regions in Europe. Unmet healthcare needs due to cost or access were patterned by various demographic, socio-economic, and health-related indicators but higher prevalence of UHN were universally found for women, those with the lowest income, and poor health. CONCLUSIONS: While the high level of unmet healthcare needs illustrate migrants' vulnerability to health risks, the regional v</w:t>
      </w:r>
    </w:p>
    <w:p>
      <w:pPr/>
      <w:r>
        <w:rPr>
          <w:b/>
        </w:rPr>
        <w:t>POSSIBLE 2022:</w:t>
      </w:r>
      <w:r>
        <w:t xml:space="preserve"> P1034: HEALTHCARE UTILIZATION OF PATIENTS WITH HYPEREOSINOPHILIC SYNDROME IN EUROPE — https://doi.org/10.1097/01.hs9.0000847004.53726.7b</w:t>
      </w:r>
    </w:p>
    <w:p>
      <w:pPr/>
      <w:r>
        <w:rPr>
          <w:b/>
        </w:rPr>
        <w:t>Shared claim-specific concepts:</w:t>
      </w:r>
      <w:r>
        <w:t xml:space="preserve"> between, overall, healthcare, burden; EU scope visible. This is a provisional connection, not an outcome finding.</w:t>
      </w:r>
    </w:p>
    <w:p>
      <w:pPr>
        <w:pStyle w:val="SourceNote"/>
      </w:pPr>
      <w:r>
        <w:rPr>
          <w:b/>
        </w:rPr>
        <w:t>Available abstract (not full text):</w:t>
      </w:r>
      <w:r>
        <w:t xml:space="preserve"> Background: Hypereosinophilic syndrome (HES) is a rare group of blood disorders characterized by prolonged eosinophilia that can lead to tissue and organ damage. HES was previously considered to be largely idiopathic, but myeloid and lymphocytic variants are also now recognized. The disease may manifest in multiple organ systems, most commonly the heart, nervous system, gastrointestinal tract, skin, and lungs, due to eosinophilic infiltration. Treatment aims to reduce eosinophil counts, and the current standard of care consists of high-dose glucocorticosteroids, despite the risks associated with high doses or long exposure, and antineoplastic agents for those with more severe disease or who do not respond to steroids. Healthcare resource utilization (HCRU) in patients with HES is not well characterized, and data from clinical trials may not be representative of the general disease population encountered in real-world settings. Aims: To describe HES-related HCRU among a real-world cohort of patients with a confirmed diagnosis of HES in Europe. Methods: This retrospective chart review study included patients ≥6 years old with a confirmed diagnosis of HES and ≥1 year of follow-up data from index (first physician encounter: Jan 2015–Dec 2019). Chart review was conducted by physicians in 5 European countries (France, Germany, Italy, Spain, and the United Kingdom [UK]). Data from a s</w:t>
      </w:r>
    </w:p>
    <w:p>
      <w:pPr/>
      <w:r>
        <w:rPr>
          <w:b/>
        </w:rPr>
        <w:t>POSSIBLE 2022:</w:t>
      </w:r>
      <w:r>
        <w:t xml:space="preserve"> Work schedule characteristics associated with sleep disturbance among healthcare professionals in Europe and South Korea: a report from two cross-sectional surveys — https://doi.org/10.1186/s12912-022-00974-3</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Healthcare professionals worldwide are prone to sleep disturbance. Such sleep disturbance is associated with lower patient safety and quality of care. Therefore, this study aimed to identify the prevalence of sleep disturbance and determine the effect of work schedule characteristics on sleep disturbance among healthcare professionals in Europe and South Korea. METHODS: We used the sixth European Working Conditions Survey and the fifth Korean Working Conditions Survey for analyses. The study included 2285 healthcare professionals aged 18-65 years. Work schedule characteristics included shift work, night work, working hours per week, long work hours (i.e., more than 10 hours per shift), quick return to work, having to come to work on short notice, and changes in work schedules. A multiple logistic regression analysis was performed. RESULTS: The overall prevalence of sleep disturbance was 37.7%. The multivariate logistic regression model indicated that long work hours, quick return to, having to come to work on short notice, and changes in work schedules were significant factors associated with sleep disturbance among healthcare professionals. CONCLUSION: The findings revealed that several work schedule-related factors were associated with sleep disturbances in healthcare professionals in Europe and Korea. Institutions and policymakers should implement strategies and </w:t>
      </w:r>
    </w:p>
    <w:p>
      <w:pPr/>
      <w:r>
        <w:rPr>
          <w:b/>
        </w:rPr>
        <w:t>POSSIBLE 2022:</w:t>
      </w:r>
      <w:r>
        <w:t xml:space="preserve"> Sex differences in the association between social capital and healthcare use—Results from the Survey of Health, Ageing and Retirement in Europe (SHARE) — https://doi.org/10.1111/hsc.13889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Females and males frequently report substantial differences in social capital indicators and may use healthcare distinctly. Nevertheless, the potential effect of sex on the relation between social capital and healthcare use remains unclear. This study aims to quantify the association between different indicators of individuals' social capital and healthcare use, according to sex. Data were retrieved from the Sixth Wave of the Survey of Health, Ageing and Retirement in Europe (SHARE), which was conducted in 2015, and included 68,188 participants from 18 countries. Adjusted odds ratios (AOR) and 95% confidence intervals (95%CI) were computed using logistic regression. Overall, males and females with smaller social networks, those who live alone or with any other relatives besides their partners, and those whose first close confidant was a family member or a neighbour reported fewer contacts with medical doctors or nurses, as well as with dentists or dental hygienists. Amongst females, participation in educational or training courses (AOR = 1.67, 95%CI:1.40-2.00; p for interaction = 0.035) and sport, social or any other club (AOR = 1.79, 95%CI:1.58-2.02; p for interaction = 0.043) was associated with a more frequent contact with dentists or dental hygienists. Females who participated in volunteer or charity work (AOR = 0.76, 95%CI:0.64-0.91; p for interaction = 0.042) and politica</w:t>
      </w:r>
    </w:p>
    <w:p>
      <w:pPr/>
      <w:r>
        <w:rPr>
          <w:b/>
        </w:rPr>
        <w:t>POSSIBLE 2021:</w:t>
      </w:r>
      <w:r>
        <w:t xml:space="preserve"> Access to healthcare for people aged 50+ in Europe during the COVID-19 outbreak — https://doi.org/10.1007/s10433-021-00631-9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 40,919) with institutional and epidemic-related country characteristics to investigate healthcare access for Europeans aged 50+ during the outbreak of COVID-19. We use a micro-macro approach to examine whether and to what extent barriers to accessing healthcare measured by reported unmet healthcare needs vary within and between countries. We consider various aspects of barriers and distinguish among: (1) respondents who forewent medical treatment because they were afraid of becoming infected with the Coronavirus; (2) respondents who had pre-scheduled medical appointments postponed by health providers due to the outbreak; and (3) respondents who tried to arrange a medical appointment but were denied one. Limited access to healthcare during the initial outbreak was more common for the occupationally active, women, the more educated and those living in urban areas. A bad economic situation, poor overall health and higher healthcare utilisation were robust predictors of unmet healthcare. People aged 50+ in countries of 'Old' Europe, countries with higher universal health coverage and stricter containment and closure policies were more likely to have medical services postponed. Policymakers should address the healthcare needs of older people with chronic health conditions and a poor socio-economic status who were made more vulnerable by this pandemic. In the aftermath of the healt</w:t>
      </w:r>
    </w:p>
    <w:p>
      <w:pPr/>
      <w:r>
        <w:rPr>
          <w:b/>
        </w:rPr>
        <w:t>POSSIBLE 2021:</w:t>
      </w:r>
      <w:r>
        <w:t xml:space="preserve"> Venture capital healthcare investments and health care sector growth: A panel data analysis of Europe — https://doi.org/10.1016/j.bir.2021.06.008</w:t>
      </w:r>
    </w:p>
    <w:p>
      <w:pPr/>
      <w:r>
        <w:rPr>
          <w:b/>
        </w:rPr>
        <w:t>Shared claim-specific concepts:</w:t>
      </w:r>
      <w:r>
        <w:t xml:space="preserve"> between, overall, healthcare, increase, trends; EU scope visible. This is a provisional connection, not an outcome finding.</w:t>
      </w:r>
    </w:p>
    <w:p>
      <w:pPr>
        <w:pStyle w:val="SourceNote"/>
      </w:pPr>
      <w:r>
        <w:rPr>
          <w:b/>
        </w:rPr>
        <w:t>Available abstract (not full text):</w:t>
      </w:r>
      <w:r>
        <w:t xml:space="preserve"> We examine the effect of venture capital investments on health sector growth, using a macro sample data from EVCA (now Invest Europe), World Bank, OECD and Eurostat databases covering 23 EU/EEA countries between 2000 and 2019. We follow the system GLS fixed effect and random effect approach, posit and find evidence that VC healthcare investments and age of VC industry increase healthcare sector growth in Europe. Life expectancy (one of the proxy variables for health sector growth) shows increasing trends in Europe. We also find that innovation, financial sector development, macroeconomic variables and healthcare infrastructure significantly increase health sector growth. We conjecture that VC investors may enjoy returns on investments which decipher into social returns to health sector outcomes. Our study makes justification for private-public partnership to support health sector growth. We recommend more funding support and inducement policy models tailor-made to reap benefits from overall health sector growth.</w:t>
      </w:r>
    </w:p>
    <w:p>
      <w:pPr/>
      <w:r>
        <w:rPr>
          <w:b/>
        </w:rPr>
        <w:t>POSSIBLE 2021:</w:t>
      </w:r>
      <w:r>
        <w:t xml:space="preserve"> Access to Healthcare for Migrant Patients in Europe: Healthcare Discrimination and Translation Services — https://doi.org/10.3390/ijerph18157901</w:t>
      </w:r>
    </w:p>
    <w:p>
      <w:pPr/>
      <w:r>
        <w:rPr>
          <w:b/>
        </w:rPr>
        <w:t>Shared claim-specific concepts:</w:t>
      </w:r>
      <w:r>
        <w:t xml:space="preserve"> healthcare, three, based, factors; EU scope visible. This is a provisional connection, not an outcome finding.</w:t>
      </w:r>
    </w:p>
    <w:p>
      <w:pPr>
        <w:pStyle w:val="SourceNote"/>
      </w:pPr>
      <w:r>
        <w:rPr>
          <w:b/>
        </w:rPr>
        <w:t>Available abstract (not full text):</w:t>
      </w:r>
      <w:r>
        <w:t xml:space="preserve"> BACKGROUND: Discrimination based on ethnicity and the lack of translation services in healthcare have been identified as main barriers to healthcare access. However, the actual experiences of migrant patients in Europe are rarely present in the literature. OBJECTIVES: The aim of this study was to assess healthcare discrimination as perceived by migrants themselves and the availability of translation services in the healthcare systems of Europe. METHODS: A total of 1407 migrants in 10 European Union countries (consortium members of the Mig-HealthCare project) were surveyed concerning healthcare discrimination, access to healthcare services, and need of translation services using an interviewer-administered questionnaire. Migrants in three countries were excluded from the analysis, due to small sample size, and the new sample consisted of N = 1294 migrants. Descriptive statistics and multivariable regression analyses were conducted to investigate the risk factors on perceived healthcare discrimination for migrants and refugees in the EU. RESULTS: Mean age was 32 (±11) years and 816 (63.26%) participants were males. The majority came from Syria, Afghanistan, Iraq, Nigeria, and Iran. Older migrants reported better treatment experience. Migrants in Italy (0.191; 95% CI [0.029, 0.352]) and Austria (0.167; 95% CI [0.012, 0.323]) scored higher in the Discrimination Scale to Medical Set</w:t>
      </w:r>
    </w:p>
    <w:p>
      <w:pPr>
        <w:pStyle w:val="Heading2"/>
      </w:pPr>
      <w:r>
        <w:t>639.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640.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presents, three, poland;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2023:</w:t>
      </w:r>
      <w:r>
        <w:t xml:space="preserve"> EU enlargement in wartime Europe: three dimensions and scenarios — https://doi.org/10.1080/21582041.2023.2289661</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A Lexicographic Practice Map of Europe — https://doi.org/10.1093/ijl/ecad023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2022:</w:t>
      </w:r>
      <w:r>
        <w:t xml:space="preserve"> Abortion: legislation and statistics in Europe — https://doi.org/10.1080/13625187.2022.2057469</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Objective: The Parliamentary Assembly invited the member states of the Council of Europe to ‘guarantee women's effective exercise of their right of access to a safe and legal abortion’. While abortion legislation and statistics give an impression of the legislative, cultural, and religious views of the societies and the socio-economic health of the female population, only one study conducted in 2011 looked into the current legislation and trends in terminations of pregnancy in the European Union.Materials and Methods: From January 2017 to December 2018, a group of experts, the authors of the present article, liaised with colleagues practising in 32 European countries to collect data on abortion legislation and statistics using three different questionnaires.Results: The article presents the results of this initiative and compares the status quo and recent trends in abortion legislation and statistics across Europe.Conclusions: The European legislations are still very heterogenous and abortion rates vary widely between countries, confirming that laws do not correlate with abortion rates. This compilation of data, also available on a website (www.abort-report.eu), may help to change laws to better meet the needs of women who decided to have an abortion as a solution to the underlying problem of an unwanted pregnancy.</w:t>
      </w:r>
    </w:p>
    <w:p>
      <w:pPr/>
      <w:r>
        <w:rPr>
          <w:b/>
        </w:rPr>
        <w:t>POSSIBLE 2022:</w:t>
      </w:r>
      <w:r>
        <w:t xml:space="preserve"> The Current Status and Work of Three Rs Centres and Platforms in Europe* — https://doi.org/10.1177/02611929221140909</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adoption of Directive 2010/63/EU on the protection of animals used for scientific purposes has given a major push to the formation of Three Rs initiatives in the form of centres and platforms. These centres and platforms are dedicated to the so-called Three Rs, which are the Replacement, Reduction and Refinement of animal use in experiments. ATLA’s 50th Anniversary year has seen the publication of two articles on European Three Rs centres and platforms. The first of these was about the progressive rise in their numbers and about their founding history; this second part focuses on their current status and activities. This article takes a closer look at their financial and organisational structures, describes their Three Rs focus and core activities (dissemination, education, implementation, scientific quality/translatability, ethics), and presents their areas of responsibility and projects in detail. This overview of the work and diverse structures of the Three Rs centres and platforms is not only intended to bring them closer to the reader, but also to provide role models and show examples of how such Three Rs centres and platforms could be made sustainable. The Three Rs centres and platforms are very important focal points and play an immense role as facilitators of Directive 2010/63/EU ‘on the ground’ in their respective countries. They are also invaluable for the wide di</w:t>
      </w:r>
    </w:p>
    <w:p>
      <w:pPr/>
      <w:r>
        <w:rPr>
          <w:b/>
        </w:rPr>
        <w:t>POSSIBLE 2022:</w:t>
      </w:r>
      <w:r>
        <w:t xml:space="preserve"> The Regional Development Trap in Europe — https://doi.org/10.1080/00130095.2022.2080655</w:t>
      </w:r>
    </w:p>
    <w:p>
      <w:pPr/>
      <w:r>
        <w:rPr>
          <w:b/>
        </w:rPr>
        <w:t>Shared claim-specific concepts:</w:t>
      </w:r>
      <w:r>
        <w:t xml:space="preserve"> article, political;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DESIGNING SPACE IN MUSEUM FACILITIES IN EUROPE — https://doi.org/10.21005/pif.2022.49.b-03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article presents research on the conscious shaping of museum spaces in Europe. The research focused on elements of architectural composition and spatial treatments experienced on three levels: pre-narratives, protonarrations and procedural narratives of the unconscious (Dimaggio, Semerari, 2001, 14: 1-23), as based solely on past experiences. sensual user. Selected elements influencing the user were divided into three categories: causing action, focusing attention or causing a reaction, and building awareness of space.</w:t>
      </w:r>
    </w:p>
    <w:p>
      <w:pPr>
        <w:pStyle w:val="Heading2"/>
      </w:pPr>
      <w:r>
        <w:t>641.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2023:</w:t>
      </w:r>
      <w:r>
        <w:t xml:space="preserve"> A Study on Trade Damage and Trade Adjustment Assistance(TAA) — https://doi.org/10.18104/kalc.2023.38.1.31</w:t>
      </w:r>
    </w:p>
    <w:p>
      <w:pPr/>
      <w:r>
        <w:rPr>
          <w:b/>
        </w:rPr>
        <w:t>Shared claim-specific concepts:</w:t>
      </w:r>
      <w:r>
        <w:t xml:space="preserve"> damage, trade, related, but; EU scope not established. This is a provisional connection, not an outcome finding.</w:t>
      </w:r>
    </w:p>
    <w:p>
      <w:pPr>
        <w:pStyle w:val="SourceNote"/>
      </w:pPr>
      <w:r>
        <w:rPr>
          <w:b/>
        </w:rPr>
        <w:t>Available abstract (not full text):</w:t>
      </w:r>
      <w:r>
        <w:t xml:space="preserve"> Purpose: This paper tries to evaluate Korea's Trade Adjustment Assistance (TAA) system and proposes measures to more faithfully implement amendments to the TAA legislation from 2022. Research design, data, and methodology: This paper focuses on the regulations related to the TAA system, and on the problems that may arise from the regulations. Results: TAA support is allowed only when damage caused by the opening of trade is proven and confirmed. But it is very difficult for most small and medium-sized companies to prove trade damage. Conclusions: While the TAA system is designed to support trade-damaged companies, it should also include policies that focus on restructuring the business of a damaged company.</w:t>
      </w:r>
    </w:p>
    <w:p>
      <w:pPr/>
      <w:r>
        <w:rPr>
          <w:b/>
        </w:rPr>
        <w:t>POSSIBLE 2023:</w:t>
      </w:r>
      <w:r>
        <w:t xml:space="preserve"> Trade, Transport Emissions and Multimarket Collusion with Border Adjustments — https://doi.org/10.1007/s10640-023-00799-x</w:t>
      </w:r>
    </w:p>
    <w:p>
      <w:pPr/>
      <w:r>
        <w:rPr>
          <w:b/>
        </w:rPr>
        <w:t>Shared claim-specific concepts:</w:t>
      </w:r>
      <w:r>
        <w:t xml:space="preserve"> damage, trade, but; EU scope not established. This is a provisional connection, not an outcome finding.</w:t>
      </w:r>
    </w:p>
    <w:p>
      <w:pPr>
        <w:pStyle w:val="SourceNote"/>
      </w:pPr>
      <w:r>
        <w:rPr>
          <w:b/>
        </w:rPr>
        <w:t>Available abstract (not full text):</w:t>
      </w:r>
      <w:r>
        <w:t xml:space="preserve"> Abstract We analyze the impact of border adjustment policies on trade, pollution and welfare when firms, located in different countries, sell differentiated products in geographically-separated markets. Transportation of goods not only incurs a cost, but also generates emissions. We compare outcomes under competition and multimarket collusion. Cooperating governments can implement the first-best using appropriate border adjustments regardless of the market structure. When governments set policies non-cooperatively, the border adjustment tariffs exceed the marginal damage from emissions. While it is expected that colluding firms would reduce trade flows relative to competition, trade increases under collusion, resulting in higher welfare. This highlights the possibility of allowing firms to collude and taxing (part of) their profits, which can be redistributed to citizens or used to mitigate the effects of pollution.</w:t>
      </w:r>
    </w:p>
    <w:p>
      <w:pPr/>
      <w:r>
        <w:rPr>
          <w:b/>
        </w:rPr>
        <w:t>POSSIBLE 2022:</w:t>
      </w:r>
      <w:r>
        <w:t xml:space="preserve"> Damage — https://doi.org/10.1093/he/9780198869917.003.0034</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Abstract This chapter examines one element that a claimant must prove to sustain a passing off action: the requirement that they have suffered, or are likely to suffer, damage as a result of the defendant’s misrepresentation. It first considers four types of damage that have been recognized by the courts in connection with misrepresentation: loss of existing trade and profits; loss of potential trade and profits; damage to reputation; and dilution. It then discusses the notion of extended passing off and its three elements: goodwill, misrepresentation, and damage. It also looks at the principles of unfair competition.</w:t>
      </w:r>
    </w:p>
    <w:p>
      <w:pPr/>
      <w:r>
        <w:rPr>
          <w:b/>
        </w:rPr>
        <w:t>POSSIBLE 2022:</w:t>
      </w:r>
      <w:r>
        <w:t xml:space="preserve"> Conflict and Intergroup Trade: Evidence from the 2014 Russia-Ukraine Crisis — https://doi.org/10.1257/aer.20191701</w:t>
      </w:r>
    </w:p>
    <w:p>
      <w:pPr/>
      <w:r>
        <w:rPr>
          <w:b/>
        </w:rPr>
        <w:t>Shared claim-specific concepts:</w:t>
      </w:r>
      <w:r>
        <w:t xml:space="preserve"> trade, after; EU scope not established. This is a provisional connection, not an outcome finding.</w:t>
      </w:r>
    </w:p>
    <w:p>
      <w:pPr>
        <w:pStyle w:val="SourceNote"/>
      </w:pPr>
      <w:r>
        <w:rPr>
          <w:b/>
        </w:rPr>
        <w:t>Available abstract (not full text):</w:t>
      </w:r>
      <w:r>
        <w:t xml:space="preserve"> Does armed conflict reduce trade, even in noncombat areas, through the destruction of intergroup social capital? We analyze Ukrainian trade transactions before and after the 2014 Russia-Ukraine conflict. In a difference-in-differences framework, we find that Ukrainian firms from districts with fewer ethnic Russians experienced a deeper decline in trade with Russia. This decline is economically signifi-cant, persistent, and can be explained by erosion of intergroup trust. Affected Ukrainian firms suffered a decrease in performance and diverted trade to other countries. Our results suggest that, through social effects, conflict can be economically damaging even away from combat areas. (JEL D74, F14, F51, J15, P31, P33, Z13)</w:t>
      </w:r>
    </w:p>
    <w:p>
      <w:pPr/>
      <w:r>
        <w:rPr>
          <w:b/>
        </w:rPr>
        <w:t>POSSIBLE 2021:</w:t>
      </w:r>
      <w:r>
        <w:t xml:space="preserve"> Neural Network in the Forecast of Compensation for Ecological Environment Damage Caused by Trade — https://doi.org/10.25236/ijfs.2021.031313</w:t>
      </w:r>
    </w:p>
    <w:p>
      <w:pPr/>
      <w:r>
        <w:rPr>
          <w:b/>
        </w:rPr>
        <w:t>Shared claim-specific concepts:</w:t>
      </w:r>
      <w:r>
        <w:t xml:space="preserve"> damage, trade, after, but; EU scope not established. This is a provisional connection, not an outcome finding.</w:t>
      </w:r>
    </w:p>
    <w:p>
      <w:pPr>
        <w:pStyle w:val="SourceNote"/>
      </w:pPr>
      <w:r>
        <w:rPr>
          <w:b/>
        </w:rPr>
        <w:t>Available abstract (not full text):</w:t>
      </w:r>
      <w:r>
        <w:t xml:space="preserve"> With the rapid growth of China's trade, the aggravation of environmental damage, research on trade growth and environmental damage forecasting issues is of great significance for the formulation and coordination of trade policies, environmental policies, and industrial policies. This article mainly studies the application of neural network in the prediction of compensation for ecological environment damage caused by trade. In this paper, the neural network model is applied to time series forecasting and panel data forecasting respectively, and the MATLAB tool is used to simulate the model, and the environmental damage compensation caused by trade is predicted. After L = 7613 iteration training, the total error value gradually decreases, and the given total error accuracy is 0.001. At this point, training is complete. After training, the BP neural network has been able to correctly predict these training samples. The prediction accuracy of this study reached 98%. This shows that the BP neural network model established in this paper not only meets the overall classification accuracy, but also has high accuracy in predicting the compensation of the ecological environment damage of each sample data. The research results show that the model is applied to the prediction of compensation for eco-environmental damage caused by trade. It has the advantages of fewer samples, high predicti</w:t>
      </w:r>
    </w:p>
    <w:p>
      <w:pPr/>
      <w:r>
        <w:rPr>
          <w:b/>
        </w:rPr>
        <w:t>POSSIBLE 2021:</w:t>
      </w:r>
      <w:r>
        <w:t xml:space="preserve"> The choice of cap-and-trade and carbon tax regulations in a cap-dependent carbon trading price setting — https://doi.org/10.1108/k-09-2020-0610</w:t>
      </w:r>
    </w:p>
    <w:p>
      <w:pPr/>
      <w:r>
        <w:rPr>
          <w:b/>
        </w:rPr>
        <w:t>Shared claim-specific concepts:</w:t>
      </w:r>
      <w:r>
        <w:t xml:space="preserve"> damage, two, related; EU scope not established. This is a provisional connection, not an outcome finding.</w:t>
      </w:r>
    </w:p>
    <w:p>
      <w:pPr>
        <w:pStyle w:val="SourceNote"/>
      </w:pPr>
      <w:r>
        <w:rPr>
          <w:b/>
        </w:rPr>
        <w:t>Available abstract (not full text):</w:t>
      </w:r>
      <w:r>
        <w:t xml:space="preserve"> Purpose The purpose of this paper is to analyze the operational decisions of a manufacturer who produces multiple products and the government's selection of cap-and-trade and carbon tax regulations. Design/methodology/approach This paper explores the production decisions of a multi-product manufacturer under cap-and-trade and carbon tax regulations in a cap-dependent carbon trading price setting and compares carbon emission, the manufacturer's profits and social welfare under the two regulations. Game theory and extreme value theory are used to analyze our models. Findings First, the authors find that the optimal profit of the manufacturer (the optimal cap) increases and then decreases with the cap (the unit carbon emission of product). Second, if the environmental damage coefficient is moderate, the optimal cap of unit environmental damage coefficient is independent of the product carbon emission or other related product parameters. Ultimately, cap-and-trade regulation always generates more carbon emission than carbon tax regulation. And cap-and-trade regulation (carbon tax regulation) can generate more social welfare if the environmental damage coefficient is low (high), and the social welfare under the two regulations is equal to each other, or otherwise. Originality/value This paper contributes the prior literature by considering the inverse relationship of the allocated ca</w:t>
      </w:r>
    </w:p>
    <w:p>
      <w:pPr>
        <w:pStyle w:val="Heading2"/>
      </w:pPr>
      <w:r>
        <w:t>642.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2021:</w:t>
      </w:r>
      <w:r>
        <w:t xml:space="preserve"> Type 1 diabetes in 2017: global estimates of incident and prevalent cases in children and adults — https://doi.org/10.1007/s00125-021-05571-8</w:t>
      </w:r>
    </w:p>
    <w:p>
      <w:pPr/>
      <w:r>
        <w:rPr>
          <w:b/>
        </w:rPr>
        <w:t>Shared claim-specific concepts:</w:t>
      </w:r>
      <w:r>
        <w:t xml:space="preserve"> estimated, incident, prevalent, cases; EU scope visible. This is a provisional connection, not an outcome finding.</w:t>
      </w:r>
    </w:p>
    <w:p>
      <w:pPr>
        <w:pStyle w:val="SourceNote"/>
      </w:pPr>
      <w:r>
        <w:rPr>
          <w:b/>
        </w:rPr>
        <w:t>Available abstract (not full text):</w:t>
      </w:r>
      <w:r>
        <w:t xml:space="preserve"> AIMS/HYPOTHESIS: Data on type 1 diabetes incidence and prevalence are limited, particularly for adults. This study aims to estimate global numbers of incident and prevalent cases of type 1 diabetes in 2017 for all age groups, by country and areas defined by income and region. METHODS: Incidence rates of type 1 diabetes in children (available from 94 countries) from the IDF Atlas were used and extrapolated to countries without data. Age-specific incidence rates in adults (only known across full age range for fewer than ten countries) were obtained by applying scaling ratios for each adult age group relative to the incidence rate in children. Age-specific incidence rates were applied to population estimates to obtain incident case numbers. Duration of diabetes was estimated from available data and adjusted using differences in childhood mortality rate between countries from United Nations demographic data. Prevalent case numbers were derived by modelling the relationship between prevalence, incidence and disease duration. Sensitivity analyses were performed to quantify the impact of alternative assumptions and model inputs. RESULTS: Global numbers of incident and prevalent cases of type 1 diabetes were estimated to be 234,710 and 9,004,610, respectively, in 2017. High-income countries, with 17% of the global population, accounted for 49% of global incident cases and 52% of preval</w:t>
      </w:r>
    </w:p>
    <w:p>
      <w:pPr/>
      <w:r>
        <w:rPr>
          <w:b/>
        </w:rPr>
        <w:t>POSSIBLE 2021:</w:t>
      </w:r>
      <w:r>
        <w:t xml:space="preserve"> Financial losses for Dutch stakeholders during the 2013 aflatoxin incident in Maize in Europe — https://doi.org/10.1007/s12550-021-00429-9</w:t>
      </w:r>
    </w:p>
    <w:p>
      <w:pPr/>
      <w:r>
        <w:rPr>
          <w:b/>
        </w:rPr>
        <w:t>Shared claim-specific concepts:</w:t>
      </w:r>
      <w:r>
        <w:t xml:space="preserve"> estimated, incident, million; EU scope visible. This is a provisional connection, not an outcome finding.</w:t>
      </w:r>
    </w:p>
    <w:p>
      <w:pPr>
        <w:pStyle w:val="SourceNote"/>
      </w:pPr>
      <w:r>
        <w:rPr>
          <w:b/>
        </w:rPr>
        <w:t>Available abstract (not full text):</w:t>
      </w:r>
      <w:r>
        <w:t xml:space="preserve"> contaminated maize from Eastern Europe that was processed into compound feed, which was fed to dairy cows. Since the contamination was discovered in the downstream stages of the supply chain, multiple countries and parties were involved and recalls of the feed were necessary, resulting into financial losses. The aim of this study was to estimate the direct short-term financial losses related to the 2013 aflatoxin incident for the maize traders, the feed industry, and the dairy sector in the Netherlands. First, the sequence of events of the incident was retrieved. Then, a Monte Carlo simulation model was built to combine the scarce and uncertain data to estimate the direct financial losses for each stakeholder. The estimated total direct financial losses of this incident were estimated to be between 12 and 25 million euros. The largest share, about 60%, of the total losses was endured by the maize traders. About 39% of the total losses were for the feed industry, and less than 1% of the total losses were for the dairy sector. The financial losses estimated in this study should be interpreted cautiously due to limitations associated with the quality of the data used. Furthermore, this incident led to indirect long-term financial effects, identified but not estimated in this study.</w:t>
      </w:r>
    </w:p>
    <w:p>
      <w:pPr/>
      <w:r>
        <w:rPr>
          <w:b/>
        </w:rPr>
        <w:t>POSSIBLE 2021:</w:t>
      </w:r>
      <w:r>
        <w:t xml:space="preserve"> SCORE2-OP risk prediction algorithms: estimating incident cardiovascular event risk in older persons in four geographical risk regions — https://doi.org/10.1093/eurheartj/ehab312</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AIMS: The aim of this study was to derive and validate the SCORE2-Older Persons (SCORE2-OP) risk model to estimate 5- and 10-year risk of cardiovascular disease (CVD) in individuals aged over 70 years in four geographical risk regions. METHODS AND RESULTS: Sex-specific competing risk-adjusted models for estimating CVD risk (CVD mortality, myocardial infarction, or stroke) were derived in individuals aged over 65 without pre-existing atherosclerotic CVD from the Cohort of Norway (28 503 individuals, 10 089 CVD events). Models included age, smoking status, diabetes, systolic blood pressure, and total- and high-density lipoprotein cholesterol. Four geographical risk regions were defined based on country-specific CVD mortality rates. Models were recalibrated to each region using region-specific estimated CVD incidence rates and risk factor distributions. For external validation, we analysed data from 6 additional study populations {338 615 individuals, 33 219 CVD validation cohorts, C-indices ranged between 0.63 [95% confidence interval (CI) 0.61-0.65] and 0.67 (0.64-0.69)}. Regional calibration of expected-vs.-observed risks was satisfactory. For given risk factor profiles, there was substantial variation across the four risk regions in the estimated 10-year CVD event risk. CONCLUSIONS: The competing risk-adjusted SCORE2-OP model was derived, recalibrated, and externally validated</w:t>
      </w:r>
    </w:p>
    <w:p>
      <w:pPr/>
      <w:r>
        <w:rPr>
          <w:b/>
        </w:rPr>
        <w:t>POSSIBLE 2021:</w:t>
      </w:r>
      <w:r>
        <w:t xml:space="preserve"> Milk intake and incident stroke and CHD in populations of European descent: a Mendelian randomisation study — https://doi.org/10.1017/s0007114521004244</w:t>
      </w:r>
    </w:p>
    <w:p>
      <w:pPr/>
      <w:r>
        <w:rPr>
          <w:b/>
        </w:rPr>
        <w:t>Shared claim-specific concepts:</w:t>
      </w:r>
      <w:r>
        <w:t xml:space="preserve"> estimated, additional, incident, cases; EU scope visible. This is a provisional connection, not an outcome finding.</w:t>
      </w:r>
    </w:p>
    <w:p>
      <w:pPr>
        <w:pStyle w:val="SourceNote"/>
      </w:pPr>
      <w:r>
        <w:rPr>
          <w:b/>
        </w:rPr>
        <w:t>Available abstract (not full text):</w:t>
      </w:r>
      <w:r>
        <w:t xml:space="preserve"> Abstract Higher milk intake has been associated with a lower stroke risk, but not with risk of CHD. Residual confounding or reverse causation cannot be excluded. Therefore, we estimated the causal association of milk consumption with stroke and CHD risk through instrumental variable (IV) and gene-outcome analyses. IV analysis included 29 328 participants (4611 stroke; 9828 CHD) of the European Prospective Investigation into Cancer and Nutrition (EPIC)-CVD (eight European countries) and European Prospective Investigation into Cancer and Nutrition-Netherlands (EPIC-NL) case-cohort studies. rs4988235, a lactase persistence (LP) SNP which enables digestion of lactose in adulthood was used as genetic instrument. Intake of milk was first regressed on rs4988235 in a linear regression model. Next, associations of genetically predicted milk consumption with stroke and CHD were estimated using Prentice-weighted Cox regression. Gene-outcome analysis included 777 024 participants (50 804 cases) from MEGASTROKE (including EPIC-CVD), UK Biobank and EPIC-NL for stroke, and 483 966 participants (61 612 cases) from CARDIoGRAM, UK Biobank, EPIC-CVD and EPIC-NL for CHD. In IV analyses, each additional LP allele was associated with a higher intake of milk in EPIC-CVD (β = 13·7 g/d; 95 % CI 8·4, 19·1) and EPIC-NL (36·8 g/d; 95 % CI 20·0, 53·5). Genetically predicted milk intake was not associated w</w:t>
      </w:r>
    </w:p>
    <w:p>
      <w:pPr/>
      <w:r>
        <w:rPr>
          <w:b/>
        </w:rPr>
        <w:t>POSSIBLE 2021:</w:t>
      </w:r>
      <w:r>
        <w:t xml:space="preserve"> Risk of Incident Heart Failure in Individuals With Early-Onset Type 2 Diabetes — https://doi.org/10.1210/clinem/dgab620</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CONTEXT: Early-onset diabetes has been associated with unfavorable cardiovascular risk but data on heart failure (HF) in this subpopulation are scarce. OBJECTIVE: We aimed to study the risk of, and risk factors for, incident HF in individuals with early-onset type 2 diabetes. METHODS: We studied 606 individuals with type 2 diabetes diagnosed before 40 years of age (early-onset) and 1258 counterparts with diabetes diagnosed from 41 to 65 years of age (usual-onset) with no HF history, at a regional hospital, over a median follow-up period of 7.1 years. Incident HF by European Cardiology Society criteria was determined. RESULTS: A total of 62 and 108 HF events were identified in the early- and usual-onset groups (1.55 and 1.29 per 100 patient-years), respectively. Compared with usual-onset counterparts, individuals with early-onset diabetes had a 1.20-fold unadjusted (95% CI, 0.88-1.63; P = 0.26) and 1.91-fold age-adjusted (95% CI, 1.37-2.66; P &lt; 0.001) hazard ratio (HR) for incident HF. Adjustment for traditional cardiometabolic risk factors only moderately mitigated the hazards (adjusted HR 1.69; 95% CI, 1.19-2.40; P = 0.003). However, additional adjustment for estimated glomerular filtration rate and albuminuria markedly attenuated the association of early-onset age with incident HF (adjusted HR 1.24; 95% CI, 0.87-1.77; P = 0.24). Notably, a long diabetes duration was not signi</w:t>
      </w:r>
    </w:p>
    <w:p>
      <w:pPr/>
      <w:r>
        <w:rPr>
          <w:b/>
        </w:rPr>
        <w:t>POSSIBLE 2021:</w:t>
      </w:r>
      <w:r>
        <w:t xml:space="preserve"> Risk of incident atrial fibrillation with low-to-moderate alcohol consumption is associated with gender, region, alcohol category: a systematic review and meta-analysis — https://doi.org/10.1093/europace/euab266</w:t>
      </w:r>
    </w:p>
    <w:p>
      <w:pPr/>
      <w:r>
        <w:rPr>
          <w:b/>
        </w:rPr>
        <w:t>Shared claim-specific concepts:</w:t>
      </w:r>
      <w:r>
        <w:t xml:space="preserve"> estimated, additional, incident; EU scope not established. This is a provisional connection, not an outcome finding.</w:t>
      </w:r>
    </w:p>
    <w:p>
      <w:pPr>
        <w:pStyle w:val="SourceNote"/>
      </w:pPr>
      <w:r>
        <w:rPr>
          <w:b/>
        </w:rPr>
        <w:t>Available abstract (not full text):</w:t>
      </w:r>
      <w:r>
        <w:t xml:space="preserve"> AIMS: The association between low-to-moderate alcohol consumption and atrial fibrillation (AF) has yet to be fully elucidated. The main purpose of this meta-analysis was to estimate the risk of incident AF related to low-to-moderate alcohol consumption. METHODS AND RESULTS: A meta-analysis was performed on 13 publications discussing the estimated risk for AF with habitual low-to-moderate alcohol intake in 10 266 315 participants. Graphical augmentations to the funnel plots were used to illustrate the potential impact of additional evidence on the current meta-analysis. Thirteen eligible studies were included in this meta-analysis. We found that moderate alcohol consumption was associated with an increased risk of incident AF in males [hazard ratio (HR) 1.09, 95% confidence interval (CI): 1.07-1.11, P &lt; 0.00001], Europeans (HR 1.32, 95% CI: 1.23-1.42, P &lt; 0.00001), and Asians (HR 1.09, 95% CI: 1.07-1.11, P &lt; 0.00001). Moderate beer consumption was associated with an increased risk of developing AF (HR 1.11, 95% CI: 1.02-1.21, P = 0.01). Low alcohol consumption conferred an increased risk of AF in males (HR 1.14, 95% CI: 1.01-1.28, P = 0.04) and Europeans (HR 1.12, 95% CI: 1.07-1.17, P &lt; 0.00001). CONCLUSIONS: This analysis represents the increased risk of incident AF in males, Europeans, and Asians at moderate alcohol consumption levels and in males and Europeans at low alcohol </w:t>
      </w:r>
    </w:p>
    <w:p>
      <w:pPr/>
      <w:r>
        <w:rPr>
          <w:b/>
        </w:rPr>
        <w:t>POSSIBLE 2021:</w:t>
      </w:r>
      <w:r>
        <w:t xml:space="preserve"> Epigenetic Age and the Risk of Incident Atrial Fibrillation — https://doi.org/10.1161/circulationaha.121.056456</w:t>
      </w:r>
    </w:p>
    <w:p>
      <w:pPr/>
      <w:r>
        <w:rPr>
          <w:b/>
        </w:rPr>
        <w:t>Shared claim-specific concepts:</w:t>
      </w:r>
      <w:r>
        <w:t xml:space="preserve"> additional, incident, cases; EU scope not established. This is a provisional connection, not an outcome finding.</w:t>
      </w:r>
    </w:p>
    <w:p>
      <w:pPr>
        <w:pStyle w:val="SourceNote"/>
      </w:pPr>
      <w:r>
        <w:rPr>
          <w:b/>
        </w:rPr>
        <w:t>Available abstract (not full text):</w:t>
      </w:r>
      <w:r>
        <w:t xml:space="preserve"> Background: The most prominent risk factor for atrial fibrillation (AF) is chronological age; however, underlying mechanisms are unexplained. Algorithms using epigenetic modifications to the human genome effectively predict chronological age. Chronological and epigenetic predicted ages may diverge in a phenomenon referred to as epigenetic age acceleration (EAA), which may reflect accelerated biological aging. We sought to evaluate for associations between epigenetic age measures and incident AF. Methods: Measures for 4 epigenetic clocks (Horvath, Hannum, DNA methylation [DNAm] PhenoAge, and DNAm GrimAge) and an epigenetic predictor of PAI-1 (plasminogen activator inhibitor-1) levels (ie, DNAm PAI-1) were determined for study participants from 3 population-based cohort studies. Cox models evaluated for associations with incident AF and results were combined via random-effects meta-analyses. Two-sample summary-level Mendelian randomization analyses evaluated for associations between genetic instruments of the EAA measures and AF. Results: Among 5600 participants (mean age, 65.5 years; female, 60.1%; Black, 50.7%), there were 905 incident AF cases during a mean follow-up of 12.9 years. Unadjusted analyses revealed all 4 epigenetic clocks and the DNAm PAI-1 predictor were associated with statistically significant higher hazards of incident AF, though the magnitudes of their point e</w:t>
      </w:r>
    </w:p>
    <w:p>
      <w:pPr>
        <w:pStyle w:val="Heading2"/>
      </w:pPr>
      <w:r>
        <w:t>643.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2021:</w:t>
      </w:r>
      <w:r>
        <w:t xml:space="preserve"> The European Nucleotide Archive in 2021 — https://doi.org/10.1093/nar/gkab1051</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Here, we outline the major updates to ENA's services and infrastructure that have been delivered over the past year.</w:t>
      </w:r>
    </w:p>
    <w:p>
      <w:pPr>
        <w:pStyle w:val="Heading2"/>
      </w:pPr>
      <w:r>
        <w:t>644.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2023:</w:t>
      </w:r>
      <w:r>
        <w:t xml:space="preserve"> The suspension of the Democratic Governance Facility in Uganda: the illusion of “politically smart aid” — https://doi.org/10.1080/09614524.2023.2238915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2021, the President of Uganda suspended the “Democratic Governance Facility” (DGF), which is a European basket fund aimed at providing financial support in areas such as democracy, human rights, and rule of law. Paradoxically, the DGF had explicitly adopted a new “politically smart framework”, which is a development approach that promises to deliver aid more effectively and sustainably in contentious environments. This raises the question: what went wrong? Informed by post-development theoretical arguments and through a discursive analysis of the DGF’s implementation of this new aid framework, this paper argues that this framework itself does not allow proper understanding of what makes aid “political”; in casu that it does not allow appreciation of local viewpoints of democracy, representation, and ownership. Then, rather than improving the status quo, this paper argues in favour of making aid “political” through a fundamental reconsideration of the very substance and infrastructure of aid itself.</w:t>
      </w:r>
    </w:p>
    <w:p>
      <w:pPr/>
      <w:r>
        <w:rPr>
          <w:b/>
        </w:rPr>
        <w:t>POSSIBLE 2022:</w:t>
      </w:r>
      <w:r>
        <w:t xml:space="preserve"> China’s Evolving Approach to Foreign Aid — https://doi.org/10.55163/wtnj4163</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China’s role in foreign aid and, more broadly, in development cooperation on the global stage has grown significantly since it began seven decades ago. Particularly in recent years, through such platforms as the Belt and Road Initiative (BRI), China’s profile and engagement in global governance in foreign aid and related areas has been further enhanced. China’s ambition is taking a more proactive approach in foreign aid and moving towards a model of international development cooperation by linking with the United Nations 2030 Agenda for Sustainable Development and by including the BRI as a major platform to achieve key development goals. This paper provides a timely analysis of the evolution of China’s foreign aid policy in the past seven decades with a particular focus on the developments since 2000. It discusses China’s development finance to Africa and the major sectors receiving Chinese aid. It also analyses recent trends of Chinese foreign aid and identifies some of the challenges that China faces as it becomes a major player in international development financing.</w:t>
      </w:r>
    </w:p>
    <w:p>
      <w:pPr/>
      <w:r>
        <w:rPr>
          <w:b/>
        </w:rPr>
        <w:t>POSSIBLE 2022:</w:t>
      </w:r>
      <w:r>
        <w:t xml:space="preserve"> The European Union's migration management aid: Developing democracies or supporting authoritarianism? — https://doi.org/10.1111/imig.13075</w:t>
      </w:r>
    </w:p>
    <w:p>
      <w:pPr/>
      <w:r>
        <w:rPr>
          <w:b/>
        </w:rPr>
        <w:t>Shared claim-specific concepts:</w:t>
      </w:r>
      <w:r>
        <w:t xml:space="preserve"> argue, aid; EU scope visible. This is a provisional connection, not an outcome finding.</w:t>
      </w:r>
    </w:p>
    <w:p>
      <w:pPr>
        <w:pStyle w:val="SourceNote"/>
      </w:pPr>
      <w:r>
        <w:rPr>
          <w:b/>
        </w:rPr>
        <w:t>Available abstract (not full text):</w:t>
      </w:r>
      <w:r>
        <w:t xml:space="preserve"> Abstract The European Union and its member states have invested billions of euros in migration management programs that purport to promote “good migration governance” around the world. But what is the impact of migration management aid on governance outside of the EU? In this article, we theorise the impact of migration management aid on governance in recipient countries by analysing the key policy areas of intervention. To do so, we focus on the effects of the European Union Emergency Trust Fund for Africa and draw on data collected from policy and government documents, in addition to secondary literature, to understand how migration management aid negatively impacts institutions of governance in recipient countries. While migration management aid may build the capacity of states to monitor borders and prevent irregular migration, we argue that this fails to account for negative externalities including human rights abuses and increased surveillance for migrants and citizens alike.</w:t>
      </w:r>
    </w:p>
    <w:p>
      <w:pPr/>
      <w:r>
        <w:rPr>
          <w:b/>
        </w:rPr>
        <w:t>POSSIBLE 2022:</w:t>
      </w:r>
      <w:r>
        <w:t xml:space="preserve"> The European Commission and the COVID-19 pandemic: a pluri-institutional approach — https://doi.org/10.1080/13501763.2022.2140821</w:t>
      </w:r>
    </w:p>
    <w:p>
      <w:pPr/>
      <w:r>
        <w:rPr>
          <w:b/>
        </w:rPr>
        <w:t>Shared claim-specific concepts:</w:t>
      </w:r>
      <w:r>
        <w:t xml:space="preserve"> argue, approach, support; EU scope visible. This is a provisional connection, not an outcome finding.</w:t>
      </w:r>
    </w:p>
    <w:p>
      <w:pPr>
        <w:pStyle w:val="SourceNote"/>
      </w:pPr>
      <w:r>
        <w:rPr>
          <w:b/>
        </w:rPr>
        <w:t>Available abstract (not full text):</w:t>
      </w:r>
      <w:r>
        <w:t xml:space="preserve"> According to a widely held view, the European Council decides how the EU should respond in times of crisis, since the European Council alone has the authority to lead. Other institutions, meanwhile, adopt at best a secondary role. An alternative perspective has emerged, however, which contends, first, that the European Council’s influence on the EU's crisis response is variable and, second, that other EU institutions, in particular the European Commission, are able to shape EU action, including through interventions made independently of the European Council. This article builds on this alternative view to argue that the respective role played by the European Council and the European Commisson is contingent, first, on the policy area where a crisis strikes and second, on leadership or agency on the part of the Presidents of the two institutions. The dynamics of the EU’s response to the COVID-19 pandemic support this view. Acting on its powers in public health and other affected areas, and with Commission President Ursula von der Leyen taking a highly pro-active approach to outbreak of the virus, the Commission intervened early, framed the pandemic as a crisis, and set and then expanded the EU’s agenda. Although its decision-making role was important, the European Council largely followed the Commission's lead.</w:t>
      </w:r>
    </w:p>
    <w:p>
      <w:pPr/>
      <w:r>
        <w:rPr>
          <w:b/>
        </w:rPr>
        <w:t>POSSIBLE 2021:</w:t>
      </w:r>
      <w:r>
        <w:t xml:space="preserve"> Replication Data for: "A Sectoral Approach to the Politics of State Aid in the European Union: an Analysis of the European Automotive Industry" — https://doi.org/10.7910/dvn/ejijkf</w:t>
      </w:r>
    </w:p>
    <w:p>
      <w:pPr/>
      <w:r>
        <w:rPr>
          <w:b/>
        </w:rPr>
        <w:t>Shared claim-specific concepts:</w:t>
      </w:r>
      <w:r>
        <w:t xml:space="preserve"> approach, aid, help; EU scope visible. This is a provisional connection, not an outcome finding.</w:t>
      </w:r>
    </w:p>
    <w:p>
      <w:pPr>
        <w:pStyle w:val="SourceNote"/>
      </w:pPr>
      <w:r>
        <w:rPr>
          <w:b/>
        </w:rPr>
        <w:t>Available abstract (not full text):</w:t>
      </w:r>
      <w:r>
        <w:t xml:space="preserve"> A growing body of scholarship has been focusing on the determinants of subsidy spending. Yet, this literature has mostly overlooked sectoral approaches to explain variation in aid allocations, which can provide useful insights about state-business relations that macroanalyses cannot. The article explores the political determinants of state aid in a key sector of the European economy, the automotive industry, which represents a crucial test case to analyse the relationship between big firms and the state. The article argues that there are two mechanisms through which governments may choose to allocate aid: achievement of policy goals and electoral competition. The resulting hypotheses are tested on an original dataset of over 120 state aid measures in 16 member states of the European Union (EU) where an automotive industry is present between 1992 and 2011. The results show that aid allocations are seldom found to be determined by a government’s preferences over its policy objectives. Instead, electoral rules such as the cultivation of a personal reputation by distribution of targeted benefits to a constituency may help legislators in their chances of being re-elected. The article concludes with limitations of the present study and suggestions for future research.</w:t>
      </w:r>
    </w:p>
    <w:p>
      <w:pPr/>
      <w:r>
        <w:rPr>
          <w:b/>
        </w:rPr>
        <w:t>POSSIBLE 2021:</w:t>
      </w:r>
      <w:r>
        <w:t xml:space="preserve"> Poland towards a new approach to state aid policy after accession to the European Union — https://doi.org/10.33119/978-83-8030-468-0_2021_37_56</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Taking into consideration all changes in the EU law after Poland’s accession, one can assume, that directions and scope of public interventions should be similar among the EU Member States. At the same time, it is obvious, that they should take account of financial constraints, starting points and national/government preferences. Therefore, the primary goal of the chapter is to present Poland’s performance in the EU in terms of state aid granted after the EU accession. To this end we introduced two indices, which are based on works on trade by distinguished authors: Relative State Aid Intensity Index and State Aid Similarity Index. Our research allows us to formulate two observations: first, that state aid in Poland is subordinated to EU multiannual financial programmes in terms of available/offered financial sources, and second, the structure of state aid offered in Poland does not match the structure of public financial assistance observed in most other EU Member States. Poland still grants mailny regional investment aid, which does not require any sophisticated criteria, and only a small percentage of aid for environmental protection and energy, which would support innovation and, at the same time, is desirable in the face of climate change.</w:t>
      </w:r>
    </w:p>
    <w:p>
      <w:pPr/>
      <w:r>
        <w:rPr>
          <w:b/>
        </w:rPr>
        <w:t>POSSIBLE 2021:</w:t>
      </w:r>
      <w:r>
        <w:t xml:space="preserve"> Research Handbook on European State Aid Law — https://doi.org/10.4337/9781789909258</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chapter reviews the political science research on European Union (EU) State aid policy. The literature focuses primarily on the evolution of State aid control and on the institutions and actors who play a role in the policy. Resting on Treaty provisions that were little used in the first decades of the European Community, the Commission’s incremental soft law approach, supportive jurisprudence from the Court of Justice of the European Union (CJEU), and the involvement private complainants have helped bring together Commission and Member State interests in support of State aid control. The Commission’s handling of the financial crisis, a test for the more mature regime, has been largely judged a success. Over time policy initiatives have helped to reduce and target national subsidies, and the enforcement of and compliance with the Treaty provisions have improved dramatically since the late 1980s. The political dimension of the policy seems to have less resonance these days, as there are fewer high-profile controversial cases than in the past, but there are still interesting questions to be addressed about the way in which competition, regional, environmental, cultural and industrial policies are balanced against each other in the design and application of the EU-level policy and decision-making, and what the implications of UK’s departure from the EU and the emergence of po</w:t>
      </w:r>
    </w:p>
    <w:p>
      <w:pPr>
        <w:pStyle w:val="Heading2"/>
      </w:pPr>
      <w:r>
        <w:t>645.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2021:</w:t>
      </w:r>
      <w:r>
        <w:t xml:space="preserve"> The unfinished business of Church history — https://doi.org/10.4102/ve.v42i1.2329</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The Church will presumably have unfinished business until the day when Christ returns. And Church history will, in gruesome details, bear witness to the missed opportunities, the failures and wrongdoings and all the mistakes made. This is especially true in South Africa where racial tensions, violence, crimes and numerous other evils prevail, while the bride of Christ, in hiding from the realities of life, is awaiting death. The first part of the article explains why this is the case and the second part proposes some rectifications towards how adjudication and reconciliation can be attained through new life in a novel way of being Church to the world. Intradisciplinary and/or interdisciplinary implications: Christians, theologians and Church historians must openly and honestly expose the use and abuse of (Church) history, and the role that collective memory played in constructing misleading perceptions of the past through the implementation of motivated reasoning. A comprehensive, amended rewriting of Church history that includes all sources that fed Christianity in South Africa during the past nearly 370 years must reconceptualise our religious past towards a healing future. This can promote unity and bring closure to at least some issues while providing a renewed focus on the ongoing need for constant reformation, a renewed comprehension of spirituality, and inspiring Missiol</w:t>
      </w:r>
    </w:p>
    <w:p>
      <w:pPr>
        <w:pStyle w:val="Heading2"/>
      </w:pPr>
      <w:r>
        <w:t>646.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2025:</w:t>
      </w:r>
      <w:r>
        <w:t xml:space="preserve"> Spatiotemporal characteristics of meteorological and hydrological droughts across Europe — https://doi.org/10.1080/19475705.2025.2567413</w:t>
      </w:r>
    </w:p>
    <w:p>
      <w:pPr/>
      <w:r>
        <w:rPr>
          <w:b/>
        </w:rPr>
        <w:t>Shared claim-specific concepts:</w:t>
      </w:r>
      <w:r>
        <w:t xml:space="preserve"> hydrological, droughts, across, warming, water; EU scope visible. This is a provisional connection, not an outcome finding.</w:t>
      </w:r>
    </w:p>
    <w:p>
      <w:pPr>
        <w:pStyle w:val="SourceNote"/>
      </w:pPr>
      <w:r>
        <w:rPr>
          <w:b/>
        </w:rPr>
        <w:t>Available abstract (not full text):</w:t>
      </w:r>
      <w:r>
        <w:t xml:space="preserve"> Amid ongoing global warming and growing water resource pressures, droughts have intensified in frequency and severity across Europe. Using ERA5 reanalysis data (1970–2024), we assessed four drought indices—meteorological (SPI, SPEI) and hydrological (SRI, RZI)—at 3-, 6-, and 12-month scales. Spatiotemporal dynamics were evaluated through trend analysis (Mann–Kendall), persistence assessment (Hurst exponent), abrupt change detection (mutation test), spatial pattern metrics (Fragstats), and inter-index correlation. Results show that hydrological droughts exhibited stronger trends and persistence than meteorological droughts. Significant intensification emerged in Western, Eastern, and Southern Europe, with SRI and RZI affecting nearly 700 × 10⁴ km². Breakpoints were detected in 1974 for meteorological and 1993–1994 for hydrological indices. Landscape analysis indicated increased patch numbers, higher spatial complexity, and aggregation, particularly for hydrological indices. Inter-index correlations were high at the 12-month scale (|R| &gt; 0.6) but declined (~0.3) at the 3-month scale, revealing divergence between meteorological and hydrological droughts. These findings advance understanding of drought evolution and underlying climate mechanisms, providing scientific support for monitoring, early warning, and adaptive water management strategies in Europe.</w:t>
      </w:r>
    </w:p>
    <w:p>
      <w:pPr/>
      <w:r>
        <w:rPr>
          <w:b/>
        </w:rPr>
        <w:t>POSSIBLE 2025:</w:t>
      </w:r>
      <w:r>
        <w:t xml:space="preserve"> Intergenerational inequity from hydrological drought in a warming world — https://doi.org/10.1016/j.jenvman.2025.125988</w:t>
      </w:r>
    </w:p>
    <w:p>
      <w:pPr/>
      <w:r>
        <w:rPr>
          <w:b/>
        </w:rPr>
        <w:t>Shared claim-specific concepts:</w:t>
      </w:r>
      <w:r>
        <w:t xml:space="preserve"> shows, hydrological, droughts, across, warming, river; EU scope visible. This is a provisional connection, not an outcome finding.</w:t>
      </w:r>
    </w:p>
    <w:p>
      <w:pPr>
        <w:pStyle w:val="SourceNote"/>
      </w:pPr>
      <w:r>
        <w:rPr>
          <w:b/>
        </w:rPr>
        <w:t>Available abstract (not full text):</w:t>
      </w:r>
      <w:r>
        <w:t xml:space="preserve"> As warmer temperatures enhance atmospheric moisture, hydrological droughts tend to intensify in most regions of the globe. Consequently, younger generations are expected to face a more severe risk of hydrological drought during their lifetimes, emphasizing the critical issue of intergenerational inequity due to climate change. To quantify exposure to hydrological drought across generations, we constructed a cascade model chain for drought simulation using hybrid terrestrial models, based on 5 GCM outputs under SSP5-85, five hydrological models and a deep learning model. We then projected future univariate and bivariate hydrological drought evolution in 4091 river basins, and quantified lifetime exposure to drought for the age groups born in 2020 and 1960. Drought severity and duration are projected to increase substantially in the Eastern America, Southern Brazil and Western Europe, over 79 % of basins. Extreme droughts far beyond historical records are expected to become more frequent and impact Western Europe in particular. Of note, the exposure of the different age groups to hydrological drought shows a notable disequilibrium. Exposure of people born in 2020 to hydrological drought hazards is projected to increase by 12 % over the late 21st century compared to those born in 1960, indicating that the acceleration of climate change is expected to increase the lifetime risk of </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hydrological, droughts, warming, river, simulations,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Hydrological Drought Generation Processes and Severity Are Changing in the Alps — https://doi.org/10.1029/2022gl101776</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Abstract Streamflow droughts are governed by different hydro‐meteorological processes, whose relative importance may change over time, with potential impacts on drought severity. Here, we assess changes in the importance of different hydrological drought generation processes in the European Alps by applying a standardized drought type classification scheme to two time periods—one in the distant (1970–1993) and one in the recent past (1994–2017). Our findings show that changes in the relative importance of different drought generation processes are stronger in high‐elevation catchments, where we detect clear changes in drought seasonality, than in low‐elevation catchments. Furthermore, they suggest that changes in drought severity and generation processes are related because increasingly frequent snowmelt‐deficit droughts in high‐elevation catchments have larger deficits than droughts caused by decreasingly frequent cold temperatures. These changes might persist into the future, because of continuing decreases in snow cover and increases in evapotranspiration, with potential implications for water management.</w:t>
      </w:r>
    </w:p>
    <w:p>
      <w:pPr/>
      <w:r>
        <w:rPr>
          <w:b/>
        </w:rPr>
        <w:t>POSSIBLE 2023:</w:t>
      </w:r>
      <w:r>
        <w:t xml:space="preserve"> A pan-European analysis of drought events and impacts — https://doi.org/10.5194/egusphere-egu23-12961</w:t>
      </w:r>
    </w:p>
    <w:p>
      <w:pPr/>
      <w:r>
        <w:rPr>
          <w:b/>
        </w:rPr>
        <w:t>Shared claim-specific concepts:</w:t>
      </w:r>
      <w:r>
        <w:t xml:space="preserve"> hydrological, droughts, across, index, river, simulations; EU scope visible. This is a provisional connection, not an outcome finding.</w:t>
      </w:r>
    </w:p>
    <w:p>
      <w:pPr>
        <w:pStyle w:val="SourceNote"/>
      </w:pPr>
      <w:r>
        <w:rPr>
          <w:b/>
        </w:rPr>
        <w:t>Available abstract (not full text):</w:t>
      </w:r>
      <w:r>
        <w:t xml:space="preserve"> A drought is a slowly developing natural phenomenon that can occur in all climatic zones, and propagates through the entire hydrological cycle with long-term economic and environmental impacts. Climate change has made drought one of the greatest natural hazards in Europe, affecting large areas and populations. Different definitions of drought exist, i.e. meteorological, hydrological, and agricultural droughts, which vary according to the time horizon considered and differ in the variable used to define them. Just as there is no single definition of drought, there is no single index that accounts for all the types of droughts. As a consequence, capturing the evolution of drought dynamics and associated impacts across different temporal and spatial scales remains a critical challenge.In this work, we analyze existing standardized drought indexes in terms of their ability in detecting drought events at the pan-European scale using data from HydroGFD2.0 reanalysis and E-HYPE hydrological model simulations over the time period 1993-2018. We firstly compare the frequency and mean duration of drought events detected by different indexes to identify the river basins mostly affected by droughts and to assess similarities and differences in the information provided by different indexes. We then compare them with the drought impacts recorded in the Geocoded Disasters (GDIS) dataset to exa</w:t>
      </w:r>
    </w:p>
    <w:p>
      <w:pPr/>
      <w:r>
        <w:rPr>
          <w:b/>
        </w:rPr>
        <w:t>POSSIBLE 2023:</w:t>
      </w:r>
      <w:r>
        <w:t xml:space="preserve"> The Development of a Hydrological Drought Index for Lithuania — https://doi.org/10.3390/w15081512</w:t>
      </w:r>
    </w:p>
    <w:p>
      <w:pPr/>
      <w:r>
        <w:rPr>
          <w:b/>
        </w:rPr>
        <w:t>Shared claim-specific concepts:</w:t>
      </w:r>
      <w:r>
        <w:t xml:space="preserve"> hydrological, droughts, increasing, levels, index, river; EU scope visible. This is a provisional connection, not an outcome finding.</w:t>
      </w:r>
    </w:p>
    <w:p>
      <w:pPr>
        <w:pStyle w:val="SourceNote"/>
      </w:pPr>
      <w:r>
        <w:rPr>
          <w:b/>
        </w:rPr>
        <w:t>Available abstract (not full text):</w:t>
      </w:r>
      <w:r>
        <w:t xml:space="preserve"> Recently, the number and intensity of hydrological droughts have been increasing; thus, it is necessary to identify and respond to them quickly. Since the primary hydrological data in Lithuania are water levels, and converting these data into discharge takes additional time, there is a need to develop a methodology or adapt these data to analyze and detect hydrological droughts. This paper examines the concept of the standardized water level index (SWLI) calculation, which is based on the standardized precipitation index (SPI) and streamflow drought index (SDI) methods. SDI and SWLI data were compared; SWLI was used to analyze the situation in the past and future. A total of 15 main sub-basins were considered, and the future discharge of three rivers was estimated; SWLI showed good compatibility with SDI. To better analyze droughts, the use of severe drought threshold values (SDTV) was suggested as some river data (especially those for small rivers) needed to be corrected due to dense riverine flora. The dry years and trends identified by SWLI are consistent with previous studies.</w:t>
      </w:r>
    </w:p>
    <w:p>
      <w:pPr/>
      <w:r>
        <w:rPr>
          <w:b/>
        </w:rPr>
        <w:t>POSSIBLE 2022:</w:t>
      </w:r>
      <w:r>
        <w:t xml:space="preserve"> The Complex and Spatially Diverse Patterns of Hydrological Droughts Across Europe — https://doi.org/10.1029/2022wr031976</w:t>
      </w:r>
    </w:p>
    <w:p>
      <w:pPr/>
      <w:r>
        <w:rPr>
          <w:b/>
        </w:rPr>
        <w:t>Shared claim-specific concepts:</w:t>
      </w:r>
      <w:r>
        <w:t xml:space="preserve"> hydrological, droughts, across; EU scope visible. This is a provisional connection, not an outcome finding.</w:t>
      </w:r>
    </w:p>
    <w:p>
      <w:pPr>
        <w:pStyle w:val="SourceNote"/>
      </w:pPr>
      <w:r>
        <w:rPr>
          <w:b/>
        </w:rPr>
        <w:t>Available abstract (not full text):</w:t>
      </w:r>
      <w:r>
        <w:t xml:space="preserve">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pPr/>
      <w:r>
        <w:rPr>
          <w:b/>
        </w:rPr>
        <w:t>POSSIBLE 2022:</w:t>
      </w:r>
      <w:r>
        <w:t xml:space="preserve"> The timing of unprecedented hydrological drought under climate change — https://doi.org/10.1038/s41467-022-30729-2</w:t>
      </w:r>
    </w:p>
    <w:p>
      <w:pPr/>
      <w:r>
        <w:rPr>
          <w:b/>
        </w:rPr>
        <w:t>Shared claim-specific concepts:</w:t>
      </w:r>
      <w:r>
        <w:t xml:space="preserve"> hydrological, droughts, low-flow, river, discharge, simulations; EU scope visible. This is a provisional connection, not an outcome finding.</w:t>
      </w:r>
    </w:p>
    <w:p>
      <w:pPr>
        <w:pStyle w:val="SourceNote"/>
      </w:pPr>
      <w:r>
        <w:rPr>
          <w:b/>
        </w:rPr>
        <w:t>Available abstract (not full text):</w:t>
      </w:r>
      <w:r>
        <w:t xml:space="preserve"> Droughts that exceed the magnitudes of historical variation ranges could occur increasingly frequently under future climate conditions. However, the time of the emergence of unprecedented drought conditions under climate change has rarely been examined. Here, using multimodel hydrological simulations, we investigate the changes in the frequency of hydrological drought (defined as abnormally low river discharge) under high and low greenhouse gas concentration scenarios and existing water resource management measures and estimate the time of the first emergence of unprecedented regional drought conditions centered on the low-flow season. The times are detected for several subcontinental-scale regions, and three regions, namely, Southwestern South America, Mediterranean Europe, and Northern Africa, exhibit particularly robust results under the high-emission scenario. These three regions are expected to confront unprecedented conditions within the next 30 years with a high likelihood regardless of the emission scenarios. In addition, the results obtained herein demonstrate the benefits of the lower-emission pathway in reducing the likelihood of emergence. The Paris Agreement goals are shown to be effective in reducing the likelihood to the unlikely level in most regions. However, appropriate and prior adaptation measures are considered indispensable when facing unprecedented drough</w:t>
      </w:r>
    </w:p>
    <w:p>
      <w:pPr/>
      <w:r>
        <w:rPr>
          <w:b/>
        </w:rPr>
        <w:t>POSSIBLE 2022:</w:t>
      </w:r>
      <w:r>
        <w:t xml:space="preserve"> Hydrological Retrospective and Historical Drought Analysis in a Brazilian Savanna Basin — https://doi.org/10.3390/w14142178</w:t>
      </w:r>
    </w:p>
    <w:p>
      <w:pPr/>
      <w:r>
        <w:rPr>
          <w:b/>
        </w:rPr>
        <w:t>Shared claim-specific concepts:</w:t>
      </w:r>
      <w:r>
        <w:t xml:space="preserve"> hydrological, droughts, index, water; EU scope visible. This is a provisional connection, not an outcome finding.</w:t>
      </w:r>
    </w:p>
    <w:p>
      <w:pPr>
        <w:pStyle w:val="SourceNote"/>
      </w:pPr>
      <w:r>
        <w:rPr>
          <w:b/>
        </w:rPr>
        <w:t>Available abstract (not full text):</w:t>
      </w:r>
      <w:r>
        <w:t xml:space="preserve"> Analyzing historical droughts is essential to improve the assessment of future hydrological risks and to understand the effects of climate variability on streamflow. However, prolonged and consistent hydrological time series are scarce in the Brazilian savanna region. This study aimed to analyze the performance of climate reanalysis products in precipitation estimation, hydrological modeling, and historical drought analysis in a Brazilian savanna basin. For this purpose, precipitation data from the twentieth-century atmospheric model ensemble (ERA-20CM) and the land component of the fifth generation of European ReAnalysis (ERA5-Land) with bias correction were used. The weather variables were obtained from the Climatic Research Unit (CRU) and the hydrological modeling was performed using the Soil and Water Assessment Tool (SWAT). The Standardized Streamflow Index (SSI) was used to calculate hydrological drought in the basin. Overall, ERA5-Land performed satisfactorily in precipitation estimation, mainly on the monthly time scale, hydrological modeling, and drought prediction. Since ERA-20CM showed unsatisfactory values for the performance statistics in all analyses, the hydrologic drought (1950 to 2018) was performed with ERA5-Land. The results showed both an increase in the number of dry months and a decrease in wet months in recent decades.</w:t>
      </w:r>
    </w:p>
    <w:p>
      <w:pPr>
        <w:pStyle w:val="Heading2"/>
      </w:pPr>
      <w:r>
        <w:t>647.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Ranking of Alzheimer's disease and related dementia among the leading causes of death in the US varies depending on NCHS or WHO definitions — https://doi.org/10.1002/dad2.12442</w:t>
      </w:r>
    </w:p>
    <w:p>
      <w:pPr/>
      <w:r>
        <w:rPr>
          <w:b/>
        </w:rPr>
        <w:t>Shared claim-specific concepts:</w:t>
      </w:r>
      <w:r>
        <w:t xml:space="preserve"> dementia, leading, disease, health; EU scope not established. This is a provisional connection, not an outcome finding.</w:t>
      </w:r>
    </w:p>
    <w:p>
      <w:pPr>
        <w:pStyle w:val="SourceNote"/>
      </w:pPr>
      <w:r>
        <w:rPr>
          <w:b/>
        </w:rPr>
        <w:t>Available abstract (not full text):</w:t>
      </w:r>
      <w:r>
        <w:t xml:space="preserve"> INTRODUCTION: We compared the ranking of Alzheimer's disease and related dementia (ADRD) among the leading causes of death (LCODs) between those according to the National Center for Health Statistics (NCHS) and the World Health Organization (WHO) lists by sex. METHOD: The number of deaths in each LCOD category was obtained from CDC WONDER. RESULTS: According to the WHO list, ADRD was the second LCOD from 2005 to 2013, the first from 2014 to 2020, and the third in 2021, respectively, for women and was the second in 2018 and 2019, the third in 2020, and the fourth in 2021, respectively, for men. According to the NCHS list, Alzheimer's disease was the fourth in 2019 and 2020 for women and was the seventh from 2016 to 2019 for men. DISCUSSION: The ranking of ADRD among the LCODs according to the WHO list was higher than those according to the NCHS list.</w:t>
      </w:r>
    </w:p>
    <w:p>
      <w:pPr/>
      <w:r>
        <w:rPr>
          <w:b/>
        </w:rPr>
        <w:t>POSSIBLE 2023:</w:t>
      </w:r>
      <w:r>
        <w:t xml:space="preserve"> The worldwide costs of dementia in 2019 — https://doi.org/10.1002/alz.12901</w:t>
      </w:r>
    </w:p>
    <w:p>
      <w:pPr/>
      <w:r>
        <w:rPr>
          <w:b/>
        </w:rPr>
        <w:t>Shared claim-specific concepts:</w:t>
      </w:r>
      <w:r>
        <w:t xml:space="preserve"> dementia, leading, cause, care; EU scope not established. This is a provisional connection, not an outcome finding.</w:t>
      </w:r>
    </w:p>
    <w:p>
      <w:pPr>
        <w:pStyle w:val="SourceNote"/>
      </w:pPr>
      <w:r>
        <w:rPr>
          <w:b/>
        </w:rPr>
        <w:t>Available abstract (not full text):</w:t>
      </w:r>
      <w:r>
        <w:t xml:space="preserve"> INTRODUCTION: Dementia is a leading cause of death and disability globally. Estimating total societal costs demonstrates the wide impact of dementia and its main direct and indirect economic components. METHODS: We constructed a global cost model for dementia, presenting costs as cumulated global and regional costs. RESULTS: In 2019, the annual global societal costs of dementia were estimated at US $1313.4 billion for 55.2 million people with dementia, corresponding to US $23,796 per person with dementia. Of the total, US $213.2 billion (16%) were direct medical costs, US $448.7 billion (34%) direct social sector costs (including long-term care), and US $651.4 billion (50%) costs of informal care. DISCUSSION: The huge costs of dementia worldwide place enormous strains on care systems and families alike. Although most people with dementia live in low- and middle-income countries, highest total and per-person costs are seen in high-income countries. HIGHLIGHTS: Global economic costs of dementia were estimated to reach US $1313.4 in 2019. Sixty-one percent of people with dementia live in low-and middle-income countries, whereas 74% of the costs occur in high-income countries. The impact of informal care accounts for about 50% of the global costs. The development of a long-term care infrastructure is a great challenge for low-and middle-income countries. There is a great need for m</w:t>
      </w:r>
    </w:p>
    <w:p>
      <w:pPr/>
      <w:r>
        <w:rPr>
          <w:b/>
        </w:rPr>
        <w:t>POSSIBLE 2023:</w:t>
      </w:r>
      <w:r>
        <w:t xml:space="preserve"> Dementia: Dementia Types. — https://openalex.org/W4388801546</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Dementia, also called major neurocognitive disorder, is characterized by a chronic progressive loss of cognitive function in the absence of fluctuating consciousness. It represents a primarily geriatric syndrome that may be caused by one of several underlying conditions. There is insufficient evidence to support universal screening for cognitive impairment in older adults; however, clinicians should be alert to patient and caregiver concerns about cognitive changes and investigate such concerns with validated cognitive assessment tools. Alzheimer disease is the leading cause and prototypical form of dementia, presenting insidiously and causing progressive cognitive impairment with increasing severity over a period of years. Vascular dementia is the second most common form of dementia and often co-occurs with other progressive cognitive disorders. Lewy body dementias encompass Parkinson disease dementia and dementia with Lewy bodies, which have similar features and are differentiated primarily by the order of motor and cognitive symptom onset. Frontotemporal dementias occur earlier than other forms of dementia, progress rapidly, and often have a genetic component. An understanding of the conditions that cause dementia will assist clinicians in making an accurate diagnosis and providing appropriate treatment recommendations and counseling regarding the diagnosis and prognosis.</w:t>
      </w:r>
    </w:p>
    <w:p>
      <w:pPr/>
      <w:r>
        <w:rPr>
          <w:b/>
        </w:rPr>
        <w:t>POSSIBLE 2023:</w:t>
      </w:r>
      <w:r>
        <w:t xml:space="preserve"> The use of neuroimaging techniques in the early and differential diagnosis of dementia — https://doi.org/10.1038/s41380-023-02215-8</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Abstract Dementia is a leading cause of disability and death worldwide. At present there is no disease modifying treatment for any of the most common types of dementia such as Alzheimer’s disease (AD), Vascular dementia, Lewy Body Dementia (LBD) and Frontotemporal dementia (FTD). Early and accurate diagnosis of dementia subtype is critical to improving clinical care and developing better treatments. Structural and molecular imaging has contributed to a better understanding of the pathophysiology of neurodegenerative dementias and is increasingly being adopted into clinical practice for early and accurate diagnosis. In this review we summarise the contribution imaging has made with particular focus on multimodal magnetic resonance imaging (MRI) and positron emission tomography imaging (PET). Structural MRI is widely used in clinical practice and can help exclude reversible causes of memory problems but has relatively low sensitivity for the early and differential diagnosis of dementia subtypes. 18 F-fluorodeoxyglucose PET has high sensitivity and specificity for AD and FTD, while PET with ligands for amyloid and tau can improve the differential diagnosis of AD and non-AD dementias, including recognition at prodromal stages. Dopaminergic imaging can assist with the diagnosis of LBD. The lack of a validated tracer for α-synuclein or TAR DNA-binding protein 43 (TDP-43) imaging rema</w:t>
      </w:r>
    </w:p>
    <w:p>
      <w:pPr/>
      <w:r>
        <w:rPr>
          <w:b/>
        </w:rPr>
        <w:t>POSSIBLE 2023:</w:t>
      </w:r>
      <w:r>
        <w:t xml:space="preserve"> Dementia Related Deaths: A Multiple Cause Coding Study — https://doi.org/10.52403/ijhsr.20231034</w:t>
      </w:r>
    </w:p>
    <w:p>
      <w:pPr/>
      <w:r>
        <w:rPr>
          <w:b/>
        </w:rPr>
        <w:t>Shared claim-specific concepts:</w:t>
      </w:r>
      <w:r>
        <w:t xml:space="preserve"> dementia, leading, cause, mortality, disease, all; EU scope not established. This is a provisional connection, not an outcome finding.</w:t>
      </w:r>
    </w:p>
    <w:p>
      <w:pPr>
        <w:pStyle w:val="SourceNote"/>
      </w:pPr>
      <w:r>
        <w:rPr>
          <w:b/>
        </w:rPr>
        <w:t>Available abstract (not full text):</w:t>
      </w:r>
      <w:r>
        <w:t xml:space="preserve"> Background: A multiple cause coding of death certificates is a new way of looking at mortality statistics. Death is attributed to a network of interacting pathological conditions, not just to one disease. For dementia - the leading cause of death in many countries today - this implies a revaluation on its role as cause of death. Methods: All records mentioning dementia in the 2014-2017 Dutch cause-of-death registry were selected (n = 98 718, 18% of all records). Two internationals agreed on measures for multiple cause coding were calculated: the standardized rate of dementia begin mentioned versus dementia being underlying cause of death (SRMU) and the cause of death association index (CDAI) for relationships between dementia and other diseases or disorders mentioned on the same death certificate. Results: Dementia was the underlying cause of death in 59% of the death certificates mentioning dementia. The SRMU was 1.68 for all forms of dementia and decreased with an increase of diagnostic specification. For men the SRMU was higher than for women. With regard to all causes being mentioned on a death certificate, several clusters causing death could be identified: 1. Dementia associated with cachexia and dehydration, 2. Dementia associated with infections (pneumonia, urinary tract), 3. Dementia associated with falls, 4. Dementia associated with cardiovascular disorders. Conclusio</w:t>
      </w:r>
    </w:p>
    <w:p>
      <w:pPr/>
      <w:r>
        <w:rPr>
          <w:b/>
        </w:rPr>
        <w:t>POSSIBLE 2023:</w:t>
      </w:r>
      <w:r>
        <w:t xml:space="preserve"> Dementia in Diabetes: The Role of Hypoglycemia — https://doi.org/10.3390/ijms24129846</w:t>
      </w:r>
    </w:p>
    <w:p>
      <w:pPr/>
      <w:r>
        <w:rPr>
          <w:b/>
        </w:rPr>
        <w:t>Shared claim-specific concepts:</w:t>
      </w:r>
      <w:r>
        <w:t xml:space="preserve"> dementia, leading, cause, mortality; EU scope not established. This is a provisional connection, not an outcome finding.</w:t>
      </w:r>
    </w:p>
    <w:p>
      <w:pPr>
        <w:pStyle w:val="SourceNote"/>
      </w:pPr>
      <w:r>
        <w:rPr>
          <w:b/>
        </w:rPr>
        <w:t>Available abstract (not full text):</w:t>
      </w:r>
      <w:r>
        <w:t xml:space="preserve"> Hypoglycemia, a common consequence of diabetes treatment, is associated with severe morbidity and mortality and has become a major barrier to intensifying antidiabetic therapy. Severe hypoglycemia, defined as abnormally low blood glucose requiring the assistance of another person, is associated with seizures and comas, but even mild hypoglycemia can cause troubling symptoms such as anxiety, palpitations, and confusion. Dementia generally refers to the loss of memory, language, problem-solving, and other cognitive functions, which can interfere with daily life, and there is growing evidence that diabetes is associated with an increased risk of both vascular and non-vascular dementia. Neuroglycopenia resulting from a hypoglycemic episode in diabetic patients can lead to the degeneration of brain cells, with a resultant cognitive decline, leading to dementia. In light of new evidence, a deeper understating of the relationship between hypoglycemia and dementia can help to inform and guide preventative strategies. In this review, we discuss the epidemiology of dementia among patients with diabetes, and the emerging mechanisms thought to underlie the association between hypoglycemia and dementia. Furthermore, we discuss the risks of various pharmacological therapies, emerging therapies to combat hypoglycemia-induced dementia, as well as risk minimization strategies.</w:t>
      </w:r>
    </w:p>
    <w:p>
      <w:pPr/>
      <w:r>
        <w:rPr>
          <w:b/>
        </w:rPr>
        <w:t>POSSIBLE 2022:</w:t>
      </w:r>
      <w:r>
        <w:t xml:space="preserve"> Occupational Therapy Utilization in Veterans With Dementia: A Retrospective Review of Root Cause Analyses of Falls Leading to Adverse Events. — https://doi.org/10.1097/pts.0000000000000860</w:t>
      </w:r>
    </w:p>
    <w:p>
      <w:pPr/>
      <w:r>
        <w:rPr>
          <w:b/>
        </w:rPr>
        <w:t>Shared claim-specific concepts:</w:t>
      </w:r>
      <w:r>
        <w:t xml:space="preserve"> dementia, leading, cause, mortality, health, all; EU scope not established. This is a provisional connection, not an outcome finding.</w:t>
      </w:r>
    </w:p>
    <w:p>
      <w:pPr>
        <w:pStyle w:val="SourceNote"/>
      </w:pPr>
      <w:r>
        <w:rPr>
          <w:b/>
        </w:rPr>
        <w:t>Available abstract (not full text):</w:t>
      </w:r>
      <w:r>
        <w:t xml:space="preserve"> INTRODUCTION: Falls in persons with dementia are associated with increased mortality. Occupational therapy (OT) is a rehabilitation discipline, which has, among its goals, the promotion of safety and fall prevention in older adults and those with dementia. The purpose of this study was to evaluate root cause analysis (RCA) data to identify causes of falls with adverse events in patients with dementia who were referred to or receiving OT services within the Veterans Health Administration (VHA). METHODS: This study used retrospective review of RCAs within the National Center for Patient Safety database for the VHA. The RCA database was searched using these terms: falls with adverse events, dementia, and OT. Descriptive statistical analysis of demographic information, location, occurrence of orthopedic fracture, and mortality was used. All root causes were qualitatively categorized using thematic analysis of determined causes. RESULTS: Eighty RCAs were included in analysis. Mean age of veterans included was 80 years; 96% were male; 76% resulted in hip fracture; and 20% died as a result of the fall. Occupational therapy evaluations occurred within 7 days of admission to VHA and falls most frequently occurred within 4 days of OT evaluation. Most common causes included inappropriate or lack of equipment (21%), need for falls/rehabilitation assessment (20%), compliance/training to fal</w:t>
      </w:r>
    </w:p>
    <w:p>
      <w:pPr>
        <w:pStyle w:val="Heading2"/>
      </w:pPr>
      <w:r>
        <w:t>648.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2022:</w:t>
      </w:r>
      <w:r>
        <w:t xml:space="preserve"> Change in Global Environmental Politics — https://doi.org/10.1017/9781009165877</w:t>
      </w:r>
    </w:p>
    <w:p>
      <w:pPr/>
      <w:r>
        <w:rPr>
          <w:b/>
        </w:rPr>
        <w:t>Shared claim-specific concepts:</w:t>
      </w:r>
      <w:r>
        <w:t xml:space="preserve"> political, world; EU scope not established. This is a provisional connection, not an outcome finding.</w:t>
      </w:r>
    </w:p>
    <w:p>
      <w:pPr>
        <w:pStyle w:val="SourceNote"/>
      </w:pPr>
      <w:r>
        <w:rPr>
          <w:b/>
        </w:rPr>
        <w:t>Available abstract (not full text):</w:t>
      </w:r>
      <w:r>
        <w:t xml:space="preserve"> As wildfires rage, pollution thickens, and species disappear, the world confronts environmental crisis with a set of global institutions in urgent need of reform. Yet, these institutions have proved frustratingly resistant to change. Introducing the concept of Temporal Focal Points, Manulak shows how change occurs in world politics. By re-envisioning the role of timing and temporality in social relations, his analysis presents a new approach to understanding transformative phases in international cooperation. We may now be entering such a phase, he argues, and global actors must be ready to realize the opportunities presented. Charting the often colorful and intensely political history of change in global environmental politics, this book sheds new light on the actors and institutions that shape humanity's response to planetary decline. It will be of interest to scholars and advanced students of international relations, international organization and environmental politics and history.</w:t>
      </w:r>
    </w:p>
    <w:p>
      <w:pPr/>
      <w:r>
        <w:rPr>
          <w:b/>
        </w:rPr>
        <w:t>POSSIBLE 2022:</w:t>
      </w:r>
      <w:r>
        <w:t xml:space="preserve"> Livestock, methane, and climate change: The politics of global assessments — https://doi.org/10.1002/wcc.790</w:t>
      </w:r>
    </w:p>
    <w:p>
      <w:pPr/>
      <w:r>
        <w:rPr>
          <w:b/>
        </w:rPr>
        <w:t>Shared claim-specific concepts:</w:t>
      </w:r>
      <w:r>
        <w:t xml:space="preserve"> political, scientific; EU scope not established. This is a provisional connection, not an outcome finding.</w:t>
      </w:r>
    </w:p>
    <w:p>
      <w:pPr>
        <w:pStyle w:val="SourceNote"/>
      </w:pPr>
      <w:r>
        <w:rPr>
          <w:b/>
        </w:rPr>
        <w:t>Available abstract (not full text):</w:t>
      </w:r>
      <w:r>
        <w:t xml:space="preserve"> The relationship between livestock production and climate change is the subject of hot debate, with arguments for major shifts in diets and a reduction in livestock production. This Perspective examines how global assessments of livestock-derived methane emissions are framed, identifying assumptions and data gaps that influence standard life-cycle analysis approaches. These include inadequate data due to a focus on industrial not extensive systems; errors arising due to inappropriate emission factors being applied; questions of how global warming potentials are derived for different greenhouse gases and debates about what baselines are appropriate. The article argues for a holistic systems approach that takes account of diverse livestock systems-both intensive and extensive-including both positive and negative impacts. In particular, the potential benefits of extensive livestock systems are highlighted, including supporting livelihoods, providing high-quality nutrition, enhancing biodiversity, protecting landscapes, and sequestering carbon. By failing to differentiate between livestock systems, global assessments may mislead. Inappropriate measurement, verification and reporting processes linked to global climate change policy may in turn result in interventions that can undermine the livelihoods of extensive livestock-keepers in marginal areas, including mobile pastoralists. I</w:t>
      </w:r>
    </w:p>
    <w:p>
      <w:pPr/>
      <w:r>
        <w:rPr>
          <w:b/>
        </w:rPr>
        <w:t>POSSIBLE 2021:</w:t>
      </w:r>
      <w:r>
        <w:t xml:space="preserve"> Generic, growing, green?: The changing political economy of the global pesticide complex — https://doi.org/10.1080/03066150.2020.1839053</w:t>
      </w:r>
    </w:p>
    <w:p>
      <w:pPr/>
      <w:r>
        <w:rPr>
          <w:b/>
        </w:rPr>
        <w:t>Shared claim-specific concepts:</w:t>
      </w:r>
      <w:r>
        <w:t xml:space="preserve"> political, complex; EU scope not established. This is a provisional connection, not an outcome finding.</w:t>
      </w:r>
    </w:p>
    <w:p>
      <w:pPr>
        <w:pStyle w:val="SourceNote"/>
      </w:pPr>
      <w:r>
        <w:rPr>
          <w:b/>
        </w:rPr>
        <w:t>Available abstract (not full text):</w:t>
      </w:r>
      <w:r>
        <w:t xml:space="preserve"> Agriculture is now more dependent on pesticides than ever. The value of global pesticide imports increased 3x faster in the 2000s than in the 1990s. Structural transformations in the industry – including reduced innovation, increased regulatory costs, consolidation, and a dramatic shift to generic pesticides largely produced in China – have shifted prices, supply chains and formulations. The ‘supermarket revolution’, migration, and rising labor costs are driving an increase in demand. The result is a pesticide complex that is multipolar, where commodity chains and environmental impacts are less legible, requiring a hard look at the chemical nature of agrarian capitalism.</w:t>
      </w:r>
    </w:p>
    <w:p>
      <w:pPr/>
      <w:r>
        <w:rPr>
          <w:b/>
        </w:rPr>
        <w:t>POSSIBLE 2021:</w:t>
      </w:r>
      <w:r>
        <w:t xml:space="preserve"> The Climate Crisis, Renewable Energy, and the Changing Landscape of Global Energy Politics — https://doi.org/10.1177/03043754211040698</w:t>
      </w:r>
    </w:p>
    <w:p>
      <w:pPr/>
      <w:r>
        <w:rPr>
          <w:b/>
        </w:rPr>
        <w:t>Shared claim-specific concepts:</w:t>
      </w:r>
      <w:r>
        <w:t xml:space="preserve"> political, world, era, collapse, energy; EU scope not established. This is a provisional connection, not an outcome finding.</w:t>
      </w:r>
    </w:p>
    <w:p>
      <w:pPr>
        <w:pStyle w:val="SourceNote"/>
      </w:pPr>
      <w:r>
        <w:rPr>
          <w:b/>
        </w:rPr>
        <w:t>Available abstract (not full text):</w:t>
      </w:r>
      <w:r>
        <w:t xml:space="preserve"> Abstract This essay reviews three recent books on the changing landscape of global energy politics in the era of climate change. Key questions that the authors investigate include: how will the renewable energy transition reshape the global balance of power? How will political-economic interdependencies and geopolitical alignments shift? Will contemporary petro-states adapt or collapse? And what new patterns of peace and conflict may emerge in a decarbonized world order? The authors provide different perspectives on the likely speed of the energy transition and its geopolitical implications. However, they occlude deeper questions about the depth of the transformations needed to prevent climate catastrophe—particularly in the nature of capitalism and military power—and the potential for more radical perspectives on energy futures. In contrast, I will argue that we should advance a critical research agenda on the global energy transition that accounts for the possibility of more far-reaching transformations in the political-economic, military, and ideological bases of world politics and highlights diverse movements fighting for their realization. These possible transformations include (1) transitions to post-growth political economies; (2) a radical shrinkage of emissions-intensive military–industrial complexes; and (3) decolonizing ideologies of “progress.” If struggles for alte</w:t>
      </w:r>
    </w:p>
    <w:p>
      <w:pPr>
        <w:pStyle w:val="Heading2"/>
      </w:pPr>
      <w:r>
        <w:t>649.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demonstrate, climate, mitigation;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Natural Hazards in a Changing World: Methods for Analyzing Trends and Non‐Linear Changes — https://doi.org/10.1029/2023ef003553</w:t>
      </w:r>
    </w:p>
    <w:p>
      <w:pPr/>
      <w:r>
        <w:rPr>
          <w:b/>
        </w:rPr>
        <w:t>Shared claim-specific concepts:</w:t>
      </w:r>
      <w:r>
        <w:t xml:space="preserve"> types, dynamics, assess; EU scope visible. This is a provisional connection, not an outcome finding.</w:t>
      </w:r>
    </w:p>
    <w:p>
      <w:pPr>
        <w:pStyle w:val="SourceNote"/>
      </w:pPr>
      <w:r>
        <w:rPr>
          <w:b/>
        </w:rPr>
        <w:t>Available abstract (not full text):</w:t>
      </w:r>
      <w:r>
        <w:t xml:space="preserve"> Abstract Estimating the frequency and magnitude of natural hazards largely hinges on stationary models, which do not account for changes in the climatological, hydrological, and geophysical baseline conditions. Using five diverse case studies encompassing various natural hazard types, we present advanced statistical and machine learning methods to analyze and model transient states from long‐term inventory data. A novel storminess metric reveals increasing European winter windstorm severity from 1950 to 2010. Non‐stationary extreme value models quantify trends, seasonal shifts, and regional differences in extreme precipitation for Germany between 1941 and 2021. Utilizing quantile sampling and empirical mode decomposition on 148 years of daily weather and discharge data in the European Alps, we assess the impacts of changing snow cover, precipitation, and anthropogenic river network modifications on river runoff. Moreover, a probabilistic framework estimates return periods of glacier lake outburst floods in the Himalayas, demonstrating large differences in 100‐year flood levels. Utilizing a Bayesian change point algorithm, we track the onset of increased seismicity in the southern central United States and find correlation with wastewater injections into deep wells. In conclusion, data science reveals transient states for very different natural hazard types, characterized by div</w:t>
      </w:r>
    </w:p>
    <w:p>
      <w:pPr/>
      <w:r>
        <w:rPr>
          <w:b/>
        </w:rPr>
        <w:t>POSSIBLE 2023:</w:t>
      </w:r>
      <w:r>
        <w:t xml:space="preserve"> Reduced grazing and changes in the area of agroforestry in Europe — https://doi.org/10.3389/fenvs.2023.1258697</w:t>
      </w:r>
    </w:p>
    <w:p>
      <w:pPr/>
      <w:r>
        <w:rPr>
          <w:b/>
        </w:rPr>
        <w:t>Shared claim-specific concepts:</w:t>
      </w:r>
      <w:r>
        <w:t xml:space="preserve"> types, food, system;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Deep learning-based classification of atmospheric circulation types over Europe in a CMIP6 Large Ensemble — https://doi.org/10.5194/ems2023-327</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historical data, only very few studies examine future trends in the frequency distribution of these circulation types using climate models. Potential reasons for this, are the lack of an open-source classification method of the “Großwetterlagen” and their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classifying the “Großwetterlagen” using deep learning. We apply this method to the SMHI-LE, an initial-condition single-model large ensemble of the CMIP6 gener</w:t>
      </w:r>
    </w:p>
    <w:p>
      <w:pPr/>
      <w:r>
        <w:rPr>
          <w:b/>
        </w:rPr>
        <w:t>POSSIBLE 2022:</w:t>
      </w:r>
      <w:r>
        <w:t xml:space="preserve"> COSMOS-Europe: a European network of cosmic-ray neutron soil moisture sensors — https://doi.org/10.5194/essd-14-1125-2022</w:t>
      </w:r>
    </w:p>
    <w:p>
      <w:pPr/>
      <w:r>
        <w:rPr>
          <w:b/>
        </w:rPr>
        <w:t>Shared claim-specific concepts:</w:t>
      </w:r>
      <w:r>
        <w:t xml:space="preserve"> demonstrate, types, climate, presents; EU scope visible. This is a provisional connection, not an outcome finding.</w:t>
      </w:r>
    </w:p>
    <w:p>
      <w:pPr>
        <w:pStyle w:val="SourceNote"/>
      </w:pPr>
      <w:r>
        <w:rPr>
          <w:b/>
        </w:rPr>
        <w:t>Available abstract (not full text):</w:t>
      </w:r>
      <w:r>
        <w:t xml:space="preserve"> Abstract. Climate change increases the occurrence and severity of droughts due to increasing temperatures, altered circulation patterns, and reduced snow occurrence. While Europe has suffered from drought events in the last decade unlike ever seen since the beginning of weather recordings, harmonized long-term datasets across the continent are needed to monitor change and support predictions. Here we present soil moisture data from 66 cosmic-ray neutron sensors (CRNSs) in Europe (COSMOS-Europe for short) covering recent drought events. The CRNS sites are distributed across Europe and cover all major land use types and climate zones in Europe. The raw neutron count data from the CRNS stations were provided by 24 research institutions and processed using state-of-the-art methods. The harmonized processing included correction of the raw neutron counts and a harmonized methodology for the conversion into soil moisture based on available in situ information. In addition, the uncertainty estimate is provided with the dataset, information that is particularly useful for remote sensing and modeling applications. This paper presents the current spatiotemporal coverage of CRNS stations in Europe and describes the protocols for data processing from raw measurements to consistent soil moisture products. The data of the presented COSMOS-Europe network open up a manifold of potential applica</w:t>
      </w:r>
    </w:p>
    <w:p>
      <w:pPr/>
      <w:r>
        <w:rPr>
          <w:b/>
        </w:rPr>
        <w:t>POSSIBLE 2022:</w:t>
      </w:r>
      <w:r>
        <w:t xml:space="preserve"> Classification of atmospheric circulation types over Europe in a CMIP6 Large Ensemble using Deep Learning — https://doi.org/10.5194/egusphere-egu22-10421</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patterns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 data, only very few studies examine future trends in the frequency distribution of these circulation types using climate models. Among the potential limitations for the application of “Großwetterlagen” to climate models are the lack of an open-source classification method and the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the classification of the “Großwetterlagen” using deep learning and we apply this method to the SMHI-LENS, an initia</w:t>
      </w:r>
    </w:p>
    <w:p>
      <w:pPr/>
      <w:r>
        <w:rPr>
          <w:b/>
        </w:rPr>
        <w:t>POSSIBLE 2022:</w:t>
      </w:r>
      <w:r>
        <w:t xml:space="preserve"> Ellenberg‐type indicator values for European vascular plant species — https://doi.org/10.1111/jvs.13168</w:t>
      </w:r>
    </w:p>
    <w:p>
      <w:pPr/>
      <w:r>
        <w:rPr>
          <w:b/>
        </w:rPr>
        <w:t>Shared claim-specific concepts:</w:t>
      </w:r>
      <w:r>
        <w:t xml:space="preserve"> original, system, aims;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2021:</w:t>
      </w:r>
      <w:r>
        <w:t xml:space="preserve"> Scaling up nature-based solutions for climate-change adaptation: Potential and benefits in three European cities — https://doi.org/10.1016/j.ufug.2021.127450</w:t>
      </w:r>
    </w:p>
    <w:p>
      <w:pPr/>
      <w:r>
        <w:rPr>
          <w:b/>
        </w:rPr>
        <w:t>Shared claim-specific concepts:</w:t>
      </w:r>
      <w:r>
        <w:t xml:space="preserve"> types, quantities, along, climate, mitigation, aims; EU scope visible. This is a provisional connection, not an outcome finding.</w:t>
      </w:r>
    </w:p>
    <w:p>
      <w:pPr>
        <w:pStyle w:val="SourceNote"/>
      </w:pPr>
      <w:r>
        <w:rPr>
          <w:b/>
        </w:rPr>
        <w:t>Available abstract (not full text):</w:t>
      </w:r>
      <w:r>
        <w:t xml:space="preserve"> Many exemplary projects have demonstrated that Nature-based Solutions (NBS) can contribute to climate change adaptation, but now the challenge is to scale up their use. Setting realistic policy goals requires knowing the amount of different NBS types that can fit in the urban space and the benefits that can be expected. This research aims to assess the potential for a full-scale implementation of NBS for climate-change adaptation in European cities, the expected benefits and co-benefits, and how these quantities relate to the urban structure of the cities. We selected three case studies: Barcelona (Spain), Malmö (Sweden), and Utrecht (the Netherlands), and developed six scenarios that simulate the current condition, the full-scale implementation of different NBS strategies (i.e., installing green roofs, de-sealing parking areas, enhancing vegetation in urban parks, and planting street trees), and a combination of them. Then we applied spatially-explicit methods to assess, for each scenario, two climate change-related benefits, i.e. heat mitigation and stormwater regulation, and three co-benefits, namely carbon storage, biodiversity potential, and overall greenness. Finally, by breaking down the results per land use class, we investigated how the potential and benefits vary depending on the urban form. Most scenarios provide multiple benefits, but each one is characterized by a </w:t>
      </w:r>
    </w:p>
    <w:p>
      <w:pPr>
        <w:pStyle w:val="Heading2"/>
      </w:pPr>
      <w:r>
        <w:t>650.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2024:</w:t>
      </w:r>
      <w:r>
        <w:t xml:space="preserve"> Critical diameter for a single-tank molten salt storage – Parametric study on structural tank design — https://doi.org/10.1016/j.est.2024.113870</w:t>
      </w:r>
    </w:p>
    <w:p>
      <w:pPr/>
      <w:r>
        <w:rPr>
          <w:b/>
        </w:rPr>
        <w:t>Shared claim-specific concepts:</w:t>
      </w:r>
      <w:r>
        <w:t xml:space="preserve"> show, tank, best; EU scope not established. This is a provisional connection, not an outcome finding.</w:t>
      </w:r>
    </w:p>
    <w:p>
      <w:pPr>
        <w:pStyle w:val="SourceNote"/>
      </w:pPr>
      <w:r>
        <w:rPr>
          <w:b/>
        </w:rPr>
        <w:t>Available abstract (not full text):</w:t>
      </w:r>
      <w:r>
        <w:t xml:space="preserve"> Molten salt thermal energy storage (TES) is a cost-effective option for grid-connected storage in both concentrating solar power (CSP) plants and retrofitted thermal power plants in a multimegawatt scale. Current systems use two tanks (hot and cold), but future systems may use a single tank with a transient temperature profile (hot in the top and cold in the bottom) to reduce costs and space. However, the structural and mechanical design of large-scale molten salt single-tank storages at 560 °C has not been fully explored, and the impact of increasing the operating temperature to 620 °C is still uncertain. The challenge presented by a single tank is the existence of a temperature profile that results in a varying thermal expansion of the tank shell along its height. In the case of larger tanks, this discrepancy can reach a magnitude of centimeters, which in turn gives rise to bending moments. To the best of our knowledge, this study addresses the issue of bending stresses in large-sized high-temperature tanks with thermal stratification for the first time. The modelling approach is applied to single-tank CSP TES systems as a case study to evaluate the constraints imposed by tank size and wall thickness. With the help of experimentally validated numerical methods, it is revealed that a low thermocline thickness can be a limiting factor for large tank diameters. It is shown that </w:t>
      </w:r>
    </w:p>
    <w:p>
      <w:pPr/>
      <w:r>
        <w:rPr>
          <w:b/>
        </w:rPr>
        <w:t>POSSIBLE 2023:</w:t>
      </w:r>
      <w:r>
        <w:t xml:space="preserve"> Design and optimization of a type-C tank for liquid hydrogen marine transport — https://doi.org/10.1016/j.ijhydene.2023.05.102</w:t>
      </w:r>
    </w:p>
    <w:p>
      <w:pPr/>
      <w:r>
        <w:rPr>
          <w:b/>
        </w:rPr>
        <w:t>Shared claim-specific concepts:</w:t>
      </w:r>
      <w:r>
        <w:t xml:space="preserve"> outcomes, tank, transport; EU scope not established. This is a provisional connection, not an outcome finding.</w:t>
      </w:r>
    </w:p>
    <w:p>
      <w:pPr>
        <w:pStyle w:val="SourceNote"/>
      </w:pPr>
      <w:r>
        <w:rPr>
          <w:b/>
        </w:rPr>
        <w:t>Available abstract (not full text):</w:t>
      </w:r>
      <w:r>
        <w:t xml:space="preserve"> As one of the most promising renewable energy sources, hydrogen has the excellent environmental benefit of producing zero emissions. A key technical challenge in using hydrogen across sectors is placed on its storage technology. The storage temperature of liquid hydrogen (20 K, or −253 °C) is close to absolute zero so the storage materials and the insulation layers are subjected to extremely stringent requirements against the cryogenic behaviour of the medium. In this context, this research proposed to design a large liquid hydrogen type-C tank with AISI (American Iron and Steel Institution) type 316 L stainless steel as the metal barrier, using Vapor-Cooled Shield (VCS) and Rigid Polyurethane Foams (RPF) as the insulation layer. A parametric study on the design of the insulation layer was carried out by establishing a thermodynamic model. The effects of VCS location on heat ingress to the liquid hydrogen transport tank and insulation temperature distribution were investigated, and the optimal location of the VCS in the insulation was identified. Research outcomes finally suggest two optimal design schemes: (1) when the thickness of the insulation layer is determined, Self-evaporation Vapor-Cooled Shield (SVCS) and Forced-evaporation Vapor-Cooled Shield (FVCS) can reduce heat transfer by 47.84% and 85.86% respectively; (2) when the liquid hydrogen evaporation capacity is determ</w:t>
      </w:r>
    </w:p>
    <w:p>
      <w:pPr/>
      <w:r>
        <w:rPr>
          <w:b/>
        </w:rPr>
        <w:t>POSSIBLE 2022:</w:t>
      </w:r>
      <w:r>
        <w:t xml:space="preserve"> Teaching Acoustics at the EELISA THINK TANK on SUSTAINABLE BUILDINGS — https://doi.org/10.61782/fa.2023.1301</w:t>
      </w:r>
    </w:p>
    <w:p>
      <w:pPr/>
      <w:r>
        <w:rPr>
          <w:b/>
        </w:rPr>
        <w:t>Shared claim-specific concepts:</w:t>
      </w:r>
      <w:r>
        <w:t xml:space="preserve"> outcomes, tank, all; EU scope visible. This is a provisional connection, not an outcome finding.</w:t>
      </w:r>
    </w:p>
    <w:p>
      <w:pPr>
        <w:pStyle w:val="SourceNote"/>
      </w:pPr>
      <w:r>
        <w:rPr>
          <w:b/>
        </w:rPr>
        <w:t>Available abstract (not full text):</w:t>
      </w:r>
      <w:r>
        <w:t xml:space="preserve"> Building acoustics should be seen as a transversal discussion with all the disciplines involved in construction and introducing acoustics to non-acousticians in the construction industry is often challenging.This paper aims at describing the outcomes and methodology of teaching acoustics used during the THINK TANK on SUSTAINABLE BUILDINGS, an activity organized by EELISA, an alliance of Higher Education Institutions from different countries in Europe meant to define and implement a common model of European engineer rooted in society.The EELISA Community "SUSBCC.Technical and Social Challenges for Sustainable Buildings, Cities and Communities" together with the European Space Agency (ESA) planned and coordinated more than 30 workshops in Madrid ESA Headquarters, which were held between students, industry and scientific communities as well as wrap up and integrating sessions.</w:t>
      </w:r>
    </w:p>
    <w:p>
      <w:pPr/>
      <w:r>
        <w:rPr>
          <w:b/>
        </w:rPr>
        <w:t>POSSIBLE 2021:</w:t>
      </w:r>
      <w:r>
        <w:t xml:space="preserve"> The media and think tanks in China: The construction and propagation of a think tank — https://doi.org/10.1080/01296612.2021.1899785</w:t>
      </w:r>
    </w:p>
    <w:p>
      <w:pPr/>
      <w:r>
        <w:rPr>
          <w:b/>
        </w:rPr>
        <w:t>Shared claim-specific concepts:</w:t>
      </w:r>
      <w:r>
        <w:t xml:space="preserve"> show, tank, policies; EU scope not established. This is a provisional connection, not an outcome finding.</w:t>
      </w:r>
    </w:p>
    <w:p>
      <w:pPr>
        <w:pStyle w:val="SourceNote"/>
      </w:pPr>
      <w:r>
        <w:rPr>
          <w:b/>
        </w:rPr>
        <w:t>Available abstract (not full text):</w:t>
      </w:r>
      <w:r>
        <w:t xml:space="preserve"> With China's rapid growth as a regional and global power, think tanks in China have received increasing attention from politicians and academics, mostly due to the achievements of academic and processing policies. Recently, collaborations between the media and think tanks have become increasingly tight. This article aims to explore China's think tank industry and their relationship with the media by interviewing two members of staff from one of China’s most prominent think tanks and observing the Institute for six months. This study has found that China’s think tanks have a close relationship with the government and the media. The traditional Chinese Confucian culture and the "bureaucracy-oriented tradition" have a significant role in the think tanks' political behavior. This leads the think tanks to play the role of being an advocate of the government. Although social media, to some extent, liberalizes the work style of China's think tanks, the think tanks' use of social media still follows the traditional media logic to facilitate the government's interests. Overall, the study argues that Chinese think tanks show features of being a “Government-lead non-governmental organization" with a semi-official identity to complement the official authorities.</w:t>
      </w:r>
    </w:p>
    <w:p>
      <w:pPr>
        <w:pStyle w:val="Heading2"/>
      </w:pPr>
      <w:r>
        <w:t>651.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r>
        <w:rPr>
          <w:b/>
        </w:rPr>
        <w:t>POSSIBLE 2022:</w:t>
      </w:r>
      <w:r>
        <w:t xml:space="preserve"> Large-scale circulation patterns and their influence on European winter windstorm predictions — https://doi.org/10.1007/s00382-022-06455-2</w:t>
      </w:r>
    </w:p>
    <w:p>
      <w:pPr/>
      <w:r>
        <w:rPr>
          <w:b/>
        </w:rPr>
        <w:t>Shared claim-specific concepts:</w:t>
      </w:r>
      <w:r>
        <w:t xml:space="preserve"> prediction, events, weather; EU scope visible. This is a provisional connection, not an outcome finding.</w:t>
      </w:r>
    </w:p>
    <w:p>
      <w:pPr>
        <w:pStyle w:val="SourceNote"/>
      </w:pPr>
      <w:r>
        <w:rPr>
          <w:b/>
        </w:rPr>
        <w:t>Available abstract (not full text):</w:t>
      </w:r>
      <w:r>
        <w:t xml:space="preserve"> Abstract Severe winter windstorms are amongst the most damaging weather events for Europe and show significant interannual variability. While surface variables (temperature, precipitation) have been successfully predicted for some time now, predictability of severe windstorms caused by extra-tropical cyclones remains less well explored. This study investigates windstorm prediction skill of the UK Met Office Global Seasonal Forecast System Version 5 (GloSea5) for the Northeast-Atlantic and European region. Based on an objective Lagrangian tracking of severe, damage relevant windstorms, three storm parameters are analysed: windstorm frequency and two intensity measures. Firstly, skill based on direct tracking of simulated windstorms is diagnosed. Significant positive skill for storm frequency and intensity is found over an extended area at the downstream end of the storm track, i.e., from the UK to southern Scandinavia. The skill for frequency agrees well with previous studies for older model versions, while the results of event-based intensity are novel. Receiver Operating Characteristic Curves for three smaller regions reveal significant skill for high and low storm activity seasons. Second, skill of windstorm characteristics based on their multi-linear regressions to three dominant large-scale circulation patterns [i.e., the North Atlantic Oscillation (NAO), the Scandinavian P</w:t>
      </w:r>
    </w:p>
    <w:p>
      <w:pPr/>
      <w:r>
        <w:rPr>
          <w:b/>
        </w:rPr>
        <w:t>POSSIBLE 2022:</w:t>
      </w:r>
      <w:r>
        <w:t xml:space="preserve"> On the Intersection of Explainable and Reliable AI for Physical Fatigue Prediction — https://doi.org/10.1109/access.2022.3191907</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In the era of Industry 4.0, the use of Artificial Intelligence (AI) is widespread in occupational settings. Since dealing with human safety, explainability and trustworthiness of AI are even more important than achieving high accuracy. eXplainable AI (XAI) is investigated in this paper to detect physical fatigue during manual material handling task simulation. Besides comparing global rule-based XAI models (LLM and DT) to black-box models (NN, SVM, XGBoost) in terms of performance, we also compare global models with local ones (LIME over XGBoost). Surprisingly, global and local approaches achieve similar conclusions, in terms of feature importance. Moreover, an expansion from local rules to global rules is designed for Anchors, by posing an appropriate optimization method (Anchors coverage is enlarged from an original low value, 11%, up to 43%). As far as trustworthiness is concerned, rule sensitivity analysis drives the identification of optimized regions in the feature space, where physical fatigue is predicted with zero statistical error. The discovery of such “non-fatigue regions” helps certifying the organizational and clinical decision making.</w:t>
      </w:r>
    </w:p>
    <w:p>
      <w:pPr/>
      <w:r>
        <w:rPr>
          <w:b/>
        </w:rPr>
        <w:t>POSSIBLE 2022:</w:t>
      </w:r>
      <w:r>
        <w:t xml:space="preserve"> Data-Driven Prediction for Reliable Mission-Critical Communications — https://doi.org/10.54337/aau473636365</w:t>
      </w:r>
    </w:p>
    <w:p>
      <w:pPr/>
      <w:r>
        <w:rPr>
          <w:b/>
        </w:rPr>
        <w:t>Shared claim-specific concepts:</w:t>
      </w:r>
      <w:r>
        <w:t xml:space="preserve"> reliable, prediction, tool, power; EU scope visible. This is a provisional connection, not an outcome finding.</w:t>
      </w:r>
    </w:p>
    <w:p>
      <w:pPr>
        <w:pStyle w:val="SourceNote"/>
      </w:pPr>
      <w:r>
        <w:rPr>
          <w:b/>
        </w:rPr>
        <w:t>Available abstract (not full text):</w:t>
      </w:r>
      <w:r>
        <w:t xml:space="preserve"> 5G New Radio (NR) technology is expected to provide connectivity to a wide variety of services with different Quality of Service (QoS) requirements.For some applications, Key Performance Indicators (KPIs) such as reliability, latency, or data rate may have stringent targets, which will be challenging to meet with the existing Radio Resource Management (RRM), QoS, and mobility management procedures.These procedures are mostly reactive, i.e., a service degradation is only mitigated once it has already occurred.Having some prior knowledge of the network conditions that the User Equipment (UE) will experience can help avoid a situation that may be critical for the service.Specifically, the service could benefit from a more proactive QoS management in the so-called mission-critical communications, such as Vehicle-To-Everything (V2X) or Unmanned Aerial Vehicles (UAV) using cellular networks.The need for this approach is stated by associations and groups such as the 5G Automotive Association (5GAA) or the Aerial Connectivity Joint Activity (ACJA).Both consider a context where the network can predict changes in the QoS.A relevant parameter involved in the RRM decisions, as well as for QoS prediction, is the signal level experienced by a UE, typically expressed using the Reference Signal Received Power (RSRP).RSRP is a key metric, as it is used for several procedures such as cell select</w:t>
      </w:r>
    </w:p>
    <w:p>
      <w:pPr/>
      <w:r>
        <w:rPr>
          <w:b/>
        </w:rPr>
        <w:t>POSSIBLE 2022:</w:t>
      </w:r>
      <w:r>
        <w:t xml:space="preserve"> Omen: discovering sequential patterns with reliable prediction delays — https://doi.org/10.1007/s10115-022-01660-1</w:t>
      </w:r>
    </w:p>
    <w:p>
      <w:pPr/>
      <w:r>
        <w:rPr>
          <w:b/>
        </w:rPr>
        <w:t>Shared claim-specific concepts:</w:t>
      </w:r>
      <w:r>
        <w:t xml:space="preserve"> reliable, prediction, events; EU scope not established. This is a provisional connection, not an outcome finding.</w:t>
      </w:r>
    </w:p>
    <w:p>
      <w:pPr>
        <w:pStyle w:val="SourceNote"/>
      </w:pPr>
      <w:r>
        <w:rPr>
          <w:b/>
        </w:rPr>
        <w:t>Available abstract (not full text):</w:t>
      </w:r>
      <w:r>
        <w:t xml:space="preserve"> Abstract Suppose we are given a discrete-valued time series $$X $$ X of observed events and an equally long binary sequence $$Y $$ Y that indicates whether something of interest happened at that particular point in time. We consider the problem of mining serial episodes, sequential patterns allowing for gaps, from $$X $$ X that reliably predict those interesting events. Withreliablewe mean patterns that not only predictthatan interesting event is likely to follow, but in particular that we can also accurately tell howhow longuntil that event will happen. In other words, we are specifically interested in patterns with a highly skewed distribution of delays between pattern occurrences and predicted events. As it is unlikely that a single pattern can explain a complex real-world progress, we are after the smallest, least redundant set of such patterns that together explain the interesting events well. We formally define this problem in terms of the Minimum Description Length principle, by which we identify the best patterns as those that describe the occurrences of interesting events $$Y $$ Y most succinctly given the data over $$X $$ X . As neither discovering the optimal explanation of $$Y $$ Y given a set of patterns, nor the discovery of optimal pattern set are problems that allow for straightforward optimization, we break the problem in two and propose effective heuristics fo</w:t>
      </w:r>
    </w:p>
    <w:p>
      <w:pPr/>
      <w:r>
        <w:rPr>
          <w:b/>
        </w:rPr>
        <w:t>POSSIBLE 2021:</w:t>
      </w:r>
      <w:r>
        <w:t xml:space="preserve"> Seasonal prediction of European summer heatwaves — https://doi.org/10.1007/s00382-021-05828-3</w:t>
      </w:r>
    </w:p>
    <w:p>
      <w:pPr/>
      <w:r>
        <w:rPr>
          <w:b/>
        </w:rPr>
        <w:t>Shared claim-specific concepts:</w:t>
      </w:r>
      <w:r>
        <w:t xml:space="preserve"> prediction, tool, affecting; EU scope visible. This is a provisional connection, not an outcome finding.</w:t>
      </w:r>
    </w:p>
    <w:p>
      <w:pPr>
        <w:pStyle w:val="SourceNote"/>
      </w:pPr>
      <w:r>
        <w:rPr>
          <w:b/>
        </w:rPr>
        <w:t>Available abstract (not full text):</w:t>
      </w:r>
      <w:r>
        <w:t xml:space="preserve"> Abstract Under the influence of global warming, heatwaves are becoming a major threat in many parts of the world, affecting human health and mortality, food security, forest fires, biodiversity, energy consumption, as well as the production and transportation networks. Seasonal forecasting is a promising tool to help mitigate these impacts on society. Previous studies have highlighted some predictive capacity of seasonal forecast systems for specific strong heatwaves such as those of 2003 and 2010. To our knowledge, this study is thus the first of its kind to systematically assess the prediction skill of heatwaves over Europe in a state-of-the-art seasonal forecast system. One major prerequisite to do so is to appropriately define heatwaves. Existing heatwave indices, built to measure heatwave duration and severity, are often designed for specific impacts and thus have limited robustness for an analysis of heatwave variability. In this study, we investigate the seasonal prediction skill of European summer heatwaves in the ECMWF System 5 operational forecast system by means of several dedicated metrics, as well as its added-value compared to a simple statistical model based on the linear trend. We are able to show, for the first time, that seasonal forecasts initialized in early May can provide potentially useful information of summer heatwave propensity, which is the tendency o</w:t>
      </w:r>
    </w:p>
    <w:p>
      <w:pPr/>
      <w:r>
        <w:rPr>
          <w:b/>
        </w:rPr>
        <w:t>POSSIBLE 2021:</w:t>
      </w:r>
      <w:r>
        <w:t xml:space="preserve"> Reliable Evapotranspiration Predictions with a Probabilistic Machine Learning Framework — https://doi.org/10.3390/w13040557</w:t>
      </w:r>
    </w:p>
    <w:p>
      <w:pPr/>
      <w:r>
        <w:rPr>
          <w:b/>
        </w:rPr>
        <w:t>Shared claim-specific concepts:</w:t>
      </w:r>
      <w:r>
        <w:t xml:space="preserve"> reliable, prediction, tool, radiation; EU scope not established. This is a provisional connection, not an outcome finding.</w:t>
      </w:r>
    </w:p>
    <w:p>
      <w:pPr>
        <w:pStyle w:val="SourceNote"/>
      </w:pPr>
      <w:r>
        <w:rPr>
          <w:b/>
        </w:rPr>
        <w:t>Available abstract (not full text):</w:t>
      </w:r>
      <w:r>
        <w:t xml:space="preserve"> Evapotranspiration is often expressed in terms of reference crop evapotranspiration (ETo), actual evapotranspiration (ETa), or surface water evaporation (Esw), and their reliable predictions are critical for groundwater, irrigation, and aquatic ecosystem management in semi-arid regions. We demonstrated that a newly developed probabilistic machine learning (ML) model, using a hybridized “boosting” framework, can simultaneously predict the daily ETo, Esw, &amp; ETa from local hydroclimate data with high accuracy. The probabilistic approach exhibited great potential to overcome data uncertainties, in which 100% of the ETo, 89.9% of the Esw, and 93% of the ETa test data at three watersheds were within the models’ 95% prediction intervals. The modeling results revealed that the hybrid boosting framework can be used as a reliable computational tool to predict ETo while bypassing net solar radiation calculations, estimate Esw while overcoming uncertainties associated with pan evaporation &amp; pan coefficients, and predict ETa while offsetting high capital &amp; operational costs of EC towers. In addition, using the Shapley analysis built on a coalition game theory, we identified the order of importance and interactions between the hydroclimatic variables to enhance the models’ transparency and trustworthiness.</w:t>
      </w:r>
    </w:p>
    <w:p>
      <w:pPr>
        <w:pStyle w:val="Heading2"/>
      </w:pPr>
      <w:r>
        <w:t>652.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2023:</w:t>
      </w:r>
      <w:r>
        <w:t xml:space="preserve"> The Compliance of Lithuanian Environmental NGO’s Objectives with European Green Deal — https://doi.org/10.5755/j01.eis.1.17.34002</w:t>
      </w:r>
    </w:p>
    <w:p>
      <w:pPr/>
      <w:r>
        <w:rPr>
          <w:b/>
        </w:rPr>
        <w:t>Shared claim-specific concepts:</w:t>
      </w:r>
      <w:r>
        <w:t xml:space="preserve"> one, key, objectives, economy; EU scope visible. This is a provisional connection, not an outcome finding.</w:t>
      </w:r>
    </w:p>
    <w:p>
      <w:pPr>
        <w:pStyle w:val="SourceNote"/>
      </w:pPr>
      <w:r>
        <w:rPr>
          <w:b/>
        </w:rPr>
        <w:t>Available abstract (not full text):</w:t>
      </w:r>
      <w:r>
        <w:t xml:space="preserve"> European Commission in 2019 has developed an ambitious strategy for sustainable economic growth - the European Green Deal. It sets out two key objectives: to make Europe the first climate-neutral continent, with zero net greenhouse gas emissions by 2050 and to decouple economic growth from resource use. While the responsible authorities will be taking the relevant decisions, citizens must also do their part by changing their habits, protecting the environment and conserving natural resources. The Green Deal implementation’s success requires the participation and commitment of the public. There are eight main Green Deal initiatives / policy areas, which need to be transferred to Lithuanian law (Increasing the EU’s climate ambition for 2030 and 2050; Building and renovating in an energy and recourse efficient way; From “Farm to Fork”: a fair, healthy and environmentally friendly food system; Accelerating the shift for sustainable and smart mobility; Supplying clean, affordable and sustainable energy; Mobilizing industry for a clean and circular economy; Preserving and restoring ecosystems and biodiversity; A zero pollution ambition for a toxic free environment). The main tasks of this article were to identify the main goals and initiatives of the European Green Deal, to perform a content analysis of Lithuanian environmental NGOs and their activity goals and present conclusions. P</w:t>
      </w:r>
    </w:p>
    <w:p>
      <w:pPr/>
      <w:r>
        <w:rPr>
          <w:b/>
        </w:rPr>
        <w:t>POSSIBLE 2023:</w:t>
      </w:r>
      <w:r>
        <w:t xml:space="preserve"> The European Union One Health 2022 Zoonoses Report — https://doi.org/10.2903/j.efsa.2023.8442</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Multi-objective optimization of an energy community: an integrated and dynamic approach for full decarbonisation in the European Alps — https://doi.org/10.54337/ijsepm.7607</w:t>
      </w:r>
    </w:p>
    <w:p>
      <w:pPr/>
      <w:r>
        <w:rPr>
          <w:b/>
        </w:rPr>
        <w:t>Shared claim-specific concepts:</w:t>
      </w:r>
      <w:r>
        <w:t xml:space="preserve"> one, key, total; EU scope visible. This is a provisional connection, not an outcome finding.</w:t>
      </w:r>
    </w:p>
    <w:p>
      <w:pPr>
        <w:pStyle w:val="SourceNote"/>
      </w:pPr>
      <w:r>
        <w:rPr>
          <w:b/>
        </w:rPr>
        <w:t>Available abstract (not full text):</w:t>
      </w:r>
      <w:r>
        <w:t xml:space="preserve"> At the local level, energy communities are at the forefront of the European Green Deal strategy offering new opportunities for citizens to get actively involved in energy markets. The scope of this study is to propose a multi-objective optimization framework to minimize both carbon dioxide emissions and total annual costs in an energy community, considering, within different constraints, a wide availability of decision variables including local renewable energy sources, sector coupling, storage and hydrogen. The methodology involves the coupling of the software EnergyPLAN with a multi-objective evolutionary algorithm, considering 2030 and 2050 as target years and modelling a set of eight types of scenarios, each consisting of 100 optimal systems out of 10,000. The case study is an energy community in the European Alps. The results show, on the one hand, the key role of sector coupling technologies such as cogeneration, heat pumps and electric vehicles in exploiting local renewable energy sources and, on the other hand, the higher costs in introducing both electricity storage to achieve a complete decarbonisation and hydrogen as an alternative strategy in the electricity, thermal and transport sectors.</w:t>
      </w:r>
    </w:p>
    <w:p>
      <w:pPr/>
      <w:r>
        <w:rPr>
          <w:b/>
        </w:rPr>
        <w:t>POSSIBLE 2022:</w:t>
      </w:r>
      <w:r>
        <w:t xml:space="preserve"> Supporting access to key pan-European research infrastructures and international cooperation — https://doi.org/10.1051/epjn/2022032</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Large research infrastructures, especially nuclear ones, are extremely expensive to build and operate. Therefore, to develop expertise and competences in nuclear research is more efficient to have a limited number of complementary specialized large nuclear research infrastructures, shared by European researchers from different countries. This paper describes three different actions to improve the European collaboration in the experimental nuclear research, namely open access to the nuclear research infrastructure of the JRC, the optimization of the use of research reactors in Europe and operation planning of the Jules Horowitz reactor currently under construction. Supporting access to key pan-European research infrastructures strengthens research and innovation, avoiding duplication and optimising resources. It contributes to the European Research Area (ERA) and the European Strategy Forum on Research Infrastructures (ESFRI), as well as to maintaining competence in the EU, which is one of the objectives of the Euratom research and training programme.</w:t>
      </w:r>
    </w:p>
    <w:p>
      <w:pPr/>
      <w:r>
        <w:rPr>
          <w:b/>
        </w:rPr>
        <w:t>POSSIBLE 2022:</w:t>
      </w:r>
      <w:r>
        <w:t xml:space="preserve"> The novelties of the regulation on health technology assessment, a key achievement for the European union health policies — https://doi.org/10.1515/cclm-2022-0228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Abstract Health technology assessment is a key tool for ensuring healthcare quality, accessibility, and sustainability. The novel European Union (EU) Health Technology Assessment (HTA) regulation of 15 December 2021, in harmonizing the laws of the Member States about the procedures and criteria for the evaluation of health technologies (i.e., medical devices and in vitro diagnostic tools), constitutes a significant achievement in the definition of EU health policies. On the one hand, for the European Union, it constitutes an essential driving force for the development of a competitive market for health technologies and, on the other, for European citizens, it guarantees the application of superordinate safety and quality standards with an impact positive on access to health technologies, including expressly also in vitro diagnostic medical devices classified in class D by art. 47 of Reg. (EU) 2017/746. As pointed out by the European Commissioner for Healthcare, the regulation identifies a new way for the Member States to cooperate on healthcare matters in the Union. The clinical efficacy and safety of drugs and devices are legal assets that today find their protection in a binding and directly applicable regulatory instrument, superordinate in the hierarchy of sources. Implementing the regulation will also be essential to achieve the objectives of the Union’s pharmaceutical str</w:t>
      </w:r>
    </w:p>
    <w:p>
      <w:pPr/>
      <w:r>
        <w:rPr>
          <w:b/>
        </w:rPr>
        <w:t>POSSIBLE 2022:</w:t>
      </w:r>
      <w:r>
        <w:t xml:space="preserve"> The Development of Renewable Energy Sources in the European Union in the Light of the European Green Deal — https://doi.org/10.3390/en15155576</w:t>
      </w:r>
    </w:p>
    <w:p>
      <w:pPr/>
      <w:r>
        <w:rPr>
          <w:b/>
        </w:rPr>
        <w:t>Shared claim-specific concepts:</w:t>
      </w:r>
      <w:r>
        <w:t xml:space="preserve"> one, key, union, transition; EU scope visible. This is a provisional connection, not an outcome finding.</w:t>
      </w:r>
    </w:p>
    <w:p>
      <w:pPr>
        <w:pStyle w:val="SourceNote"/>
      </w:pPr>
      <w:r>
        <w:rPr>
          <w:b/>
        </w:rPr>
        <w:t>Available abstract (not full text):</w:t>
      </w:r>
      <w:r>
        <w:t xml:space="preserve">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pPr/>
      <w:r>
        <w:rPr>
          <w:b/>
        </w:rPr>
        <w:t>POSSIBLE 2021:</w:t>
      </w:r>
      <w:r>
        <w:t xml:space="preserve"> FERTILIZER MANAGEMENT IN POLAND IN LIGHT OF EUROPEAN GREEN DEAL OBJECTIVES — https://doi.org/10.5604/01.3001.0015.2696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aim of the paper is to outline the problem areas of fertilizer management in Poland, taking the need to achieve European Green Deal (EGD) objectives into account. Fertilizer management is one of the key elements of future agricultural policy, to which the European Green Deal refers, and is closer to the Farm to Fork strategy. The emphasis on the need to promote rational fertilizer management in European documents stemmed from the pressures of this economic activity on the natural environment. The paper focuses on the main determinants of fertilizer management, including the costs and quantities of mineral fertilizers used and the results of the NPK fertilizer balance, using the gross balance and indicator method. The study used Statistics Poland data 2007 and 2016 from the Farm Structure Survey and agricultural accountancy FADN 2014-2019. It was found that, at the level of the agricultural sector, the results of fertilizer balances do not create surpluses and problematic issues concern a significant share of farms with an understated balance of main NPK macroelements. The expected reduction in the level of fertilization under the EGD may result in a reduction in production and economic performance from a farm and negatively affect the state of the natural environment. The fertilizer balance and nutrient efficiency level should be used as measurable indicators for setting re</w:t>
      </w:r>
    </w:p>
    <w:p>
      <w:pPr>
        <w:pStyle w:val="Heading2"/>
      </w:pPr>
      <w:r>
        <w:t>653.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2025:</w:t>
      </w:r>
      <w:r>
        <w:t xml:space="preserve"> The ‘Date’ on Two Dated Palmyran Funerary Reliefs — https://doi.org/10.34780/3j1vr152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Palmyran funerary reliefs – the bust of Ḥalīfat in the Freer Gallery of Art in Washington, D.C., and a now rejoined doublebust combining halves in the Ny Carlsberg Glyptotek, Copenhagen and at Stanford University – focusing on the discrepancy between the date of the deceased’s death, as provided by the accompanying inscription, and the actual date of carving.</w:t>
      </w:r>
    </w:p>
    <w:p>
      <w:pPr/>
      <w:r>
        <w:rPr>
          <w:b/>
        </w:rPr>
        <w:t>POSSIBLE 2025:</w:t>
      </w:r>
      <w:r>
        <w:t xml:space="preserve"> The Use of Articles in Toponymic Phrases in English and Albanian — https://doi.org/10.51558/2490-3647.2025.10.1.213</w:t>
      </w:r>
    </w:p>
    <w:p>
      <w:pPr/>
      <w:r>
        <w:rPr>
          <w:b/>
        </w:rPr>
        <w:t>Shared claim-specific concepts:</w:t>
      </w:r>
      <w:r>
        <w:t xml:space="preserve"> article, examines, two, also; EU scope not established. This is a provisional connection, not an outcome finding.</w:t>
      </w:r>
    </w:p>
    <w:p>
      <w:pPr>
        <w:pStyle w:val="SourceNote"/>
      </w:pPr>
      <w:r>
        <w:rPr>
          <w:b/>
        </w:rPr>
        <w:t>Available abstract (not full text):</w:t>
      </w:r>
      <w:r>
        <w:t xml:space="preserve"> This paper examines noun phrases functioning as toponyms in English and Albanian, with a particular focus on their degree of definiteness. By exploring the role of articles in achieving definiteness, the study conducts a contrastive analysis of article usage in these two languages. Given that the article is a complex grammatical category, acquired progressively across different linguistic levels, the paper aims to analyze and compare its role, grammatical function, and form, as well as the rules governing its use in toponymic phrases. Starting from the premise that English and Albanian belong to distinct language families, the study utilizes a corpus of sentence sets to investigate which linguistic factors influence the use of articles with geographical names. The findings reveal that, in Albanian, syntactic norms ‒ the function of toponymic phrases within sentences ‒ and pragmatic considerations play a significant role in determining article usage. In contrast, article application in English is shaped by the interplay of multiple linguistic disciplines, with semantics exerting the greatest influence. However, syntax also can play a role in dictating usage rules, while pragmatics and historical linguistics provide insights into exceptions and irregularities. This comparative study highlights the differing linguistic mechanisms that govern definiteness in English and Albanian to</w:t>
      </w:r>
    </w:p>
    <w:p>
      <w:pPr/>
      <w:r>
        <w:rPr>
          <w:b/>
        </w:rPr>
        <w:t>POSSIBLE 2024:</w:t>
      </w:r>
      <w:r>
        <w:t xml:space="preserve"> Use of AI Language Engine ChatGPT 4.0 to Write a Scientific Review Article Examining the Intersection of Alzheimer’s Disease and Bone — https://doi.org/10.1007/s11914-023-00853-z</w:t>
      </w:r>
    </w:p>
    <w:p>
      <w:pPr/>
      <w:r>
        <w:rPr>
          <w:b/>
        </w:rPr>
        <w:t>Shared claim-specific concepts:</w:t>
      </w:r>
      <w:r>
        <w:t xml:space="preserve"> article, two, but; EU scope not established. This is a provisional connection, not an outcome finding.</w:t>
      </w:r>
    </w:p>
    <w:p>
      <w:pPr>
        <w:pStyle w:val="SourceNote"/>
      </w:pPr>
      <w:r>
        <w:rPr>
          <w:b/>
        </w:rPr>
        <w:t>Available abstract (not full text):</w:t>
      </w:r>
      <w:r>
        <w:t xml:space="preserve"> PURPOSE OF REVIEW: This Comment represents three review articles on the relationship between Alzheimer's disease, osteoporosis, and fracture in an exploration of the benefits that AI can provide in scientific writing. The first drafts of the articles were written (1) entirely by humans; (2) entirely by ChatGPT 4.0 (AI-only or AIO); and (3) by humans and ChatGPT 4.0 whereby humans selected literature references, but ChatGPT 4.0 completed the writing (AI-assisted or AIA). Importantly, each review article was edited and carefully checked for accuracy by all co-authors resulting in a final manuscript which was significantly different from the original draft. RECENT FINDINGS: The human-written article took the most time from start to finish, the AI-only article took the least time, and the AI-assisted article fell between the two. When comparing first drafts to final drafts, the AI-only and AI-assisted articles had higher percentages of different text than the human article. The AI-only paper had a higher percentage of incorrect references in the first draft than the AI-assisted paper. The first draft of the AI-assisted article had a higher similarity score than the other two articles when examined by plagiarism identification software. This writing experiment used time tracking, human editing, and comparison software to examine the benefits and risks of using AI to assist in scient</w:t>
      </w:r>
    </w:p>
    <w:p>
      <w:pPr/>
      <w:r>
        <w:rPr>
          <w:b/>
        </w:rPr>
        <w:t>POSSIBLE 2024:</w:t>
      </w:r>
      <w:r>
        <w:t xml:space="preserve"> Determinante e doppio determinante nel code-switching arabo-italiano — https://doi.org/10.36253/qulso-2421-7220-16575</w:t>
      </w:r>
    </w:p>
    <w:p>
      <w:pPr/>
      <w:r>
        <w:rPr>
          <w:b/>
        </w:rPr>
        <w:t>Shared claim-specific concepts:</w:t>
      </w:r>
      <w:r>
        <w:t xml:space="preserve"> article, two, also; EU scope not established. This is a provisional connection, not an outcome finding.</w:t>
      </w:r>
    </w:p>
    <w:p>
      <w:pPr>
        <w:pStyle w:val="SourceNote"/>
      </w:pPr>
      <w:r>
        <w:rPr>
          <w:b/>
        </w:rPr>
        <w:t>Available abstract (not full text):</w:t>
      </w:r>
      <w:r>
        <w:t xml:space="preserve"> This article explores the phenomenon of code-switching, specifically focusing on bilingual Arabic-Italian determiner phrases which consist of a determiner, such as an article or a demonstrative, followed by a noun phrase as a complement. The data examined were selected from a corpus of Arabic-Italian spontaneous speech with the aim of (1) comparing and describing the characteristics and differences of the determiner systems of the two languages; (2) illustrating the features of code-switching in determiner phrases and the various types found in the collected data; and (3) studying the mutual influence of the two languages in contact contexts. The data analysis revealed two types of code-switching: switching at the beginning of a determiner phrase, where both the determiner and its complement are in the same language, and switching within a determiner phrase, where the determiner and the head noun are from different languages. This latter category also includes determiner phrases with double determiners, which will be analyzed in detail in this article to discuss the features of this linguistic structure in Arabic-Italian bilingual phrases.</w:t>
      </w:r>
    </w:p>
    <w:p>
      <w:pPr/>
      <w:r>
        <w:rPr>
          <w:b/>
        </w:rPr>
        <w:t>POSSIBLE 2023:</w:t>
      </w:r>
      <w:r>
        <w:t xml:space="preserve"> Two Approaches to Aesthetic Experience — https://doi.org/10.5406/15437809.57.4.01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Abstract This article examines two approaches to aesthetic experience, especially with respect to the practice of art criticism. The two approaches are (1) aesthetic experience construed as experience necessarily valued for its own sake and (2) aesthetic experience characterized in terms of its content. In this article, the content approach is defended as the one most suitable to the practice of art criticism.</w:t>
      </w:r>
    </w:p>
    <w:p>
      <w:pPr/>
      <w:r>
        <w:rPr>
          <w:b/>
        </w:rPr>
        <w:t>POSSIBLE 2023:</w:t>
      </w:r>
      <w:r>
        <w:t xml:space="preserve"> A Tale of Two Spice Towers — https://doi.org/10.3828/arsjudaica.2023.19.4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two spice towers in the collection of London’s Victoria and Albert Museum. The first of these (Inv. number 2090-1855) has been published as the earliest surviving example and the only one extant from Sepharad – an attribution that will be questioned. The second (Inv. number M.40&amp;:1-1951) is now exhibited as an Italian fifteenth-century spice tower which was later converted into a reliquary. This study will present the pair’s shifting identities as a cautionary tale for those seeking an accurate picture of Jewish material culture, in particular the Sephardi legacy.</w:t>
      </w:r>
    </w:p>
    <w:p>
      <w:pPr/>
      <w:r>
        <w:rPr>
          <w:b/>
        </w:rPr>
        <w:t>POSSIBLE 2021:</w:t>
      </w:r>
      <w:r>
        <w:t xml:space="preserve"> Comparing Learners’ Interactions in Conventional and Virtual Classes of Distance Education University: Examining Two Approaches of Teaching Grammar (Research Article) — https://doi.org/10.22034/elt.2021.44749.2352</w:t>
      </w:r>
    </w:p>
    <w:p>
      <w:pPr/>
      <w:r>
        <w:rPr>
          <w:b/>
        </w:rPr>
        <w:t>Shared claim-specific concepts:</w:t>
      </w:r>
      <w:r>
        <w:t xml:space="preserve"> article, two, education, also; EU scope not established. This is a provisional connection, not an outcome finding.</w:t>
      </w:r>
    </w:p>
    <w:p>
      <w:pPr>
        <w:pStyle w:val="SourceNote"/>
      </w:pPr>
      <w:r>
        <w:rPr>
          <w:b/>
        </w:rPr>
        <w:t>Available abstract (not full text):</w:t>
      </w:r>
      <w:r>
        <w:t xml:space="preserve"> Collaborative technologies provide opportunities for English foreign language learners (EFL) to have interactive learning and access to online interactive environments. Interactions that take place between teachers and their students in a classroom context affect learners’ language learning. As such, this research compared interactions between the instructor and her students and between students themselves that took place in conventional and Learning Management Systems (LMS) classes. Second, two different approaches of teaching grammar (implicit and explicit) in conventional and LMS classes were examined. The participants of this study were selected from 94 students of EFL freshmen at two groups of different teaching classes namely, virtual and conventional classes. Having administered a test of homogeneity, the researcher selected 60 learners. They were assigned into four groups, two experimental and two comparative groups. After the treatment, the results of the pre-and post-tests confirmed the positive effect of teaching grammar both explicitly and implicitly in LMS classes. In addition, examination of interaction patterns revealed that teaching through LMS was student-centered and dynamic in contradiction with the comparative groups. The study can help instructors understand the prospective benefits of teaching on LMS and also improve social interactions among uncommunicati</w:t>
      </w:r>
    </w:p>
    <w:p>
      <w:pPr>
        <w:pStyle w:val="Heading2"/>
      </w:pPr>
      <w:r>
        <w:t>654.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2025:</w:t>
      </w:r>
      <w:r>
        <w:t xml:space="preserve"> Application of the Analytical Hierarchy Process in the management of private ambulance care systems in three selected European countries: a strategic decision-making framework — https://doi.org/10.3389/fpubh.2025.1526586</w:t>
      </w:r>
    </w:p>
    <w:p>
      <w:pPr/>
      <w:r>
        <w:rPr>
          <w:b/>
        </w:rPr>
        <w:t>Shared claim-specific concepts:</w:t>
      </w:r>
      <w:r>
        <w:t xml:space="preserve"> three, strategic, integration, practices; EU scope visible. This is a provisional connection, not an outcome finding.</w:t>
      </w:r>
    </w:p>
    <w:p>
      <w:pPr>
        <w:pStyle w:val="SourceNote"/>
      </w:pPr>
      <w:r>
        <w:rPr>
          <w:b/>
        </w:rPr>
        <w:t>Available abstract (not full text):</w:t>
      </w:r>
      <w:r>
        <w:t xml:space="preserve"> Private ambulance services play a vital role in healthcare systems across Europe, supplementing public emergency services and providing essential medical transportation. However, managing these services presents significant challenges, including resource allocation, regulatory compliance, service quality, technological integration, workforce management, and financial sustainability. This study employs the Analytical Hierarchy Process (AHP) as a strategic decision-making tool to optimize the management of private ambulance services in Germany, Spain, and the United Kingdom. To achieve this, data were collected from 20 participants across the three countries (Germany: 7, Spain: 6, United Kingdom: 7), comprising ambulance service administrators, emergency medical personnel, and regulatory experts. A purposive sampling method was used to ensure the inclusion of key stakeholders with direct experience in the sector. Participants completed structured questionnaires involving pairwise comparisons of key decision criteria. Results reveal that Regulatory Compliance is the highest priority across all countries (Germany: 0.25, Spain: 0.22, UK: 0.20), followed by Service Quality, which is particularly emphasized in the UK (0.22) and Germany (0.20). Technological Integration is important in Spain (0.20), reflecting the need for advancements in underserved areas. While Workforce Management a</w:t>
      </w:r>
    </w:p>
    <w:p>
      <w:pPr/>
      <w:r>
        <w:rPr>
          <w:b/>
        </w:rPr>
        <w:t>POSSIBLE 2025:</w:t>
      </w:r>
      <w:r>
        <w:t xml:space="preserve"> Steering the Green Transition in the European Union? Analysis of the European Commission's Strategic Communication — https://doi.org/10.1111/rego.70107</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ABSTRACT This paper examines the strategic communication of the European Commission about developing a regulatory approach and financial instruments to foster the greening of the European economy over a period of 14 years (2009–2023). We investigate in‐depth the strategic communication of three European Commission Colleges led by Barroso, Juncker, and von der Leyen, respectively. We analyze an original dataset of 57 Commission Communications using qualitative content analysis. The paper demonstrates that, over the past 14 years, the EU's strategic agenda‐setting has moved away from a predominantly neoliberal approach of limited state involvement in the economy to one foreseeing more active state intervention, especially in the provision of financial resources and the design of integrated policies to guide the green transition. The findings highlight the crucial role of the Commission in steering the EU's climate action policies, as shown by the adoption of the European Green Deal in 2019.</w:t>
      </w:r>
    </w:p>
    <w:p>
      <w:pPr/>
      <w:r>
        <w:rPr>
          <w:b/>
        </w:rPr>
        <w:t>POSSIBLE 2023:</w:t>
      </w:r>
      <w:r>
        <w:t xml:space="preserve"> In Search of Digital Sovereignty and Strategic Autonomy: Normative Power Europe to the Test of Its Geopolitical Ambitions — https://doi.org/10.1111/jcms.13462</w:t>
      </w:r>
    </w:p>
    <w:p>
      <w:pPr/>
      <w:r>
        <w:rPr>
          <w:b/>
        </w:rPr>
        <w:t>Shared claim-specific concepts:</w:t>
      </w:r>
      <w:r>
        <w:t xml:space="preserve"> three, strategic, article; EU scope visible. This is a provisional connection, not an outcome finding.</w:t>
      </w:r>
    </w:p>
    <w:p>
      <w:pPr>
        <w:pStyle w:val="SourceNote"/>
      </w:pPr>
      <w:r>
        <w:rPr>
          <w:b/>
        </w:rPr>
        <w:t>Available abstract (not full text):</w:t>
      </w:r>
      <w:r>
        <w:t xml:space="preserve"> This article analyses the recent use of European Union (EU) terminology of digital sovereignty and strategic autonomy, aiming to identify tensions between policy considerations of fundamental rights, free market principles and geopolitical concerns. These tensions are rooted in the disparity between the EU's considerable economic and regulatory power in digital matters and its limited mandate and capabilities in foreign policy. The article also explores the translation of the notions of digital sovereignty and strategic autonomy into EU policy. It identifies three important trends in the geopoliticisation of the EU agenda on digital technologies: (1) the instrumental use of ‘classic’ internal market policies to exert geopolitical influence; (2) the imposition of foreign policy imperatives on national markets; and (3) new ‘hybrid’ digital policies that combine internal market concerns, fundamental rights and geopolitical concerns. Ultimately, digital sovereignty has inherent tensions with the EU's normative power in digital issues and may also result in a strategic cacophony.</w:t>
      </w:r>
    </w:p>
    <w:p>
      <w:pPr/>
      <w:r>
        <w:rPr>
          <w:b/>
        </w:rPr>
        <w:t>POSSIBLE 2022:</w:t>
      </w:r>
      <w:r>
        <w:t xml:space="preserve"> Cyber conflict short of war: a European strategic vacuum — https://doi.org/10.1080/09662839.2022.2031991</w:t>
      </w:r>
    </w:p>
    <w:p>
      <w:pPr/>
      <w:r>
        <w:rPr>
          <w:b/>
        </w:rPr>
        <w:t>Shared claim-specific concepts:</w:t>
      </w:r>
      <w:r>
        <w:t xml:space="preserve"> three, strategic, article, concludes; EU scope visible. This is a provisional connection, not an outcome finding.</w:t>
      </w:r>
    </w:p>
    <w:p>
      <w:pPr>
        <w:pStyle w:val="SourceNote"/>
      </w:pPr>
      <w:r>
        <w:rPr>
          <w:b/>
        </w:rPr>
        <w:t>Available abstract (not full text):</w:t>
      </w:r>
      <w:r>
        <w:t xml:space="preserve"> Cyber conflict short of war plays an increasingly important role in contemporary security politics. Dedicated to a study of three European NATO members – the Netherlands, France and Norway, this article expands the existing focus of the study of cyber conflict short of war beyond its dominating US context. It compares and assesses how the countries perceive and respond to a changing strategic environment characterised by increasing cyber conflict short of war. The analysis demonstrates that all three countries acknowledge that cyber operations short of war alter the strategic environment and challenge the idea of deploying offensive cyber capabilities as purely a warfare matter. However, it also identifies a strategic vacuum, as none of them have formulated strategies that describe in detail how military and intelligence entities are supposed to approach and manage the new strategic environment. The article asserts that the current lack of strategic guidance is a fundamental challenge that puts European societies at risk and undermines democratic governance as navigating the new space of strategic cyber competition is a significant challenge to contemporary European statecraft. It concludes by noting three avenues for how to ameliorate this situation and fill the vacuum.</w:t>
      </w:r>
    </w:p>
    <w:p>
      <w:pPr/>
      <w:r>
        <w:rPr>
          <w:b/>
        </w:rPr>
        <w:t>POSSIBLE 2022:</w:t>
      </w:r>
      <w:r>
        <w:t xml:space="preserve"> Strategic European counterterrorism? An empirical analysis — https://doi.org/10.1080/09662839.2022.2029847</w:t>
      </w:r>
    </w:p>
    <w:p>
      <w:pPr/>
      <w:r>
        <w:rPr>
          <w:b/>
        </w:rPr>
        <w:t>Shared claim-specific concepts:</w:t>
      </w:r>
      <w:r>
        <w:t xml:space="preserve"> three, strategic, strategy, article;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2022:</w:t>
      </w:r>
      <w:r>
        <w:t xml:space="preserve"> Between Europe and Asia: Narrow Spaces for Strategic Hedging in New Europe — https://doi.org/10.1080/19448953.2022.2129324</w:t>
      </w:r>
    </w:p>
    <w:p>
      <w:pPr/>
      <w:r>
        <w:rPr>
          <w:b/>
        </w:rPr>
        <w:t>Shared claim-specific concepts:</w:t>
      </w:r>
      <w:r>
        <w:t xml:space="preserve"> three, strategic, strategy, developing; EU scope visible. This is a provisional connection, not an outcome finding.</w:t>
      </w:r>
    </w:p>
    <w:p>
      <w:pPr>
        <w:pStyle w:val="SourceNote"/>
      </w:pPr>
      <w:r>
        <w:rPr>
          <w:b/>
        </w:rPr>
        <w:t>Available abstract (not full text):</w:t>
      </w:r>
      <w:r>
        <w:t xml:space="preserve"> Since the end of the Cold War, the former Soviet states of Europe, located at the crossroads of Europe and Asia, have been the site of a political game between the great powers, gradually developing a left-right strategy. This paper constructs the explanatory theory of hedging strategy and argues that post-socialist European countries, collectively referred to as ‘New Europe’, have navigated a middle way between balance and followup strategies called compound hedging. Starting at the regional scale, this paper discusses three issues, i.e., whether the new Europe has adopted a hedging strategy, why they adopt a hedging strategy, and the policy performance and effectiveness of hedging in the security and economic fields. Specifically, New Europe has implemented diversified fuzzy strategies amidst the transatlantic alliances and Eurasian powers, avoided security risks from Russia through cooperation with NATO, and balanced interest risks caused by European Union pressure through contacts with the United States, Russia, China and other countries. Although New Europe has realized certain practical strategic effects, it still faces difficulties (e.g., structural pressure changes, divergences between old and New Europe, and a lack of hedging capacities and motivations), and its policy space remains narrow and uncertain.</w:t>
      </w:r>
    </w:p>
    <w:p>
      <w:pPr/>
      <w:r>
        <w:rPr>
          <w:b/>
        </w:rPr>
        <w:t>POSSIBLE 2021:</w:t>
      </w:r>
      <w:r>
        <w:t xml:space="preserve"> 9 Developing Strategic Autonomy for European Sovereignty — https://doi.org/10.5771/9781538161777-173</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Will the increased economic connectivity across the Eurasian supercontinent transform Europe into the western peninsula of Greater Eurasia? The unipolar era entailed the US organising the two other major economic regions of the world, Europe and Asia, under US leadership. The rise of “the rest”, primarily Asia with China at the centre, has ended the unipolar era and even 500-years of Western dominance. China and Russia are leading efforts to integrate Europe and Asia into one large region. The Greater Eurasian region is constructed with three categories of economic connectivity – strategic industries built on new and disruptive technologies; physical connectivity with bimodal transportation corridors; and financial connectivity with new development banks, trading currencies and payments systems. China strives for geoeconomic leadership by replacing the US leadership position, while Russia endeavours to reposition itself from the dual periphery of Europe and Asia to the centre of a grand Eurasian geoeconomic constellation. Europe, positioned between the trans-Atlantic region and Greater Eurasia, has to adapt to the new international distribution of power to preserve its strategic autonomy.</w:t>
      </w:r>
    </w:p>
    <w:p>
      <w:pPr>
        <w:pStyle w:val="Heading2"/>
      </w:pPr>
      <w:r>
        <w:t>655.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2024:</w:t>
      </w:r>
      <w:r>
        <w:t xml:space="preserve"> Exploring the Nexus between Greenhouse Emissions, Environmental Degradation and Green Energy in Europe: A Critique of the Environmental Kuznets Curve — https://doi.org/10.3390/en17205109</w:t>
      </w:r>
    </w:p>
    <w:p>
      <w:pPr/>
      <w:r>
        <w:rPr>
          <w:b/>
        </w:rPr>
        <w:t>Shared claim-specific concepts:</w:t>
      </w:r>
      <w:r>
        <w:t xml:space="preserve"> degradation, energy, not; EU scope visible. This is a provisional connection, not an outcome finding.</w:t>
      </w:r>
    </w:p>
    <w:p>
      <w:pPr>
        <w:pStyle w:val="SourceNote"/>
      </w:pPr>
      <w:r>
        <w:rPr>
          <w:b/>
        </w:rPr>
        <w:t>Available abstract (not full text):</w:t>
      </w:r>
      <w:r>
        <w:t xml:space="preserve"> This study examines the intricate relationship between economic growth and European environmental degradation via the Environmental Kuznets Curve (EKC). Our results contest the traditional inverted U-shape model of the Environmental Kuznets Curve, indicating that the theory may not be consistently applicable across European countries. Utilizing CS-ARDL and MMQR modelling, we reveal substantial regional disparities. Western European nations demonstrate a typical Environmental Kuznets Curve (EKC) pattern in the short term, characterized by an initial increase in emissions alongside GDP development, followed by a subsequent fall. Conversely, Eastern and Balkan nations exhibit a U-shaped connection, described by an early decline in emissions followed by a subsequent increase as their development levels increase. The influence of renewable energy differs, as it decreases emissions in the short term in Western Europe. However, its long-term impacts are variable, especially when contrasted with its more pronounced effect on emissions in Eastern and Balkan countries. Furthermore, trade openness intensifies environmental degradation in the short-term across all regions, although its long-term impact diminishes, particularly concerning greenhouse gases (GHG). The relationship between renewable energy and trade openness is substantial for the short-term reduction of carbon dioxide emissio</w:t>
      </w:r>
    </w:p>
    <w:p>
      <w:pPr/>
      <w:r>
        <w:rPr>
          <w:b/>
        </w:rPr>
        <w:t>POSSIBLE 2024:</w:t>
      </w:r>
      <w:r>
        <w:t xml:space="preserve"> A screening method for plastic-degrading fungi — https://doi.org/10.1016/j.heliyon.2024.e31130</w:t>
      </w:r>
    </w:p>
    <w:p>
      <w:pPr/>
      <w:r>
        <w:rPr>
          <w:b/>
        </w:rPr>
        <w:t>Shared claim-specific concepts:</w:t>
      </w:r>
      <w:r>
        <w:t xml:space="preserve"> degradation, environment, water, not; EU scope not established. This is a provisional connection, not an outcome finding.</w:t>
      </w:r>
    </w:p>
    <w:p>
      <w:pPr>
        <w:pStyle w:val="SourceNote"/>
      </w:pPr>
      <w:r>
        <w:rPr>
          <w:b/>
        </w:rPr>
        <w:t>Available abstract (not full text):</w:t>
      </w:r>
      <w:r>
        <w:t xml:space="preserve"> The growing amount of plastic waste requires new ways of disposal or recycling. Research into the biodegradation of recalcitrant plastic polymers is gathering pace. Despite some progress, these efforts have not yet led to technologically and economically viable applications. In this study, we show that respirometric screening of environmental fungal isolates in combination with scanning electron microscopy (SEM), Fourier transform infrared spectroscopy (FTIR) and Raman spectroscopy can be used to identify new strains with the potential for the degradation of plastic polymers. We screened 146 fungal strains, 71 isolated from car repair shops, an environment rich in long-chain hydrocarbons, and 75 isolated from hypersaline water capable of growing at high concentrations of NaCl. When grown in a minimal medium with no carbon source, some strains produced significantly more CO 2 when a pure plastic polymer was added to the medium, some only at high salinity. A selection of these strains was shown by FTIR and Raman spectroscopy to alter the properties of plastic polymers: Cladosporium sp. EXF-13502 on polyamide, Rhodotorula dairenensis EXF-13500 on polypropylene, Rhodotorula sp. EXF-10630 on low-density polyethylene and Wickerhamomyces anomalus EXF-6848 on polyethylene terephthalate. Respirometry in combination with specific spectroscopic methods is an efficient method for screening</w:t>
      </w:r>
    </w:p>
    <w:p>
      <w:pPr/>
      <w:r>
        <w:rPr>
          <w:b/>
        </w:rPr>
        <w:t>POSSIBLE 2023:</w:t>
      </w:r>
      <w:r>
        <w:t xml:space="preserve"> Remote sensing of soil degradation: Progress and perspective — https://doi.org/10.1016/j.iswcr.2023.03.002</w:t>
      </w:r>
    </w:p>
    <w:p>
      <w:pPr/>
      <w:r>
        <w:rPr>
          <w:b/>
        </w:rPr>
        <w:t>Shared claim-specific concepts:</w:t>
      </w:r>
      <w:r>
        <w:t xml:space="preserve"> degradation, environment, security, health, food, not; EU scope not established. This is a provisional connection, not an outcome finding.</w:t>
      </w:r>
    </w:p>
    <w:p>
      <w:pPr>
        <w:pStyle w:val="SourceNote"/>
      </w:pPr>
      <w:r>
        <w:rPr>
          <w:b/>
        </w:rPr>
        <w:t>Available abstract (not full text):</w:t>
      </w:r>
      <w:r>
        <w:t xml:space="preserve"> Soils constitute one of the most critical natural resources and maintaining their health is vital for agricultural development and ecological sustainability, providing many essential ecosystem services. Driven by climatic variations and anthropogenic activities, soil degradation has become a global issue that seriously threatens the ecological environment and food security. Remote sensing (RS) technologies have been widely used to investigate soil degradation as it is highly efficient, time-saving, and broad-scope. This review encompasses recent advances and the state-of-the-art of ground, proximal, and novel RS techniques in soil degradation-related studies. We reviewed the RS-related indicators that could be used for monitoring soil degradation-related properties. The direct indicators (mineral composition, organic matter, surface roughness, and moisture content of soil) and indirect proxies (vegetation condition and land use/land cover change) for evaluating soil degradation were comprehensively summarized. The results suggest that these above indicators are effective for monitoring soil degradation, however, no indicators system has been established for soil degradation monitoring to date. We also discussed the RS's mechanisms, data, and methods for identifying specific soil degradation-related phenomena (e.g., soil erosion, salinization, desertification, and contamination)</w:t>
      </w:r>
    </w:p>
    <w:p>
      <w:pPr/>
      <w:r>
        <w:rPr>
          <w:b/>
        </w:rPr>
        <w:t>POSSIBLE 2023:</w:t>
      </w:r>
      <w:r>
        <w:t xml:space="preserve"> Vulnerability of microplastics on marine environment: A review — https://doi.org/10.1016/j.ecolind.2023.111058</w:t>
      </w:r>
    </w:p>
    <w:p>
      <w:pPr/>
      <w:r>
        <w:rPr>
          <w:b/>
        </w:rPr>
        <w:t>Shared claim-specific concepts:</w:t>
      </w:r>
      <w:r>
        <w:t xml:space="preserve"> environment, water; EU scope not established. This is a provisional connection, not an outcome finding.</w:t>
      </w:r>
    </w:p>
    <w:p>
      <w:pPr>
        <w:pStyle w:val="SourceNote"/>
      </w:pPr>
      <w:r>
        <w:rPr>
          <w:b/>
        </w:rPr>
        <w:t>Available abstract (not full text):</w:t>
      </w:r>
      <w:r>
        <w:t xml:space="preserve"> Microplastics (MPs), which are small plastic particles measuring less than 5 mm in size, have emerged as a significant environmental concern in marine ecosystems worldwide. The presence of MPs in aquatic environments has increased due to the contributions from anthropogenic and terrestrial sources, raising concerns about their abundance in aquatic organisms. MPs primarily originate from the photo-degradation of larger plastic debris (macroplastics), with their release into the environment often occurring through the breakdown of additive compounds. The ingestion of MPs poses eco-toxicological risks to marine organisms, causing damage to the gastrointestinal (GI) tracts and stomachs of affected organisms. Approximately 80 % of MPs originate from terrestrial sources, which can be classified as either primary sources, such as those generated during the production of skincare products, tires, and the use of MPs as carriers for pharmaceutical products, or secondary sources resulting from the improper disposal of plastics near coastal areas and water bodies. The issue of MPs and their potential effects on the marine ecosystem demands significant attention. In conclusion, this review provides a comprehensive overview of the vulnerability of microplastics in marine environments, consolidating the current understanding of their sources, distribution, fate, and ecological impacts. It emp</w:t>
      </w:r>
    </w:p>
    <w:p>
      <w:pPr/>
      <w:r>
        <w:rPr>
          <w:b/>
        </w:rPr>
        <w:t>POSSIBLE 2021:</w:t>
      </w:r>
      <w:r>
        <w:t xml:space="preserve"> Editorial: Plastics in the Environment: Understanding Impacts and Identifying Solutions — https://doi.org/10.3389/fenvs.2021.699971</w:t>
      </w:r>
    </w:p>
    <w:p>
      <w:pPr/>
      <w:r>
        <w:rPr>
          <w:b/>
        </w:rPr>
        <w:t>Shared claim-specific concepts:</w:t>
      </w:r>
      <w:r>
        <w:t xml:space="preserve"> degradation, environment, health; EU scope visible. This is a provisional connection, not an outcome finding.</w:t>
      </w:r>
    </w:p>
    <w:p>
      <w:pPr>
        <w:pStyle w:val="SourceNote"/>
      </w:pPr>
      <w:r>
        <w:rPr>
          <w:b/>
        </w:rPr>
        <w:t>Available abstract (not full text):</w:t>
      </w:r>
      <w:r>
        <w:t xml:space="preserve"> Understanding Impacts and Identifying SolutionsPlastics are one of the most widely used materials in the world which society will always be dependent on.This dependency has been clearly highlighted by the requirements for hygiene and protection during the recent global COVID pandemic (Adyel, 2020;Prata et al., 2020).Plastics are broadly integrated into today's lifestyle and are present in almost all consumer and industrial sectors and their production continues to increase (Geyer et al., 2017).Unfortunately, one of the characteristics of plastics that make them so useful-their durability-also ensures that they persist in the environment for very long periods of time.Additionally, and because of their low cost, many plastic objects have long been perceived as disposable.The consequence of this, coupled with the difficulty in developing effective waste management strategies, has been the ubiquitous contamination of the entire planet by plastic debris.Even if proposed global actions to recycle more plastic or prevent the export of plastic waste to countries with poorly developed waste infrastructure through the Basel Convention are implemented, plastic emissions are expected to increase for the foreseeable future unless significant breakthroughs in plastic design or waste management are realized (Lau et al., 2020).Increasing emissions also imply that exposure to plastic pollution </w:t>
      </w:r>
    </w:p>
    <w:p>
      <w:pPr>
        <w:pStyle w:val="Heading2"/>
      </w:pPr>
      <w:r>
        <w:t>656.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2021:</w:t>
      </w:r>
      <w:r>
        <w:t xml:space="preserve"> Barriers to ecological restoration in Europe: expert perspectives — https://doi.org/10.1111/rec.13346</w:t>
      </w:r>
    </w:p>
    <w:p>
      <w:pPr/>
      <w:r>
        <w:rPr>
          <w:b/>
        </w:rPr>
        <w:t>Shared claim-specific concepts:</w:t>
      </w:r>
      <w:r>
        <w:t xml:space="preserve"> number, level, all, different;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657.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2021:</w:t>
      </w:r>
      <w:r>
        <w:t xml:space="preserve"> Foresight Capacity Building — https://doi.org/10.5281/zenodo.6630549</w:t>
      </w:r>
    </w:p>
    <w:p>
      <w:pPr/>
      <w:r>
        <w:rPr>
          <w:b/>
        </w:rPr>
        <w:t>Shared claim-specific concepts:</w:t>
      </w:r>
      <w:r>
        <w:t xml:space="preserve"> foresight, project, covered, time;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Becoming a forerunner in foresight : Key elements of success in organizational foresight — https://openalex.org/W3175285991</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As previous foresight studies show, successful foresight activities are the key to organization’s long-term survival and increased performance. But what are the elements that constitute successful foresight? And furthermore, how organizations understand “foresight success”? This thesis approaches the issue of successful foresight in organizations by building an overview of factors that promote or hinder organizational foresight. The aim is to improve organizational foresight practices by increasing the understanding of foresight success elements. An organization that cultivates these elements can eventually transform into a forerunner in foresight. Foresight success and success factors are first examined through previous foresight studies and further considered through empirical material. The selected approach is qualitative inquiry: by interviewing 12 Finnish organizations of which six can be considered as forerunners in foresight, a deeper understanding of organizational foresight success is constructed. Empirical findings are further supported by theoretical framework of foresight maturity models, in which elements of foresight are depicted as organizational capabilities that develop over time. As a result, this study confirms the importance of factors identified in previous foresight research that promote, or conversely hinder, foresight successfulness in organizations. The</w:t>
      </w:r>
    </w:p>
    <w:p>
      <w:pPr/>
      <w:r>
        <w:rPr>
          <w:b/>
        </w:rPr>
        <w:t>POSSIBLE 2021:</w:t>
      </w:r>
      <w:r>
        <w:t xml:space="preserve"> Creativity, proactivity, and foresight — https://doi.org/10.1016/j.techfore.2021.121215</w:t>
      </w:r>
    </w:p>
    <w:p>
      <w:pPr/>
      <w:r>
        <w:rPr>
          <w:b/>
        </w:rPr>
        <w:t>Shared claim-specific concepts:</w:t>
      </w:r>
      <w:r>
        <w:t xml:space="preserve"> foresight, two, namely; EU scope not established. This is a provisional connection, not an outcome finding.</w:t>
      </w:r>
    </w:p>
    <w:p>
      <w:pPr>
        <w:pStyle w:val="SourceNote"/>
      </w:pPr>
      <w:r>
        <w:rPr>
          <w:b/>
        </w:rPr>
        <w:t>Available abstract (not full text):</w:t>
      </w:r>
      <w:r>
        <w:t xml:space="preserve"> This study addresses how foresight interventions can translate creativity into proactive behavior and, in this sense, foster anticipatory strategic management. We develop a theoretical model, linking creativity and proactivity with known discrete individual foresight cognitive styles, namely “Reactor”, “Tester”, “Adapter”, and “Framer”, but also add a new “Actor” dimension. The theoretical model is tested by analyzing quantitative data from 172 students attending two scenario-building workshops. Our SEM model allows us to formulate three conclusions. First, creativity is not directly linked to proactivity without considering individual foresight cognitive styles. Second, we confirm the presence of four components of foresight as discrete foresight cognitive styles but also demonstrate the importance of a fifth component, the “Actor”. Third, it is only through the “Tester”, “Adapter”, and “Actor” components that creative energy most significantly aids proactivity. This means that creativity most significantly aids proactivity when individuals are either able to experiment with alternative courses of action or change the conditions for how their respective futures may unfold. We contribute to the foresight literature by demonstrating how foresight, as a process of intervention, can foster discrete foresight cognitive styles at the individual level and moderate relationships betwe</w:t>
      </w:r>
    </w:p>
    <w:p>
      <w:pPr>
        <w:pStyle w:val="Heading2"/>
      </w:pPr>
      <w:r>
        <w:t>658.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r>
        <w:rPr>
          <w:b/>
        </w:rPr>
        <w:t>POSSIBLE 2023:</w:t>
      </w:r>
      <w:r>
        <w:t xml:space="preserve"> FEATURES OF THE RESPONSIBILITY FOR VIOLATIONS OF TAX LEGISLATION IN UKRAINE AND THE COUNTRIES OF THE EUROPEAN UNION: THE QUESTION OF GUILT — https://doi.org/10.32782/2524-0374/2023-1/78</w:t>
      </w:r>
    </w:p>
    <w:p>
      <w:pPr/>
      <w:r>
        <w:rPr>
          <w:b/>
        </w:rPr>
        <w:t>Shared claim-specific concepts:</w:t>
      </w:r>
      <w:r>
        <w:t xml:space="preserve"> accordingly, questions, arise, ukrainian; EU scope visible. This is a provisional connection, not an outcome finding.</w:t>
      </w:r>
    </w:p>
    <w:p>
      <w:pPr>
        <w:pStyle w:val="SourceNote"/>
      </w:pPr>
      <w:r>
        <w:rPr>
          <w:b/>
        </w:rPr>
        <w:t>Available abstract (not full text):</w:t>
      </w:r>
      <w:r>
        <w:t xml:space="preserve"> A particularly difficult issue in the study of the institution of responsibility in tax law is the question of the guilt of business entities -taxpayers.Since taxes are one of the financial instruments used to build relationships between economic entities and the state, the study of the issue of taxpayers' guilt is particularly relevant.Taxpayers are slowly adapting to changes in tax legislation that came into effect on January 1, 2021.One of the most discussed and radical novelties is the official legalization of the institution of guilt as a mandatory element of certain tax offenses and, accordingly, a necessary condition for holding taxpayers to financial responsibility.The Supreme Court has repeatedly emphasized that taxpayers exercise reasonable care, although the risks of choosing an unscrupulous counterparty lie with them.However, in practice, a situation often arises when regulatory authorities hold business entities -taxpayers to account for violations of tax legislation, without paying attention to the presence of guilt in the latter's actions or inactions.Thus, the introduction of the legal construction of guilt into the tax legislation of Ukraine significantly increased the quality of the legislative construction of the composition of the tax offense.However, the legal construction of the guilt of each of the mandatory elements of the composition of a tax offense mu</w:t>
      </w:r>
    </w:p>
    <w:p>
      <w:pPr/>
      <w:r>
        <w:rPr>
          <w:b/>
        </w:rPr>
        <w:t>POSSIBLE 2023:</w:t>
      </w:r>
      <w:r>
        <w:t xml:space="preserve"> To the question of political ideologies and their significance for the state — https://doi.org/10.52340/isj.2022.26.03</w:t>
      </w:r>
    </w:p>
    <w:p>
      <w:pPr/>
      <w:r>
        <w:rPr>
          <w:b/>
        </w:rPr>
        <w:t>Shared claim-specific concepts:</w:t>
      </w:r>
      <w:r>
        <w:t xml:space="preserve"> accordingly, questions, arise, about, based, first; EU scope visible. This is a provisional connection, not an outcome finding.</w:t>
      </w:r>
    </w:p>
    <w:p>
      <w:pPr>
        <w:pStyle w:val="SourceNote"/>
      </w:pPr>
      <w:r>
        <w:rPr>
          <w:b/>
        </w:rPr>
        <w:t>Available abstract (not full text):</w:t>
      </w:r>
      <w:r>
        <w:t xml:space="preserve"> The term "ideology" suggested the French thinker of the XVIII century. Destin de Tracy, named the new science of ideas. At the forefront of this concept was put forward in the XIX century. turbulent political life of Europe. Expand the concept of ideology gave Karl Marx and Friedrich Engels in his work "The German Ideology", where the term is used in a double meaning: first, idealistic world view, in which the idea of the world plays the role of a substance, and secondly, the type of socio-professional political thinking, when the subject is not aware of its conditionality economic class interests, but in reality it defends them. Such thinking creates a particular reality, substitute in the eyes of the people the true social reality, and thus prevents the realization of their real interests. However, Marx and his followers made an exception for the ideology of the proletariat, considering that the class consciousness of the proletariat coincides with the objective vision of reality, and the proletarian revolution has done away with all class consciousness and ideology in general. If we follow the logic of Marxism, it turns out that the proletarian ideology has the truth. In general, Marx recognized the possibility of relative truth of specific ideologies in specific historical conditions. Thus, the bourgeois ideology was true when it was historically progressive (in the era of </w:t>
      </w:r>
    </w:p>
    <w:p>
      <w:pPr/>
      <w:r>
        <w:rPr>
          <w:b/>
        </w:rPr>
        <w:t>POSSIBLE 2022:</w:t>
      </w:r>
      <w:r>
        <w:t xml:space="preserve"> English non-manner how-clauses as answers to deficient questions — https://doi.org/10.3765/salt.v31i0.5114</w:t>
      </w:r>
    </w:p>
    <w:p>
      <w:pPr/>
      <w:r>
        <w:rPr>
          <w:b/>
        </w:rPr>
        <w:t>Shared claim-specific concepts:</w:t>
      </w:r>
      <w:r>
        <w:t xml:space="preserve"> accordingly, questions, arise; EU scope not established. This is a provisional connection, not an outcome finding.</w:t>
      </w:r>
    </w:p>
    <w:p>
      <w:pPr>
        <w:pStyle w:val="SourceNote"/>
      </w:pPr>
      <w:r>
        <w:rPr>
          <w:b/>
        </w:rPr>
        <w:t>Available abstract (not full text):</w:t>
      </w:r>
      <w:r>
        <w:t xml:space="preserve"> English exhibits a variety of embedded how-clause that, while introduced by a canonically interrogative item, lacks an intuitive sense of interrogativity. This paper offers an analysis of the semantics of these clauses that is grounded interrogative semantics. On this view, how in these clauses introduces a degenerate, necessarily-singleton question set. Further, the paper observes that how here introduces a factive presupposition that cannot be reduced to the matrix predicate’s entailments. Accordingly, this paper supports a view on which factivity can arise from multiple sources. A diachronic-based account is also offered to explain the reccurence of how in non-manner embedded clauses cross-linguistically.</w:t>
      </w:r>
    </w:p>
    <w:p>
      <w:pPr/>
      <w:r>
        <w:rPr>
          <w:b/>
        </w:rPr>
        <w:t>POSSIBLE 2022:</w:t>
      </w:r>
      <w:r>
        <w:t xml:space="preserve"> Million dollar questions: why deliberation is more than information pooling — https://doi.org/10.1007/s00355-022-01392-9</w:t>
      </w:r>
    </w:p>
    <w:p>
      <w:pPr/>
      <w:r>
        <w:rPr>
          <w:b/>
        </w:rPr>
        <w:t>Shared claim-specific concepts:</w:t>
      </w:r>
      <w:r>
        <w:t xml:space="preserve"> questions, about, various; EU scope not established. This is a provisional connection, not an outcome finding.</w:t>
      </w:r>
    </w:p>
    <w:p>
      <w:pPr>
        <w:pStyle w:val="SourceNote"/>
      </w:pPr>
      <w:r>
        <w:rPr>
          <w:b/>
        </w:rPr>
        <w:t>Available abstract (not full text):</w:t>
      </w:r>
      <w:r>
        <w:t xml:space="preserve"> Abstract Models of collective deliberation often assume that the chief aim of a deliberative exchange is the sharing of information. In this paper, we argue that an equally important role of deliberation is to draw participants’ attention to pertinent questions, which can aid the assembly and processing of distributed information by drawing deliberators’ attention to new issues. The assumption of logical omniscience renders classical models of agents' informational states unsuitable for modelling this role of deliberation. Building on recent insights from psychology, linguistics and philosophy about the role of questions in speech and thought, we propose a different model in which beliefs are treated as answers directed at specific questions. Here, questions are formally represented as partitions of the space of possibilities and individuals’ information states as sets of questions and corresponding partial answers to them. The state of conversation is then characterised by individuals’ information together with the questions under discussion, which can be steered by various deliberative inputs. Using this model, deliberation is then shown to shape collective decisions in ways that classical models cannot capture, allowing for novel explanations of how group consensus is achieved.</w:t>
      </w:r>
    </w:p>
    <w:p>
      <w:pPr/>
      <w:r>
        <w:rPr>
          <w:b/>
        </w:rPr>
        <w:t>POSSIBLE 2022:</w:t>
      </w:r>
      <w:r>
        <w:t xml:space="preserve"> APPROACHES TO UNDERSTANDING NATIONAL MARTYRDOM: THEORETICAL AND EMPIRICAL ESSAY — https://doi.org/10.5281/zenodo.7472109</w:t>
      </w:r>
    </w:p>
    <w:p>
      <w:pPr/>
      <w:r>
        <w:rPr>
          <w:b/>
        </w:rPr>
        <w:t>Shared claim-specific concepts:</w:t>
      </w:r>
      <w:r>
        <w:t xml:space="preserve"> accordingly, questions, arise; EU scope visible. This is a provisional connection, not an outcome finding.</w:t>
      </w:r>
    </w:p>
    <w:p>
      <w:pPr>
        <w:pStyle w:val="SourceNote"/>
      </w:pPr>
      <w:r>
        <w:rPr>
          <w:b/>
        </w:rPr>
        <w:t>Available abstract (not full text):</w:t>
      </w:r>
      <w:r>
        <w:t xml:space="preserve"> Political martyrdom is a bright, but extremely little–researched phenomenon of world political, social and religious culture, which originates in the European New Age and is actively developing to this day. Since the XVIII century . it arose in a huge range of historical contexts: These are the "martyrs of freedom" in the era of the French Revolution, martyred presidents in the USA, heroes of the Easter Uprising of 1916 in Dublin, martyrdom in the fascist movements of Spain, Romania, Germany of the XX century, the civil religions of the USSR and China, as well as sacrificial ideologies in the context of decolonization and postcolonialism. Over time, the number of political cults of martyrs not only did not decrease, but also increased: Today, a civil holiday called "Martyrs' Day" is celebrated in more than 30 countries around the world, and related ideas continue to fuel many national liberation and separatist movements around the world - for example, Kurds, Tamils, Welsh, Catalans or Indian Maoists (Naxalites). Accordingly, questions arise – why do all these numerous nationalisms, established states and activist movements need martyrs, practices and ideologies associated with them? What is the nature of this new and newest martyrdom – religious, secular or otherwise? Finally, is the veneration of martyrs an expression of affect or a mobilization strategy that has some function</w:t>
      </w:r>
    </w:p>
    <w:p>
      <w:pPr/>
      <w:r>
        <w:rPr>
          <w:b/>
        </w:rPr>
        <w:t>POSSIBLE 2021:</w:t>
      </w:r>
      <w:r>
        <w:t xml:space="preserve"> Avian Coloration Genetics: Recent Advances and Emerging Questions — https://doi.org/10.1093/jhered/esab015</w:t>
      </w:r>
    </w:p>
    <w:p>
      <w:pPr/>
      <w:r>
        <w:rPr>
          <w:b/>
        </w:rPr>
        <w:t>Shared claim-specific concepts:</w:t>
      </w:r>
      <w:r>
        <w:t xml:space="preserve"> accordingly, questions, arise, among; EU scope not established. This is a provisional connection, not an outcome finding.</w:t>
      </w:r>
    </w:p>
    <w:p>
      <w:pPr>
        <w:pStyle w:val="SourceNote"/>
      </w:pPr>
      <w:r>
        <w:rPr>
          <w:b/>
        </w:rPr>
        <w:t>Available abstract (not full text):</w:t>
      </w:r>
      <w:r>
        <w:t xml:space="preserve"> The colorful phenotypes of birds have long provided rich source material for evolutionary biologists. Avian plumage, beaks, skin, and eggs-which exhibit a stunning range of cryptic and conspicuous forms-inspired early work on adaptive coloration. More recently, avian color has fueled discoveries on the physiological, developmental, and-increasingly-genetic mechanisms responsible for phenotypic variation. The relative ease with which avian color traits can be quantified has made birds an attractive system for uncovering links between phenotype and genotype. Accordingly, the field of avian coloration genetics is burgeoning. In this review, we highlight recent advances and emerging questions associated with the genetic underpinnings of bird color. We start by describing breakthroughs related to 2 pigment classes: carotenoids that produce red, yellow, and orange in most birds and psittacofulvins that produce similar colors in parrots. We then discuss structural colors, which are produced by the interaction of light with nanoscale materials and greatly extend the plumage palette. Structural color genetics remain understudied-but this paradigm is changing. We next explore how colors that arise from interactions among pigmentary and structural mechanisms may be controlled by genes that are co-expressed or co-regulated. We also identify opportunities to investigate genes mediating with</w:t>
      </w:r>
    </w:p>
    <w:p>
      <w:pPr>
        <w:pStyle w:val="Heading2"/>
      </w:pPr>
      <w:r>
        <w:t>659.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there, sustainable, well, carbon, not;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sustainable, carbon, only, but;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2023:</w:t>
      </w:r>
      <w:r>
        <w:t xml:space="preserve"> Circularity in Europe strengthens the sustainability of the global food system — https://doi.org/10.1038/s43016-023-00734-9</w:t>
      </w:r>
    </w:p>
    <w:p>
      <w:pPr/>
      <w:r>
        <w:rPr>
          <w:b/>
        </w:rPr>
        <w:t>Shared claim-specific concepts:</w:t>
      </w:r>
      <w:r>
        <w:t xml:space="preserve"> enough, all, bring, but; EU scope visible. This is a provisional connection, not an outcome finding.</w:t>
      </w:r>
    </w:p>
    <w:p>
      <w:pPr>
        <w:pStyle w:val="SourceNote"/>
      </w:pPr>
      <w:r>
        <w:rPr>
          <w:b/>
        </w:rPr>
        <w:t>Available abstract (not full text):</w:t>
      </w:r>
      <w:r>
        <w:t xml:space="preserve"> Redesigning the European food system on the basis of circularity principles could bring environmental benefits for Europe and the world. Here we deploy a biophysical optimization model to explore the effects of adopting three circularity scenarios in the European Union (EU)27 + UK. We calculate a potential reduction of 71% in agricultural land use and 29% per capita in agricultural greenhouse gas emissions, while producing enough healthy food within a self-sufficient European food system. Under global food shortages, savings in agricultural land could be used to feed an additional 767 million people outside the EU (+149%), while reducing per capita greenhouse gas emissions by 38% but increasing overall emissions by 55% due to the increased population served. Transitioning the EU's food system towards circularity implies sequential changes among all its components and has great potential to safeguard human and planetary health.</w:t>
      </w:r>
    </w:p>
    <w:p>
      <w:pPr/>
      <w:r>
        <w:rPr>
          <w:b/>
        </w:rPr>
        <w:t>POSSIBLE 2022:</w:t>
      </w:r>
      <w:r>
        <w:t xml:space="preserve"> Events and sustainability: why making events more sustainable is not enough — https://doi.org/10.4324/9781003314295-1</w:t>
      </w:r>
    </w:p>
    <w:p>
      <w:pPr/>
      <w:r>
        <w:rPr>
          <w:b/>
        </w:rPr>
        <w:t>Shared claim-specific concepts:</w:t>
      </w:r>
      <w:r>
        <w:t xml:space="preserve"> there, enough, sustainable, contribute, not; EU scope not established. This is a provisional connection, not an outcome finding.</w:t>
      </w:r>
    </w:p>
    <w:p>
      <w:pPr>
        <w:pStyle w:val="SourceNote"/>
      </w:pPr>
      <w:r>
        <w:rPr>
          <w:b/>
        </w:rPr>
        <w:t>Available abstract (not full text):</w:t>
      </w:r>
      <w:r>
        <w:t xml:space="preserve"> The special issue dedicated to events and sustainability is introduced here. We provide synopses of the papers, preceded by an introductory essay that examines how event studies has approached the relationship between events and sustainable development. Existing work too often assumes that sustainability means reducing negative environmental impacts with other aspects of the sustainability paradigm neglected. And whilst social issues have risen to prominence in events research generally, this work is usually considered outwith sustainability debates, and without considering environmental and economic interrelationships. We argue that event scholars should examine how events might contribute to sustainable development, rather than merely exploring how individual events could be made more sustainable. Accordingly, there needs to be further work addressing how events might change attitudes and behaviours by promoting sustainable lifestyles, communities and technologies. Following this discussion, we justify the focus on social sustainability in the special issue, clarify what this actually means, and question whether this is always the most appropriate way of framing research on the social impacts of events. Given the timing of the special issue, there is also a short review of how the coronavirus crisis affected the events sector, and what the implications might be for sustainabi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sustainable, sectors, not, relevant, but;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Enough? The role of sufficiency in European energy and climate plans — https://doi.org/10.1016/j.enpol.2021.112483</w:t>
      </w:r>
    </w:p>
    <w:p>
      <w:pPr/>
      <w:r>
        <w:rPr>
          <w:b/>
        </w:rPr>
        <w:t>Shared claim-specific concepts:</w:t>
      </w:r>
      <w:r>
        <w:t xml:space="preserve"> enough, all, not; EU scope visible. This is a provisional connection, not an outcome finding.</w:t>
      </w:r>
    </w:p>
    <w:p>
      <w:pPr>
        <w:pStyle w:val="SourceNote"/>
      </w:pPr>
      <w:r>
        <w:rPr>
          <w:b/>
        </w:rPr>
        <w:t>Available abstract (not full text):</w:t>
      </w:r>
      <w:r>
        <w:t xml:space="preserve"> Energy sufficiency is one of the three energy sustainability strategies, next to energy efficiency and renewable energies. We analyse to what extent European governments follow this strategy, by conducting a systematic document analysis of all available European National Energy and Climate Plans (NECPs) and Long-Term Strategies (LTSs). We collect and categorise a total of 230 sufficiency-related policy measures, finding large differences between countries. We find most sufficiency policies in the transport sector, when classifying also modal shift policies to change the service quality of transport as sufficiency policies. Types of sufficiency policy instruments vary considerably from sector to sector, for instance the focus on financial incentives and fiscal instruments in the mobility sector, information in the building sector, and financial incentive/tax instruments in cross-sectoral application. Regulatory instruments currently play a minor role for sufficiency policy in the national energy and climate plans of EU member states. Similar to energy efficiency in recent decades, sufficiency still largely referred to as micro-level individual behaviour change or necessary exogenous trends that will need to take place. It is not treated yet as a genuine field of policy action to provide the necessary framework for enabling societal change.</w:t>
      </w:r>
    </w:p>
    <w:p>
      <w:pPr/>
      <w:r>
        <w:rPr>
          <w:b/>
        </w:rPr>
        <w:t>POSSIBLE 2021:</w:t>
      </w:r>
      <w:r>
        <w:t xml:space="preserve"> Drivers of sustainability practices and contributions to sustainable development evident in sustainability reports of European mining companies — https://doi.org/10.1007/s43621-021-00025-y</w:t>
      </w:r>
    </w:p>
    <w:p>
      <w:pPr/>
      <w:r>
        <w:rPr>
          <w:b/>
        </w:rPr>
        <w:t>Shared claim-specific concepts:</w:t>
      </w:r>
      <w:r>
        <w:t xml:space="preserve"> there, sustainable, all, relevant, but; EU scope visible. This is a provisional connection, not an outcome finding.</w:t>
      </w:r>
    </w:p>
    <w:p>
      <w:pPr>
        <w:pStyle w:val="SourceNote"/>
      </w:pPr>
      <w:r>
        <w:rPr>
          <w:b/>
        </w:rPr>
        <w:t>Available abstract (not full text):</w:t>
      </w:r>
      <w:r>
        <w:t xml:space="preserve"> Abstract Mining activities cause negative environmental impacts, and social conflicts, but also provide economic benefits to communities and secure minerals necessary for low-carbon technology. The aim of this multiple case study is to analyze, compare and critically evaluate sustainability reports of 10 European mining companies for the 2016–2018 period to determine the drivers for implementation of sustainability practices and their contribution to the Sustainable Development Goals (SDGs). The findings suggest that European mining companies act under pressures from international initiatives and industry associations, the European Union, governments, stakeholders, and partnerships. The companies report on the core subjects of corporate governance, employees, the environment, stakeholders’ engagement and occupational health and safety. Positive trends were observed in stakeholder’s engagement, and health and safety, while air emissions, water and energy usage increased for most companies. Furthermore, there was an absence of improvement in gender diversity, utilization of renewable energy, and waste recycling. Even though all analyzed companies mentioned SDGs in the reports, the reports lacked a comprehensive explanation of mining activities’ contribution to the SDGs. This study addresses a gap in the existing literature on the European mining context of sustainable development</w:t>
      </w:r>
    </w:p>
    <w:p>
      <w:pPr>
        <w:pStyle w:val="Heading2"/>
      </w:pPr>
      <w:r>
        <w:t>660.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2024:</w:t>
      </w:r>
      <w:r>
        <w:t xml:space="preserve"> GHG Emission Trends and Targets (GETT) — https://doi.org/10.1787/decef216-en</w:t>
      </w:r>
    </w:p>
    <w:p>
      <w:pPr/>
      <w:r>
        <w:rPr>
          <w:b/>
        </w:rPr>
        <w:t>Shared claim-specific concepts:</w:t>
      </w:r>
      <w:r>
        <w:t xml:space="preserve"> ghg, emissions, climate; EU scope visible. This is a provisional connection, not an outcome finding.</w:t>
      </w:r>
    </w:p>
    <w:p>
      <w:pPr>
        <w:pStyle w:val="SourceNote"/>
      </w:pPr>
      <w:r>
        <w:rPr>
          <w:b/>
        </w:rPr>
        <w:t>Available abstract (not full text):</w:t>
      </w:r>
      <w:r>
        <w:t xml:space="preserve"> The Paris Agreement maps out a path for internationally coordinated efforts to curb global warming. At the centre of the Paris Agreement are Nationally Determined Contributions (NDCs) that establish countries’ plans to mitigate greenhouse gas (GHG) emissions as well as adapt to the impacts of climate change. However, mitigation contributions defined in NDCs are different across countries in terms of target types, coverage of sectors and gases. This makes it challenging to assess progress on mitigation commitments. To complement the UNFCCC efforts, and facilitate the evaluation and monitoring of targets, this paper develops a methodology that harmonises countries’ 2030 mitigation targets in physical units and provide clarity on sector and gas coverage. The results are used to develop the GHG Emission Trends and Targets (GETT) indicators for non-EU countries and the EU-27 covered under the International Programme for Action on Climate (IPAC). The GETT indicators support the analyses of emissions' trajectories by describing historical GHG emission trends and comparing them to NDC emission targets, considering various reference years and indicators, including emissions intensity per capita or per unit of GDP.</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r>
        <w:rPr>
          <w:b/>
        </w:rPr>
        <w:t>POSSIBLE 2023:</w:t>
      </w:r>
      <w:r>
        <w:t xml:space="preserve"> Dynamics and Accounting of GHG Emissions in the World — https://doi.org/10.1051/bioconf/20236306011</w:t>
      </w:r>
    </w:p>
    <w:p>
      <w:pPr/>
      <w:r>
        <w:rPr>
          <w:b/>
        </w:rPr>
        <w:t>Shared claim-specific concepts:</w:t>
      </w:r>
      <w:r>
        <w:t xml:space="preserve"> ghg, emissions, climate; EU scope not established. This is a provisional connection, not an outcome finding.</w:t>
      </w:r>
    </w:p>
    <w:p>
      <w:pPr>
        <w:pStyle w:val="SourceNote"/>
      </w:pPr>
      <w:r>
        <w:rPr>
          <w:b/>
        </w:rPr>
        <w:t>Available abstract (not full text):</w:t>
      </w:r>
      <w:r>
        <w:t xml:space="preserve"> The problem of climate change on the planet has been gradually forming since the middle of the 20th century. as the idea of a universal threat, to combat which humanity needs to unite and regulate the waste of resources. To do this, the problem of global climate change had to be introduced both into the political and economic agenda, and into the basic world system of values. Only then would climate rhetoric be able to influence political decisions and shape the way people live, as well as influence the global economy. But for this it is necessary to prove that humans are to blame for global climate change. The fact that nature is constantly changing, scientists knew until the middle of the 20th century. But it was believed that the reasons for this lie in the laws of long and short climatic cycles, and man has nothing to do with global changes. And this means that it is impossible to justify the reasons why the global community and individuals should change their behavior. That is, without substantiating the anthropogenic impact on global climate change, this topic cannot claim to be the central determinant of economic and political development.</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based, climate;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Towards a Low-Carbon Plastic Waste Recycling in Finland: Evaluating the Impacts of Improvement Measures on GHG Emissions — https://doi.org/10.1007/s43615-023-00306-w</w:t>
      </w:r>
    </w:p>
    <w:p>
      <w:pPr/>
      <w:r>
        <w:rPr>
          <w:b/>
        </w:rPr>
        <w:t>Shared claim-specific concepts:</w:t>
      </w:r>
      <w:r>
        <w:t xml:space="preserve"> reach, ghg, emissions, capacity, based, energy; EU scope visible. This is a provisional connection, not an outcome finding.</w:t>
      </w:r>
    </w:p>
    <w:p>
      <w:pPr>
        <w:pStyle w:val="SourceNote"/>
      </w:pPr>
      <w:r>
        <w:rPr>
          <w:b/>
        </w:rPr>
        <w:t>Available abstract (not full text):</w:t>
      </w:r>
      <w:r>
        <w:t xml:space="preserve"> Abstract The use of plastics in products and packaging is growing. At the same time, the lifespan of packaging is short and consequently plastic waste volumes are growing in Finland and globally. Although separate collection and recycling of plastic packaging waste exists in Finland, it needs to be strengthened to reach the European Union’s targets. The separately collected plastic waste is mechanically recycled, but the recycling capacity is small, as is the process’s yield of secondary polymers. Hence, a large share of plastic packaging waste remains being recovered for energy. In our study, we first apply material flow analysis (MFA) to identify different routes of plastic packaging waste in Finland, and then we apply life cycle assessment (LCA) to quantify greenhouse gas (GHG) emissions of the current system and of alternative scenarios based on improvement measures. Domestic GHG emissions of the studied system were estimated to be 178 kt CO2e. Net GHG emissions including exports and credits from avoided production were estimated to be 155 kt CO2e. The results of the scenario assessment indicate that combining more measures offer significantly greater potential to reduce the system’s climate impacts, compared to individual measures. The results are complemented by a sensitivity analysis, helping with the interpretation of the results, understanding modelling challenges, and</w:t>
      </w:r>
    </w:p>
    <w:p>
      <w:pPr/>
      <w:r>
        <w:rPr>
          <w:b/>
        </w:rPr>
        <w:t>POSSIBLE 2022:</w:t>
      </w:r>
      <w:r>
        <w:t xml:space="preserve"> Completing Urban GHG Emissions Data to Assess the Effectiveness of Climate Action Plans in Europe — https://doi.org/10.5194/egusphere-egu22-5175</w:t>
      </w:r>
    </w:p>
    <w:p>
      <w:pPr/>
      <w:r>
        <w:rPr>
          <w:b/>
        </w:rPr>
        <w:t>Shared claim-specific concepts:</w:t>
      </w:r>
      <w:r>
        <w:t xml:space="preserve"> reach, ghg, emissions, need, strategic, role; EU scope visible. This is a provisional connection, not an outcome finding.</w:t>
      </w:r>
    </w:p>
    <w:p>
      <w:pPr>
        <w:pStyle w:val="SourceNote"/>
      </w:pPr>
      <w:r>
        <w:rPr>
          <w:b/>
        </w:rPr>
        <w:t>Available abstract (not full text):</w:t>
      </w:r>
      <w:r>
        <w:t xml:space="preserve"> Urban areas are major contributors to global greenhouse gas (GHG) emissions. To address climate change, many cities have developed climate action plans (CAPs) as strategic roadmaps to reduce their emissions and strive for emission neutrality and climate resilience by 2050 or before. It has been more than a decade since the first of these plans were put in place, and it is now important to evaluate these plans and to access whether city-level climate ambitions will be realised or perhaps need adjustment to pursue for improvements in climate resilience over time This work aims to further our understanding of urban GHG emissions, by completing existing urban carbon emissions data with blue-green contributions to the urban carbon cycle. In a previous study, it was found that the inclusion of blue-green emissions in urban carbon accounting in Stockholm, Sweden had a significant impact on that region’s ability to reach net zero emissions in the coming decades (Page et al., 2021). In this study, we complete the urban emissions data for cities across the European Union (EU) in order to assess if, and for which types of cities, the inclusion of blue-green emissions in the GHG accounting is similarly relevant. Furthermore, we will use data about the CAPs produced and implemented by these cities together with the completed GHG emissions in order to assess whether the actions and plans mad</w:t>
      </w:r>
    </w:p>
    <w:p>
      <w:pPr/>
      <w:r>
        <w:rPr>
          <w:b/>
        </w:rPr>
        <w:t>POSSIBLE 2022:</w:t>
      </w:r>
      <w:r>
        <w:t xml:space="preserve"> How COVID-19 Affected GHG Emissions of Ferries in Europe — https://doi.org/10.3390/su14095287</w:t>
      </w:r>
    </w:p>
    <w:p>
      <w:pPr/>
      <w:r>
        <w:rPr>
          <w:b/>
        </w:rPr>
        <w:t>Shared claim-specific concepts:</w:t>
      </w:r>
      <w:r>
        <w:t xml:space="preserve"> ghg, emissions, reduction, depending;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emissions, role, energy;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reduction, role, strategy,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pStyle w:val="Heading2"/>
      </w:pPr>
      <w:r>
        <w:t>661.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2023:</w:t>
      </w:r>
      <w:r>
        <w:t xml:space="preserve"> PUBLIC-PRIVATE PARTNERSHIP’S ASCENT AND FALL IN EUROPE — https://doi.org/10.47535/1991auoes32(2)004</w:t>
      </w:r>
    </w:p>
    <w:p>
      <w:pPr/>
      <w:r>
        <w:rPr>
          <w:b/>
        </w:rPr>
        <w:t>Shared claim-specific concepts:</w:t>
      </w:r>
      <w:r>
        <w:t xml:space="preserve"> understand, way, private; EU scope visible. This is a provisional connection, not an outcome finding.</w:t>
      </w:r>
    </w:p>
    <w:p>
      <w:pPr>
        <w:pStyle w:val="SourceNote"/>
      </w:pPr>
      <w:r>
        <w:rPr>
          <w:b/>
        </w:rPr>
        <w:t>Available abstract (not full text):</w:t>
      </w:r>
      <w:r>
        <w:t xml:space="preserve"> Collaborations between public and private have appeared in Europe since ancient times, presenting in different ways from one nation to another, and being the source of the current “public-private partnership” arrangement. This study aims to emphasize the significance of “public-private partnership” for a certain area. In this research, I used the qualitative technique to examine and understand the global experience in developing public-private partnerships. The method was effective in showing how “public-private partnerships” have changed throughout Europe. There is no standard definition of “public-private partnership” that can be found in all studies because there isn’t one that everybody in Europe acknowledges. Presenting the development of “public-private partnerships” throughout Europe and emphasizing their ascent and fall, is the primary output of this study. Additionally, this study aimed to demonstrate the current status of this kind of cooperation throughout Europe and the interest that European nations have shown in “public-private partnerships”. The market for “public-private partnerships” in Europe has been expanding gradually since 1990. Since then, Great Britain has dominated the market for public-private partnerships for a considerable amount of time. This is a country where interest in this kind of cooperation has grown. In this study, we attempted to draw inter</w:t>
      </w:r>
    </w:p>
    <w:p>
      <w:pPr/>
      <w:r>
        <w:rPr>
          <w:b/>
        </w:rPr>
        <w:t>POSSIBLE 2023:</w:t>
      </w:r>
      <w:r>
        <w:t xml:space="preserve"> The history of European public health education accreditation in perspective — https://doi.org/10.56801/seejph.vi.54</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Aim: The aim of this paper is to investigate the history of accreditation of academic public health education and understand why there is a 65 year gap between the first system in America and the uptake of accreditation in Europe. The paper intends to search for parallels and dissimilarities between the development in America and Europe and then consider if any parallels could be used for determining the future role of accreditation in Europe. Methods: The paper draws heavily upon a literature review and analysis and the examination and interpretation of primary and secondary sources. Firstly there is an exploration of the American development which is complemented by an evaluation of the developments in Europe. Results: The paper demonstrates that there are two key features required for the development of accreditation: interstate collaboration and a liberalisation or opening up of the education market. Conclusions: Since the Second World War, Europe has embraced interstate collaboration which has led to a liberalisation of certain economic markets. The future for sector based accreditation of public health education will be determined by the extent Europe pursues liberalisation and whether a competitive environment will bring into question the transparency and trust in state sponsored accreditation agencies.</w:t>
      </w:r>
    </w:p>
    <w:p>
      <w:pPr/>
      <w:r>
        <w:rPr>
          <w:b/>
        </w:rPr>
        <w:t>POSSIBLE 2023:</w:t>
      </w:r>
      <w:r>
        <w:t xml:space="preserve"> Examining the publicness of spaces on European social housing estates: a position paper — https://doi.org/10.1017/s1359135523000155</w:t>
      </w:r>
    </w:p>
    <w:p>
      <w:pPr/>
      <w:r>
        <w:rPr>
          <w:b/>
        </w:rPr>
        <w:t>Shared claim-specific concepts:</w:t>
      </w:r>
      <w:r>
        <w:t xml:space="preserve"> understand, four; EU scope visible. This is a provisional connection, not an outcome finding.</w:t>
      </w:r>
    </w:p>
    <w:p>
      <w:pPr>
        <w:pStyle w:val="SourceNote"/>
      </w:pPr>
      <w:r>
        <w:rPr>
          <w:b/>
        </w:rPr>
        <w:t>Available abstract (not full text):</w:t>
      </w:r>
      <w:r>
        <w:t xml:space="preserve"> The concept of ‘publicness’ addresses the intersection between people and their physical surroundings, and the ways in which they affect each other in an ongoing process. This point of relational exchange is the core concept behind ‘Public Space in European Social Housing’ (PuSH), a three-year HERA-funded project conducted by a transnational, multidisciplinary team of researchers. Large-scale modernist postwar housing estates, often used for social, cooperative, or mass rental housing, tend to be problematised as places of segregation and disintegration in European cities. Yet they are potentially also primary sites for integration between people of different cultural origins and social backgrounds. By investigating publicness in relation to social housing, including cooperative housing and mass rental housing estates, PuSH aims to better understand how cultural encounters happen, and ultimately to reflect on how integration can be better sustained. In this paper, we take a relational conception of publicness as our point of departure to explore the differentiations and intersections between sites and modes of public life in relation to our approach and the social housing estates we investigate. Moreover, we present our conceptual contribution to the concept of publicness, both theoretically and methodologically using multidisciplinary theories and methodologies, and four analy</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aim, understand, among;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r>
        <w:rPr>
          <w:b/>
        </w:rPr>
        <w:t>POSSIBLE 2022:</w:t>
      </w:r>
      <w:r>
        <w:t xml:space="preserve"> European Public Health News — https://doi.org/10.1093/eurpub/ckac050</w:t>
      </w:r>
    </w:p>
    <w:p>
      <w:pPr/>
      <w:r>
        <w:rPr>
          <w:b/>
        </w:rPr>
        <w:t>Shared claim-specific concepts:</w:t>
      </w:r>
      <w:r>
        <w:t xml:space="preserve"> several, healthier, way, organized, three, four; EU scope visible. This is a provisional connection, not an outcome finding.</w:t>
      </w:r>
    </w:p>
    <w:p>
      <w:pPr>
        <w:pStyle w:val="SourceNote"/>
      </w:pPr>
      <w:r>
        <w:rPr>
          <w:b/>
        </w:rPr>
        <w:t>Available abstract (not full text):</w:t>
      </w:r>
      <w:r>
        <w:t xml:space="preserve"> In this European public health news, the focus is on the next generation of public health professionals. Nagyova et al. highlight the successes of EUPHA, including attention to the younger generation and including the next generation in our governance structure. Barrios Aparicio et al. from the regional office for Europe of WHO embrace youth by highlighting WHO’s commitment to having the next generation involved in decision-making. Finally, Barnhoorn presents the efforts of greening this year’s EPH Conference, as requested by the younger generation. It is clear that we need to make sure that the younger (future) generation of public health professionals is (critically) involved in what we do and in what we need to do to make our future healthier. This year, EUPHA is celebrating its 30th birthday. Established in 1992, EUPHA started as a small network of public health professionals, where coordination between countries and providing the evidence were top priorities. Over the years, EUPHA has developed in a strong, reliable, science-based European partner with an excellent reputation. EUPHA is able to provide the right evidence at the right place at the right time, has become a strong advocate for public health at European level and also has developed action-oriented tools, like the European public health week. So how did we grow to what we are now? Without being exhaustive, we wo</w:t>
      </w:r>
    </w:p>
    <w:p>
      <w:pPr/>
      <w:r>
        <w:rPr>
          <w:b/>
        </w:rPr>
        <w:t>POSSIBLE 2021:</w:t>
      </w:r>
      <w:r>
        <w:t xml:space="preserve"> European Public Health news — https://doi.org/10.1093/eurpub/ckab175</w:t>
      </w:r>
    </w:p>
    <w:p>
      <w:pPr/>
      <w:r>
        <w:rPr>
          <w:b/>
        </w:rPr>
        <w:t>Shared claim-specific concepts:</w:t>
      </w:r>
      <w:r>
        <w:t xml:space="preserve"> several, way, society; EU scope visible. This is a provisional connection, not an outcome finding.</w:t>
      </w:r>
    </w:p>
    <w:p>
      <w:pPr>
        <w:pStyle w:val="SourceNote"/>
      </w:pPr>
      <w:r>
        <w:rPr>
          <w:b/>
        </w:rPr>
        <w:t>Available abstract (not full text):</w:t>
      </w:r>
      <w:r>
        <w:t xml:space="preserve"> In this European Public Health news, we present updates from EUPHA, the EUPHA working group on gender equality, WHO Europe and the upcoming European Public Health Conference. Zeegers and Nagyova reflect on the increase in polarization in the world which has been highlighted by the COVID-19 pandemic. Petelos et al. present the work EUPHA has been developing on gender equality. Something that should be totally obvious, but still needs specific attention, so that gender equality is accepted and implemented everywhere. Kluge et al. reflect on the future of digital public health, one of the priorities of WHO Europe. Digital health is no longer an option, it is essential. Barnhoorn and Staines highlight the excellent plenary programme of the 2021 European Public Health Conference, where digital health, communication, lessons learned from COVID-19 and climate change are all being addressed. In July, a famous Dutch crime reporter was killed in the streets of Amsterdam and a 14-year-old Dutch girl was beaten for not answering a question on her gender. Why? Because they were both—in their own way—outspoken and open, something that seems to be no longer accepted in this polarized society. In the society today, you are either from the North Pole or from the South Pole. The fact that 99.9% of people actually live between those two extremes seems no longer relevant. We learn from our world t</w:t>
      </w:r>
    </w:p>
    <w:p>
      <w:pPr/>
      <w:r>
        <w:rPr>
          <w:b/>
        </w:rPr>
        <w:t>POSSIBLE 2021:</w:t>
      </w:r>
      <w:r>
        <w:t xml:space="preserve"> Public opinion towards a universal basic income in Europe — https://openalex.org/W7113266209</w:t>
      </w:r>
    </w:p>
    <w:p>
      <w:pPr/>
      <w:r>
        <w:rPr>
          <w:b/>
        </w:rPr>
        <w:t>Shared claim-specific concepts:</w:t>
      </w:r>
      <w:r>
        <w:t xml:space="preserve"> aim, understand, about, among; EU scope visible. This is a provisional connection, not an outcome finding.</w:t>
      </w:r>
    </w:p>
    <w:p>
      <w:pPr>
        <w:pStyle w:val="SourceNote"/>
      </w:pPr>
      <w:r>
        <w:rPr>
          <w:b/>
        </w:rPr>
        <w:t>Available abstract (not full text):</w:t>
      </w:r>
      <w:r>
        <w:t xml:space="preserve"> The idea of a Universal Basic Income (UBI) has gained increasing attention in public debates and among policymakers across Europe. The inclusion of the Welfare Attitudes in Europe module during Round 8 (2016/17) of the European Social Survey (ESS) - for the first time in academic cross-national research - allowed attitudes towards the introduction of a Universal Basic Income to be assessed in 23 countries. Aim of this article is to explore and understand the different aspects and predictors of UBI support. In particular, this paper analyses a broad range of explanatory individual and contextual factors that may affect popular support for a UBI. Main findings shows that the stronger support for a European minimum income benefit in less generous welfare states is explained by more optimistic expectations about the EU’s domestic impact and lower socioeconomic status groups are more supportive of this policy proposal. Moreover, the analysis reveals that diverging national experiences and expectations are crucial in understanding why Europeans are widely divided on the implementation of such a benefit scheme. Secondly, in almost all countries, the younger age group is more supportive of activation and a universal basic income than the older age group. Finally, using logistic regression model it is possible to estimate the different attitudes among countries for a UBI more accurately</w:t>
      </w:r>
    </w:p>
    <w:p>
      <w:pPr>
        <w:pStyle w:val="Heading2"/>
      </w:pPr>
      <w:r>
        <w:t>662.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r>
        <w:rPr>
          <w:b/>
        </w:rPr>
        <w:t>POSSIBLE 2022:</w:t>
      </w:r>
      <w:r>
        <w:t xml:space="preserve"> Precedent in the system of the European Convention on Human Rights — https://doi.org/10.4324/9781003264262-15</w:t>
      </w:r>
    </w:p>
    <w:p>
      <w:pPr/>
      <w:r>
        <w:rPr>
          <w:b/>
        </w:rPr>
        <w:t>Shared claim-specific concepts:</w:t>
      </w:r>
      <w:r>
        <w:t xml:space="preserve"> approach, considerations, they; EU scope visible. This is a provisional connection, not an outcome finding.</w:t>
      </w:r>
    </w:p>
    <w:p>
      <w:pPr>
        <w:pStyle w:val="SourceNote"/>
      </w:pPr>
      <w:r>
        <w:rPr>
          <w:b/>
        </w:rPr>
        <w:t>Available abstract (not full text):</w:t>
      </w:r>
      <w:r>
        <w:t xml:space="preserve"> The purpose of the present paper is to briefly reassess the role of the ECtHR’s case law in its own case law and the approach developed in this respect by the Court. The Court systematically refers to the earlier case law and usually presents its judgments and decisions as a consequence of principles formulated in earlier case law. Following precedent is a matter of free choice of the Court, justified by two main considerations: 1) legal certainty and foreseeability and 2) equality before the law. Following precedents is the default rule, while departing from precedents is a permissible exception requiring a ‘good reason’. At the same time, the Court differentiates the precedential value of its judgments and decisions. Numerous judges feel bound to follow the Grand Chamber case law, even if they disagree with it, whereas others adopt the opposite viewpoint. Separate opinions usually focus on questions related to the correct identification and interpretation of the relevant case law. The Court develops its case law, usually without overtly departing from precedents. The developments often reflect societal change (under Article 8 of the ECHR), whereas the approach of the ECtHR seems more conservative in respect of more ‘technical’ legal issues.</w:t>
      </w:r>
    </w:p>
    <w:p>
      <w:pPr/>
      <w:r>
        <w:rPr>
          <w:b/>
        </w:rPr>
        <w:t>POSSIBLE 2021:</w:t>
      </w:r>
      <w:r>
        <w:t xml:space="preserve"> Insights on the environmental management system of the European port sector — https://doi.org/10.1016/j.scitotenv.2021.150550</w:t>
      </w:r>
    </w:p>
    <w:p>
      <w:pPr/>
      <w:r>
        <w:rPr>
          <w:b/>
        </w:rPr>
        <w:t>Shared claim-specific concepts:</w:t>
      </w:r>
      <w:r>
        <w:t xml:space="preserve"> given, they; EU scope visible. This is a provisional connection, not an outcome finding.</w:t>
      </w:r>
    </w:p>
    <w:p>
      <w:pPr>
        <w:pStyle w:val="SourceNote"/>
      </w:pPr>
      <w:r>
        <w:rPr>
          <w:b/>
        </w:rPr>
        <w:t>Available abstract (not full text):</w:t>
      </w:r>
      <w:r>
        <w:t xml:space="preserve"> This research focusses on assessing the environmental performance of European Ports based on a wide representation of EcoPorts members. The data is extracted from the Self-Diagnosis Method (SDM), a concise checklist against which port managers can self-assess the environmental management of their port in relation to the performance of the EcoPorts membership. A total number of 97 ports from 18 different European Maritime States contributed to this evaluation. They have answered questions related to the main components of internationally recognized Environmental Management System (EMS) standards. Similar periodic assessments have been carried out since 2013, allowing for the identification of benchmark performance. The geographical representation and characteristics of the participating ports are given along with the perceived ranking of priority environmental issues based on regular reviews. Air quality has been the top environmental priority for many years, followed by climate change, which has risen rapidly to the second position. Most of the ports have an environmental policy in place (96%) and a compilation of an inventory of significant environmental aspects (92%). Transparency is also very important to ports, with 91% of ports communicating their environmental policy to stakeholders, and 86% of ports making it publicly available on their website. Around 80% of ports have </w:t>
      </w:r>
    </w:p>
    <w:p>
      <w:pPr/>
      <w:r>
        <w:rPr>
          <w:b/>
        </w:rPr>
        <w:t>POSSIBLE 2021:</w:t>
      </w:r>
      <w:r>
        <w:t xml:space="preserve"> Governing displaced migration in Europe: housing and the role of the “local” — https://doi.org/10.1186/s40878-020-00209-x</w:t>
      </w:r>
    </w:p>
    <w:p>
      <w:pPr/>
      <w:r>
        <w:rPr>
          <w:b/>
        </w:rPr>
        <w:t>Shared claim-specific concepts:</w:t>
      </w:r>
      <w:r>
        <w:t xml:space="preserve"> approach,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pStyle w:val="Heading2"/>
      </w:pPr>
      <w:r>
        <w:t>663.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2022:</w:t>
      </w:r>
      <w:r>
        <w:t xml:space="preserve"> Hungarian Participation in JUICE Project of European Space Agency — https://doi.org/10.12700/aph.19.9.2022.9.2</w:t>
      </w:r>
    </w:p>
    <w:p>
      <w:pPr/>
      <w:r>
        <w:rPr>
          <w:b/>
        </w:rPr>
        <w:t>Shared claim-specific concepts:</w:t>
      </w:r>
      <w:r>
        <w:t xml:space="preserve"> hungarian, team, current, out; EU scope visible. This is a provisional connection, not an outcome finding.</w:t>
      </w:r>
    </w:p>
    <w:p>
      <w:pPr>
        <w:pStyle w:val="SourceNote"/>
      </w:pPr>
      <w:r>
        <w:rPr>
          <w:b/>
        </w:rPr>
        <w:t>Available abstract (not full text):</w:t>
      </w:r>
      <w:r>
        <w:t xml:space="preserve"> JUICE -JUpiter ICy moons Explorer -is the first large-class mission of ESA (European Space Agency). Planned for launch in Sept 2022 and arrival at Jupiter in 2029, it will spend at least three years making detailed observations of the giant gaseous planet Jupiter and three of its largest moons, Ganymede, Callisto and Europa.Space technical team developed power supply unit for PEP (Particle Enviroment Package) instrument.PEP and its sensors will examine the plasma environment in the Jovian system.PEP will measure density and fluxes of positive and negative ions, electrons, exospheric neutral gas, thermal plasma and energetic neutral atoms.The nominal onboard voltage is 28 V on the space probe.Space technical team had a job to develop power supply unit DCC (Direct Current Converter) for the sensors of PEP.The job was a great challenge because of the required high reliability and that reliable operation had to be ensured in extreme circumstances.We present in this article the realization of DCC.The DCC required for its tests to develop a special test equipment called EGSE (Electronic Ground Support Equipment).The EGSE was developed by the SGF Ltd. and supports checks of DCC.In this article we present the DCC, the quality insurance methods and the tests carried out by EGSE.</w:t>
      </w:r>
    </w:p>
    <w:p>
      <w:pPr/>
      <w:r>
        <w:rPr>
          <w:b/>
        </w:rPr>
        <w:t>POSSIBLE 2022:</w:t>
      </w:r>
      <w:r>
        <w:t xml:space="preserve"> The genetic origin of Huns, Avars, and conquering Hungarians — https://doi.org/10.1016/j.cub.2022.04.093</w:t>
      </w:r>
    </w:p>
    <w:p>
      <w:pPr/>
      <w:r>
        <w:rPr>
          <w:b/>
        </w:rPr>
        <w:t>Shared claim-specific concepts:</w:t>
      </w:r>
      <w:r>
        <w:t xml:space="preserve"> hungarian, identify, likely; EU scope visible. This is a provisional connection, not an outcome finding.</w:t>
      </w:r>
    </w:p>
    <w:p>
      <w:pPr>
        <w:pStyle w:val="SourceNote"/>
      </w:pPr>
      <w:r>
        <w:rPr>
          <w:b/>
        </w:rPr>
        <w:t>Available abstract (not full text):</w:t>
      </w:r>
      <w:r>
        <w:t xml:space="preserve"> centuries. Based on the historical data, each of these groups are thought to have arrived from Asia, although their exact origin and relation to other ancient and modern populations have been debated. Recently, hundreds of ancient genomes were analyzed from Central Asia, Mongolia, and China, from which we aimed to identify putative source populations for the above-mentioned groups. In this study, we have sequenced 9 Hun, 143 Avar, and 113 Hungarian conquest period samples and identified three core populations, representing immigrants from each period with no recent European ancestry. Our results reveal that this "immigrant core" of both Huns and Avars likely originated in present day Mongolia, and their origin can be traced back to Xiongnus (Asian Huns), as suggested by several historians. On the other hand, the "immigrant core" of the conquering Hungarians derived from an earlier admixture of Mansis, early Sarmatians, and descendants of late Xiongnus. We have also shown that a common "proto-Ugric" gene pool appeared in the Bronze Age from the admixture of Mezhovskaya and Nganasan people, supporting genetic and linguistic data. In addition, we detected shared Hun-related ancestry in numerous Avar and Hungarian conquest period genetic outliers, indicating a genetic link between these successive nomadic groups. Aside from the immigrant core groups, we identified that the majority</w:t>
      </w:r>
    </w:p>
    <w:p>
      <w:pPr/>
      <w:r>
        <w:rPr>
          <w:b/>
        </w:rPr>
        <w:t>POSSIBLE 2022:</w:t>
      </w:r>
      <w:r>
        <w:t xml:space="preserve"> Strategic coupling on the European periphery: A case study of a small Hungarian town — https://doi.org/10.17649/tet.36.3.3424</w:t>
      </w:r>
    </w:p>
    <w:p>
      <w:pPr/>
      <w:r>
        <w:rPr>
          <w:b/>
        </w:rPr>
        <w:t>Shared claim-specific concepts:</w:t>
      </w:r>
      <w:r>
        <w:t xml:space="preserve"> hungarian, key; EU scope visible. This is a provisional connection, not an outcome finding.</w:t>
      </w:r>
    </w:p>
    <w:p>
      <w:pPr>
        <w:pStyle w:val="SourceNote"/>
      </w:pPr>
      <w:r>
        <w:rPr>
          <w:b/>
        </w:rPr>
        <w:t>Available abstract (not full text):</w:t>
      </w:r>
      <w:r>
        <w:t xml:space="preserve"> The FDI-based economic development policies in East-Central Europe and the strategies of transnational firms seeking cost-efficient production locations close to the main markets of the EU have led during the last decades to the integration of the region into different global/regional production networks, mainly in the form of locations for industrial production. While the intensity of re-industrialization largely determines economic growth and spatial socioeconomic inequalities outside metropolitan regions, the long-term success of this model, which tends to result in a dual economy, dependent development, and the ‘middle-income trap’, has been challenged. According to the GPN literature, which comprises the main theoretical basis of our research, the means of integration is the key to understanding the potential outcomes of this economic model. The process seems to depend on the quality of global-local interactions based on enterprise strategies and multi-level regional assets and agency. Our article focuses on making a comparative analysis of two transnational companies in a small peripheral town and uses the concept of strategic coupling as the analytical framework for the interpretation of the global-local interactions and their developmental outcomes. Based on secondary and primary sources, we examine the key assets and actors in the local environment, follow the developm</w:t>
      </w:r>
    </w:p>
    <w:p>
      <w:pPr/>
      <w:r>
        <w:rPr>
          <w:b/>
        </w:rPr>
        <w:t>POSSIBLE 2021:</w:t>
      </w:r>
      <w:r>
        <w:t xml:space="preserve"> Sport and development in Hungary and the Central and Eastern European region — https://doi.org/10.4324/9781003024002-5</w:t>
      </w:r>
    </w:p>
    <w:p>
      <w:pPr/>
      <w:r>
        <w:rPr>
          <w:b/>
        </w:rPr>
        <w:t>Shared claim-specific concepts:</w:t>
      </w:r>
      <w:r>
        <w:t xml:space="preserve"> aim, trends, opportunities; EU scope visible. This is a provisional connection, not an outcome finding.</w:t>
      </w:r>
    </w:p>
    <w:p>
      <w:pPr>
        <w:pStyle w:val="SourceNote"/>
      </w:pPr>
      <w:r>
        <w:rPr>
          <w:b/>
        </w:rPr>
        <w:t>Available abstract (not full text):</w:t>
      </w:r>
      <w:r>
        <w:t xml:space="preserve"> Emerging markets mean business opportunities and a special challenge for companies whose goals are to build business. The aim of this paper is to analyse the trends of the leisure sports markets in the Central and Eastern European (CEE) region, with a special focus on Hungary. Comprehensive data collection was conducted between 2010 and 2019 on the leisure sports markets and people’s physical activity in eight post-soviet countries in our detailed investigation of supply and demand for leisure sport in emerging markets. Our research shows that for emerging countries, the development of the economy generally results in a significant increase in the service sector, including the leisure sport industry (revenues, market size, etc.). However, our results show that the level of physical activity and the number of people involved in leisure sports are not increasing. Furthermore, the number of those who never do sports has increased. Finally, we have found that while spending on sports goods has increased, fewer people are actually spending more. This chapter explores these results, the role of business development, and the responsibility of CEE governments in leisure sports.</w:t>
      </w:r>
    </w:p>
    <w:p>
      <w:pPr>
        <w:pStyle w:val="Heading2"/>
      </w:pPr>
      <w:r>
        <w:t>664.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2023:</w:t>
      </w:r>
      <w:r>
        <w:t xml:space="preserve"> SMART SPECIALIZATION STRATEGY AS AN INNOVATIVE BASIS OF GLOBAL ECONOMIC DEVELOPMENT: EUROPEAN EXPERIENCE — https://doi.org/10.20998/2519-4461.2023.2.95</w:t>
      </w:r>
    </w:p>
    <w:p>
      <w:pPr/>
      <w:r>
        <w:rPr>
          <w:b/>
        </w:rPr>
        <w:t>Shared claim-specific concepts:</w:t>
      </w:r>
      <w:r>
        <w:t xml:space="preserve"> find, specific; EU scope visible. This is a provisional connection, not an outcome finding.</w:t>
      </w:r>
    </w:p>
    <w:p>
      <w:pPr>
        <w:pStyle w:val="SourceNote"/>
      </w:pPr>
      <w:r>
        <w:rPr>
          <w:b/>
        </w:rPr>
        <w:t>Available abstract (not full text):</w:t>
      </w:r>
      <w:r>
        <w:t xml:space="preserve"> The strategy of smart specialization rightly serves as a key reference point for the economic development of individual industries and regions. This study is aimed at analyzing the European experience in applying the strategy of smart specialization as an innovative basis of global economic development. It is becoming increasingly clear that the strategy of smart specialization can fundamentally change the rules for many industries. The research focuses on the fact that by focusing on specific areas of knowledge and developing targeted capabilities, businesses and organizations can find unique niches and gain a competitive advantage. The smart specialization strategy also has drawbacks, as it requires a deep understanding of the industry and a willingness to invest in specialized skills and resources, or may need to move away from broader, more general strategies to achieve smart specialization. However, it is emphasized that the benefits of smart specialization are clear when it comes to standing out in a crowded marketplace, building deeper relationships with customers, and ultimately driving growth. As industries continue to develop and become more complex, the strategy of smart specialization does not lose its relevance, and the European experience of its implementation will be useful for Ukraine.</w:t>
      </w:r>
    </w:p>
    <w:p>
      <w:pPr/>
      <w:r>
        <w:rPr>
          <w:b/>
        </w:rPr>
        <w:t>POSSIBLE 2023:</w:t>
      </w:r>
      <w:r>
        <w:t xml:space="preserve"> Cost-effective adaptation strategies to rising river flood risk in Europe — https://doi.org/10.1038/s41558-022-01540-0</w:t>
      </w:r>
    </w:p>
    <w:p>
      <w:pPr/>
      <w:r>
        <w:rPr>
          <w:b/>
        </w:rPr>
        <w:t>Shared claim-specific concepts:</w:t>
      </w:r>
      <w:r>
        <w:t xml:space="preserve"> find, measures, level;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Symmetric or Asymmetric: How is Economic Growth Responding to Global Economic Uncertainty in Africa's Oil Exporters? — https://doi.org/10.18267/j.pep.836</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Motivated by the persistent fall in oil prices due to incessant uncertainty-inducing events in recent years, this study empirically examined if economic growth in Africa's top five oil exporters (Algeria, Angola, Egypt, Libya, and Nigeria) is responding asymmetrically to changes in global economic uncertainty as well as uncertainties from U.S., Europe and China using nonlinear ARDL framework from 1997Q1 to 2021Q4. We find that rising global uncertainty hampers economic growth in these economies, while declining global uncertainty significantly enhances growth in Nigeria, Angola and Libya in the short run, but becomes growth-retarding in the long run. Thus, economic growth responds asymmetrically to global uncertainty, especially in the short run. The findings are robust to U.S., Europe, and China uncertainties, except that economic growth in Libya and Algeria remained unresponsive to U.S. and China uncertainties respectively. We concluded that Africa's oil exporters should embrace policies that can strengthen their resilience to global economic uncertainty as well as uncertainties from U.S., Europe, and China.</w:t>
      </w:r>
    </w:p>
    <w:p>
      <w:pPr/>
      <w:r>
        <w:rPr>
          <w:b/>
        </w:rPr>
        <w:t>POSSIBLE 2022:</w:t>
      </w:r>
      <w:r>
        <w:t xml:space="preserve"> Globalization, Political Institutions, and Redistribution in Central and Eastern Europe — https://doi.org/10.1177/00104140221100199</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We examine the role of political institutions in mediating the effects of globalization on economic redistribution in Central and Eastern Europe. The region represents a least-likely case of welfare state resilience in the face of global economic pressures given its reliance on foreign capital and considerable domestic elite support for neoliberal recipes during the postcommunist transition. Yet, contrary to the race-to-the-bottom hypothesis and consistent with the compensation perspective, we find that economic openness is on average related to higher redistribution. Using the high-quality European Union Statistics on Income and Living Conditions database for 2004–2018, we find that this effect is particularly pronounced in institutional environments where votes are more accurately translated into legislative seats (low disproportionality) and where governments face greater scrutiny both during elections (vertical accountability) and between them (diagonal accountability). Thus, even in a region that adopted “competitive deregulation,” the downward pressures of globalization were limited by electoral pressures for economic redistribution.</w:t>
      </w:r>
    </w:p>
    <w:p>
      <w:pPr/>
      <w:r>
        <w:rPr>
          <w:b/>
        </w:rPr>
        <w:t>POSSIBLE 2021:</w:t>
      </w:r>
      <w:r>
        <w:t xml:space="preserve"> Public attitudes toward economic growth versus environmental sustainability dilemma: Evidence from Europe — https://doi.org/10.1177/00207152211034224</w:t>
      </w:r>
    </w:p>
    <w:p>
      <w:pPr/>
      <w:r>
        <w:rPr>
          <w:b/>
        </w:rPr>
        <w:t>Shared claim-specific concepts:</w:t>
      </w:r>
      <w:r>
        <w:t xml:space="preserve"> find, measures, national, level; EU scope visible. This is a provisional connection, not an outcome finding.</w:t>
      </w:r>
    </w:p>
    <w:p>
      <w:pPr>
        <w:pStyle w:val="SourceNote"/>
      </w:pPr>
      <w:r>
        <w:rPr>
          <w:b/>
        </w:rPr>
        <w:t>Available abstract (not full text):</w:t>
      </w:r>
      <w:r>
        <w:t xml:space="preserve"> As global warming and other environmental threats intensify and become more visible, scientists are increasingly questioning the desirability of economic growth as an overarching national and global policy imperative. Several theories in environmental sociology and economics—degrowth, steady-state economy, and “agrowth”—offer compelling arguments that environmental sustainability and continuous economic growth are incompatible. However, there is a shortage of empirical evidence about public opinion on the growth versus environment dilemma, despite its great relevance for the social legitimacy of governments’ approach to the issue. In this article, we aim to narrow this research gap by applying multilevel models to data from the 2017 European Values Study (EVS). We find that the idea of sacrificing a certain level of growth for the sake of the environment receives high levels of support in most European countries. Nevertheless, within countries, we find clear indications of social divides in opinions regarding the growth versus environment dilemma: post-materialists, politically left-leaning people, the better-off, and the higher-educated are in favor of reduced growth, whereas materialists, right-wing individuals, and disadvantaged groups prioritize the economy over ecological concerns. At the country level, economic affluence is associated with greater support for reduced grow</w:t>
      </w:r>
    </w:p>
    <w:p>
      <w:pPr/>
      <w:r>
        <w:rPr>
          <w:b/>
        </w:rPr>
        <w:t>POSSIBLE 2021:</w:t>
      </w:r>
      <w:r>
        <w:t xml:space="preserve"> The impact of stock market integration on economic growth in Asia and Europe regions — https://doi.org/10.1063/5.0075998</w:t>
      </w:r>
    </w:p>
    <w:p>
      <w:pPr/>
      <w:r>
        <w:rPr>
          <w:b/>
        </w:rPr>
        <w:t>Shared claim-specific concepts:</w:t>
      </w:r>
      <w:r>
        <w:t xml:space="preserve"> find, index; EU scope visible. This is a provisional connection, not an outcome finding.</w:t>
      </w:r>
    </w:p>
    <w:p>
      <w:pPr>
        <w:pStyle w:val="SourceNote"/>
      </w:pPr>
      <w:r>
        <w:rPr>
          <w:b/>
        </w:rPr>
        <w:t>Available abstract (not full text):</w:t>
      </w:r>
      <w:r>
        <w:t xml:space="preserve"> The global increased of market integration for the past few decades has been staggering. Although numerous research have shown market integration as one of the main drivers of economic growth, existing literature has yet to find a conclusive result. Hence, this study examines the impact of stock market integration on economic growth in 32 countries of Asia and Europe regions. The study utilizes the Kalman Filter method to generate the stock market integration index and heterogenous panel models to investigate its relationship towards economic growth. Overall, the result shows that stock market integration has positive impact on economic growth in Asia and Europe high-income countries. However, the impact is not significant in Asia Middle-Income Countries, which suggest the insufficient absorptive capacities in these countries to benefit from the market integration. Such findings call for more appropriate market liberalization policies that fits the economic environment and geographical location of these countries.</w:t>
      </w:r>
    </w:p>
    <w:p>
      <w:pPr/>
      <w:r>
        <w:rPr>
          <w:b/>
        </w:rPr>
        <w:t>POSSIBLE 2021:</w:t>
      </w:r>
      <w:r>
        <w:t xml:space="preserve"> Global economic impacts of COVID-19 lockdown measures stand out in high-frequency shipping data — https://doi.org/10.1371/journal.pone.0248818</w:t>
      </w:r>
    </w:p>
    <w:p>
      <w:pPr/>
      <w:r>
        <w:rPr>
          <w:b/>
        </w:rPr>
        <w:t>Shared claim-specific concepts:</w:t>
      </w:r>
      <w:r>
        <w:t xml:space="preserve"> find, specific, measures, effect; EU scope visible. This is a provisional connection, not an outcome finding.</w:t>
      </w:r>
    </w:p>
    <w:p>
      <w:pPr>
        <w:pStyle w:val="SourceNote"/>
      </w:pPr>
      <w:r>
        <w:rPr>
          <w:b/>
        </w:rPr>
        <w:t>Available abstract (not full text):</w:t>
      </w:r>
      <w:r>
        <w:t xml:space="preserve"> The implementation of large-scale containment measures by governments to contain the spread of the COVID-19 virus has resulted in large impacts to the global economy. Here, we derive a new high-frequency indicator of economic activity using empirical vessel tracking data, and use it to estimate the global maritime trade losses during the first eight months of the pandemic. We go on to use this high-frequency dataset to infer the effect of individual non-pharmaceutical interventions on maritime exports, which we use as a proxy of economic activity. Our results show widespread port-level trade losses, with the largest absolute losses found for ports in China, the Middle-East and Western Europe, associated with the collapse of specific supply-chains (e.g. oil, vehicle manufacturing). In total, we estimate that global maritime trade reduced by -7.0% to -9.6% during the first eight months of 2020, which is equal to around 206-286 million tonnes in volume losses and up to 225-412 billion USD in value losses. We find large sectoral and geographical disparities in impacts. Manufacturing sectors are hit hardest, with losses up to 11.8%, whilst some small islands developing states and low-income economies suffered the largest relative trade losses. Moreover, we find a clear negative impact of COVID-19 related school and public transport closures on country-wide exports. Overall, we show </w:t>
      </w:r>
    </w:p>
    <w:p>
      <w:pPr/>
      <w:r>
        <w:rPr>
          <w:b/>
        </w:rPr>
        <w:t>POSSIBLE 2021:</w:t>
      </w:r>
      <w:r>
        <w:t xml:space="preserve"> How resilient is health financing policy in Europe to economic shocks? Evidence from the first year of the COVID-19 pandemic and the 2008 global financial crisis — https://doi.org/10.1016/j.healthpol.2021.11.002</w:t>
      </w:r>
    </w:p>
    <w:p>
      <w:pPr/>
      <w:r>
        <w:rPr>
          <w:b/>
        </w:rPr>
        <w:t>Shared claim-specific concepts:</w:t>
      </w:r>
      <w:r>
        <w:t xml:space="preserve"> find, national; EU scope visible. This is a provisional connection, not an outcome finding.</w:t>
      </w:r>
    </w:p>
    <w:p>
      <w:pPr>
        <w:pStyle w:val="SourceNote"/>
      </w:pPr>
      <w:r>
        <w:rPr>
          <w:b/>
        </w:rPr>
        <w:t>Available abstract (not full text):</w:t>
      </w:r>
      <w:r>
        <w:t xml:space="preserve"> The COVID-19 pandemic triggered an economic shock just ten years after the shock of the 2008 global financial crisis. Economic shocks are a challenge for health systems because they reduce government revenue at the same time as they increase the need for publicly financed health care. This article explores the resilience of health financing policy to economic shocks by reviewing policy responses to the financial crisis and COVID-19 in Europe. It finds that some health systems were weakened by responses to the 2008 crisis. Responses to the pandemic show evidence of lessons learnt from the earlier crisis but also reveal weaknesses in health financing policy that limit national preparedness to face economic shocks, particularly in countries with social health insurance schemes. These weaknesses highlight where permanent changes are needed to strengthen resilience in future: countries will have to find ways to reduce cyclicality in coverage policy and revenue-raising; increase the priority given to health in allocating public spending; and ensure that resources are used to meet equity and efficiency goals. Although many health systems are likely to face budgetary pressure in the years ahead, the experience of the 2008 crisis shows that austerity is not an option because it undermines resilience and progress towards universal health coverage.</w:t>
      </w:r>
    </w:p>
    <w:p>
      <w:pPr>
        <w:pStyle w:val="Heading2"/>
      </w:pPr>
      <w:r>
        <w:t>665.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r>
        <w:rPr>
          <w:b/>
        </w:rPr>
        <w:t>POSSIBLE 2022:</w:t>
      </w:r>
      <w:r>
        <w:t xml:space="preserve"> The impact of financial systems on economic growth in European Union member countries — https://doi.org/10.2478/picbe-2022-0068</w:t>
      </w:r>
    </w:p>
    <w:p>
      <w:pPr/>
      <w:r>
        <w:rPr>
          <w:b/>
        </w:rPr>
        <w:t>Shared claim-specific concepts:</w:t>
      </w:r>
      <w:r>
        <w:t xml:space="preserve"> different, case; EU scope visible. This is a provisional connection, not an outcome finding.</w:t>
      </w:r>
    </w:p>
    <w:p>
      <w:pPr>
        <w:pStyle w:val="SourceNote"/>
      </w:pPr>
      <w:r>
        <w:rPr>
          <w:b/>
        </w:rPr>
        <w:t>Available abstract (not full text):</w:t>
      </w:r>
      <w:r>
        <w:t xml:space="preserve"> Abstract As the economy develops, self-financed capital investments are less frequent, being replaced by financing through banking intermediation and later through capital markets. The development of financial systems has a positive effect on the mobilization of resources, improving corporate governance and risk management, leading to economic growth. The preponderance of previous research papers shows a positive relationship between financial development and economic growth. Studies using cross-sectional methodologies discover almost unanimously a positive link between financial development and economic growth, while studies with methodologies based on time series, panel data or case studies reach different conclusions depending on the period considered, the countries’ initial level of development and the structure of the financial systems. The purpose of this paper is to investigate the impact of financial systems on economic growth using panel regressions based on annual data regarding measures of financial development for the member countries of the European Union, for the period 1990-2020. The findings show that the development of the financial systems, through the activity of banks and capital markets, has a positive effect on the allocation of resources, the mobilization of savings and the efficient management of risks, leading in turn to economic growth if there is a co</w:t>
      </w:r>
    </w:p>
    <w:p>
      <w:pPr/>
      <w:r>
        <w:rPr>
          <w:b/>
        </w:rPr>
        <w:t>POSSIBLE 2022:</w:t>
      </w:r>
      <w:r>
        <w:t xml:space="preserve"> Analyzing the Level of Digitalization among the Enterprises of the European Union Member States and Their Impact on Economic Growth — https://doi.org/10.3390/joitmc8020070</w:t>
      </w:r>
    </w:p>
    <w:p>
      <w:pPr/>
      <w:r>
        <w:rPr>
          <w:b/>
        </w:rPr>
        <w:t>Shared claim-specific concepts:</w:t>
      </w:r>
      <w:r>
        <w:t xml:space="preserve"> both, issue; EU scope visible. This is a provisional connection, not an outcome finding.</w:t>
      </w:r>
    </w:p>
    <w:p>
      <w:pPr>
        <w:pStyle w:val="SourceNote"/>
      </w:pPr>
      <w:r>
        <w:rPr>
          <w:b/>
        </w:rPr>
        <w:t>Available abstract (not full text):</w:t>
      </w:r>
      <w:r>
        <w:t xml:space="preserve">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pStyle w:val="Heading2"/>
      </w:pPr>
      <w:r>
        <w:t>666.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2023:</w:t>
      </w:r>
      <w:r>
        <w:t xml:space="preserve"> Kant on Freedom, Nature, and Judgment — https://doi.org/10.1017/9781009036634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Kant's Critique of Judgment seems not to be an obviously unified work. Unlike other attempts to comprehend it as a unity, which treat it as serving either practical or theoretical interests, Kristi Sweet's book posits it as examining a genuinely independent sphere of human life. In her in-depth account of Kant's Critical philosophical system, Sweet argues that the Critique addresses the question: for what may I hope? The answer is given in Kant's account of 'territory,' a region of experience that both underlies and mediates between freedom and nature. Territory forms the context in which purposiveness without a purpose, the Ideal of Beauty, the sensus communis, genius and aesthetic ideas, and Kant's conception of life and proof of God are best interpreted. Encounters in this sphere are shown to refer us to a larger, more cosmic sense of a whole to which both freedom and nature belong.</w:t>
      </w:r>
    </w:p>
    <w:p>
      <w:pPr/>
      <w:r>
        <w:rPr>
          <w:b/>
        </w:rPr>
        <w:t>POSSIBLE 2023:</w:t>
      </w:r>
      <w:r>
        <w:t xml:space="preserve"> Metabolic politics: Industrial relations as if nature mattered — https://doi.org/10.31235/osf.io/wxb3s</w:t>
      </w:r>
    </w:p>
    <w:p>
      <w:pPr/>
      <w:r>
        <w:rPr>
          <w:b/>
        </w:rPr>
        <w:t>Shared claim-specific concepts:</w:t>
      </w:r>
      <w:r>
        <w:t xml:space="preserve"> nature, work, they; EU scope not established. This is a provisional connection, not an outcome finding.</w:t>
      </w:r>
    </w:p>
    <w:p>
      <w:pPr>
        <w:pStyle w:val="SourceNote"/>
      </w:pPr>
      <w:r>
        <w:rPr>
          <w:b/>
        </w:rPr>
        <w:t>Available abstract (not full text):</w:t>
      </w:r>
      <w:r>
        <w:t xml:space="preserve"> Work is at the center of the social metabolism with nature. This means that industrial relations (IR) are always also environmental politics. This article reviews core contributions to IR literature, showing that they do not systematically address this role of nature and separate the politics of work from their ecological basis. Against this backdrop, the article develops an interdisciplinary approach, combining IR studies with geographical as well as historical perspectives. Drawing on these fields, it presents the concept of metabolic politics in which nature is an autonomous party of IR. This approach allows analysis to take into account systematically the effects of IR on nonhuman nature as well as nature's own shaping of IR. Such an interdisciplinary approach is necessary to understand the entanglement of IR with climate change and the broader ecological crisis.</w:t>
      </w:r>
    </w:p>
    <w:p>
      <w:pPr/>
      <w:r>
        <w:rPr>
          <w:b/>
        </w:rPr>
        <w:t>POSSIBLE 2023:</w:t>
      </w:r>
      <w:r>
        <w:t xml:space="preserve"> Reinventing Work Nature: The Changing Work Landscape in Malayalam Architecture Magazines in the Post-COVID-19 Pandemic Era — https://doi.org/10.52783/tjjpt.v44.i3.719</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COVID-19 pandemic has profoundly impacted various industries, including the field of architecture magazines. This study aims to analyze the ramifications of the pandemic on the work nature of architecture magazines, with particular attention given to the editorial, business, and mechanical departments. By utilizing a qualitative research approach involving in-depth interviews with experts, this research investigates the changes that have transpired within the nature of work in architecture magazines as a direct response to the pandemic. Many changes have occurred. Findings from this study contribute to a deeper understanding of the changes and transformations within the architecture magazine industry, shedding light on the evolving work nature, strategies, and practices in the post-pandemic era. The insights gained will inform the key players such as stakeholders and advertisers to navigate the multifaceted challenges within the media landscape, reinforcing the resilience of magazine organizations and paving the way for sustained growth in the future.</w:t>
      </w:r>
    </w:p>
    <w:p>
      <w:pPr/>
      <w:r>
        <w:rPr>
          <w:b/>
        </w:rPr>
        <w:t>POSSIBLE 2022:</w:t>
      </w:r>
      <w:r>
        <w:t xml:space="preserve"> The Nature of Work in the Media Industries: A Literature Review and Future Directions — https://doi.org/10.3390/journalmedia3010013</w:t>
      </w:r>
    </w:p>
    <w:p>
      <w:pPr/>
      <w:r>
        <w:rPr>
          <w:b/>
        </w:rPr>
        <w:t>Shared claim-specific concepts:</w:t>
      </w:r>
      <w:r>
        <w:t xml:space="preserve"> given, nature, work, potentially, over, approaches; EU scope not established. This is a provisional connection, not an outcome finding.</w:t>
      </w:r>
    </w:p>
    <w:p>
      <w:pPr>
        <w:pStyle w:val="SourceNote"/>
      </w:pPr>
      <w:r>
        <w:rPr>
          <w:b/>
        </w:rPr>
        <w:t>Available abstract (not full text):</w:t>
      </w:r>
      <w:r>
        <w:t xml:space="preserve"> Media work is a culture-making activity affecting the ways people understand the world and, therefore, workers in the media industries have a critical role in shaping collective memories, traditions, and belief systems. While studies regarding the characteristics impacting the nature of work in the media industries have significantly been increasing over the last years, the literature in this area remains highly fragmented. This paper begins to address that shortcoming by conducting an in-depth review of 36 scholarly papers in influential journals published from 2006 to 2020 to provide a comprehensive view of the literature and its approaches. This study elaborates on the concept of media work by organizing previous efforts into five subthemes, including commonalities, contested terrain, gendered profession, emerging practices, and influencing factors. Previous research has emphasized that media workers’ subjective experiences need to be explored further and more in-depth; however, if we wish to depict a more holistic but realistic picture, those experiences should be contextualized and thus linked with the specific organizational configurations and macro structures in which media work is embedded. The present review depicts how work in the media may take different meanings when addressing it through various theoretical frameworks. Our study can enrich future studies regarding </w:t>
      </w:r>
    </w:p>
    <w:p>
      <w:pPr/>
      <w:r>
        <w:rPr>
          <w:b/>
        </w:rPr>
        <w:t>POSSIBLE 2022:</w:t>
      </w:r>
      <w:r>
        <w:t xml:space="preserve"> Automation and the Changing Nature of Work — https://doi.org/10.1371/journal.pone.0266326</w:t>
      </w:r>
    </w:p>
    <w:p>
      <w:pPr/>
      <w:r>
        <w:rPr>
          <w:b/>
        </w:rPr>
        <w:t>Shared claim-specific concepts:</w:t>
      </w:r>
      <w:r>
        <w:t xml:space="preserve"> nature, work, they; EU scope visible. This is a provisional connection, not an outcome finding.</w:t>
      </w:r>
    </w:p>
    <w:p>
      <w:pPr>
        <w:pStyle w:val="SourceNote"/>
      </w:pPr>
      <w:r>
        <w:rPr>
          <w:b/>
        </w:rPr>
        <w:t>Available abstract (not full text):</w:t>
      </w:r>
      <w:r>
        <w:t xml:space="preserve"> This study identifies the job attributes, and in particular skills and abilities, which predict the likelihood a job is recently automatable drawing on the Josten and Lordan (2020) classification of automatability, EU labour force survey data and a machine learning regression approach. We find that skills and abilities which relate to non-linear abstract thinking are those that are the safest from automation. We also find that jobs that require 'people' engagement interacted with 'brains' are also less likely to be automated. The skills that are required for these jobs include soft skills. Finally, we find that jobs that require physically making objects or physicality more generally are most likely to be automated unless they involve interaction with 'brains' and/or 'people'.</w:t>
      </w:r>
    </w:p>
    <w:p>
      <w:pPr/>
      <w:r>
        <w:rPr>
          <w:b/>
        </w:rPr>
        <w:t>POSSIBLE 2022:</w:t>
      </w:r>
      <w:r>
        <w:t xml:space="preserve"> Nature, Work, and Transcendence — https://doi.org/10.1515/ejss-2022-2067</w:t>
      </w:r>
    </w:p>
    <w:p>
      <w:pPr/>
      <w:r>
        <w:rPr>
          <w:b/>
        </w:rPr>
        <w:t>Shared claim-specific concepts:</w:t>
      </w:r>
      <w:r>
        <w:t xml:space="preserve"> nature, work, they, them; EU scope visible. This is a provisional connection, not an outcome finding.</w:t>
      </w:r>
    </w:p>
    <w:p>
      <w:pPr>
        <w:pStyle w:val="SourceNote"/>
      </w:pPr>
      <w:r>
        <w:rPr>
          <w:b/>
        </w:rPr>
        <w:t>Available abstract (not full text):</w:t>
      </w:r>
      <w:r>
        <w:t xml:space="preserve"> Abstract This article analyzes the function of Christian intertexts in Selma Lagerlöf’sNils Holgersson’s Marvelous Journey Through Sweden(1906/7). The intertexts structure the story both narratively and ethically. For the most part, however, they are not explicitly used as Christian. The intention of the book is not to transmit these stories, but to translate them into the new, national discourse. They were stripped of their original religious context and placed in the service of what might be called a national religion. In this process, the loss of the Christian framework did not mean the abolition of central ethical elements that were significant for Protestant practice. In particular, the pietistic heritage of a work ethic, the necessity of learning and education in order to become a true Christian – or, in its secular version, a true human citizen of the world with respect for others, taking responsibility for one’s own life and that of others, being humble and industrious – are central to the propagated morality of Nils Holgersson’s travelling school. Moreover, the transition from vertically to horizontally ordered space in the course of nationalizing the organization of the imagined community of Sweden seems to demand that the location of metaphysical transcendence be moved from heaven to earth; nature takes the place of the divine.</w:t>
      </w:r>
    </w:p>
    <w:p>
      <w:pPr/>
      <w:r>
        <w:rPr>
          <w:b/>
        </w:rPr>
        <w:t>POSSIBLE 2022:</w:t>
      </w:r>
      <w:r>
        <w:t xml:space="preserve"> Principles for urban nature-based solutions — https://doi.org/10.1007/s13280-021-01685-w</w:t>
      </w:r>
    </w:p>
    <w:p>
      <w:pPr/>
      <w:r>
        <w:rPr>
          <w:b/>
        </w:rPr>
        <w:t>Shared claim-specific concepts:</w:t>
      </w:r>
      <w:r>
        <w:t xml:space="preserve"> given, nature, work, application; EU scope not established. This is a provisional connection, not an outcome finding.</w:t>
      </w:r>
    </w:p>
    <w:p>
      <w:pPr>
        <w:pStyle w:val="SourceNote"/>
      </w:pPr>
      <w:r>
        <w:rPr>
          <w:b/>
        </w:rPr>
        <w:t>Available abstract (not full text):</w:t>
      </w:r>
      <w:r>
        <w:t xml:space="preserve"> Nature-based solutions (NBS) were introduced as integrated, multifunctional and multi-beneficial solutions to a wide array of socio-ecological challenges. Although principles for a common understanding and implementation of NBS were already developed on a landscape scale, specific principles are needed with regard to an application in urban areas. Urban areas come with particular challenges including (i) spatial conflicts with urban system nestedness, (ii) specific urban biodiversity, fragmentation and altered environments, (iii) value plurality, multi-actor interdependencies and environmental injustices, (iv) path-dependencies with cultural and planning legacies and (v) a potential misconception of cities as being artificial landscapes disconnected from nature. Given these challenges, in this perspective paper, we build upon and integrate knowledge from the most recent academic work on NBS in urban areas and introduce five distinct, integrated principles for urban NBS design, planning and implementation. Our five principles should help to transcend governance gaps and advance the scientific discourse of urban NBS towards a more effective and sustainable urban development. To contribute to resilient urban futures, the design, planning, policy and governance of NBS should (1) consider the need for a systemic understanding, (2) contribute to benefiting people and biodiversity, (3</w:t>
      </w:r>
    </w:p>
    <w:p>
      <w:pPr>
        <w:pStyle w:val="Heading2"/>
      </w:pPr>
      <w:r>
        <w:t>667.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r>
        <w:rPr>
          <w:b/>
        </w:rPr>
        <w:t>POSSIBLE 2021:</w:t>
      </w:r>
      <w:r>
        <w:t xml:space="preserve"> Western Europe — https://doi.org/10.1017/9781316671603.003</w:t>
      </w:r>
    </w:p>
    <w:p>
      <w:pPr/>
      <w:r>
        <w:rPr>
          <w:b/>
        </w:rPr>
        <w:t>Shared claim-specific concepts:</w:t>
      </w:r>
      <w:r>
        <w:t xml:space="preserve"> period, suggested; EU scope visible. This is a provisional connection, not an outcome finding.</w:t>
      </w:r>
    </w:p>
    <w:p>
      <w:pPr>
        <w:pStyle w:val="SourceNote"/>
      </w:pPr>
      <w:r>
        <w:rPr>
          <w:b/>
        </w:rPr>
        <w:t>Available abstract (not full text):</w:t>
      </w:r>
      <w:r>
        <w:t xml:space="preserve"> This chapter considers the growth performance of western European countries since 1870, and relates this to the degree of openness. A theoretical explanation of why convergence is predicted by economic theory is presented and some statistics are presented on GDP per capita and the contributions of various factors to growth performance. Three periods are considered: 1870 until World War I; the interwar period; and after World War II. The first and the last are associated with globalization and convergence, whereas the interwar period witnessed increasing levels of economic isolation and lack of convergence. All western European countries are much richer today than they were in 1870, but some countries have performed much more strongly than others. Over- and underperforming countries, whose growth performances were markedly different from what might be expected from their initial levels of income, are highlighted, and possible interpretations suggested.</w:t>
      </w:r>
    </w:p>
    <w:p>
      <w:pPr>
        <w:pStyle w:val="Heading2"/>
      </w:pPr>
      <w:r>
        <w:t>668.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2024:</w:t>
      </w:r>
      <w:r>
        <w:t xml:space="preserve"> Entrepreneurial competencies in the success of enterprises: A bibliometric analysis of the publications in the field — https://doi.org/10.15295/bmij.v12i2.2390</w:t>
      </w:r>
    </w:p>
    <w:p>
      <w:pPr/>
      <w:r>
        <w:rPr>
          <w:b/>
        </w:rPr>
        <w:t>Shared claim-specific concepts:</w:t>
      </w:r>
      <w:r>
        <w:t xml:space="preserve"> core, competencies; EU scope visible. This is a provisional connection, not an outcome finding.</w:t>
      </w:r>
    </w:p>
    <w:p>
      <w:pPr>
        <w:pStyle w:val="SourceNote"/>
      </w:pPr>
      <w:r>
        <w:rPr>
          <w:b/>
        </w:rPr>
        <w:t>Available abstract (not full text):</w:t>
      </w:r>
      <w:r>
        <w:t xml:space="preserve"> There has been an acceleration in competence-based management in recent years, which has, in turn, influenced entrepreneurial success by strengthening entrepreneurial competencies. This study aims to analyse and predict the future of the research on entrepreneurial competencies using bibliometric methods. For this purpose, VOSviewer software was used for co-word analysis. Bibliometric methods such as citation analysis and co-author analysis were used to analyse the studies related to entrepreneurial competencies. It was found that most publications were published in 2019 based on a search in the Web of Science database between 1995 and 2023. The analysis of 1403 publications revealed that 460 proceeding papers, 10 early access and 210 book chapters were involved in the search. After reducing the set to include articles, 914 papers were evaluated. Results show that the authors most cited over the years are Lans Thomas, Al Mamun Abdullah, Mulder Martin, and Obschonka. Furthermore, it was found that Spain had the highest number of published works, followed by China and the USA respectively. Study findings also revealed that entrepreneurial competencies are more related to core, emotional, and network competencies and sustainable development, creativity, innovation, social capital, and higher education.</w:t>
      </w:r>
    </w:p>
    <w:p>
      <w:pPr/>
      <w:r>
        <w:rPr>
          <w:b/>
        </w:rPr>
        <w:t>POSSIBLE 2024:</w:t>
      </w:r>
      <w:r>
        <w:t xml:space="preserve"> Reciprocity and caregiver competencies. — https://doi.org/10.7146/qs.v9i1.143675</w:t>
      </w:r>
    </w:p>
    <w:p>
      <w:pPr/>
      <w:r>
        <w:rPr>
          <w:b/>
        </w:rPr>
        <w:t>Shared claim-specific concepts:</w:t>
      </w:r>
      <w:r>
        <w:t xml:space="preserve"> competencies, professional, training; EU scope not established. This is a provisional connection, not an outcome finding.</w:t>
      </w:r>
    </w:p>
    <w:p>
      <w:pPr>
        <w:pStyle w:val="SourceNote"/>
      </w:pPr>
      <w:r>
        <w:rPr>
          <w:b/>
        </w:rPr>
        <w:t>Available abstract (not full text):</w:t>
      </w:r>
      <w:r>
        <w:t xml:space="preserve"> Despite the impact of dementia, people’s needs to connect with others and their environment remains. With progression of a dementia disease, a person will gradually be more dependent on assistance and care. In this study, we aimed to conceptualise our understanding of person-centred dementia care, theoretically based on Tom Kitwood’s ontology of personhood. A hermeneutic constructivist approach with four explorative phases allowed for a metaphorical way of working with implicit knowledge related to professional caregiving. We used Lego Serious Play™ for data collection and as a method for exploring, articulating, and conceptualising how we understood caregiver interactions. Based on our analysis, we developed a co-created, condensed model suggesting an ideographic understanding of person-attuned interactions in caregiving, emphasizing knowledge about personhood and reciprocity. We unfolded how professional caregivers represent an essential value in dementia care by providing a feeling of safety through person-attuned interactions, introspection and mentalisation. We found that caregiver competencies depend on resources, culture, and interdisciplinary collaboration, which puts a strong demand on continuous training and supervision and for political and societal priorities.</w:t>
      </w:r>
    </w:p>
    <w:p>
      <w:pPr/>
      <w:r>
        <w:rPr>
          <w:b/>
        </w:rPr>
        <w:t>POSSIBLE 2023:</w:t>
      </w:r>
      <w:r>
        <w:t xml:space="preserve"> The Key Competencies for the Future of Work—A Bibliometric Study — https://doi.org/10.47297/wspchrmwsp2040-800501.20231401</w:t>
      </w:r>
    </w:p>
    <w:p>
      <w:pPr/>
      <w:r>
        <w:rPr>
          <w:b/>
        </w:rPr>
        <w:t>Shared claim-specific concepts:</w:t>
      </w:r>
      <w:r>
        <w:t xml:space="preserve"> competencies, process, training; EU scope not established. This is a provisional connection, not an outcome finding.</w:t>
      </w:r>
    </w:p>
    <w:p>
      <w:pPr>
        <w:pStyle w:val="SourceNote"/>
      </w:pPr>
      <w:r>
        <w:rPr>
          <w:b/>
        </w:rPr>
        <w:t>Available abstract (not full text):</w:t>
      </w:r>
      <w:r>
        <w:t xml:space="preserve"> The constant technological transformations that have emerged over the last few decades have forced a fast adjustment caused both by the digitalization and automation processes that have revolutionized the job market. Even though the fourth industrial revolution allows the emergence of numerous job opportunities, it brings different restrictions that directly affect the daily lives of professionals and organizations. On the other hand, this implementation requires not only a large financial investment but also, and perhaps the most critical obstacle in this process, the training of human resources to be able to assimilate the complexity of these digital transformations. Thus, the main objective of this research is to try to understand which skills will be most required by the labor market in the future. To achieve this primary objective, a bibliometric study was carried out, based on the World Economic Forum report and two main databases: Web of Science and Scopus.</w:t>
      </w:r>
    </w:p>
    <w:p>
      <w:pPr/>
      <w:r>
        <w:rPr>
          <w:b/>
        </w:rPr>
        <w:t>POSSIBLE 2022:</w:t>
      </w:r>
      <w:r>
        <w:t xml:space="preserve"> Core Competencies for Maritime Business Educators in the Digital Era — https://doi.org/10.3389/fpsyg.2022.915980</w:t>
      </w:r>
    </w:p>
    <w:p>
      <w:pPr/>
      <w:r>
        <w:rPr>
          <w:b/>
        </w:rPr>
        <w:t>Shared claim-specific concepts:</w:t>
      </w:r>
      <w:r>
        <w:t xml:space="preserve"> core, competencies, universities, training; EU scope not established. This is a provisional connection, not an outcome finding.</w:t>
      </w:r>
    </w:p>
    <w:p>
      <w:pPr>
        <w:pStyle w:val="SourceNote"/>
      </w:pPr>
      <w:r>
        <w:rPr>
          <w:b/>
        </w:rPr>
        <w:t>Available abstract (not full text):</w:t>
      </w:r>
      <w:r>
        <w:t xml:space="preserve"> In light of digitalization, the objectives of this study are to (1) identify the emerging, core competencies of maritime business educators (MBE) and (2) examine their effects on perceived teaching performance. A systematic review of the contemporary literature was first performed to build a competency framework. Subsequently, an online survey was administered to 196 faculty members of the top 10 leading maritime universities as identified from the Worldwide Maritime School Rankings produced by Hong Kong Polytechnic University. The collected data were analyzed using Exploratory Factor Analysis to extract the main competencies of MBE. The results uncovered five key competencies from 22 sub-competencies. Thereafter, Hierarchical Regression Modeling was used to examine the effects of the key competencies on perceived teaching performance. After controlling for teaching experience and job position, it was found that the five competency requirements, in descending order of their importance, have significant positive effects on teaching performance: Pedagogy, Maritime, Interpersonal, Business and Digital. Academically, this study consolidates the literature and identifies the emerging core competencies that are expected from MBE in the digital era. The study also implicates education policy formulation, offering directions for institutions to allocate their resources, develop suitabl</w:t>
      </w:r>
    </w:p>
    <w:p>
      <w:pPr/>
      <w:r>
        <w:rPr>
          <w:b/>
        </w:rPr>
        <w:t>POSSIBLE 2022:</w:t>
      </w:r>
      <w:r>
        <w:t xml:space="preserve"> Should organising premier-level European football be a monopoly? And who should run it? – An economists' perspective — https://doi.org/10.4324/9781003305989-6</w:t>
      </w:r>
    </w:p>
    <w:p>
      <w:pPr/>
      <w:r>
        <w:rPr>
          <w:b/>
        </w:rPr>
        <w:t>Shared claim-specific concepts:</w:t>
      </w:r>
      <w:r>
        <w:t xml:space="preserve"> economists, they, professional; EU scope visible. This is a provisional connection, not an outcome finding.</w:t>
      </w:r>
    </w:p>
    <w:p>
      <w:pPr>
        <w:pStyle w:val="SourceNote"/>
      </w:pPr>
      <w:r>
        <w:rPr>
          <w:b/>
        </w:rPr>
        <w:t>Available abstract (not full text):</w:t>
      </w:r>
      <w:r>
        <w:t xml:space="preserve"> In this conceptual and theoretical chapter from the perspective of sport economics, the authors ask whether organising premier-level European football should be a monopoly, and who should be in charge. In their attempt to locate the scope for a necessary monopoly, the two economists discuss the merits and shortcomings of the established European pyramidal model of sports governance. In economics, monopolies are associated with severe consumer (fan) welfare loss and massive dynamic inefficiencies. Therefore, effective competition in every market is the generally preferred organisation of commercial activities and, subsequently, the main goal of competition law and policy. Yet they also find that there may be situations where a single supplier of a good may exceptionally be superior to competition. Organising premier-level sports is often viewed to be such an exception, they argue, as in the EU with the pyramid structure of sports associations governing professional (and commercial) sports. The authors revisit this assertion from a modern economics perspective, looking for economic arguments in favour of the pyramid structure, counter-arguments as well the potential for balancing the two. For the identified monopoly areas, they ask who should run them in order to maximise social and consumer (fan) welfare, suggesting that regular competitions for the market such as tender procedu</w:t>
      </w:r>
    </w:p>
    <w:p>
      <w:pPr/>
      <w:r>
        <w:rPr>
          <w:b/>
        </w:rPr>
        <w:t>POSSIBLE 2022:</w:t>
      </w:r>
      <w:r>
        <w:t xml:space="preserve"> The role of the core competence and core resource features of a sharing economy on the achievement of SDGs 2030 — https://doi.org/10.1016/j.jik.2022.100283</w:t>
      </w:r>
    </w:p>
    <w:p>
      <w:pPr/>
      <w:r>
        <w:rPr>
          <w:b/>
        </w:rPr>
        <w:t>Shared claim-specific concepts:</w:t>
      </w:r>
      <w:r>
        <w:t xml:space="preserve"> core, economy; EU scope not established. This is a provisional connection, not an outcome finding.</w:t>
      </w:r>
    </w:p>
    <w:p>
      <w:pPr>
        <w:pStyle w:val="SourceNote"/>
      </w:pPr>
      <w:r>
        <w:rPr>
          <w:b/>
        </w:rPr>
        <w:t>Available abstract (not full text):</w:t>
      </w:r>
      <w:r>
        <w:t xml:space="preserve"> Globally, sustainable development goals (SDGs), which need to be achieved using the sharing economy, are the focus of many recent studies. This article investigates the impact of sharing economy features such as core competence and resources on achieving SDGs in the tourism industry in the BRICS countries (Brazil, Russia, India, China, and South Africa). It examines the mediating impact of distinctive competitive advantage between the core competence and core resource features of a sharing economy, and achievement of the SDGs. The study also examines the moderating role of institutional support on the nexus of distinctive competitive advantage and achievement of SDGs in the BRICS countries. Questionnaires are used to collect primary data and Smart-PLS is used to analyse the data. The results indicate that the core competence and core resource features have a positive association with the achievement of SDGs, and that distinctive competitive advantage significantly mediates the association between core competence, core resources, and achievement of the SDGs. The outcomes reveal that institutional support significantly moderates the nexus of distinctive competitive advantage and achievement of SDGs. The research provides guidelines for regulators establishing policies related to the achievement of SDGs using the sharing economy.</w:t>
      </w:r>
    </w:p>
    <w:p>
      <w:pPr/>
      <w:r>
        <w:rPr>
          <w:b/>
        </w:rPr>
        <w:t>POSSIBLE 2022:</w:t>
      </w:r>
      <w:r>
        <w:t xml:space="preserve"> Digital Competencies in Selected European Countries among University and High-School Students: Programming is lagging behind — https://doi.org/10.2478/bsrj-2022-0019</w:t>
      </w:r>
    </w:p>
    <w:p>
      <w:pPr/>
      <w:r>
        <w:rPr>
          <w:b/>
        </w:rPr>
        <w:t>Shared claim-specific concepts:</w:t>
      </w:r>
      <w:r>
        <w:t xml:space="preserve"> competencies, process, educational; EU scope visible. This is a provisional connection, not an outcome finding.</w:t>
      </w:r>
    </w:p>
    <w:p>
      <w:pPr>
        <w:pStyle w:val="SourceNote"/>
      </w:pPr>
      <w:r>
        <w:rPr>
          <w:b/>
        </w:rPr>
        <w:t>Available abstract (not full text):</w:t>
      </w:r>
      <w:r>
        <w:t xml:space="preserve"> Abstract Background: Constant integration of digital technologies in economic and social life is rapidly and significantly shaping and changing our environment and ourselves. To function in such a world, even in daily routines, it is necessary to possess certain digital competencies. Objectives: This paper aims to examine how university and high-school students of economic orientations from selected European countries self-assess their digital competencies, and to analyse the identified differences. This will enable further understanding of university and high-school students’ digital competencies that can serve as guidance for improving teaching practices and curricula. Methods/Approach: A survey was conducted to collect data that were analysed using non-parametric statistic tests (Mann-Whitney U test and Kruskal-Wallis H test) and Spearman Rank-Order Correlation coefficient. Results: University and high-school students consider to have below intermediate level of digital competencies. High-school students self-assessed digital competencies at a higher level than university students. University students of higher years of study self-assessed digital competencies at a higher level. There is no universal pattern among high-school students of different years of study. University students in the Accounting module and high-school students in the Tourism module assessed their digita</w:t>
      </w:r>
    </w:p>
    <w:p>
      <w:pPr/>
      <w:r>
        <w:rPr>
          <w:b/>
        </w:rPr>
        <w:t>POSSIBLE 2022:</w:t>
      </w:r>
      <w:r>
        <w:t xml:space="preserve"> Are Quantity Surveyors competent to value for Civil Engineering Works? Evaluating QSs' competencies and militating factors — https://doi.org/10.6084/m9.figshare.19758772</w:t>
      </w:r>
    </w:p>
    <w:p>
      <w:pPr/>
      <w:r>
        <w:rPr>
          <w:b/>
        </w:rPr>
        <w:t>Shared claim-specific concepts:</w:t>
      </w:r>
      <w:r>
        <w:t xml:space="preserve"> core, competencies, professional, outlined; EU scope not established. This is a provisional connection, not an outcome finding.</w:t>
      </w:r>
    </w:p>
    <w:p>
      <w:pPr>
        <w:pStyle w:val="SourceNote"/>
      </w:pPr>
      <w:r>
        <w:rPr>
          <w:b/>
        </w:rPr>
        <w:t>Available abstract (not full text):</w:t>
      </w:r>
      <w:r>
        <w:t xml:space="preserve"> The role of the quantity surveyor is one that is often unclear amongst the general public. This study discussed the competencies of the quantity surveyor in measuring and managing civil engineering works and also carrying out the financial management for civil engineering construction projects; also outlined the various competencies and skills required of quantity surveyors in discharging and managing their professional duties. The core activities of quantity surveyors include determining project budgets, measuring project quantities, preparing contract documentation (such as Bills of Quantities and cost control documents), administering contracts, and preparing final accounts. The study also examines recent developments in the profession, which have led to the quantity surveyor delivering a number of management related consultancy services, in response to rising client expectations and demands. The militating factors to QS participation in the Nigeria AEC industry were identified as skills and knowledge, competencies, identity or branding issues, fewer QS in public service among others. The study advocated a change in culture and the inclusion of quantity surveyors on civil engineering projects in order for the industry to leverage on the dynamism of the quantity surveying profession.</w:t>
      </w:r>
    </w:p>
    <w:p>
      <w:pPr/>
      <w:r>
        <w:rPr>
          <w:b/>
        </w:rPr>
        <w:t>POSSIBLE 2021:</w:t>
      </w:r>
      <w:r>
        <w:t xml:space="preserve"> Digital intelligence of a modern economist: an exploratory case study — https://doi.org/10.1051/shsconf/202110403001</w:t>
      </w:r>
    </w:p>
    <w:p>
      <w:pPr/>
      <w:r>
        <w:rPr>
          <w:b/>
        </w:rPr>
        <w:t>Shared claim-specific concepts:</w:t>
      </w:r>
      <w:r>
        <w:t xml:space="preserve"> economists, they, training, educational; EU scope not established. This is a provisional connection, not an outcome finding.</w:t>
      </w:r>
    </w:p>
    <w:p>
      <w:pPr>
        <w:pStyle w:val="SourceNote"/>
      </w:pPr>
      <w:r>
        <w:rPr>
          <w:b/>
        </w:rPr>
        <w:t>Available abstract (not full text):</w:t>
      </w:r>
      <w:r>
        <w:t xml:space="preserve"> In the current context of digitalization of various spheres of life, an important characteristic of participants in a digital society is the level of their digital intelligence. The level at which future economists develop their digital intelligence skills during university depends on their successful employment and career development. The presented article analyses the concept of digital intelligence of an economist on the basis of the Digital Quotient framework developed by the Digital Intelligence Institute, characterizing the levels of “Digital Citizen”, “Digital Creator”, “Digital Entrepreneur” for such components of digital intelligence as: Digital Changemaker Identity, Digital Use, Safety Digital, Digital Security, Digital Emotional Intelligence, Digital Communication, Digital Literacy, Digital Rights. For the first time, the contents of an academic discipline of a university training programme for future economists have been proposed, in the course of which digital intelligence skills can be developed. The authors demonstrate the stages of formation, indicators for different levels of formation, content and examples of educational representation of material. They offer the stages of Digital intelligence development in the framework of studying the course modules, the implementation of project work and the solution of the real case studies during academic training. The r</w:t>
      </w:r>
    </w:p>
    <w:p>
      <w:pPr>
        <w:pStyle w:val="Heading2"/>
      </w:pPr>
      <w:r>
        <w:t>669.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2024:</w:t>
      </w:r>
      <w:r>
        <w:t xml:space="preserve"> Analysis of CCS Technology Applied in Green Building — https://doi.org/10.62051/08xctb54</w:t>
      </w:r>
    </w:p>
    <w:p>
      <w:pPr/>
      <w:r>
        <w:rPr>
          <w:b/>
        </w:rPr>
        <w:t>Shared claim-specific concepts:</w:t>
      </w:r>
      <w:r>
        <w:t xml:space="preserve"> ccs, steel, production, emissions; EU scope not established. This is a provisional connection, not an outcome finding.</w:t>
      </w:r>
    </w:p>
    <w:p>
      <w:pPr>
        <w:pStyle w:val="SourceNote"/>
      </w:pPr>
      <w:r>
        <w:rPr>
          <w:b/>
        </w:rPr>
        <w:t>Available abstract (not full text):</w:t>
      </w:r>
      <w:r>
        <w:t xml:space="preserve"> As the global climate change crisis intensifies, the integration of green building practices with carbon capture and storage (CCS) technology is increasingly emerging as a focal point of research within the architectural domain. Green buildings prioritize resource efficiency, environmental sustainability, and long-term viability, while CCS technology serves as an effective mechanism for mitigating carbon emissions. This paper examined the application of CCS technology in green buildings and identifies its significant potential across various stages of building design, construction, and operation. Firstly, CCS technology can substantially reduce carbon emissions during the production processes of construction materials—particularly in high-emission sectors such as cement and steel manufacturing. Furthermore, by synergizing CCS technology with energy systems utilized in building operations, it becomes feasible to capture carbon emissions generated from routine energy consumption, thereby facilitating a near-zero carbon footprint. Nonetheless, challenges related to integration complexity and elevated costs hinder the deployment of CCS technology within existing structures—especially older buildings where spatial constraints and infrastructural limitations pose considerable obstacles. The lack of clear economic incentives has deterred numerous construction projects from investing i</w:t>
      </w:r>
    </w:p>
    <w:p>
      <w:pPr/>
      <w:r>
        <w:rPr>
          <w:b/>
        </w:rPr>
        <w:t>POSSIBLE 2024:</w:t>
      </w:r>
      <w:r>
        <w:t xml:space="preserve"> Carbon Dioxide Capture and Storage (CCS) in Saline Aquifers versus Depleted Gas Fields — https://doi.org/10.3390/geosciences14060146</w:t>
      </w:r>
    </w:p>
    <w:p>
      <w:pPr/>
      <w:r>
        <w:rPr>
          <w:b/>
        </w:rPr>
        <w:t>Shared claim-specific concepts:</w:t>
      </w:r>
      <w:r>
        <w:t xml:space="preserve"> ccs, production, co2, compared, emissions; EU scope not established. This is a provisional connection, not an outcome finding.</w:t>
      </w:r>
    </w:p>
    <w:p>
      <w:pPr>
        <w:pStyle w:val="SourceNote"/>
      </w:pPr>
      <w:r>
        <w:rPr>
          <w:b/>
        </w:rPr>
        <w:t>Available abstract (not full text):</w:t>
      </w:r>
      <w:r>
        <w:t xml:space="preserve"> Saline aquifers have been used for CO2 storage as a dedicated greenhouse gas mitigation strategy since 1996. Depleted gas fields are now being planned for large-scale CCS projects. Although basalt host reservoirs are also going to be used, saline aquifers and depleted gas fields will make up most of the global geological repositories for CO2. At present, depleted gas fields and saline aquifers seem to be treated as if they are a single entity, but they have distinct differences that are examined here. Depleted gas fields have far more pre-existing information about the reservoir, top-seal caprock, internal architecture of the site, and about fluid flow properties than saline aquifers due to the long history of hydrocarbon project development and fluid production. The fluid pressure evolution paths for saline aquifers and depleted gas fields are distinctly different because, unlike saline aquifers, depleted gas fields are likely to be below hydrostatic pressure before CO2 injection commences. Depressurised depleted gas fields may require an initial injection of gas-phase CO2 instead of dense-phase CO2 typical of saline aquifers, but the greater pressure difference may allow higher initial injection rates in depleted gas fields than saline aquifers. Depressurised depleted gas fields may lead to CO2-injection-related stress paths that are distinct from saline aquifers depending on</w:t>
      </w:r>
    </w:p>
    <w:p>
      <w:pPr/>
      <w:r>
        <w:rPr>
          <w:b/>
        </w:rPr>
        <w:t>POSSIBLE 2024:</w:t>
      </w:r>
      <w:r>
        <w:t xml:space="preserve"> Kickstarting CCS Adoption: Tailoring Subsidies to Emitters' Needs — https://openalex.org/W4400372560</w:t>
      </w:r>
    </w:p>
    <w:p>
      <w:pPr/>
      <w:r>
        <w:rPr>
          <w:b/>
        </w:rPr>
        <w:t>Shared claim-specific concepts:</w:t>
      </w:r>
      <w:r>
        <w:t xml:space="preserve"> ccs, emissions, current; EU scope visible. This is a provisional connection, not an outcome finding.</w:t>
      </w:r>
    </w:p>
    <w:p>
      <w:pPr>
        <w:pStyle w:val="SourceNote"/>
      </w:pPr>
      <w:r>
        <w:rPr>
          <w:b/>
        </w:rPr>
        <w:t>Available abstract (not full text):</w:t>
      </w:r>
      <w:r>
        <w:t xml:space="preserve"> Despite being an essential technology in industrial decarbonization scenarios, Carbon Capture and Storage (CCS) struggles to achieve large-scale deployment.Indeed, emitters face a coordination problem, which prevents them from forming the critical mass the transportation operator needs to develop a network that leverages economies of scale.In response, many public entities have multiplied financing mechanisms to support CCS adoption. However, current subsidy mechanisms overlook the network infrastructure and do not acknowledge the heterogeneity of emitters.This paper introduces a methodology for distributing subsidies among industrial emitters based on their capture costs and network cost contribution while accounting for potential budgetary constraints. Firstly, we evaluate each emitter's contribution to the network cost through the Shapley value. Secondly, we define each emitter's subsidy claim by combining results from the first step with their capture cost.We then distribute the subsidies according to the Proportional bankruptcy solution (i.e., proportionally to each emitter's claim). We justify this solution based on properties (axioms) we desire our subsidy distribution to verify. A key feature of our methodology is its flexibility. Indeed, each step can be adapted to suit the normative framework that a future study or policymaker wishes to posit.We apply our methodology </w:t>
      </w:r>
    </w:p>
    <w:p>
      <w:pPr/>
      <w:r>
        <w:rPr>
          <w:b/>
        </w:rPr>
        <w:t>POSSIBLE 2023:</w:t>
      </w:r>
      <w:r>
        <w:t xml:space="preserve"> Is Carbon Capture and Storage (CCS) Really So Expensive? An Analysis of Cascading Costs and CO 2 Emissions Reduction of Industrial CCS Implementation on the Construction of a Bridge — https://doi.org/10.1021/acs.est.2c05724</w:t>
      </w:r>
    </w:p>
    <w:p>
      <w:pPr/>
      <w:r>
        <w:rPr>
          <w:b/>
        </w:rPr>
        <w:t>Shared claim-specific concepts:</w:t>
      </w:r>
      <w:r>
        <w:t xml:space="preserve"> show, ccs, steel, plant, emissions, current; EU scope not established. This is a provisional connection, not an outcome finding.</w:t>
      </w:r>
    </w:p>
    <w:p>
      <w:pPr>
        <w:pStyle w:val="SourceNote"/>
      </w:pPr>
      <w:r>
        <w:rPr>
          <w:b/>
        </w:rPr>
        <w:t>Available abstract (not full text):</w:t>
      </w:r>
      <w:r>
        <w:t xml:space="preserve"> High Resolution Image Download MS PowerPoint Slide Carbon capture and storage (CCS) is an essential technology to mitigate global CO 2 emissions from power and industry sectors. Despite the increasing recognition of its importance to achieve the net-zero target, current CCS deployment is far behind targeted ambitions. A key reason is that CCS is often perceived as too expensive. The costs of CCS have however traditionally been looked at from the industrial plant perspective, which does not necessarily reflect the end user’s one. This paper addresses the incomplete view by investigating the impact of implementing CCS in industrial facilities on the overall costs and CO 2 emissions of end-user products and services. As an example, we examine the extent to which an increase in costs of raw materials (cement and steel) due to CCS impacts the costs of building a bridge. Results show that although CCS significantly increases cement and steel costs, the subsequent increment in the overall bridge construction cost remains marginal (∼1%). This 1% cost increase, however, enables a deep reduction in CO 2 emissions (∼51%) associated with the bridge construction. Although more research is needed in this area, this work is the first step to a better understanding of the real cost and benefits of CCS.</w:t>
      </w:r>
    </w:p>
    <w:p>
      <w:pPr/>
      <w:r>
        <w:rPr>
          <w:b/>
        </w:rPr>
        <w:t>POSSIBLE 2023:</w:t>
      </w:r>
      <w:r>
        <w:t xml:space="preserve"> Reduction potential of the energy penalty for CO2 capture in CCS — https://doi.org/10.1007/s11708-023-0864-x</w:t>
      </w:r>
    </w:p>
    <w:p>
      <w:pPr/>
      <w:r>
        <w:rPr>
          <w:b/>
        </w:rPr>
        <w:t>Shared claim-specific concepts:</w:t>
      </w:r>
      <w:r>
        <w:t xml:space="preserve"> ccs, co2;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Comparing the Expressiveness of the π-calculus and CCS — https://doi.org/10.1145/3611013</w:t>
      </w:r>
    </w:p>
    <w:p>
      <w:pPr/>
      <w:r>
        <w:rPr>
          <w:b/>
        </w:rPr>
        <w:t>Shared claim-specific concepts:</w:t>
      </w:r>
      <w:r>
        <w:t xml:space="preserve"> show, ccs, finally; EU scope not established. This is a provisional connection, not an outcome finding.</w:t>
      </w:r>
    </w:p>
    <w:p>
      <w:pPr>
        <w:pStyle w:val="SourceNote"/>
      </w:pPr>
      <w:r>
        <w:rPr>
          <w:b/>
        </w:rPr>
        <w:t>Available abstract (not full text):</w:t>
      </w:r>
      <w:r>
        <w:t xml:space="preserve"> This paper shows that the π-calculus with implicit matching is no more expressive than CCS γ , a variant of CCS in which the result of a synchronisation of two actions is itself an action subject to relabelling or restriction, rather than the silent action τ. This is done by exhibiting a compositional translation from the π-calculus with implicit matching to CCS γ that is valid up to strong barbed bisimilarity. The full π-calculus can be similarly expressed in CCS γ enriched with the triggering operation of Meije . I also show that these results cannot be recreated with CCS in the rôle of CCS γ , not even up to reduction equivalence, and not even for the asynchronous π-calculus without restriction or replication. Finally, I observe that CCS cannot be encoded in the π-calculus.</w:t>
      </w:r>
    </w:p>
    <w:p>
      <w:pPr/>
      <w:r>
        <w:rPr>
          <w:b/>
        </w:rPr>
        <w:t>POSSIBLE 2023:</w:t>
      </w:r>
      <w:r>
        <w:t xml:space="preserve"> Regulatory framework for CCS in the Nordic countries — https://doi.org/10.6027/temanord2023-521</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All Nordic countries have set ambitious targets to achieve net-zero greenhouse gas emissions through various national goals and legislation. Carbon Capture and Storage (CCS) has a key role in strategies to achieve net-zero emissions through mitigating emissions from fossil fuels and removing CO2 permanently from the atmosphere. This project aimed to analyse regulatory aspects that are relevant for deployment of CCS-based mitigation options in a Nordic context. The report identifies similarities and differences between the Nordic countries concerning CCS regulation, barriers to CCS deployment due to regulatory frameworks, and currently ongoing regulatory development aimed at promoting responsible CCS deployment. Recommendations are provided concerning areas where further development, coordination, and capacity building might be prioritised by the Nordic countries.</w:t>
      </w:r>
    </w:p>
    <w:p>
      <w:pPr/>
      <w:r>
        <w:rPr>
          <w:b/>
        </w:rPr>
        <w:t>POSSIBLE 2023:</w:t>
      </w:r>
      <w:r>
        <w:t xml:space="preserve"> EOS-CG-2021: A Mixture Model for the Calculation of Thermodynamic Properties of CCS Mixtures — https://doi.org/10.1007/s10765-023-03263-6</w:t>
      </w:r>
    </w:p>
    <w:p>
      <w:pPr/>
      <w:r>
        <w:rPr>
          <w:b/>
        </w:rPr>
        <w:t>Shared claim-specific concepts:</w:t>
      </w:r>
      <w:r>
        <w:t xml:space="preserve"> show, ccs; EU scope not established. This is a provisional connection, not an outcome finding.</w:t>
      </w:r>
    </w:p>
    <w:p>
      <w:pPr>
        <w:pStyle w:val="SourceNote"/>
      </w:pPr>
      <w:r>
        <w:rPr>
          <w:b/>
        </w:rPr>
        <w:t>Available abstract (not full text):</w:t>
      </w:r>
      <w:r>
        <w:t xml:space="preserve"> Abstract Thermodynamic properties for CCS-relevant mixtures can be calculated with the fundamental equation of state presented in this work over wide ranges of pressure, temperature, and composition for gas, liquid, and supercritical states, as well as for phase equilibria. The mixture model is formulated in terms of the Helmholtz energy and is based on the EOS-CG model of Gernert and Span (J Chem Thermodyn 93:274, 2016]. The new model presented here (EOS-CG-2021) is an update and extension of the previous version, and covers the following sixteen components: carbon dioxide, water, nitrogen, oxygen, argon, carbon monoxide, hydrogen, methane, hydrogen sulfide, sulfur dioxide, monoethanolamine, diethanolamine, hydrogen chloride, chlorine, ammonia, and methyl diethanolamine. Previously published elements of the model are summarized, and new elements are validated and analyzed with the use of comparisons to experimental data and by assessing the physical and extrapolation behavior of the equations. A comprehensive study on the representation of multicomponent mixture data was carried out to show the high accuracy and application range of the EOS-CG-2021.</w:t>
      </w:r>
    </w:p>
    <w:p>
      <w:pPr/>
      <w:r>
        <w:rPr>
          <w:b/>
        </w:rPr>
        <w:t>POSSIBLE 2023:</w:t>
      </w:r>
      <w:r>
        <w:t xml:space="preserve"> Modeling CO2 Pipeline Systems: An Analytical Lens for CCS Regulation — https://doi.org/10.5547/2160-5890.12.2.anic</w:t>
      </w:r>
    </w:p>
    <w:p>
      <w:pPr/>
      <w:r>
        <w:rPr>
          <w:b/>
        </w:rPr>
        <w:t>Shared claim-specific concepts:</w:t>
      </w:r>
      <w:r>
        <w:t xml:space="preserve"> show, ccs, production, co2, compared, emissions; EU scope not established. This is a provisional connection, not an outcome finding.</w:t>
      </w:r>
    </w:p>
    <w:p>
      <w:pPr>
        <w:pStyle w:val="SourceNote"/>
      </w:pPr>
      <w:r>
        <w:rPr>
          <w:b/>
        </w:rPr>
        <w:t>Available abstract (not full text):</w:t>
      </w:r>
      <w:r>
        <w:t xml:space="preserve"> Carbon Capture and Storage (CCS) is regularly depicted as a crucial technology to reduce the social cost of achieving carbon neutrality.However, its deployment critically depends on the installation of CO 2 infrastructures.As the regulatory procedures governing their provision are yet to be clarified, this paper aims to assess the social and environmental impacts of such regulations.We show how the engineering equations of a CO 2 pipeline implicitly define a Cobb-Douglas production function.We then infer that the resulting cost function exhibits economies of scale and verifies the technological condition for a natural monopoly.As the possible exertion of market power is a concern, we evaluate the social distortion of the unregulated monopoly and the average-cost pricing solution, which we compare to the outcomes of the welfare-maximizing solution.While the deadweight loss obtained under average-cost pricing remains lower than 5% compared to the firstbest solution, our findings indicate that allocative efficiency is an issue, with more than a quarter of the CO 2 emissions not being transported.This analysis will usefully inform the emerging regulatory policy debates on CCS by providing the first analytically determined cost function of a CO 2 pipeline.</w:t>
      </w:r>
    </w:p>
    <w:p>
      <w:pPr/>
      <w:r>
        <w:rPr>
          <w:b/>
        </w:rPr>
        <w:t>POSSIBLE 2022:</w:t>
      </w:r>
      <w:r>
        <w:t xml:space="preserve"> The development of carbon capture and storage (CCS) in India: A critical review — https://doi.org/10.1016/j.ccst.2022.100036</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Carbon capture and sequestration (CCS) is a three-tier process- carbon capture, transport andstorage. The capture consists of pre-combustion, oxy-combustion and post-combustion capture.Transport of CO2 is most viable through pipelines.The biotic CO2storage occurs throughterrestrial or oceanic pathways and can be simulated naturally or artificially. The abiotic/geologicstorage is achieved through sequestering CO2 in depleting/depleted hydrocarbon reserves, indeep saline aquifers or through mineral carbonation. At the district level, 64 out of 641 districts(2013 government reports) accounted for ~ 60% of the total CO2 emissions. Controlling CO2emissions comes with the challenge of sustainable socio-economic growth of the country- ademanding task for the economy. Indian organizations have made international collaborations.India holds a substantial geological sequestration potential in its basaltic rocks, coal seams,depleted oil reserves, soils, deep saline aquifers and sedimentary basins. At this point, no carboncapture and storage / clean development mechanism projects are operational in the country. Thenext 10-15 years would be very crucial for India to attain technological advancement to deploylarge-scale CCS projects.</w:t>
      </w:r>
    </w:p>
    <w:p>
      <w:pPr/>
      <w:r>
        <w:rPr>
          <w:b/>
        </w:rPr>
        <w:t>POSSIBLE 2022:</w:t>
      </w:r>
      <w:r>
        <w:t xml:space="preserve"> Cost estimation of CCS integration into thermal power plants in Japan — https://doi.org/10.1299/mej.22-00028</w:t>
      </w:r>
    </w:p>
    <w:p>
      <w:pPr/>
      <w:r>
        <w:rPr>
          <w:b/>
        </w:rPr>
        <w:t>Shared claim-specific concepts:</w:t>
      </w:r>
      <w:r>
        <w:t xml:space="preserve"> ccs, co2, reductions, emissions; EU scope visible. This is a provisional connection, not an outcome finding.</w:t>
      </w:r>
    </w:p>
    <w:p>
      <w:pPr>
        <w:pStyle w:val="SourceNote"/>
      </w:pPr>
      <w:r>
        <w:rPr>
          <w:b/>
        </w:rPr>
        <w:t>Available abstract (not full text):</w:t>
      </w:r>
      <w:r>
        <w:t xml:space="preserve"> full chain') is necessary to realize CO2 emissions reductions.Notably, there are multiple technological options to realize each sub-process, with the 'optimal' option being case-dependent.For example, in North America, onshore storage sites are abundant, and an existing CO2 pipeline network provides relatively low-cost transport (GCCSI, 2021).On the other hand, in Europe and Japan, the potential storage sites are primarily offshore, making shipping of CO2 more feasible than pipelines (Baroudi et al., 2021).Despite the abundance of technological solutions available, CCS has not been deployed at the rate expected by modelers (Peters et al., 2017) or required by pledges of CO2 emissions reductions (Wang et al., 2021).It is often stated that the main barrier hindering the rapid implementation of CCS is its high cost.Naturally, if the price of polluting (e.g.,</w:t>
      </w:r>
    </w:p>
    <w:p>
      <w:pPr/>
      <w:r>
        <w:rPr>
          <w:b/>
        </w:rPr>
        <w:t>POSSIBLE 2021:</w:t>
      </w:r>
      <w:r>
        <w:t xml:space="preserve"> Promoting CCS in Europe: A Case for Green Strategic Trade Policy? — https://doi.org/10.5547/01956574.43.6.faun</w:t>
      </w:r>
    </w:p>
    <w:p>
      <w:pPr/>
      <w:r>
        <w:rPr>
          <w:b/>
        </w:rPr>
        <w:t>Shared claim-specific concepts:</w:t>
      </w:r>
      <w:r>
        <w:t xml:space="preserve"> ccs, production, co2, emissions, current; EU scope visible. This is a provisional connection, not an outcome finding.</w:t>
      </w:r>
    </w:p>
    <w:p>
      <w:pPr>
        <w:pStyle w:val="SourceNote"/>
      </w:pPr>
      <w:r>
        <w:rPr>
          <w:b/>
        </w:rPr>
        <w:t>Available abstract (not full text):</w:t>
      </w:r>
      <w:r>
        <w:t xml:space="preserve"> According to IEA (2018), there is a huge gap between the first-best social optimal utilization of Carbon Capture and Storage (CCS) technologies to lower global CO2 emissions and the current, negligible diffusion of this technology. This calls for a financial support mechanism for CCS. We study to what extent promotion of CCS in Europe should be through subsidizing development and production of CCS technologies—an upstream subsidy—or by subsidising the purchasers of CCS technologies—a downstream subsidy. This question is examined theoretically in a stylized model and numerically by using a new approach that integrates strategic trade policy with an economic model of the European energy markets. The theory model suggests that upstream subsidies should clearly be preferred, and this is confirmed by the numerical simulations. For the European power market, the numerical simulations suggest that subsidies to CCS coal power should exceed subsidies to CCS gas power.</w:t>
      </w:r>
    </w:p>
    <w:p>
      <w:pPr>
        <w:pStyle w:val="Heading2"/>
      </w:pPr>
      <w:r>
        <w:t>670.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r>
        <w:rPr>
          <w:b/>
        </w:rPr>
        <w:t>POSSIBLE 2023:</w:t>
      </w:r>
      <w:r>
        <w:t xml:space="preserve"> Did COVID-19 Blur Partisan Boundaries? A Comparison of Partisan Affinity and Source Heterophily in Online Alternative News-Sharing Networks Before and During the COVID-19 Pandemic — https://doi.org/10.1177/20563051231192963</w:t>
      </w:r>
    </w:p>
    <w:p>
      <w:pPr/>
      <w:r>
        <w:rPr>
          <w:b/>
        </w:rPr>
        <w:t>Shared claim-specific concepts:</w:t>
      </w:r>
      <w:r>
        <w:t xml:space="preserve"> finally, drawing, covid-19, pandemic, across; EU scope visible. This is a provisional connection, not an outcome finding.</w:t>
      </w:r>
    </w:p>
    <w:p>
      <w:pPr>
        <w:pStyle w:val="SourceNote"/>
      </w:pPr>
      <w:r>
        <w:rPr>
          <w:b/>
        </w:rPr>
        <w:t>Available abstract (not full text):</w:t>
      </w:r>
      <w:r>
        <w:t xml:space="preserve"> This study explores partisan and group heterophily within cross-platform online communities that share alternative news media content in Denmark, Sweden, Germany, and Austria. The analysis is related to the emergence of anti-systemic cross-partisan counter-publics in Europe that have gained momentum with the outbreak of COVID-19 and the subsequent resistance against government restrictions. Comparing two periods (before and after the outbreak of COVID-19), we investigate whether these developments foster cross-partisan information sharing in online communities that form around right-wing, left-wing, and anti-systemic alternative news media content. Drawing on a network-analytical approach, we study networks formed around URL sharing of alternative news content across Facebook, Instagram, Twitter, Reddit, Telegram, TikTok, YouTube, and VKontakte. Data include 30 million social media posts from January 2019 to September 2021. The results show that overall source heterophily in online alternative news networks increases slightly with the COVID-19 pandemic, mainly due to the increased proliferation of anti-system news. This increase is, however, not an expression of a more profound collapse of bi-partisan, left-right cleavages and is contingent on country contexts. Except for the time of the initial outbreak, the overall sharing of COVID-19-related content tends to increase rather </w:t>
      </w:r>
    </w:p>
    <w:p>
      <w:pPr/>
      <w:r>
        <w:rPr>
          <w:b/>
        </w:rPr>
        <w:t>POSSIBLE 2022:</w:t>
      </w:r>
      <w:r>
        <w:t xml:space="preserve"> COVID‐19 and European Multi‐Level Democracy — https://doi.org/10.1111/jcms.13417</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The COVID-19 pandemic that hit Europe in early 2020 radically reshaped the political agenda at all levels of Europe's multi-level system within a matter of weeks. It continued to overshadow all other public concerns throughout 2021. The single most important development that distinguished the second year of the pandemic from the first was that, from early 2021, COVID-19 vaccines became widely available and were rolled out throughout Europe. Early hopes that vaccination might offer full protection against infection were soon dashed. However, the availability of vaccines propelled governments to reorient policy from strict containment to approaches that meant 'learning to live with the virus'. This shift was not linear. Partly driven by the emergence of new COVID-19 'variants of interest and concern', policy changes and reversals were frequent. But during 2021, restrictions on individual and civil liberties justified on public health grounds became complemented by the reliance on vaccination as the chief means to combat the pandemic. Vaccination meant that public policies became increasingly differentiated between the (fully) vaccinated and the non-vaccinated (for details, see Hale et al., 2022), often provoking intensive protest. The year 2021 was also when the full political and institutional implications of the pandemic became ever more apparent, as the long-term nature of the</w:t>
      </w:r>
    </w:p>
    <w:p>
      <w:pPr/>
      <w:r>
        <w:rPr>
          <w:b/>
        </w:rPr>
        <w:t>POSSIBLE 2022:</w:t>
      </w:r>
      <w:r>
        <w:t xml:space="preserve"> Children’s representations of the COVID-19 lockdown and pandemic through drawings — https://doi.org/10.3389/fpsyg.2022.960893</w:t>
      </w:r>
    </w:p>
    <w:p>
      <w:pPr/>
      <w:r>
        <w:rPr>
          <w:b/>
        </w:rPr>
        <w:t>Shared claim-specific concepts:</w:t>
      </w:r>
      <w:r>
        <w:t xml:space="preserve"> drawing, covid-19, pandemic, exploring, explore; EU scope visible. This is a provisional connection, not an outcome finding.</w:t>
      </w:r>
    </w:p>
    <w:p>
      <w:pPr>
        <w:pStyle w:val="SourceNote"/>
      </w:pPr>
      <w:r>
        <w:rPr>
          <w:b/>
        </w:rPr>
        <w:t>Available abstract (not full text):</w:t>
      </w:r>
      <w:r>
        <w:t xml:space="preserve"> The COVID-19 pandemic and the measures to face it have placed children and their caregivers in front of many challenges that could represent sources of stress. This work aims to explore the point of view of children through drawing, as a spontaneous means of expression, relating it to parents' perceptions of children's difficulties, strengths, and mentalization skills. The sample consists of 18 children (mean age = 8.22, SD = 1.79). Parents were asked to complete: a socio-demographic questionnaire with information on the impact of COVID-19 on the family, the Strengths and Difficulties Questionnaire, and the Everyday Mindreading Scale. Children were asked to draw three moments: "Before" the pandemic, "During" the lockdown, and "After," when the COVID-19 will be passed. The drawings were coded by constructing a content and expressive analysis grid, adapting coding systems found in the literature. Data were collected at the beginning of the summer of 2020, just after the first lockdown period (from March to May 2020 in Italy). The results of the present work are in line with previous studies that reported experiences of wellbeing and tranquility of children in time spent at home with family during the pandemic. From the drawings emerges that children feel sufficiently able to master the situation, as reflected by including themselves in drawings and providing many details of the h</w:t>
      </w:r>
    </w:p>
    <w:p>
      <w:pPr/>
      <w:r>
        <w:rPr>
          <w:b/>
        </w:rPr>
        <w:t>POSSIBLE 2022:</w:t>
      </w:r>
      <w:r>
        <w:t xml:space="preserve"> Advances in COVID-19 mRNA vaccine development — https://doi.org/10.1038/s41392-022-00950-y</w:t>
      </w:r>
    </w:p>
    <w:p>
      <w:pPr/>
      <w:r>
        <w:rPr>
          <w:b/>
        </w:rPr>
        <w:t>Shared claim-specific concepts:</w:t>
      </w:r>
      <w:r>
        <w:t xml:space="preserve"> drawing, covid-19, pandemic, capacity; EU scope not established. This is a provisional connection, not an outcome finding.</w:t>
      </w:r>
    </w:p>
    <w:p>
      <w:pPr>
        <w:pStyle w:val="SourceNote"/>
      </w:pPr>
      <w:r>
        <w:rPr>
          <w:b/>
        </w:rPr>
        <w:t>Available abstract (not full text):</w:t>
      </w:r>
      <w:r>
        <w:t xml:space="preserve"> To date, the coronavirus disease 2019 (COVID-19) caused by severe acute respiratory syndrome coronavirus 2 (SARS-CoV-2) has determined 399,600,607 cases and 5,757,562 deaths worldwide. COVID-19 is a serious threat to human health globally. The World Health Organization (WHO) has declared COVID-19 pandemic a major public health emergency. Vaccination is the most effective and economical intervention for controlling the spread of epidemics, and consequently saving lives and protecting the health of the population. Various techniques have been employed in the development of COVID-19 vaccines. Among these, the COVID-19 messenger RNA (mRNA) vaccine has been drawing increasing attention owing to its great application prospects and advantages, which include short development cycle, easy industrialization, simple production process, flexibility to respond to new variants, and the capacity to induce better immune response. This review summarizes current knowledge on the structural characteristics, antigen design strategies, delivery systems, industrialization potential, quality control, latest clinical trials and real-world data of COVID-19 mRNA vaccines as well as mRNA technology. Current challenges and future directions in the development of preventive mRNA vaccines for major infectious diseases are also discussed.</w:t>
      </w:r>
    </w:p>
    <w:p>
      <w:pPr/>
      <w:r>
        <w:rPr>
          <w:b/>
        </w:rPr>
        <w:t>POSSIBLE 2021:</w:t>
      </w:r>
      <w:r>
        <w:t xml:space="preserve"> Understanding the effectiveness of government interventions against the resurgence of COVID-19 in Europe — https://doi.org/10.1038/s41467-021-26013-4</w:t>
      </w:r>
    </w:p>
    <w:p>
      <w:pPr/>
      <w:r>
        <w:rPr>
          <w:b/>
        </w:rPr>
        <w:t>Shared claim-specific concepts:</w:t>
      </w:r>
      <w:r>
        <w:t xml:space="preserve"> covid-19, pandemic, modelling; EU scope visible. This is a provisional connection, not an outcome finding.</w:t>
      </w:r>
    </w:p>
    <w:p>
      <w:pPr>
        <w:pStyle w:val="SourceNote"/>
      </w:pPr>
      <w:r>
        <w:rPr>
          <w:b/>
        </w:rPr>
        <w:t>Available abstract (not full text):</w:t>
      </w:r>
      <w:r>
        <w:t xml:space="preserve"> Abstract As European governments face resurging waves of COVID-19, non-pharmaceutical interventions (NPIs) continue to be the primary tool for infection control. However, updated estimates of their relative effectiveness have been absent for Europe’s second wave, largely due to a lack of collated data that considers the increased subnational variation and diversity of NPIs. We collect the largest dataset of NPI implementation dates in Europe, spanning 114 subnational areas in 7 countries, with a systematic categorisation of interventions tailored to the second wave. Using a hierarchical Bayesian transmission model, we estimate the effectiveness of 17 NPIs from local case and death data. We manually validate the data, address limitations in modelling from previous studies, and extensively test the robustness of our estimates. The combined effect of all NPIs was smaller relative to estimates from the first half of 2020, indicating the strong influence of safety measures and individual protective behaviours--such as distancing--that persisted after the first wave. Closing specific businesses was highly effective. Gathering restrictions were highly effective but only for the strictest limits. We find smaller effects for closing educational institutions compared to the first wave, suggesting that safer operation of schools was possible with a set of stringent safety measures includi</w:t>
      </w:r>
    </w:p>
    <w:p>
      <w:pPr/>
      <w:r>
        <w:rPr>
          <w:b/>
        </w:rPr>
        <w:t>POSSIBLE 2021:</w:t>
      </w:r>
      <w:r>
        <w:t xml:space="preserve"> War Metaphors in Political Communication on Covid-19 — https://doi.org/10.3389/fsoc.2020.583680</w:t>
      </w:r>
    </w:p>
    <w:p>
      <w:pPr/>
      <w:r>
        <w:rPr>
          <w:b/>
        </w:rPr>
        <w:t>Shared claim-specific concepts:</w:t>
      </w:r>
      <w:r>
        <w:t xml:space="preserve"> finally, drawing, covid-19, pandemic, discuss, expand; EU scope not established. This is a provisional connection, not an outcome finding.</w:t>
      </w:r>
    </w:p>
    <w:p>
      <w:pPr>
        <w:pStyle w:val="SourceNote"/>
      </w:pPr>
      <w:r>
        <w:rPr>
          <w:b/>
        </w:rPr>
        <w:t>Available abstract (not full text):</w:t>
      </w:r>
      <w:r>
        <w:t xml:space="preserve"> Although militaristic metaphors have been pervasive during health crisis in political and science communication, few works have examined how these linguistic devices may influence crisis communication. Drawing on critical discourse analysis (CDA) and on crisis communication literature, I show how political representatives have used the war metaphor for very different purposes in terms of crisis communication and management of the current Covid-19 pandemic. I suggest that these findings challenge previous criticisms of the war metaphor as inherently negative and damaging. Finally, I discuss possibilities of using CDA, and specifically, metaphor analysis to inform and expand crisis communication.</w:t>
      </w:r>
    </w:p>
    <w:p>
      <w:pPr/>
      <w:r>
        <w:rPr>
          <w:b/>
        </w:rPr>
        <w:t>POSSIBLE 2021:</w:t>
      </w:r>
      <w:r>
        <w:t xml:space="preserve"> Regulating the health workforce in Europe: implications of the COVID-19 pandemic — https://doi.org/10.1186/s12960-021-00624-w</w:t>
      </w:r>
    </w:p>
    <w:p>
      <w:pPr/>
      <w:r>
        <w:rPr>
          <w:b/>
        </w:rPr>
        <w:t>Shared claim-specific concepts:</w:t>
      </w:r>
      <w:r>
        <w:t xml:space="preserve"> drawing, covid-19, pandemic, need, zone, across; EU scope visible. This is a provisional connection, not an outcome finding.</w:t>
      </w:r>
    </w:p>
    <w:p>
      <w:pPr>
        <w:pStyle w:val="SourceNote"/>
      </w:pPr>
      <w:r>
        <w:rPr>
          <w:b/>
        </w:rPr>
        <w:t>Available abstract (not full text):</w:t>
      </w:r>
      <w:r>
        <w:t xml:space="preserve"> In the European free movement zone, various mechanisms aim to harmonize how the competence of physicians and nurses is developed and maintained to facilitate the cross-country movement of professionals. This commentary addresses these mechanisms and discusses their implications during the COVID-19 pandemic, drawing lessons for future policy. It argues that EU-wide regulatory mechanisms should be reviewed to ensure that they provide an adequate foundation for determining competence and enabling health workforce flexibility during health system shocks. Currently, EU regulation focuses on the automatic recognition of the primary education of physicians and nurses. New, flexible mechanisms should be developed for specializations, such as intensive or emergency care. Documenting new skills, such as the ones acquired during rapid training in the pandemic, in a manner that is comparable across countries should be explored, both for usual practice and in light of outbreak preparedness. Initiatives to strengthen continuing education and professional development should be supported further. Funding under the EU4Health programme should be dedicated to this endeavour, along with revisiting the scope of necessary skills following the experience of COVID-19. Mechanisms for cross-country sharing of information on violations of good practice standards should be maintained and strengthened to e</w:t>
      </w:r>
    </w:p>
    <w:p>
      <w:pPr/>
      <w:r>
        <w:rPr>
          <w:b/>
        </w:rPr>
        <w:t>POSSIBLE 2021:</w:t>
      </w:r>
      <w:r>
        <w:t xml:space="preserve"> COVID-19 Pandemic and Drawing Lessons for Future Crises to Indian Federalism — https://openalex.org/W7219388642</w:t>
      </w:r>
    </w:p>
    <w:p>
      <w:pPr/>
      <w:r>
        <w:rPr>
          <w:b/>
        </w:rPr>
        <w:t>Shared claim-specific concepts:</w:t>
      </w:r>
      <w:r>
        <w:t xml:space="preserve"> drawing, covid-19, pandemic; EU scope not established. This is a provisional connection, not an outcome finding.</w:t>
      </w:r>
    </w:p>
    <w:p>
      <w:pPr>
        <w:pStyle w:val="SourceNote"/>
      </w:pPr>
      <w:r>
        <w:rPr>
          <w:b/>
        </w:rPr>
        <w:t>Available abstract (not full text):</w:t>
      </w:r>
      <w:r>
        <w:t xml:space="preserve"> In the past year-and-a-half, the COVID-19 pandemic has laid bare the strengths and weaknesses of all forms of political systems and structures: democratic and authoritarian; unitary and federal; and every model in-between. This paper focuses on federalism. Given the diffused and decentralised overall pathway followed by a federal structure of government, there were legitimate concerns over how countries with such a system could handle a rapidly spreading pandemic of a highly infectious disease. It acquired a serious tone when the pandemic began exposing the vulnerabilities of the United States (US), a federal country that has what is generally presumed to be an advanced healthcare system that will be able to withstand such an emergency. Analysts raised concerns about what they said were the inherent disadvantages of a federal political system against a pandemic that requires rapid and unitary response.Indeed, political analysts in the US started calling on the government to abandon the rigid dual federal system where health is an exclusive domain of states and local governments. Observers contrasted the US’s early experience against China’s swift response in Wuhan, as proof of the efficacy of a centralised response.</w:t>
      </w:r>
    </w:p>
    <w:p>
      <w:pPr>
        <w:pStyle w:val="Heading2"/>
      </w:pPr>
      <w:r>
        <w:t>671.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2023:</w:t>
      </w:r>
      <w:r>
        <w:t xml:space="preserve"> The Energy Price Shock—Impact, Policy Responses, and Reform Options — https://doi.org/10.5089/9798400246135.018</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The surge in energy prices due to Russia’s war in Ukraine inflicted a sharp terms of trade shock on the UK economy. While energy prices have since declined, the future energy price path remains uncertain, with futures-implied prices substantially above their levels prior to October 2021, when Russian natural gas imports to Europe began to be curtailed. In this context, section I analyzes the impact of the energy price shock on UK households and firms; section II describes the energy support measures introduced by the UK government; and section III provides staff’s assessment of these measures and sets out some options to optimize the policy response to a possible resurgence in energy prices. These include structural measures to ensure energy security and raise resilience to spikes in energy prices, and options to refine, especially the targeting of, support measures that could be introduced in response.</w:t>
      </w:r>
    </w:p>
    <w:p>
      <w:pPr/>
      <w:r>
        <w:rPr>
          <w:b/>
        </w:rPr>
        <w:t>POSSIBLE 2022:</w:t>
      </w:r>
      <w:r>
        <w:t xml:space="preserve"> European Union criminal procedure policy as part of the European Union's policy in the field of the fight against criminality — https://doi.org/10.24144/2788-6018.2021.03.35</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This article is devoted to finding the term that would be optimal for naming the procedural part of the European Union's policy in the field of the fight against criminality. The terms «EU policy in the field of the fight against criminality», «EU criminal policy», «EU law enforcement policy» are used to refer to a separate type of European Union policy. Adhering to the position of giving preference to the use of the term «policy in the field of the fight against criminality», it is seen that such a construction can be applied in the context of the European Union and, as we see, is in demand. However, it should be recognized that a significant number of European scholars use the term «criminal policy of the European Union». Thus, it is proposed to use the term «European Union policy in the field of the fight against criminality» as a generalized concept that better reflects its non-level, but namely complex structure and relatively independent but interconnected basic elements, parts, first of all, EU criminal policy and EU criminal procedure policy. Of course, we can talk about other parts of the European Union's policy in the field of the fight against criminality, in particular, criminology, but the primary interest in the study is its procedural component. There are various terminologies in the literature that define it. For example, the following options can be identified:</w:t>
      </w:r>
    </w:p>
    <w:p>
      <w:pPr/>
      <w:r>
        <w:rPr>
          <w:b/>
        </w:rPr>
        <w:t>POSSIBLE 2022:</w:t>
      </w:r>
      <w:r>
        <w:t xml:space="preserve"> Ukraine’s Balance Policy between European Union and Russia — https://doi.org/10.18276/ap.2022.54-07</w:t>
      </w:r>
    </w:p>
    <w:p>
      <w:pPr/>
      <w:r>
        <w:rPr>
          <w:b/>
        </w:rPr>
        <w:t>Shared claim-specific concepts:</w:t>
      </w:r>
      <w:r>
        <w:t xml:space="preserve"> terms, options, participation; EU scope visible. This is a provisional connection, not an outcome finding.</w:t>
      </w:r>
    </w:p>
    <w:p>
      <w:pPr>
        <w:pStyle w:val="SourceNote"/>
      </w:pPr>
      <w:r>
        <w:rPr>
          <w:b/>
        </w:rPr>
        <w:t>Available abstract (not full text):</w:t>
      </w:r>
      <w:r>
        <w:t xml:space="preserve"> Having declared independence in 1991, after the dissolution of the Soviet Union, Ukraine gained strategic importance in terms of its geographical location. It is regarded a “buffer zone” for both the European Union (EU) and Russia. There is a division within the country into the pro-Western and pro-Russian options. Ukraine’s aspiration for the UE membership has faced Russia’s objection since time immemorial. In the past, Ukraine preferred to pursue a balance policy between Russia and the EU. Ukraine’s attempt to approach the West with the Orange Revolution, its inclusion in the European Neighbourhood Policy, its participation in the Eastern Partnership program were perceived as a threat by Russia. The Ukrainian crisis, in particular, brought these two countries face to face. This crisis also deeply affected both the EU’s energy policy and its relations with Russia. After all the developments that followed, the issue of Ukraine’s membership in the EU remains uncertain.</w:t>
      </w:r>
    </w:p>
    <w:p>
      <w:pPr/>
      <w:r>
        <w:rPr>
          <w:b/>
        </w:rPr>
        <w:t>POSSIBLE 2022:</w:t>
      </w:r>
      <w:r>
        <w:t xml:space="preserve"> Governing Europe's forests for multiple ecosystem services: Opportunities, challenges, and policy options — https://doi.org/10.1016/j.forpol.2022.102849</w:t>
      </w:r>
    </w:p>
    <w:p>
      <w:pPr/>
      <w:r>
        <w:rPr>
          <w:b/>
        </w:rPr>
        <w:t>Shared claim-specific concepts:</w:t>
      </w:r>
      <w:r>
        <w:t xml:space="preserve"> options, participation, among, integration; EU scope visible. This is a provisional connection, not an outcome finding.</w:t>
      </w:r>
    </w:p>
    <w:p>
      <w:pPr>
        <w:pStyle w:val="SourceNote"/>
      </w:pPr>
      <w:r>
        <w:rPr>
          <w:b/>
        </w:rPr>
        <w:t>Available abstract (not full text):</w:t>
      </w:r>
      <w:r>
        <w:t xml:space="preserve"> Europe's forest provide multiple ecosystem services for societies, ranging from provisioning (e.g. wood) and regulating (e.g. climate mitigation and biodiversity) to cultural (e.g. recreation) services. In this paper, we assess the state and prospects of forest ecosystem services provision in Europe, introducing new data from the European collaborative research projects SINCERE, NOBEL and CLEARING HOUSE, and combining it with findings from the literature. We identify six challenges (1 an insufficient alignment of FES supply and demand, 2 lacking policy integration, 3 ambiguous and conflicting regulatory frameworks, 4 a lack of precise information on FES demand and provision, and innovations to align both, 5 an increasing pressure to adapt to climate change, and 6 a striking diversity constraining European level policy solutions) and three opportunities (1 increasingly heterogenous forest owner objectives potentially matching pluralistic societal demands, 2 diversifying forest enterprises levering innovations in regulating and cultural ecosystem services provision, and 3 the potential of forests to mitigate climate change). Subsequently, we introduce four distinct but complimentary policy pathways for European forest policy to better align forest ecosystem services provision and demand: 1 Better monitoring of FES supply and demand, 2 Enhanced policy integration, 3 Payments for e</w:t>
      </w:r>
    </w:p>
    <w:p>
      <w:pPr/>
      <w:r>
        <w:rPr>
          <w:b/>
        </w:rPr>
        <w:t>POSSIBLE 2021:</w:t>
      </w:r>
      <w:r>
        <w:t xml:space="preserve"> Future options for organic farming policy support in Europe — https://openalex.org/W3200370314</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Policy support has been very important for the development of organic farming in Europe since the 1990s. Measures include regulations defining organic in the marketplace, support payments for organic conversion and maintenance, and action plans aimed at integrating market and rural development support. Such support has been justified in terms of the environmental and other societal benefits delivered, as well as the economic benefits of the market for organic food. While the evidence for public benefits from organic farming is clear and increasing, the mechanisms for rewarding these benefits have been focused, as other agri-environment measures, on income foregone and costs incurred. With the introduction of a new CAP, involving Member State Strategic Plans and Ecoschemes, the focus of policy is shifting to results. This paper explores the implications of the for future organic farming support, including how public benefits from complex, multi-functional systems can be identified, quantified and valued at an affordable cost.</w:t>
      </w:r>
    </w:p>
    <w:p>
      <w:pPr>
        <w:pStyle w:val="Heading2"/>
      </w:pPr>
      <w:r>
        <w:t>672.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r>
        <w:rPr>
          <w:b/>
        </w:rPr>
        <w:t>POSSIBLE 2023:</w:t>
      </w:r>
      <w:r>
        <w:t xml:space="preserve"> THE EUROPEAN UNION: THE HISTORY OF ESTABLISHMENT AND SIGNIFICANCE FOR UKRAINE — https://doi.org/10.30970/vla.2023.76.015</w:t>
      </w:r>
    </w:p>
    <w:p>
      <w:pPr/>
      <w:r>
        <w:rPr>
          <w:b/>
        </w:rPr>
        <w:t>Shared claim-specific concepts:</w:t>
      </w:r>
      <w:r>
        <w:t xml:space="preserve"> establishment, powers, process, role, they, played; EU scope visible. This is a provisional connection, not an outcome finding.</w:t>
      </w:r>
    </w:p>
    <w:p>
      <w:pPr>
        <w:pStyle w:val="SourceNote"/>
      </w:pPr>
      <w:r>
        <w:rPr>
          <w:b/>
        </w:rPr>
        <w:t>Available abstract (not full text):</w:t>
      </w:r>
      <w:r>
        <w:t xml:space="preserve"> The article reveals the prerequisites for the formation and development of European integration, reveals the processes of creating the European Union as a new form of European integration, and analyzes the achievements of Ukraine in European integration processes. It is noted that the idea of uniting the peoples and states of Europe has a long history. In various historical periods, European rulers and politicians sought to implement the idea of European unification. The idea of European unity was developed and defended in their writings by philosophers, scientists, religious figures, etc. This idea is based on the principles of territorial and civilizational kinship and unity of Europeans and runs through the entire history of European nations. The formation and development of European integration institutions was the result of the consistent development of the unification process of the countries of Western Europe, which went through several stages in their development. Integration involved an active search for ways and means of political, legal, economic (and in some cases, social and cultural) unification of European states with the aim of establishing their close, first of all, economic cooperation. An important role in integration processes was and continues to be played by the economic basis of the development of states. European integration is based on economic integrat</w:t>
      </w:r>
    </w:p>
    <w:p>
      <w:pPr/>
      <w:r>
        <w:rPr>
          <w:b/>
        </w:rPr>
        <w:t>POSSIBLE 2022:</w:t>
      </w:r>
      <w:r>
        <w:t xml:space="preserve"> The relationship between Willy Brandt and the Norwegian Labor Party, and the process of change and establishment of Brandt’s thoughts seen from the publication of The Purpose of War of Great Powers and a New Europe — https://doi.org/10.17995/kjgs.2022.2.49.93</w:t>
      </w:r>
    </w:p>
    <w:p>
      <w:pPr/>
      <w:r>
        <w:rPr>
          <w:b/>
        </w:rPr>
        <w:t>Shared claim-specific concepts:</w:t>
      </w:r>
      <w:r>
        <w:t xml:space="preserve"> establishment, powers, relationship, process; EU scope visible. This is a provisional connection, not an outcome finding.</w:t>
      </w:r>
    </w:p>
    <w:p>
      <w:pPr>
        <w:pStyle w:val="SourceNote"/>
      </w:pPr>
      <w:r>
        <w:rPr>
          <w:b/>
        </w:rPr>
        <w:t>Available abstract (not full text):</w:t>
      </w:r>
      <w:r>
        <w:t xml:space="preserve"> 노르웨이 노동당은 브란트의 삶과 사상의 궤적에 큰 영향을 끼쳤다. 특히, 브란트가 사회주의, 자유, 민주주의, 유럽연방주의 사상을 정립해 가는 데 있어서 많은 자극과 영감을 주었다. 노르웨이 망명기간 동안 브란트는 그 곳 노동당의 도움을 많이 받았다. 그러면서 노르웨이 노동당의 노선과 실체에 대해 많은 것을 새롭게 느끼고 깨닫게 되었다. 그리하여 이 시기에 대한 연구는 청년 브란트의 사상과 삶, 국제 네트워크를 이해하는데 매우 유익하다. 특히, 코민테른과 소련에 대한 노르웨이 노동당과 빌리 브란트의 이해와 반응의 유사성이 매우 흥미롭다. 이 유사성들이 상호 관계에 크게 작용했음은 매우 주목할 만한 내용이다. 이 과정에서 브란트는 고향 뤼벡 시절에서와는 다르게 자유와 민주주의 그리고 유럽연방주의에 대한 개념을 더욱 깊게 하고 사회주의와의 관계를 체계화하였다. 이러한 과정과 결과들 이 『강대국의 전쟁목적과 새로운 유럽』 책 속에 녹아들어 갔다. 이 책을 통해 노르웨이 노동당과 빌리 브란트의 관계 그리고 그의 활동은 더욱 활 성화 될 것이었다. 그러나 나치 독일의 노르웨이 점령으로 그렇게 되지 못 하고 험난한 운명을 맞이했다.</w:t>
      </w:r>
    </w:p>
    <w:p>
      <w:pPr/>
      <w:r>
        <w:rPr>
          <w:b/>
        </w:rPr>
        <w:t>POSSIBLE 2022:</w:t>
      </w:r>
      <w:r>
        <w:t xml:space="preserve"> The Delegation of Powers to EU Agencies After the Financial Crisis — https://doi.org/10.15166/2499-8249/535</w:t>
      </w:r>
    </w:p>
    <w:p>
      <w:pPr/>
      <w:r>
        <w:rPr>
          <w:b/>
        </w:rPr>
        <w:t>Shared claim-specific concepts:</w:t>
      </w:r>
      <w:r>
        <w:t xml:space="preserve"> establishment, powers, role, they; EU scope visible. This is a provisional connection, not an outcome finding.</w:t>
      </w:r>
    </w:p>
    <w:p>
      <w:pPr>
        <w:pStyle w:val="SourceNote"/>
      </w:pPr>
      <w:r>
        <w:rPr>
          <w:b/>
        </w:rPr>
        <w:t>Available abstract (not full text):</w:t>
      </w:r>
      <w:r>
        <w:t xml:space="preserve"> The financial crisis has set new challenges for European integration, including the revision of priorities, principles and mechanisms of micro-prudential supervision of financial markets. Amongst the significant institutional reforms, the intensification of controls on financial markets has been pursued through the establishment of the European Supervisory Authorities in the financial markets (ESAs). This Article aims to analyse the role that these Authorities have been playing in shaping the EU legal order after the financial crisis. As a result of the EMU-related regulation aimed at enhancing EU financial stability after the crisis, the ESAs institutionalise administrative cooperation in micro-prudential supervision. The combination of agencification and crisis management is not new to the development of European integration nor specific to the case of financial markets. Nevertheless, the ESAs represent a peculiar regulatory experience, which share many characteristics of EU agencies, yet move towards an embryonic model of independent regulators. Compared to other EU agencies, in fact, they enjoy wider powers and a much more autonomous status from the Commission. They have acquired highly relevant competences that enhance their role in the internal market regulation. In addition, the CJEU engaged in a partial revision of the interpretative boundaries of the Meroni doctrine co</w:t>
      </w:r>
    </w:p>
    <w:p>
      <w:pPr/>
      <w:r>
        <w:rPr>
          <w:b/>
        </w:rPr>
        <w:t>POSSIBLE 2021:</w:t>
      </w:r>
      <w:r>
        <w:t xml:space="preserve"> The Emergence of New States in Eastern Europe in 1918—Lessons for All of Europe — https://doi.org/10.2478/bjes-2021-0001</w:t>
      </w:r>
    </w:p>
    <w:p>
      <w:pPr/>
      <w:r>
        <w:rPr>
          <w:b/>
        </w:rPr>
        <w:t>Shared claim-specific concepts:</w:t>
      </w:r>
      <w:r>
        <w:t xml:space="preserve"> establishment, powers, well, efforts, crucial, process; EU scope visible. This is a provisional connection, not an outcome finding.</w:t>
      </w:r>
    </w:p>
    <w:p>
      <w:pPr>
        <w:pStyle w:val="SourceNote"/>
      </w:pPr>
      <w:r>
        <w:rPr>
          <w:b/>
        </w:rPr>
        <w:t>Available abstract (not full text):</w:t>
      </w:r>
      <w:r>
        <w:t xml:space="preserve"> Abstract The year of 1918 was a crucial point in the history of Europe. Its importance does not only stem from the end of World War I, but also from the establishment of new states. Eastern Europe was particularly an arena where many new states emerged after the dissolution of tsarist Russia. The abovementioned process was correlated with the outcome of World War I (the defeat of the Central Powers on the Western Front and their victory on the Eastern Front against the tsarist Russia resulting in imposing their protectorate over Eastern Europe) but simultaneously it was influenced by the 1917 Bolshevik Revolution originating from a structural crisis of Russia. The legacy of nation-building processes, taking place in the period of 1917–1921 in the European part of the tsarist Russia— even when some of the states did not manage to survive— occupies a key role in the historical memories of those countries. The importance of this legacy originates from the fact that these states often constituted the most progressive nation-building efforts in the world. The wider context of these developments and the important interlinkages existing between them are very often unfamiliar to many Europeans today. Despite that, the state-building attempts, undertaken in Eastern Europe between 1917 and 1921, had a huge impact on the trajectory of European history. Contextualising this particular acad</w:t>
      </w:r>
    </w:p>
    <w:p>
      <w:pPr/>
      <w:r>
        <w:rPr>
          <w:b/>
        </w:rPr>
        <w:t>POSSIBLE 2021:</w:t>
      </w:r>
      <w:r>
        <w:t xml:space="preserve"> Philanthrocapitalism and the Separation of Powers — https://doi.org/10.1146/annurev-lawsocsci-120220-074323</w:t>
      </w:r>
    </w:p>
    <w:p>
      <w:pPr/>
      <w:r>
        <w:rPr>
          <w:b/>
        </w:rPr>
        <w:t>Shared claim-specific concepts:</w:t>
      </w:r>
      <w:r>
        <w:t xml:space="preserve"> powers, major; EU scope visible. This is a provisional connection, not an outcome finding.</w:t>
      </w:r>
    </w:p>
    <w:p>
      <w:pPr>
        <w:pStyle w:val="SourceNote"/>
      </w:pPr>
      <w:r>
        <w:rPr>
          <w:b/>
        </w:rPr>
        <w:t>Available abstract (not full text):</w:t>
      </w:r>
      <w:r>
        <w:t xml:space="preserve"> This article discusses the rise of an approach to philanthropic giving known as philanthrocapitalism. I relate it to a new paradigm in management theory that has claimed that private profit making naturally aligns with improved public welfare. I show how growing belief in the inherent “compatibility” of corporate missions and public benefits has led to new laws and contributed to major shifts in how giving practices are structured and legitimated. The original point made in this article is that the philanthrocapitalist turn is more than simply an organizational change in the structure of different philanthropic institutions. Rather, the belief that profit-making and public welfare are naturally aligned also has significant, undertheorized implications for different principles in European-American legal traditions. The ascendancy of the philanthrocapitalist approach represents a subtle but profound displacement of belief in the need for democratic checks and balances on the use of public funds for private enrichment.</w:t>
      </w:r>
    </w:p>
    <w:p>
      <w:pPr/>
      <w:r>
        <w:rPr>
          <w:b/>
        </w:rPr>
        <w:t>POSSIBLE 2021:</w:t>
      </w:r>
      <w:r>
        <w:t xml:space="preserve"> The EU’s ‘watchdogs’: assessing the powers of the European Ombudsman and European Court of Auditors — https://openalex.org/W3168197065</w:t>
      </w:r>
    </w:p>
    <w:p>
      <w:pPr/>
      <w:r>
        <w:rPr>
          <w:b/>
        </w:rPr>
        <w:t>Shared claim-specific concepts:</w:t>
      </w:r>
      <w:r>
        <w:t xml:space="preserve"> powers, assessing, role, they, play; EU scope visible. This is a provisional connection, not an outcome finding.</w:t>
      </w:r>
    </w:p>
    <w:p>
      <w:pPr>
        <w:pStyle w:val="SourceNote"/>
      </w:pPr>
      <w:r>
        <w:rPr>
          <w:b/>
        </w:rPr>
        <w:t>Available abstract (not full text):</w:t>
      </w:r>
      <w:r>
        <w:t xml:space="preserve"> The European Ombudsman and European Court of Auditors both play an important role in guaranteeing the EU’s transparency, accountability and integrity. Anchrit Wille and Mark Bovens argue that the key to understanding the impact of the two institutions lies in the use of their powers, rather than the formal remits they have been assigned.</w:t>
      </w:r>
    </w:p>
    <w:p>
      <w:pPr/>
      <w:r>
        <w:rPr>
          <w:b/>
        </w:rPr>
        <w:t>POSSIBLE 2021:</w:t>
      </w:r>
      <w:r>
        <w:t xml:space="preserve"> EU Operational Powers and Legal Protection: A Legal Theory Perspective on the Operational Powers of the European Border and Coast Guard — https://doi.org/10.1017/glj.2021.29</w:t>
      </w:r>
    </w:p>
    <w:p>
      <w:pPr/>
      <w:r>
        <w:rPr>
          <w:b/>
        </w:rPr>
        <w:t>Shared claim-specific concepts:</w:t>
      </w:r>
      <w:r>
        <w:t xml:space="preserve"> powers, process, they; EU scope visible. This is a provisional connection, not an outcome finding.</w:t>
      </w:r>
    </w:p>
    <w:p>
      <w:pPr>
        <w:pStyle w:val="SourceNote"/>
      </w:pPr>
      <w:r>
        <w:rPr>
          <w:b/>
        </w:rPr>
        <w:t>Available abstract (not full text):</w:t>
      </w:r>
      <w:r>
        <w:t xml:space="preserve"> Abstract For the first time in its history, the EU is in the process of acquiring significant and genuine permanent operational powers. A new Regulation on the European Border and Coast Guard provides Frontex with a permanent corps of 10,000 border guards—3,000 of which will be EU agents—its own equipment, and its own competences to intervene along the EU borders and beyond. The operational powers will allow the EU to directly and physically intervene in tangible reality. This Article argues that the conferral of operational powers on the EU poses a risk to individual legal protection. This is because once authorities have acquired operational powers of a certain extent and quality, they can afford to act against or without the law by simply overpowering or eluding the legal mechanisms that normally constrain the exercise of public power. So far, Members of the European Parliament and academics critical of Frontex and the new Regulation have overlooked this issue and concentrated exclusively on how to legally constrain the exercise of operational powers. This Article addresses this blind spot by examining whether and how public law should place legal constraints not only on the exercise but also on the build-up of operational powers.</w:t>
      </w:r>
    </w:p>
    <w:p>
      <w:pPr>
        <w:pStyle w:val="Heading2"/>
      </w:pPr>
      <w:r>
        <w:t>673.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2024:</w:t>
      </w:r>
      <w:r>
        <w:t xml:space="preserve"> “EUROPE”: A Patriotic Ballet for the First World War — https://doi.org/10.1080/19475020.2024.2352853</w:t>
      </w:r>
    </w:p>
    <w:p>
      <w:pPr/>
      <w:r>
        <w:rPr>
          <w:b/>
        </w:rPr>
        <w:t>Shared claim-specific concepts:</w:t>
      </w:r>
      <w:r>
        <w:t xml:space="preserve"> show, first, time, associated, however, within; EU scope visible. This is a provisional connection, not an outcome finding.</w:t>
      </w:r>
    </w:p>
    <w:p>
      <w:pPr>
        <w:pStyle w:val="SourceNote"/>
      </w:pPr>
      <w:r>
        <w:rPr>
          <w:b/>
        </w:rPr>
        <w:t>Available abstract (not full text):</w:t>
      </w:r>
      <w:r>
        <w:t xml:space="preserve"> From September 1914 to January 1915, the Empire Theatre in London staged what was billed as a patriotic ballet called Europe. In addition to its lengthy run in the capital, a second version of the show toured the country, appearing at theatres in Manchester, Newcastle, Glasgow, Sheffield, Liverpool, Bradford, Nottingham and Portsmouth. The show received unanimous praise in both national and regional newspapers. However, despite its reach, popularity and impact, Europe has been mostly forgotten. Since it was a dance-based performance, no script was submitted to the Lord Chamberlain’s office. Although the piece did include music, it produced no hit songs captured on gramophone records or sheet music. Moreover, once the reality of the First World War began to hit home, the manner in which the show trivialised and glorified the conflict quickly fell out of step with public opinion. Therefore, when Europe’s run ended, it was permanently shelved and assigned to the passing of time. Nevertheless, the show left an archival imprint scattered through newspapers, theatre programmes, magazines and autobiographies. The following article draws these fragments together to form a blueprint of this hitherto discarded piece of popular culture. This reconstruction reveals a strikingly complex and rich piece of theatre, both in terms of its technical construction and how cultural conventions were </w:t>
      </w:r>
    </w:p>
    <w:p>
      <w:pPr/>
      <w:r>
        <w:rPr>
          <w:b/>
        </w:rPr>
        <w:t>POSSIBLE 2023:</w:t>
      </w:r>
      <w:r>
        <w:t xml:space="preserve"> “The first difficulty is time”: The impact of gestational age limits on reproductive health and justice in the context of cross-border travel for abortion care in Europe — https://doi.org/10.1016/j.socscimed.2023.115760</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Drawing on qualitative and quantitative data collected during a 5-year multi-disciplinary European research project, in this article we show how restrictions on access to legal abortion, and particularly gestational age (GA) limits at the end of the first trimester of pregnancy, negatively affect women and pregnant people living in European countries where abortion is legal on request or on broad grounds. First, we examine why most European legislations establish GA limits, and illustrate how abortion is framed in national laws and in the current national and international legal and political debates on abortion rights. We then show, based on research data we collected during our 5-year project and contextualized with existing data and statistics, how these restrictions force thousands of people to travel across borders from European countries where abortion is legal, delaying access to care, and increasing pregnant people's health risks. Finally, we explore, from an anthropological perspective, how pregnant people who travel across borders for abortion care conceptualize abortion access, and the relationship between the right to abortion care and the GA restrictions that limit this right. Our study participants criticize the time restrictions established by the laws in their countries of residence as failing to meet pregnant people's needs, highlight the crucial importance of </w:t>
      </w:r>
    </w:p>
    <w:p>
      <w:pPr/>
      <w:r>
        <w:rPr>
          <w:b/>
        </w:rPr>
        <w:t>POSSIBLE 2022:</w:t>
      </w:r>
      <w:r>
        <w:t xml:space="preserve"> Impact of the first wave of the COVID-19 pandemic on birth rates in Europe: a time series analysis in 24 countries — https://doi.org/10.1093/humrep/deac215</w:t>
      </w:r>
    </w:p>
    <w:p>
      <w:pPr/>
      <w:r>
        <w:rPr>
          <w:b/>
        </w:rPr>
        <w:t>Shared claim-specific concepts:</w:t>
      </w:r>
      <w:r>
        <w:t xml:space="preserve"> first, time, power, differences, over, associated; EU scope visible. This is a provisional connection, not an outcome finding.</w:t>
      </w:r>
    </w:p>
    <w:p>
      <w:pPr>
        <w:pStyle w:val="SourceNote"/>
      </w:pPr>
      <w:r>
        <w:rPr>
          <w:b/>
        </w:rPr>
        <w:t>Available abstract (not full text):</w:t>
      </w:r>
      <w:r>
        <w:t xml:space="preserve"> STUDY QUESTION: Did the first wave of the COVID-19 pandemic have an impact on monthly birth rates in Europe? SUMMARY ANSWER: Using datasets on live births per month in Europe, collected from the Human Fertility Database, we found a -14.1% decline in live births in January 2021 (i.e. 9-10 months after the epidemic peaks and first lockdowns), compared to the average number of live births in January 2018 and 2019. WHAT IS KNOWN ALREADY: Previous pandemics in the 20th and 21st centuries have been associated with a decline in birth rates 9 months after their peak, and a rebound in births over time. Lockdowns were necessary to control the first wave of the COVID-19 pandemic and may have had an impact on subsequent birth rates. STUDY DESIGN, SIZE, DURATION: Monthly time series data on live births from January 2018 to March 2021 were extracted to provide a time-series analysis of birthrates during and after the first wave of the COVID-19 pandemic in 24 European countries. PARTICIPANTS/MATERIALS, SETTING, METHODS: We conducted a random-effect generalized least squares regression to assess the seasonality of births from January 2018 to March 2021, and to identify potential differences in monthly live births after the first wave of the COVID-19 pandemic, considering the seasonality of births. To quantify these potential differences, we estimated the variation rate between the monthly live</w:t>
      </w:r>
    </w:p>
    <w:p>
      <w:pPr/>
      <w:r>
        <w:rPr>
          <w:b/>
        </w:rPr>
        <w:t>POSSIBLE 2022:</w:t>
      </w:r>
      <w:r>
        <w:t xml:space="preserve"> High-Resolution Mapping of Winter Cereals in Europe by Time Series Landsat and Sentinel Images for 2016–2020 — https://doi.org/10.3390/rs14092120</w:t>
      </w:r>
    </w:p>
    <w:p>
      <w:pPr/>
      <w:r>
        <w:rPr>
          <w:b/>
        </w:rPr>
        <w:t>Shared claim-specific concepts:</w:t>
      </w:r>
      <w:r>
        <w:t xml:space="preserve"> show, first, time, total, over, respectively; EU scope visible. This is a provisional connection, not an outcome finding.</w:t>
      </w:r>
    </w:p>
    <w:p>
      <w:pPr>
        <w:pStyle w:val="SourceNote"/>
      </w:pPr>
      <w:r>
        <w:rPr>
          <w:b/>
        </w:rPr>
        <w:t>Available abstract (not full text):</w:t>
      </w:r>
      <w:r>
        <w:t xml:space="preserve">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show, first, time, power, total, energy;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Islam and space in Europe: the politics of race, time, and secularism — https://doi.org/10.1080/01419870.2021.1918739</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This introduction to the Special Issue “Rethinking Islam and Space in Europe” advocates for an analytical turn in the study of Islam in Europe by using space as a central conceptual lens. While spatial approaches are gaining traction in the study of religion, migration, ethnicity, and race, we argue that the critical potential of spatial approaches remains largely unexplored. This paper offers a threefold contribution. First, we show how combining spatial perspectives with local histories contributes to de-exceptionalising the contemporary study of Islam in urban contexts. Second, by “localising secularism” we can uncover concrete formations of exclusion and erasure, while also providing a more refined picture of the ways in which the agency of Muslims is negotiated. Third, we demonstrate how scrutinizing the nexus of time, race and Europe reveals colonial pasts and continuities that are disrupted and transformed by the movement of bodies through public spaces.</w:t>
      </w:r>
    </w:p>
    <w:p>
      <w:pPr/>
      <w:r>
        <w:rPr>
          <w:b/>
        </w:rPr>
        <w:t>POSSIBLE 2021:</w:t>
      </w:r>
      <w:r>
        <w:t xml:space="preserve"> Depression and loneliness of older adults in Europe and Israel after the first wave of covid-19 — https://doi.org/10.1007/s10433-021-00640-8</w:t>
      </w:r>
    </w:p>
    <w:p>
      <w:pPr/>
      <w:r>
        <w:rPr>
          <w:b/>
        </w:rPr>
        <w:t>Shared claim-specific concepts:</w:t>
      </w:r>
      <w:r>
        <w:t xml:space="preserve"> show, first, time, however; EU scope visible. This is a provisional connection, not an outcome finding.</w:t>
      </w:r>
    </w:p>
    <w:p>
      <w:pPr>
        <w:pStyle w:val="SourceNote"/>
      </w:pPr>
      <w:r>
        <w:rPr>
          <w:b/>
        </w:rPr>
        <w:t>Available abstract (not full text):</w:t>
      </w:r>
      <w:r>
        <w:t xml:space="preserve"> Epidemic control measures that aim to introduce social distancing help to decelerate the spread of the COVID-19 pandemic. However, their consequences in terms of mental well-being might be negative, especially for older adults. While existing studies mainly focus on the time during the first lockdown, we look at the weeks afterward in order to measure the medium-term consequences of the first wave of the pandemic. Using data from the SHARE Corona Survey, we include retired respondents aged 60 and above from 25 European countries plus Israel. Combining SHARE data with macro-data from the Oxford COVID-19 Government Response Tracker allows us to include macro-indicators at the country level, namely the number of deaths per 100,000 and the number of days with stringent epidemic control measures, in addition to individual characteristics. The findings show that both macro-indicators are influential for increased feelings of sadness/depression, but that individual factors are crucial for explaining increased feelings of loneliness in the time after the first lockdown. Models with interaction terms reveal that the included macro-indicators have negative well-being consequences, particularly for the oldest survey participants. Additionally, the results reveal that especially those living alone had a higher risk for increased loneliness in the time after the first COVID-19 wave. Supplem</w:t>
      </w:r>
    </w:p>
    <w:p>
      <w:pPr/>
      <w:r>
        <w:rPr>
          <w:b/>
        </w:rPr>
        <w:t>POSSIBLE 2021:</w:t>
      </w:r>
      <w:r>
        <w:t xml:space="preserve"> Time–Motion Analysis by Playing Positions of Male Handball Players during the European Championship 2020 — https://doi.org/10.3390/ijerph18062787</w:t>
      </w:r>
    </w:p>
    <w:p>
      <w:pPr/>
      <w:r>
        <w:rPr>
          <w:b/>
        </w:rPr>
        <w:t>Shared claim-specific concepts:</w:t>
      </w:r>
      <w:r>
        <w:t xml:space="preserve"> first, time, system, differences, total; EU scope visible. This is a provisional connection, not an outcome finding.</w:t>
      </w:r>
    </w:p>
    <w:p>
      <w:pPr>
        <w:pStyle w:val="SourceNote"/>
      </w:pPr>
      <w:r>
        <w:rPr>
          <w:b/>
        </w:rPr>
        <w:t>Available abstract (not full text):</w:t>
      </w:r>
      <w:r>
        <w:t xml:space="preserve"> The aim of this study was to analyze time–motion characteristics of elite male handball players during the last European Championship 2020. A total of 414 players from 24 national teams were analyzed during 65 matches using a local positioning system (LPS) for the first time in a European Championship. Players (n = 1865) covered significantly (p &lt; 0.001; ES = 0.48) more total distance in offense (1217.48 ± 699.33 m) and in all locomotion categories (p &lt; 0.001) than in defense (900.96 ± 538.95 m), with a similar average total time on court (13.40 ± 8.19 min in offense and 13.27 ± 8.59 min; p &gt; 0.05). The running pace was significantly higher in offense 96.53 ± 22.57 m/min than in defense 82.72 ± 43.28 m/min (p &lt; 0.001; ES = 0.47). By playing positions, the Left Wing players covered significantly (p &lt; 0.001) higher distances (2547.14 ± 1309.52) and showed longer playing time (32.08 ± 17.01). Center Back was the playing position that showed the highest global running pace (98.34 m/min). Players with higher running pace in offense (p &lt; 0.001) were Left Backs (105.95 ± 25.20) and the Center Backs in defense (95.76 ± 48.90). There were no significant differences between winners and losers or between top ranked and lower ranked teams in terms of time played, distance covered, and running pace. Specific physical conditioning is necessary to maximize performance and minimize fatigue whe</w:t>
      </w:r>
    </w:p>
    <w:p>
      <w:pPr>
        <w:pStyle w:val="Heading2"/>
      </w:pPr>
      <w:r>
        <w:t>674.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2023:</w:t>
      </w:r>
      <w:r>
        <w:t xml:space="preserve"> Uncertainty of atmospheric scattering functions relevant for Satellite Ocean Colour Radiometry in European Seas — https://doi.org/10.1080/01431161.2023.2247531</w:t>
      </w:r>
    </w:p>
    <w:p>
      <w:pPr/>
      <w:r>
        <w:rPr>
          <w:b/>
        </w:rPr>
        <w:t>Shared claim-specific concepts:</w:t>
      </w:r>
      <w:r>
        <w:t xml:space="preserve"> data, uncertainty, three, ocean; EU scope visible. This is a provisional connection, not an outcome finding.</w:t>
      </w:r>
    </w:p>
    <w:p>
      <w:pPr>
        <w:pStyle w:val="SourceNote"/>
      </w:pPr>
      <w:r>
        <w:rPr>
          <w:b/>
        </w:rPr>
        <w:t>Available abstract (not full text):</w:t>
      </w:r>
      <w:r>
        <w:t xml:space="preserve"> Uncertainty assessment of Ocean Colour Radiometry (OCR) usually relies on the comparison between satellite marine reflectance and concurrent in situ radiometric measurements. However, when dealing with the standard atmospheric correction (AC), uncertainty of marine reflectance originates fundamentally from two sources: (i) uncertainty of the Level-1 calibration at top of the atmosphere, and (ii) uncertainty of the atmospheric scattering functions computed by the AC (atmospheric path reflectance and transmittance). The aim of this alternative work is thus to assess the uncertainty of these scattering functions, thanks to inherent optical properties of aerosols extracted from the AErosol Robotic NETwork (AERONET) and ingested in a radiative transfer code. The study is conducted for the MEdium Resolution Imaging Spectrometer (MERIS), over three AERONET sites selected in European seas (Aqua Alta Oceanographic Tower, AAOT; Gustav Dalen Tower, GDT; Lampedusa) and Lanai in the Pacific Ocean as a reference. We develop an uncertainty budget based on the statistical analysis of the errors between MERIS and AERONET-derived data. At 443 nm, uncertainty of MERIS atmospheric path reflectance due to random effects is estimated around 2%, while that of total atmospheric transmittance is between 0.6% and 1%. Propagation of these uncertainties to OCR is achieved following metrological principles</w:t>
      </w:r>
    </w:p>
    <w:p>
      <w:pPr/>
      <w:r>
        <w:rPr>
          <w:b/>
        </w:rPr>
        <w:t>POSSIBLE 2023:</w:t>
      </w:r>
      <w:r>
        <w:t xml:space="preserve"> Data for paper "Magnetohydrodynamic Equilibrium Reconstruction with Consistent Uncertainties" — https://doi.org/10.5281/zenodo.8063360</w:t>
      </w:r>
    </w:p>
    <w:p>
      <w:pPr/>
      <w:r>
        <w:rPr>
          <w:b/>
        </w:rPr>
        <w:t>Shared claim-specific concepts:</w:t>
      </w:r>
      <w:r>
        <w:t xml:space="preserve"> data, uncertainty, low; EU scope visible. This is a provisional connection, not an outcome finding.</w:t>
      </w:r>
    </w:p>
    <w:p>
      <w:pPr>
        <w:pStyle w:val="SourceNote"/>
      </w:pPr>
      <w:r>
        <w:rPr>
          <w:b/>
        </w:rPr>
        <w:t>Available abstract (not full text):</w:t>
      </w:r>
      <w:r>
        <w:t xml:space="preserve"> Data and scripts for the conference paper "Magnetohydrodynamic Equilibrium Reconstruction with Consistent Uncertainties" for the 42nd International Workshop on Bayesian Inference and Maximum Entropy Methods in Science and Engineering. Abstract: We report on progress towards a probabilistic framework for consistent uncertainty quantification and propagation in analysis and numerical modeling of physics in magnetically confined plasmas with stellarator symmetry. A frequent starting point in this process is the calculation of a magnetohydrodynamic equilibrium from plasma profiles. Equilibrium and profiles are typically reconstructed from experimental data. What sets equilibrium reconstruction apart from usual inverse problems is that profiles are given as functions over a magnetic flux derived from the magnetic field, rather than spatial coordinates. This makes it a fixed-point problem that is traditionally left inconsistent or solved iteratively in a least-squares sense[1–3]. The aim here is towards a straightforward and transparent process to quantify and propagate uncertainties and their correlations for function-valued fields and profiles in this setting. We propose a framework that utilizes a low dimensional prior distribution of equilibria, constructed with principal component analysis. A surrogate of the forward model[4] is trained to enable faster sampling. Funding: The pr</w:t>
      </w:r>
    </w:p>
    <w:p>
      <w:pPr/>
      <w:r>
        <w:rPr>
          <w:b/>
        </w:rPr>
        <w:t>POSSIBLE 2022:</w:t>
      </w:r>
      <w:r>
        <w:t xml:space="preserve"> Validation of ocean color remote sensing reflectance data: Analysis of results at European coastal sites — https://doi.org/10.1016/j.rse.2022.113153</w:t>
      </w:r>
    </w:p>
    <w:p>
      <w:pPr/>
      <w:r>
        <w:rPr>
          <w:b/>
        </w:rPr>
        <w:t>Shared claim-specific concepts:</w:t>
      </w:r>
      <w:r>
        <w:t xml:space="preserve"> data, uncertainty, high, ocean; EU scope visible. This is a provisional connection, not an outcome finding.</w:t>
      </w:r>
    </w:p>
    <w:p>
      <w:pPr>
        <w:pStyle w:val="SourceNote"/>
      </w:pPr>
      <w:r>
        <w:rPr>
          <w:b/>
        </w:rPr>
        <w:t>Available abstract (not full text):</w:t>
      </w:r>
      <w:r>
        <w:t xml:space="preserve"> From its initial measurements 20 years ago, the Ocean Color component of the Aerosol Robotic Network (AERONET-OC) has produced large validation data sets to assess the ocean color satellite data records. This study, applied to the standard atmospheric correction algorithm l2gen of the National Aeronautics and Space Administration, analyses the populations of residuals (differences between matching satellite and field data) of remote sensing reflectance RRS and, secondarily, aerosol optical thickness τa, and their validation statistics associated with data collected at seven AERONET-OC sites located in European coastal regions for six satellite missions. Validation statistics do not appear particularly sensitive to observation conditions, represented by viewing and solar geometry, aerosol optical thickness τa, Ångström exponent or water properties indexed by RRS, the most obvious exceptions being a systematic increase of the residuals for high solar zenith angles for all missions and sites. Residuals of RRS and τa tend to be inversely correlated as deviations in aerosol radiance and water-leaving radiance compensate each other. The spectra of a RRS uncertainty estimate σ decrease in a monotonous manner from 0.7 to 1.5 10−3 sr−1 for wavelengths around 412 nm to 0.1–0.35 10−3 sr−1 around 667 nm, with σ usually relatively high for waters associated with high amplitudes of RRS. At 4</w:t>
      </w:r>
    </w:p>
    <w:p>
      <w:pPr/>
      <w:r>
        <w:rPr>
          <w:b/>
        </w:rPr>
        <w:t>POSSIBLE 2022:</w:t>
      </w:r>
      <w:r>
        <w:t xml:space="preserve"> Climate Change and Renewable Energy Generation in Europe—Long-Term Impact Assessment on Solar and Wind Energy Using High-Resolution Future Climate Data and Considering Climate Uncertainties — https://doi.org/10.3390/en15010302</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Climate change can strongly affect renewable energy production. The state of the art in projecting future renewable energy generation has focused on using regional climate prediction. However, regional climate prediction is characterized by inherent uncertainty due to the complexity of climate models. This work provides a comprehensive study to quantify the impact of climate uncertainties in projecting future renewable energy potential over five climate zones of Europe. Thirteen future climate scenarios, including five global climate models (GCMs) and three representative concentration pathways (RCPs), are downscaled by the RCA4 regional climate model (RCM) over 90 years (2010–2099), divided into three 30-year periods. Solar and wind energy production is projected considering short-/long-term climate variations and uncertainties in seven representative cities (Narvik, Gothenburg, Munich, Antwerp, Salzburg, Valencia, and Athens). The results showed that the uncertainty caused by GCMs has the most substantial impact on projecting renewable energy generation. The variations due to GCM selection can become even larger than long-term climate change variations over time. Climate change uncertainties lead to over 23% and 45% projection differences for solar PV and wind energy potential, respectively. While the signal of climate change in solar radiation is weak between scenarios and o</w:t>
      </w:r>
    </w:p>
    <w:p>
      <w:pPr/>
      <w:r>
        <w:rPr>
          <w:b/>
        </w:rPr>
        <w:t>POSSIBLE 2021:</w:t>
      </w:r>
      <w:r>
        <w:t xml:space="preserve"> Competitive balance measures and the uncertainty of outcome hypothesis in European football — https://doi.org/10.1093/imaman/dpab027</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Abstract Competitive balance is an important issue in professional sport in general and European football in particular. However, competitive balance is difficult to quantify because competitiveness is multi-dimensional and particular sports are distinctive. We aim to identify the most appropriate index for a holistic view of competitive balance in European football. We use data from eight domestic European football leagues over a time span of 60 years. The indices we consider are specifically designed to capture competitiveness at different levels of performance and in this way reflect the peculiarities of European football leagues. Our findings support the longstanding uncertainty of outcome hypothesis. A bivariate index that captures competitiveness in the top K places is shown to have the highest association with attendance. A seasonal index of champions’ domination is also found to have a large association with attendance. Finally, ranking mobility is found to have a slightly higher association with attendance than seasonal performance. These results imply that sports policy makers should use these indices to assess strategic decisions that may influence competitive balance.</w:t>
      </w:r>
    </w:p>
    <w:p>
      <w:pPr/>
      <w:r>
        <w:rPr>
          <w:b/>
        </w:rPr>
        <w:t>POSSIBLE 2021:</w:t>
      </w:r>
      <w:r>
        <w:t xml:space="preserve"> Data-Uncertainty Guided Multi-Phase Learning for Semi-Supervised Object Detection — https://doi.org/10.1109/cvpr46437.2021.00454</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In this paper, we delve into semi-supervised object detection where unlabeled images are leveraged to break through the upper bound of fully-supervised object detection. Previous semi-supervised methods based on pseudo labels are severely degenerated by noise and prone to overfit to noisy labels, thus are deficient in learning different unlabeled knowledge well. To address this issue, we propose a data-uncertainty guided multi-phase learning method for semisupervised object detection. We comprehensively consider divergent types of unlabeled images according to their difficulty levels, utilize them in different phases, and ensemble models from different phases together to generate ultimate results. Image uncertainty guided easy data selection and region uncertainty guided RoI Re-weighting are involved in multi-phase learning and enable the detector to concentrate on more certain knowledge. Through extensive experiments on PASCAL VOC and MS COCO, we demonstrate that our method behaves extraordinarily compared to baseline approaches and outperforms them by a large margin, more than 3% on VOC and 2% on COCO.</w:t>
      </w:r>
    </w:p>
    <w:p>
      <w:pPr/>
      <w:r>
        <w:rPr>
          <w:b/>
        </w:rPr>
        <w:t>POSSIBLE 2021:</w:t>
      </w:r>
      <w:r>
        <w:t xml:space="preserve"> An improved TROPOMI tropospheric NO 2 research product over Europe — https://doi.org/10.5194/amt-14-7297-2021</w:t>
      </w:r>
    </w:p>
    <w:p>
      <w:pPr/>
      <w:r>
        <w:rPr>
          <w:b/>
        </w:rPr>
        <w:t>Shared claim-specific concepts:</w:t>
      </w:r>
      <w:r>
        <w:t xml:space="preserve"> data, uncertainty, three, high, low, average; EU scope visible. This is a provisional connection, not an outcome finding.</w:t>
      </w:r>
    </w:p>
    <w:p>
      <w:pPr>
        <w:pStyle w:val="SourceNote"/>
      </w:pPr>
      <w:r>
        <w:rPr>
          <w:b/>
        </w:rPr>
        <w:t>Available abstract (not full text):</w:t>
      </w:r>
      <w:r>
        <w:t xml:space="preserve"> Abstract. Launched in October 2017, the TROPOspheric Monitoring Instrument (TROPOMI) aboard Sentinel-5 Precursor provides the potential to monitor air quality over point sources across the globe with a spatial resolution as high as 5.5 km × 3.5 km (7 km × 3.5 km before 6 August 2019). The nitrogen dioxide (NO2) retrieval algorithm for the TROPOMI instrument consists of three steps: the spectral fitting of the slant column, the separation of stratospheric and tropospheric contributions, and the conversion of the slant column to a vertical column using an air mass factor (AMF) calculation. In this work, an improved tropospheric NO2 retrieval algorithm from TROPOMI measurements over Europe is presented. The stratospheric estimation is implemented using the STRatospheric Estimation Algorithm from Mainz (STREAM), which was developed as a verification algorithm for TROPOMI and does not require chemistry transport model data as input. A directionally dependent STREAM (DSTREAM) is developed to correct for the dependency of the stratospheric NO2 on the viewing geometry by up to 2 × 1014 molec/cm2. Applied to synthetic TROPOMI data, the uncertainty in the stratospheric column is 3.5 × 1014 molec/cm2 for polluted conditions. Applied to actual measurements, the smooth variation of stratospheric NO2 at low latitudes is conserved, and stronger stratospheric variation at higher latitudes are </w:t>
      </w:r>
    </w:p>
    <w:p>
      <w:pPr>
        <w:pStyle w:val="Heading2"/>
      </w:pPr>
      <w:r>
        <w:t>675.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r>
        <w:rPr>
          <w:b/>
        </w:rPr>
        <w:t>POSSIBLE 2025:</w:t>
      </w:r>
      <w:r>
        <w:t xml:space="preserve"> Do Energy Security Crises Accelerate Decarbonisation? The Case of REPowerEU — https://doi.org/10.3390/en19010200</w:t>
      </w:r>
    </w:p>
    <w:p>
      <w:pPr/>
      <w:r>
        <w:rPr>
          <w:b/>
        </w:rPr>
        <w:t>Shared claim-specific concepts:</w:t>
      </w:r>
      <w:r>
        <w:t xml:space="preserve"> decarbonisation, renewable, energy; EU scope visible. This is a provisional connection, not an outcome finding.</w:t>
      </w:r>
    </w:p>
    <w:p>
      <w:pPr>
        <w:pStyle w:val="SourceNote"/>
      </w:pPr>
      <w:r>
        <w:rPr>
          <w:b/>
        </w:rPr>
        <w:t>Available abstract (not full text):</w:t>
      </w:r>
      <w:r>
        <w:t xml:space="preserve"> Energy security crises have historically been turning points for energy systems, exposing vulnerabilities, reshaping policy priorities, and boosting technological change. However, whether—and to what extent—such crises accelerate low-carbon transitions remains contested. This paper examines the effects of the 2022 energy crisis on the European Union (EU)’s energy transition, using policy analysis combined with a quantitative assessment of renewable energy trends, forecasts, and targets. We analyse the ambition, implementation, and outcomes of the REPowerEU plan, the main response to the crisis. In an unprecedented move, REPowerEU securitised renewable energy as a means to reduce dependence on Russian energy imports. However, the plan only moderately increased earlier renewable energy targets and did not reverse declining subsidies despite more forceful implementation measures. Its effects have been uneven across technologies. Already accelerating solar may overshoot its targets, onshore wind might only slightly accelerate beyond its current steady growth, and offshore wind remains constrained by economic and institutional uncertainties. Despite increased subsidies for fossil fuels, coal continued declining, oil remained stable, and natural gas dropped. Overall, REPowerEU sustained rather than transformed the EU’s low-carbon transition, illustrating both the potential and limits</w:t>
      </w:r>
    </w:p>
    <w:p>
      <w:pPr/>
      <w:r>
        <w:rPr>
          <w:b/>
        </w:rPr>
        <w:t>POSSIBLE 2025:</w:t>
      </w:r>
      <w:r>
        <w:t xml:space="preserve"> Decarbonisation and specialisation downgrading: The double harm of GVC integration — https://doi.org/10.1016/j.worlddev.2025.107047</w:t>
      </w:r>
    </w:p>
    <w:p>
      <w:pPr/>
      <w:r>
        <w:rPr>
          <w:b/>
        </w:rPr>
        <w:t>Shared claim-specific concepts:</w:t>
      </w:r>
      <w:r>
        <w:t xml:space="preserve"> decarbonisation, findings; EU scope not established. This is a provisional connection, not an outcome finding.</w:t>
      </w:r>
    </w:p>
    <w:p>
      <w:pPr>
        <w:pStyle w:val="SourceNote"/>
      </w:pPr>
      <w:r>
        <w:rPr>
          <w:b/>
        </w:rPr>
        <w:t>Available abstract (not full text):</w:t>
      </w:r>
      <w:r>
        <w:t xml:space="preserve"> This study explores the double harm of Global Value Chain (GVC) integration by analysing the link between the international division of productive activities and emissions. Methodologically, we propose a framework to disentangle the developmental and sectoral origins of CO 2 emissions within GVCs. By providing a granular decomposition of domestic and foreign contributions, we identify foreign backward linkages as the primary carriers of CO 2 emissions along GVCs, surpassing domestic inputs in their CO 2 footprint. From a within-country perspective, we examine how a country’s internal production structure shapes CO 2 emission profiles across development stages, shedding light on the interplay between economic growth and environmental sustainability. At the cross-country level, we analyse how the changing geography of production, and the ensuing sectoral specialisation, impacts global emissions. The relocation of low-tech and natural resources-based productions to developing countries via GVCs has jointly amplified worldwide emissions and reinforced patterns of industrial and ecological downgrading for developing nations. Implications of our findings entail the coupling of environmental, trade and industrial policies.</w:t>
      </w:r>
    </w:p>
    <w:p>
      <w:pPr/>
      <w:r>
        <w:rPr>
          <w:b/>
        </w:rPr>
        <w:t>POSSIBLE 2025:</w:t>
      </w:r>
      <w:r>
        <w:t xml:space="preserve"> The de-politicisation of decarbonisation through climate rent: a Marxist critique of the EU emissions trading system — https://doi.org/10.1017/elo.2024.41</w:t>
      </w:r>
    </w:p>
    <w:p>
      <w:pPr/>
      <w:r>
        <w:rPr>
          <w:b/>
        </w:rPr>
        <w:t>Shared claim-specific concepts:</w:t>
      </w:r>
      <w:r>
        <w:t xml:space="preserve"> two, decarbonisation; EU scope visible. This is a provisional connection, not an outcome finding.</w:t>
      </w:r>
    </w:p>
    <w:p>
      <w:pPr>
        <w:pStyle w:val="SourceNote"/>
      </w:pPr>
      <w:r>
        <w:rPr>
          <w:b/>
        </w:rPr>
        <w:t>Available abstract (not full text):</w:t>
      </w:r>
      <w:r>
        <w:t xml:space="preserve"> Abstract The European Union (EU) Emissions Trading System (ETS) is the cornerstone of the EU’s attempt to decarbonise economic production in Europe. This paper questions the power and class relations that are built into the EU’s choice to address the climate crisis through the legal construction of emissions trading. Drawing on Marxist theory, the paper argues that the cost of emission allowances imposed by the ETS is a form of climate rent . In both the choice of this system and its implementation, the EU prioritises capital accumulation in order to protect the competitiveness of EU firms on the global market. This paper argues that the ETS thus jeopardises the progress of decarbonisation on two grounds. First, the EU’s implementation of the ETS has tended to increase the economic wealth of capital by redistributing economic value away from workers and towards the capitalist class. By raising the cost of essential goods, the ETS will likely damage the reputation of climate action and thus jeopardise public support for decarbonisation. Second, the ETS is part of the EU’s indirect approach to climate policy, which seeks to shape the actions of private capital in the direction of climate objectives. However, the severity of climate change calls instead for the use of law and public power to directly and consciously shape the rapid decarbonisation of society.</w:t>
      </w:r>
    </w:p>
    <w:p>
      <w:pPr/>
      <w:r>
        <w:rPr>
          <w:b/>
        </w:rPr>
        <w:t>POSSIBLE 2025:</w:t>
      </w:r>
      <w:r>
        <w:t xml:space="preserve"> Discourse vs. Decarbonisation: Tracking the Alignment Between EU Climate Rhetoric and National Energy Patterns — https://doi.org/10.3390/en18195304</w:t>
      </w:r>
    </w:p>
    <w:p>
      <w:pPr/>
      <w:r>
        <w:rPr>
          <w:b/>
        </w:rPr>
        <w:t>Shared claim-specific concepts:</w:t>
      </w:r>
      <w:r>
        <w:t xml:space="preserve"> decarbonisation, key, show, energy; EU scope visible. This is a provisional connection, not an outcome finding.</w:t>
      </w:r>
    </w:p>
    <w:p>
      <w:pPr>
        <w:pStyle w:val="SourceNote"/>
      </w:pPr>
      <w:r>
        <w:rPr>
          <w:b/>
        </w:rPr>
        <w:t>Available abstract (not full text):</w:t>
      </w:r>
      <w:r>
        <w:t xml:space="preserve"> This study examines the alignment between the European Union’s climate policy rhetoric and the actual fossil fuel consumption behaviours of its Member States. By combining long-term and short-term time-series data with machine learning classification techniques, the analysis captures dynamic national energy trends and decarbonisation signals. Key innovations include the use of slope acceleration metrics and the identification of label reversals to detect volatility, acceleration, or stagnation in transition trajectories. The results show that, while some countries such as France and Denmark demonstrate consistent structural progress, others show deceleration or reversal, particularly in the use of gas and liquid fuels. This indicates that the relationship between EU-level policy ambition and national implementation is asymmetric and conditionally aligned. This study concludes that ongoing empirical monitoring and targeted diagnostics are essential to prevent conflating symbolic commitments with material change, and provides practical insights for improving climate policy accountability and adaptability across the EU.</w:t>
      </w:r>
    </w:p>
    <w:p>
      <w:pPr/>
      <w:r>
        <w:rPr>
          <w:b/>
        </w:rPr>
        <w:t>POSSIBLE 2024:</w:t>
      </w:r>
      <w:r>
        <w:t xml:space="preserve"> Decarbonisation scenarios for the European residential sector — https://doi.org/10.1016/j.buildenv.2024.112408</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pPr/>
      <w:r>
        <w:rPr>
          <w:b/>
        </w:rPr>
        <w:t>POSSIBLE 2024:</w:t>
      </w:r>
      <w:r>
        <w:t xml:space="preserve"> Tourism territories: challenges for decarbonisation — https://doi.org/10.4067/s0718-235x2024000200192</w:t>
      </w:r>
    </w:p>
    <w:p>
      <w:pPr/>
      <w:r>
        <w:rPr>
          <w:b/>
        </w:rPr>
        <w:t>Shared claim-specific concepts:</w:t>
      </w:r>
      <w:r>
        <w:t xml:space="preserve"> decarbonisation, commitment, show, energy; EU scope not established. This is a provisional connection, not an outcome finding.</w:t>
      </w:r>
    </w:p>
    <w:p>
      <w:pPr>
        <w:pStyle w:val="SourceNote"/>
      </w:pPr>
      <w:r>
        <w:rPr>
          <w:b/>
        </w:rPr>
        <w:t>Available abstract (not full text):</w:t>
      </w:r>
      <w:r>
        <w:t xml:space="preserve"> This paper aims to analyse the energy challenges faced by tourism territories in a critical climate scenario.The methodology is based on consulting secondary information sources from government reports, regulatory frameworks, and specialized bibliography.The results show that the main challenges for decarbonization are linked to the continued growth of tourism, the institutionalization of interests, policy formulation, difficulty in introducing improvements and radical changes, a focus on technologies, and the dissemination of scientific and institutional knowledge.Thus, it is concluded that current tourism appropriation is incompatible with global climate objectives, and to overcome the six challenges outlined above, a commitment from all stakeholders is needed.In addition, each territory presents different challenges to achieve this, as these transition processes involve different factors (economic, political, social, cultural, technological, and environmental) that affect each other and involve multiple actors with different interests, logics, and power capacities.</w:t>
      </w:r>
    </w:p>
    <w:p>
      <w:pPr/>
      <w:r>
        <w:rPr>
          <w:b/>
        </w:rPr>
        <w:t>POSSIBLE 2023:</w:t>
      </w:r>
      <w:r>
        <w:t xml:space="preserve"> Decarbonisation strategies in industry: going beyond clusters — https://doi.org/10.1007/s11625-023-01313-4</w:t>
      </w:r>
    </w:p>
    <w:p>
      <w:pPr/>
      <w:r>
        <w:rPr>
          <w:b/>
        </w:rPr>
        <w:t>Shared claim-specific concepts:</w:t>
      </w:r>
      <w:r>
        <w:t xml:space="preserve"> decarbonisation, findings, energy, carbon; EU scope not established. This is a provisional connection, not an outcome finding.</w:t>
      </w:r>
    </w:p>
    <w:p>
      <w:pPr>
        <w:pStyle w:val="SourceNote"/>
      </w:pPr>
      <w:r>
        <w:rPr>
          <w:b/>
        </w:rPr>
        <w:t>Available abstract (not full text):</w:t>
      </w:r>
      <w:r>
        <w:t xml:space="preserve"> Abstract An effective and just industrial transition is necessary both to mitigate climate change and protect jobs, and as a precursor to enable other sectors to decarbonise. Activity is at an early stage and examples of successful sector-wide interventions to decarbonise industry do not yet exist. Governments of industrialised countries are beginning to develop policy and provide funding to support deployment of carbon capture and low-carbon hydrogen infrastructures into high-emitting industrial clusters, but options for sites outside of clusters, denoted here as ‘dispersed sites’, are also required. This paper takes a mixed methods approach to provide the first analysis of the issues facing dispersed industrial sites on their route to decarbonisation and to suggest solutions to the challenges they face. Using the UK as a case study, it first characterises dispersed sites in terms of location, emissions released, sectors involved, and size of companies affected. It then shows how these features mean that simply expanding the geographical scope of the present UK decarbonisation strategy, which focuses on the provision of carbon capture and low-carbon hydrogen, would face a number of challenges and so will need to be broadened to include a wider range of abatement options and other considerations to meet the needs of dispersed sites. While the solutions for each place will be di</w:t>
      </w:r>
    </w:p>
    <w:p>
      <w:pPr/>
      <w:r>
        <w:rPr>
          <w:b/>
        </w:rPr>
        <w:t>POSSIBLE 2023:</w:t>
      </w:r>
      <w:r>
        <w:t xml:space="preserve"> Reinforcing the Paris Agreement: Ambitious scenarios for the decarbonisation of the Central Asian and Caspian region — https://doi.org/10.1016/j.rset.2023.100048</w:t>
      </w:r>
    </w:p>
    <w:p>
      <w:pPr/>
      <w:r>
        <w:rPr>
          <w:b/>
        </w:rPr>
        <w:t>Shared claim-specific concepts:</w:t>
      </w:r>
      <w:r>
        <w:t xml:space="preserve"> decarbonisation, show, energy, carbon; EU scope visible. This is a provisional connection, not an outcome finding.</w:t>
      </w:r>
    </w:p>
    <w:p>
      <w:pPr>
        <w:pStyle w:val="SourceNote"/>
      </w:pPr>
      <w:r>
        <w:rPr>
          <w:b/>
        </w:rPr>
        <w:t>Available abstract (not full text):</w:t>
      </w:r>
      <w:r>
        <w:t xml:space="preserve"> For its abundance of fossil resources, the Central Asia and Caspian region plays a crucial role in the energy security of major markets, such as Europe and China. However, this dependence on export added to a firm reliance on fossil fuels also for internal consumption represents a significant challenge for the decarbonisation of the region. In the frame of the Horizon 2020 “PARIS REINFORCE” project, in this paper Authors develop an energy scenario analysis of four major countries located in the region (Azerbaijan, Kazakhstan, Uzbekistan and Turkmenistan), aiming to investigate how ambitious the current regional decarbonisation targets are in the view of the Paris Agreement. A common net-zero emission pathway is also developed to reinforce the regional climate ambition in the long term. As a novelty in the literature, the scenario analysis is co-designed with regional stakeholders through an engagement process that the Authors have carried out from December 2020 to May 2021. The numerical analysis is performed with the support of the TIMES-CAC model, an energy system model dedicated to the Central Asian and Caspian regions and developed by E4SMA. Results show that current regional energy policies are insufficient for achieving ambitious climate targets in the long term. The region should start implementing a rigorous energy planning process today to undergo a radical and rapid e</w:t>
      </w:r>
    </w:p>
    <w:p>
      <w:pPr>
        <w:pStyle w:val="Heading2"/>
      </w:pPr>
      <w:r>
        <w:t>676.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2022:</w:t>
      </w:r>
      <w:r>
        <w:t xml:space="preserve"> The effectiveness of the sports management system in Europe: High achievements, public funding and a healthy lifestyle — https://doi.org/10.14254/2071-789x.2022/15-4/13</w:t>
      </w:r>
    </w:p>
    <w:p>
      <w:pPr/>
      <w:r>
        <w:rPr>
          <w:b/>
        </w:rPr>
        <w:t>Shared claim-specific concepts:</w:t>
      </w:r>
      <w:r>
        <w:t xml:space="preserve"> three, approach, engaged; EU scope visible. This is a provisional connection, not an outcome finding.</w:t>
      </w:r>
    </w:p>
    <w:p>
      <w:pPr>
        <w:pStyle w:val="SourceNote"/>
      </w:pPr>
      <w:r>
        <w:rPr>
          <w:b/>
        </w:rPr>
        <w:t>Available abstract (not full text):</w:t>
      </w:r>
      <w:r>
        <w:t xml:space="preserve"> The article proposes an original approach to evaluating the effectiveness of the sports management system, which differs from the classical linear and non-linear optimization methods due to its use of quantile regression models. Three main indicators were chosen for creating the quantile regressions: (i) number of participants in the Olympic Games - as a feature of the effectiveness of the high-achievement sports; (ii) total number of people engaged in sports - as a feature of an effective mass sports system, which ensures a healthy lifestyle of the population; and (iii) state expenses on recreational and sports services. The quality of quantile regressions was validated by the Fisher test and the two-factor variance analysis. The research focused on the data of 30 European countries, which officially and publicly provide access to statistical reports on these issues. The countries were divided into two groups with above-average and below-average effectiveness of the sports management system. Two hypotheses were proposed and tested in the study. Hypothesis H1 was that the effectiveness of high-achievement sports depends on the amount of state funding for developing the sports industry. Research results confirmed this hypothesis for countries with an above-average level of sports management system effectiveness, but refuted it for the other group. Hypothesis H2 stated that the m</w:t>
      </w:r>
    </w:p>
    <w:p>
      <w:pPr/>
      <w:r>
        <w:rPr>
          <w:b/>
        </w:rPr>
        <w:t>POSSIBLE 2022:</w:t>
      </w:r>
      <w:r>
        <w:t xml:space="preserve"> Collaborative development of composite indices from qualitative value judgements: The EURO-HEALTHY Population Health Index model — https://doi.org/10.1016/j.ejor.2022.05.037</w:t>
      </w:r>
    </w:p>
    <w:p>
      <w:pPr/>
      <w:r>
        <w:rPr>
          <w:b/>
        </w:rPr>
        <w:t>Shared claim-specific concepts:</w:t>
      </w:r>
      <w:r>
        <w:t xml:space="preserve"> euro-healthy, project, developed, key, inequalities, across; EU scope visible. This is a provisional connection, not an outcome finding.</w:t>
      </w:r>
    </w:p>
    <w:p>
      <w:pPr>
        <w:pStyle w:val="SourceNote"/>
      </w:pPr>
      <w:r>
        <w:rPr>
          <w:b/>
        </w:rPr>
        <w:t>Available abstract (not full text):</w:t>
      </w:r>
      <w:r>
        <w:t xml:space="preserve">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pPr/>
      <w:r>
        <w:rPr>
          <w:b/>
        </w:rPr>
        <w:t>POSSIBLE 2022:</w:t>
      </w:r>
      <w:r>
        <w:t xml:space="preserve"> (Healthy) Aging Patterns in Europe: A Multistate Health Transition Approach — https://doi.org/10.1007/s12062-022-09403-4</w:t>
      </w:r>
    </w:p>
    <w:p>
      <w:pPr/>
      <w:r>
        <w:rPr>
          <w:b/>
        </w:rPr>
        <w:t>Shared claim-specific concepts:</w:t>
      </w:r>
      <w:r>
        <w:t xml:space="preserve"> factors, across, approach; EU scope visible. This is a provisional connection, not an outcome finding.</w:t>
      </w:r>
    </w:p>
    <w:p>
      <w:pPr>
        <w:pStyle w:val="SourceNote"/>
      </w:pPr>
      <w:r>
        <w:rPr>
          <w:b/>
        </w:rPr>
        <w:t>Available abstract (not full text):</w:t>
      </w:r>
      <w:r>
        <w:t xml:space="preserve"> We explore patterns and determinants of health transition probabilities by combining outcomes of morbidity and mortality to examine different aging patterns across Europe, and to ascertain how individual socio-demographic characteristics modify these patterns. We use panel data from the Survey of Health, Ageing and Retirement in Europe (2004- 2017) for 76,536 individuals aged 50 + in 20 European countries who participated in at least two waves. All transition probabilities were calculated applying a multistate analytical approach. Our findings show significant gender, education, and cohort differences in health transition probabilities and marked cross-country group differences. Central and Northern European countries present lower probabilities of health deterioration than Southern and, especially, Eastern European countries. Having a high level of education, living in Central Europe, and being younger are associated with lower probabilities of health deterioration and, if any, a higher probability of being restored to good health. We found less evidence of differences when transitions end in death. Our study contributes to this line of research by implementing a multistate approach using European harmonized panel dataset, to examine the effects of birth cohort, educational attainment and gender differences on health transitions. Our findings point to the need to consider the </w:t>
      </w:r>
    </w:p>
    <w:p>
      <w:pPr/>
      <w:r>
        <w:rPr>
          <w:b/>
        </w:rPr>
        <w:t>POSSIBLE 2021:</w:t>
      </w:r>
      <w:r>
        <w:t xml:space="preserve"> PeRsOnalised nutriTion for hEalthy livINg: The PROTEIN project — https://doi.org/10.1111/nbu.12482</w:t>
      </w:r>
    </w:p>
    <w:p>
      <w:pPr/>
      <w:r>
        <w:rPr>
          <w:b/>
        </w:rPr>
        <w:t>Shared claim-specific concepts:</w:t>
      </w:r>
      <w:r>
        <w:t xml:space="preserve"> project, funded, developed, approach; EU scope visible. This is a provisional connection, not an outcome finding.</w:t>
      </w:r>
    </w:p>
    <w:p>
      <w:pPr>
        <w:pStyle w:val="SourceNote"/>
      </w:pPr>
      <w:r>
        <w:rPr>
          <w:b/>
        </w:rPr>
        <w:t>Available abstract (not full text):</w:t>
      </w:r>
      <w:r>
        <w:t xml:space="preserve"> Abstract Personalised nutrition is a novel public health strategy aiming to promote positive diet and lifestyle changes. Tailored dietary and physical activity advice may be more appropriate than a generalised ‘one‐size‐fits‐all’ approach as it is more biologically relevant to the individual. Information and computing technology, smartphones and mobile applications have become an integral part of modern life and thereby present the opportunity for novel methods to encourage individuals to lead a healthier lifestyle. This article introduces the European Union‐funded PROTEIN project (PeRsOnalised nutriTion for hEalthy livINg) consortium and introduces the associated work packages. The primary objective of the PROTEIN project is to produce a novel adaptable mobile application suite based on sound nutrition and physical activity advice from experts in their field, accessible to all population groups, with differing health outcomes, whose behaviour can be tracked with a variety of sensors and health hazard perception. The mobile application ‘ecosystem’ that will be developed by the consortium includes a platform, mobile suite, cloud services, artificial intelligence advisor, game suite, modelling of expert’s knowledge, users’ behaviour data collection, data analysis and a dashboard for healthcare professionals. It is proposed that users will find the provision of personalised nutrit</w:t>
      </w:r>
    </w:p>
    <w:p>
      <w:pPr/>
      <w:r>
        <w:rPr>
          <w:b/>
        </w:rPr>
        <w:t>POSSIBLE 2021:</w:t>
      </w:r>
      <w:r>
        <w:t xml:space="preserve"> Citizen preferences regarding the public funding of projects promoting a healthy body weight among people with a low income — https://doi.org/10.1016/j.socscimed.2021.114015</w:t>
      </w:r>
    </w:p>
    <w:p>
      <w:pPr/>
      <w:r>
        <w:rPr>
          <w:b/>
        </w:rPr>
        <w:t>Shared claim-specific concepts:</w:t>
      </w:r>
      <w:r>
        <w:t xml:space="preserve"> project, funded, three; EU scope not established. This is a provisional connection, not an outcome finding.</w:t>
      </w:r>
    </w:p>
    <w:p>
      <w:pPr>
        <w:pStyle w:val="SourceNote"/>
      </w:pPr>
      <w:r>
        <w:rPr>
          <w:b/>
        </w:rPr>
        <w:t>Available abstract (not full text):</w:t>
      </w:r>
      <w:r>
        <w:t xml:space="preserve"> Overweight and obesity are a growing problem, especially among people with a low income. Policymakers aspire to alleviate this problem by implementing publicly funded projects. This study has three aims: 1) to explore citizen preferences regarding the public funding of projects promoting a healthy body weight among people with a low income, 2) to identify whether such preferences differ between citizens with a low income and those with a higher income, and 3) to identify the reasons underlying these preferences. We conducted a Participatory Value Evaluation (PVE) among 1053 Dutch citizens to achieve these aims. In an online choice experiment, respondents were asked to advise on the implementation of eight different projects that encourage a healthy body weight among citizens with a low income, with a total resource constraint of 100,000 euros. The projects were 1) lifestyle coaching including sports, 2) lifestyle coaching without sports, 3) local sports coach, 4) fruit and vegetable boxes, 5) bariatric surgery, 6) improving the living environment, 7) courses on healthy lifestyles, and 8) sports vouchers. We used the "Multiple Discrete-Continuous Extreme Value" model to estimate the preferences of respondents towards these eight projects. Fruit and vegetable boxes and sports vouchers were the most popular projects, while bariatric surgery was least popular. Respondents with a lo</w:t>
      </w:r>
    </w:p>
    <w:p>
      <w:pPr>
        <w:pStyle w:val="Heading2"/>
      </w:pPr>
      <w:r>
        <w:t>677.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2022:</w:t>
      </w:r>
      <w:r>
        <w:t xml:space="preserve"> The Regional Development Trap in Europe — https://doi.org/10.1080/00130095.2022.2080655</w:t>
      </w:r>
    </w:p>
    <w:p>
      <w:pPr/>
      <w:r>
        <w:rPr>
          <w:b/>
        </w:rPr>
        <w:t>Shared claim-specific concepts:</w:t>
      </w:r>
      <w:r>
        <w:t xml:space="preserve"> identify, regional;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Nature-Based Solutions in Urban Areas: A European Analysis — https://doi.org/10.3390/app13010168</w:t>
      </w:r>
    </w:p>
    <w:p>
      <w:pPr/>
      <w:r>
        <w:rPr>
          <w:b/>
        </w:rPr>
        <w:t>Shared claim-specific concepts:</w:t>
      </w:r>
      <w:r>
        <w:t xml:space="preserve"> therefore, purpose, identify, within;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2022:</w:t>
      </w:r>
      <w:r>
        <w:t xml:space="preserve"> Soil Governance in current European Union Law and in the European Green Deal — https://doi.org/10.1016/j.soisec.2022.100053</w:t>
      </w:r>
    </w:p>
    <w:p>
      <w:pPr/>
      <w:r>
        <w:rPr>
          <w:b/>
        </w:rPr>
        <w:t>Shared claim-specific concepts:</w:t>
      </w:r>
      <w:r>
        <w:t xml:space="preserve"> therefore, purpose, set; EU scope visible. This is a provisional connection, not an outcome finding.</w:t>
      </w:r>
    </w:p>
    <w:p>
      <w:pPr>
        <w:pStyle w:val="SourceNote"/>
      </w:pPr>
      <w:r>
        <w:rPr>
          <w:b/>
        </w:rPr>
        <w:t>Available abstract (not full text):</w:t>
      </w:r>
      <w:r>
        <w:t xml:space="preserve"> The chapter deals with the system of soil governance in the European Union and focuses on legal instruments for the protection and sustainable use of soil. In addition, other aspects of soil governance, like the policies, strategies, and the processes of decision-making, are addressed. Reference points for this assessment are the identified soil threats in the EU and the need for soil protection, based on the results of scientific studies, especially of the Intergovernmental Platform on Climate Change ( IPCC 2019 ) and the Intergovernmental Science-Policy Platform on Biodiversity and Ecosystem Services ( IP-BES 2018 ). Currently, there is no comprehensive directive to address soil threats and soil-related issues in a coherent way in the European Union, although several legal instruments refer to certain soil threats, mainly in the field of soil pollution. The European Union has the competence for soil legislation and, on the basis of the principle of subsidiarity, would be legally able to enact it. Therefore, the current mosaic of approaches can be overcome and replaced by an overall harmonised and comprehensive EU soil protection framework. This is all the more true as the United Nations' 2030 Agenda has set in motion a process that will have far-reaching implications for connected thinking: Sustainable Development Goal 15 and its target 15.3 stipulate that land degradation ne</w:t>
      </w:r>
    </w:p>
    <w:p>
      <w:pPr/>
      <w:r>
        <w:rPr>
          <w:b/>
        </w:rPr>
        <w:t>POSSIBLE 2021:</w:t>
      </w:r>
      <w:r>
        <w:t xml:space="preserve"> The Reinvention of Development Banking in the European Union — https://doi.org/10.1093/oso/9780198859703.001.0001</w:t>
      </w:r>
    </w:p>
    <w:p>
      <w:pPr/>
      <w:r>
        <w:rPr>
          <w:b/>
        </w:rPr>
        <w:t>Shared claim-specific concepts:</w:t>
      </w:r>
      <w:r>
        <w:t xml:space="preserve"> therefore, identify, within; EU scope visible. This is a provisional connection, not an outcome finding.</w:t>
      </w:r>
    </w:p>
    <w:p>
      <w:pPr>
        <w:pStyle w:val="SourceNote"/>
      </w:pPr>
      <w:r>
        <w:rPr>
          <w:b/>
        </w:rPr>
        <w:t>Available abstract (not full text):</w:t>
      </w:r>
      <w:r>
        <w:t xml:space="preserve"> National development banks (NDBs) have transformed from outdated relics of national industrial policy to central pillars of the European Union’s economic project. This trend, which accelerated after the Financial Crisis of 2007, has led to a proliferation of NDBs with an expanded size and scope. However, it is surprising that the EU—which has championed market-oriented governance and strict competition policy—has actually advocated an expansion of NDBs. This book therefore asks, why has the EU supported an increased role for NDBs, and how can we understand the dynamics between NDBs and European incentives and constraints? In order to answer these questions, this book analyzes the formation and evolution of a field of development banking within the EU. We identify a new field around an innovative conceptualization of state-backed financing for the purposes of policy implementation. However, rather than focusing solely on national development banks, we instead broaden the focus to the entire ecosystem of the field of development banking, which includes political institutions (both in Brussels and in the Member States), financing vehicles (such as the Juncker Plan), regulatory bodies (DG Competition, DG ECFIN), and commercial actors. Seven in-depth case studies on European NDBs, along with three chapters on European-level actors, detail this field of development banking, and answe</w:t>
      </w:r>
    </w:p>
    <w:p>
      <w:pPr/>
      <w:r>
        <w:rPr>
          <w:b/>
        </w:rPr>
        <w:t>POSSIBLE 2021:</w:t>
      </w:r>
      <w:r>
        <w:t xml:space="preserve"> Implication of multi drought definitions to identify streamflow drought across Europe — https://doi.org/10.5194/egusphere-egu21-4063</w:t>
      </w:r>
    </w:p>
    <w:p>
      <w:pPr/>
      <w:r>
        <w:rPr>
          <w:b/>
        </w:rPr>
        <w:t>Shared claim-specific concepts:</w:t>
      </w:r>
      <w:r>
        <w:t xml:space="preserve"> therefore, identify, within, region; EU scope visible. This is a provisional connection, not an outcome finding.</w:t>
      </w:r>
    </w:p>
    <w:p>
      <w:pPr>
        <w:pStyle w:val="SourceNote"/>
      </w:pPr>
      <w:r>
        <w:rPr>
          <w:b/>
        </w:rPr>
        <w:t>Available abstract (not full text):</w:t>
      </w:r>
      <w:r>
        <w:t xml:space="preserve"> Several approaches to identify hydrological drought exist, which result in differences in drought frequency, timing, duration, and deficit volume (drought characteristics) using the same hydrometeorological data as input. This has created confusion within the hydro-meteorological community, as well as in operational water management services on the difference in drought characteristics obtained with the different approaches. The aim of this study, therefore, is to provide a comprehensive overview of the differences of hydrological drought, i.e. streamflow drought, using different identification approaches for the pan-European river network (&gt;10,000 river grid cells). Time series of daily streamflow data were obtained from the LISFLOOD hydrological model forced with gridded meteorological observations from 1990 to 2018. Streamflow droughts were detected using the daily and monthly Variable Threshold methods (VTD and VTM), daily and monthly Fixed Threshold methods (FTD and FTM), and the Standardized Streamflow Index with 1-month accumulation period (SSI-1). For the threshold methods the Q80 (flow that is equaled or exceeded 80 percent of the time) is applied, whereas for the SSI a threshold of about -1 is used. We applied a centered 30-day moving average (30DMA) smoothing technique to the daily flow data to reduce the number of minor droughts. This is the first study that compare</w:t>
      </w:r>
    </w:p>
    <w:p>
      <w:pPr>
        <w:pStyle w:val="Heading2"/>
      </w:pPr>
      <w:r>
        <w:t>678.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pStyle w:val="Heading2"/>
      </w:pPr>
      <w:r>
        <w:t>679.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Carbon Peaking and Neutrality Pathways for Beijing’s Power Sector — https://doi.org/10.54097/hset.v50i.8464</w:t>
      </w:r>
    </w:p>
    <w:p>
      <w:pPr/>
      <w:r>
        <w:rPr>
          <w:b/>
        </w:rPr>
        <w:t>Shared claim-specific concepts:</w:t>
      </w:r>
      <w:r>
        <w:t xml:space="preserve"> pathways, power, sector, potential, electricity, transport; EU scope not established. This is a provisional connection, not an outcome finding.</w:t>
      </w:r>
    </w:p>
    <w:p>
      <w:pPr>
        <w:pStyle w:val="SourceNote"/>
      </w:pPr>
      <w:r>
        <w:rPr>
          <w:b/>
        </w:rPr>
        <w:t>Available abstract (not full text):</w:t>
      </w:r>
      <w:r>
        <w:t xml:space="preserve"> The power sector is an important area for achieving the 'double carbon' target.To achieve the "double carbon target" in Beijing as early as possible, this thesis is based on the LEAP model, which is a bottom-up study of the carbon peaking and carbon neutral pathways in the power sector from the perspective of the whole chain of source, grid, load and storage. It also combines scenario analysis, taking into account emission reduction targets, electricity demand and resource deployment, to design four comparison scenarios. These are the basic scenario, the energy efficiency improvement scenario, the transport electrification scenario and the renewable energy development scenario. The study focuses on the potential for emission reduction and feasible paths for the energy transition in Beijing's power sector. Finally, policy recommendations are made to promote the energy transition in Beijing.</w:t>
      </w:r>
    </w:p>
    <w:p>
      <w:pPr/>
      <w:r>
        <w:rPr>
          <w:b/>
        </w:rPr>
        <w:t>POSSIBLE 2022:</w:t>
      </w:r>
      <w:r>
        <w:t xml:space="preserve"> Volumetric treatment of uterine fibroids using ultrasound-guided, power- and pathway-controlled, pulsed-type high-intensity focused ultrasound — https://doi.org/10.25289/ml.2022.11.3.148</w:t>
      </w:r>
    </w:p>
    <w:p>
      <w:pPr/>
      <w:r>
        <w:rPr>
          <w:b/>
        </w:rPr>
        <w:t>Shared claim-specific concepts:</w:t>
      </w:r>
      <w:r>
        <w:t xml:space="preserve"> pathways, power, including; EU scope not established. This is a provisional connection, not an outcome finding.</w:t>
      </w:r>
    </w:p>
    <w:p>
      <w:pPr>
        <w:pStyle w:val="SourceNote"/>
      </w:pPr>
      <w:r>
        <w:rPr>
          <w:b/>
        </w:rPr>
        <w:t>Available abstract (not full text):</w:t>
      </w:r>
      <w:r>
        <w:t xml:space="preserve"> Lasers 148Volumetric treatment of uterine fibroids using ultrasound-guided, power-and pathway-controlled, pulsed-type high-intensity focused ultrasound Background and Objectives Non-invasive high-intensity focused ultrasound (HIFU) treatments are used widely to relieve uterine fibroid (UF)-related symptoms without general anesthesia and long hospitalization.This study evaluated the effectiveness and safety of power, pathway-controlled, cumulative, pulsed-type HIFU treatments for symptomatic UF lesions. Materials and MethodsA total of 633 UF lesions in 300 patients were treated with a single HIFU session.Reductions in the UF size and volume were evaluated at 1, 3, 6, and 12 months after the HIFU treatments. ResultsHypoenhancing ultrasonographic findings were obtained by treating UF lesions with HIFU at an average HIFU power of 389.1 ± 81.6 W, an energy/ therapeutic point of 49.5 ± 2.6 J/pulse, a total of 2.8 ± 1.1 therapeutic pathways, and a total sonication energy of 28,016.4± 10,622.2J.The volume of the overall UFs decreased significantly to 72.1% of their original volume during the 12-month follow-up.Among four different UF size groups, significant differences were found in the final HIFU settings, including power, total number of therapeutic pathways, total sonication energy, and sonication time, but not energy/therapeutic point.Linear mixed model analysis revealed significa</w:t>
      </w:r>
    </w:p>
    <w:p>
      <w:pPr/>
      <w:r>
        <w:rPr>
          <w:b/>
        </w:rPr>
        <w:t>POSSIBLE 2022:</w:t>
      </w:r>
      <w:r>
        <w:t xml:space="preserve"> Incentive structures for power-to-X and e-fuel pathways for transport in EU and member states — https://doi.org/10.1016/j.enpol.2022.113121</w:t>
      </w:r>
    </w:p>
    <w:p>
      <w:pPr/>
      <w:r>
        <w:rPr>
          <w:b/>
        </w:rPr>
        <w:t>Shared claim-specific concepts:</w:t>
      </w:r>
      <w:r>
        <w:t xml:space="preserve"> pathways, sector, potential, increasing, transport; EU scope visible. This is a provisional connection, not an outcome finding.</w:t>
      </w:r>
    </w:p>
    <w:p>
      <w:pPr>
        <w:pStyle w:val="SourceNote"/>
      </w:pPr>
      <w:r>
        <w:rPr>
          <w:b/>
        </w:rPr>
        <w:t>Available abstract (not full text):</w:t>
      </w:r>
      <w:r>
        <w:t xml:space="preserve"> Though Power-to-X pathways, primarily Power-to-Liquids, attract interest as solutions for decarbonising parts of the transport sector that are not suitable for electrification, the regulatory framework until recently slowed down their implementation. This paper examines the updates in the main aspects of the legal framework in the European Union from 2019 to the beginning of 2022 related to Power-to-X: support schemes, specific targets, and potential barriers. The results show increasing interest and market entrance of electrolysis and push from the different actors and regulatory parties to establish solutions that will enable faster upscaling. However, it is visible from the National Energy and Climate Plans and hydrogen strategies that the most emphasis is still on hydrogen as an end fuel for personal vehicles or power-to-gas. On the other hand, few countries have implemented legal frameworks facilitating diverse PtX pathways without focusing solely on hydrogen. Nevertheless, revisions of RED II have finally set up specific targets for electrofuels and Fit for 55 has introduced new actions supporting electrofuels in aviation and marine transport.</w:t>
      </w:r>
    </w:p>
    <w:p>
      <w:pPr/>
      <w:r>
        <w:rPr>
          <w:b/>
        </w:rPr>
        <w:t>POSSIBLE 2022:</w:t>
      </w:r>
      <w:r>
        <w:t xml:space="preserve"> PaLM: Scaling Language Modeling with Pathways — https://doi.org/10.48550/arxiv.2204.02311</w:t>
      </w:r>
    </w:p>
    <w:p>
      <w:pPr/>
      <w:r>
        <w:rPr>
          <w:b/>
        </w:rPr>
        <w:t>Shared claim-specific concepts:</w:t>
      </w:r>
      <w:r>
        <w:t xml:space="preserve"> pathways, potential, performance;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2022:</w:t>
      </w:r>
      <w:r>
        <w:t xml:space="preserve"> Pathways to net zero emissions for the Indian power sector — https://doi.org/10.1016/j.esr.2022.101042</w:t>
      </w:r>
    </w:p>
    <w:p>
      <w:pPr/>
      <w:r>
        <w:rPr>
          <w:b/>
        </w:rPr>
        <w:t>Shared claim-specific concepts:</w:t>
      </w:r>
      <w:r>
        <w:t xml:space="preserve"> pathways, power, sector, electricity, three; EU scope not established. This is a provisional connection, not an outcome finding.</w:t>
      </w:r>
    </w:p>
    <w:p>
      <w:pPr>
        <w:pStyle w:val="SourceNote"/>
      </w:pPr>
      <w:r>
        <w:rPr>
          <w:b/>
        </w:rPr>
        <w:t>Available abstract (not full text):</w:t>
      </w:r>
      <w:r>
        <w:t xml:space="preserve"> At COP26, India has committed to achieve net zero emissions by 2070. For economy wide net zero, the power system should be first to attain it. This paper explores the role of different technologies, CO2 capture and storage (CCS), nuclear, solar PV and thermal, battery storage, pumped storage, hydro etc. along with energy efficiency in doing so by different target years, 2050 and 2060 and their economic implications. With more intermittent renewables, the issue of balancing hourly demand-supply of both energy and power becomes critical for ensuring the feasibility of a pathway. Hourly availability of different renewable technologies is considered along with hourly variations in electricity demand. Three scenarios are analysed, Business-as-Usual (BAU) scenario assumes current policies to continue, and two Net Zero (NZ) scenarios to achieve net zero emissions by 2050 and 2060. Solar PV, wind onshore and offshore, battery storage are the dominant technologies in achieving net zero emissions. Solar and wind together contribute 85% and 90% of the total generation capacity in 2050 and 2060, respectively. Dispatchable technologies like Coal plant with CCS and nuclear are also important. Results specify Battery with storage hour specifications (1 h, 2 h etc.), so one can plan storage in details. Decarbonisation has significant additional cost and investment requirement over the Business</w:t>
      </w:r>
    </w:p>
    <w:p>
      <w:pPr/>
      <w:r>
        <w:rPr>
          <w:b/>
        </w:rPr>
        <w:t>POSSIBLE 2022:</w:t>
      </w:r>
      <w:r>
        <w:t xml:space="preserve"> Power generation expansion pathways: A policy analysis of the Cameroon power system — https://doi.org/10.1016/j.esr.2022.101004</w:t>
      </w:r>
    </w:p>
    <w:p>
      <w:pPr/>
      <w:r>
        <w:rPr>
          <w:b/>
        </w:rPr>
        <w:t>Shared claim-specific concepts:</w:t>
      </w:r>
      <w:r>
        <w:t xml:space="preserve"> pathways, power, sector, potential, electricity, three; EU scope not established. This is a provisional connection, not an outcome finding.</w:t>
      </w:r>
    </w:p>
    <w:p>
      <w:pPr>
        <w:pStyle w:val="SourceNote"/>
      </w:pPr>
      <w:r>
        <w:rPr>
          <w:b/>
        </w:rPr>
        <w:t>Available abstract (not full text):</w:t>
      </w:r>
      <w:r>
        <w:t xml:space="preserve"> The Cameroon electricity sector is currently plagued by inadequate generation capacity. The electricity supply deficit has had dire consequences on attaining the country's industrialization, socioeconomic and developmental objectives enshrined in her Vision 2035. However, there are sustainable solutions that minimizes the required new capacity planned by the government. This paper analyses the implications of these sustainable policies on the electricity generation system of Cameroon. An adaptation of the Schwartz's methodology and the Low Emissions Analysis Platform (LEAP), integrated with the Next Energy Modelling system for Optimization (NEMO) was used to develop least-costs scenarios of Cameroon from 2016 to 2045. These scenarios are based on the key factors that would influence the electricity supply/demand of Cameroon. In addition to the business-as-usual scenario which defines the least-cost pathway with no policy interventions, the three alternative scenario categories are: power losses, demand side energy efficiency measures and carbon dioxide emission targets. Results show the alternative scenarios have significant benefits in avoided installed capacity, financial savings and avoided greenhouse gas emissions. This is emphasized by capacity savings of up to 44%, translating to possible economic benefits of up to 25% depending on government's commitment to reducing powe</w:t>
      </w:r>
    </w:p>
    <w:p>
      <w:pPr/>
      <w:r>
        <w:rPr>
          <w:b/>
        </w:rPr>
        <w:t>POSSIBLE 2021:</w:t>
      </w:r>
      <w:r>
        <w:t xml:space="preserve"> Decarbonization pathways for the power sector in Sumatra, Indonesia — https://doi.org/10.1016/j.rser.2021.111507</w:t>
      </w:r>
    </w:p>
    <w:p>
      <w:pPr/>
      <w:r>
        <w:rPr>
          <w:b/>
        </w:rPr>
        <w:t>Shared claim-specific concepts:</w:t>
      </w:r>
      <w:r>
        <w:t xml:space="preserve"> pathways, focus, power, sector, use, electricity; EU scope not established. This is a provisional connection, not an outcome finding.</w:t>
      </w:r>
    </w:p>
    <w:p>
      <w:pPr>
        <w:pStyle w:val="SourceNote"/>
      </w:pPr>
      <w:r>
        <w:rPr>
          <w:b/>
        </w:rPr>
        <w:t>Available abstract (not full text):</w:t>
      </w:r>
      <w:r>
        <w:t xml:space="preserve"> The Indonesian power sector faces the combined challenge to (i) satisfy growing electricity demand at an affordable cost and (ii) comply with the decarbonization targets committed under the Paris Agreement. In this study, we investigate cost-optimal pathways for the development of the power sector in line with climate targets. We used the Low Emissions Analysis Platform (LEAP) software tool to build a power-system expansion model for Sumatra and simulated four scenarios representing a business as usual development, the current development plans, and two mitigation pathways in line with the national climate targets. Particular focus is put on bioenergy, an energy source that has been often overlooked in previous studies and plans. The results show that, although the national plans consider mitigation actions, they do not reduce coal dependency. Besides, current development plans are not cost-effective and have high marginal abatement costs for emissions reduction. The two mitigation scenarios achieve better environmental results at lower system costs. Our results show that bioenergy deployment can contribute significantly to achieving the greenhouse gas (GHG) targets of 19% and 24% pledged by the Indonesian government. More efficient use of modern renewables and natural gas can reduce Sumatra's dependence on coal resources.</w:t>
      </w:r>
    </w:p>
    <w:p>
      <w:pPr>
        <w:pStyle w:val="Heading2"/>
      </w:pPr>
      <w:r>
        <w:t>680.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2023:</w:t>
      </w:r>
      <w:r>
        <w:t xml:space="preserve"> Preparing for Our Futures — https://doi.org/10.1093/med-psych/9780197609286.003.0015</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chapter covers Session 14 of the Juvenile Justice Anger Management (JJAM) Treatment for Girls. In this session the participants learn how they can prepare for their future after treatment. The session focuses on synthesizing the various skills and tools that the girls have learned during the program. The facilitators encourage the girls to practice applying these skills to real-life situations and to enlist others to help them use these skills in the future. The participants will identify their goals beyond the treatment. An activity is provided to help the girls feel more comfortable using the support systems that they have previously identified.</w:t>
      </w:r>
    </w:p>
    <w:p>
      <w:pPr/>
      <w:r>
        <w:rPr>
          <w:b/>
        </w:rPr>
        <w:t>POSSIBLE 2023:</w:t>
      </w:r>
      <w:r>
        <w:t xml:space="preserve"> Preparing for Our Futures — https://doi.org/10.1093/med-psych/9780197609286.003.0047</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This chapter provides the participant materials for Session 14 of the Juvenile Justice Anger Management (JJAM) Treatment for Girls. In this session the girls learn how to prepare plans for the future. This includes the process of figuring out how to tell important people about the anger management tools they learned and how to ask for help. Planning ahead means thinking about one’s goals and writing them down. An example of a goal is to get better grades in school by the end of the year. When a participant is angry and needs help remembering these tools, it is useful for her to talk to her building block support people.</w:t>
      </w:r>
    </w:p>
    <w:p>
      <w:pPr/>
      <w:r>
        <w:rPr>
          <w:b/>
        </w:rPr>
        <w:t>POSSIBLE 2023:</w:t>
      </w:r>
      <w:r>
        <w:t xml:space="preserve"> Big data can help prepare nurses and improve patient outcomes by improving quality, safety, and outcomes — https://doi.org/10.2478/fon-2023-0026</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Objectives Big data has revolutionized nursing and health care and raised concerns. This research aims to help nurses understand big data sets to provide better patient care. Methods This study used big data in nursing to improve patient care. Big data in nursing has sparked a global revolution and raised concerns, but few studies have focused on helping nurses understand big data to provide the best patient care. This systematic review was conducted based on PRISMA guidelines. PubMed, MEDLINE, CINAHL, Google Scholar, and ResearchGate were used for 2010–2020 studies. Results The most common use of big data in nursing was investigated in eight papers between 2015 and 2018. All research showed improvements in patient outcomes and healthcare delivery when big data was used in the medical-surgical, emergency department, critical care unit, community, systems biology, and leadership applications. Big data is not taught to nurses. Conclusions Big data applications in nursing and health care improve early intervention and decision-making. Big data provides a comprehensive view of a patient’s status and social determinants of health, allowing treatment using all metaparadigms and avoiding a singular focus. Big data can help prepare nurses and improve patient outcomes by improving quality, safety, and outcomes.</w:t>
      </w:r>
    </w:p>
    <w:p>
      <w:pPr/>
      <w:r>
        <w:rPr>
          <w:b/>
        </w:rPr>
        <w:t>POSSIBLE 2023:</w:t>
      </w:r>
      <w:r>
        <w:t xml:space="preserve"> Comparing scientific abstracts generated by ChatGPT to real abstracts with detectors and blinded human reviewers — https://doi.org/10.1038/s41746-023-00819-6</w:t>
      </w:r>
    </w:p>
    <w:p>
      <w:pPr/>
      <w:r>
        <w:rPr>
          <w:b/>
        </w:rPr>
        <w:t>Shared claim-specific concepts:</w:t>
      </w:r>
      <w:r>
        <w:t xml:space="preserve"> abstract, help, often, high, low; EU scope not established. This is a provisional connection, not an outcome finding.</w:t>
      </w:r>
    </w:p>
    <w:p>
      <w:pPr>
        <w:pStyle w:val="SourceNote"/>
      </w:pPr>
      <w:r>
        <w:rPr>
          <w:b/>
        </w:rPr>
        <w:t>Available abstract (not full text):</w:t>
      </w:r>
      <w:r>
        <w:t xml:space="preserve"> Abstract Background Large language models such as ChatGPT can produce increasingly realistic text, with unknown information on the accuracy and integrity of using these models in scientific writing. Methods We gathered ten research abstracts from five high impact factor medical journals (n=50) and asked ChatGPT to generate research abstracts based on their titles and journals. We evaluated the abstracts using an artificial intelligence (AI) output detector, plagiarism detector, and had blinded human reviewers try to distinguish whether abstracts were original or generated. Results All ChatGPT-generated abstracts were written clearly but only 8% correctly followed the specific journal’s formatting requirements. Most generated abstracts were detected using the AI output detector, with scores (higher meaning more likely to be generated) of median [interquartile range] of 99.98% [12.73, 99.98] compared with very low probability of AI-generated output in the original abstracts of 0.02% [0.02, 0.09]. The AUROC of the AI output detector was 0.94. Generated abstracts scored very high on originality using the plagiarism detector (100% [100, 100] originality). Generated abstracts had a similar patient cohort size as original abstracts, though the exact numbers were fabricated. When given a mixture of original and general abstracts, blinded human reviewers correctly identified 68% of gene</w:t>
      </w:r>
    </w:p>
    <w:p>
      <w:pPr/>
      <w:r>
        <w:rPr>
          <w:b/>
        </w:rPr>
        <w:t>POSSIBLE 2023:</w:t>
      </w:r>
      <w:r>
        <w:t xml:space="preserve"> Deciding for resilience: Utilizing water infrastructure investments to prepare for the future — https://doi.org/10.1002/wat2.1661</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Governments are increasingly faced with climate change realities and have also committed themselves to international agreements with objectives to tackle long‐term problems such as becoming climate neutral by 2050. Governments, therefore, will need to carefully consider how to contribute to combatting climate change, when investing in their water infrastructure that is reaching an end‐of‐lifetime due to technical aging or changing functional requirements. Such investments offer crucial windows of opportunity to create more resilient water systems, because large budgets are involved and lifespans of infrastructure are long and co‐determine possible futures. Based on a literature review, this article develops key ways of how infrastructure operators could adopt a long‐term perspective and choose water management strategies that increase absorptive, adaptive, and transformative capacities. With these perspectives and strategies, this article sets out a basis to help governments prepare for the future when they invest in water infrastructure. This article is categorized under: Human Water &gt; Water Governance Science of Water &gt; Water and Environmental Change Engineering Water &gt; Planning Water</w:t>
      </w:r>
    </w:p>
    <w:p>
      <w:pPr/>
      <w:r>
        <w:rPr>
          <w:b/>
        </w:rPr>
        <w:t>POSSIBLE 2021:</w:t>
      </w:r>
      <w:r>
        <w:t xml:space="preserve"> 12 A qualitative study of factors that helped prepare athletes for Special Olympics sport programs — https://doi.org/10.1093/pch/pxab061.008</w:t>
      </w:r>
    </w:p>
    <w:p>
      <w:pPr/>
      <w:r>
        <w:rPr>
          <w:b/>
        </w:rPr>
        <w:t>Shared claim-specific concepts:</w:t>
      </w:r>
      <w:r>
        <w:t xml:space="preserve"> abstract, help, prepare, four; EU scope not established. This is a provisional connection, not an outcome finding.</w:t>
      </w:r>
    </w:p>
    <w:p>
      <w:pPr>
        <w:pStyle w:val="SourceNote"/>
      </w:pPr>
      <w:r>
        <w:rPr>
          <w:b/>
        </w:rPr>
        <w:t>Available abstract (not full text):</w:t>
      </w:r>
      <w:r>
        <w:t xml:space="preserve"> Abstract Primary Subject area Developmental Paediatrics Background Special Olympics (SO) is working to introduce more child and youth programs provincially and improve currently available programs. To date, there is little research published surrounding the experiences of SO athletes. Given the aim of SO to improve and grow the experience and health of youth, the present study explores the experiences of SO athletes and caregivers to understand what prepares athletes for SO programs and competition. Objectives 1. To describe the experience of SO athletes and caregivers and understand what best prepared them for their involvement in organized sport and physical activity. 2. To offer evidence-based strategies for creating an inclusive and encouraging environment for sports and physical activity for healthy active living and/or preparation for SO involvement. Design/Methods Both athletes and caregivers participated in semi-structured, conversation-based interviews. Eight English-speaking athletes involved in a variety of sports from around the province were interviewed, and four of these interviews included caregivers. Interviews were transcribed and coded using thematic analysis. Results Five themes were identified throughout these interviews. The importance of a supportive environment emerged as a strong theme. Athletes valued the support of caregivers, coaches, and other player</w:t>
      </w:r>
    </w:p>
    <w:p>
      <w:pPr/>
      <w:r>
        <w:rPr>
          <w:b/>
        </w:rPr>
        <w:t>POSSIBLE 2021:</w:t>
      </w:r>
      <w:r>
        <w:t xml:space="preserve"> Preparing Indonesia for The Ocean Decade 2021-2030 — https://doi.org/10.1088/1755-1315/744/1/012025</w:t>
      </w:r>
    </w:p>
    <w:p>
      <w:pPr/>
      <w:r>
        <w:rPr>
          <w:b/>
        </w:rPr>
        <w:t>Shared claim-specific concepts:</w:t>
      </w:r>
      <w:r>
        <w:t xml:space="preserve"> abstract, help, prepare, scientists, stakeholders, natural; EU scope not established. This is a provisional connection, not an outcome finding.</w:t>
      </w:r>
    </w:p>
    <w:p>
      <w:pPr>
        <w:pStyle w:val="SourceNote"/>
      </w:pPr>
      <w:r>
        <w:rPr>
          <w:b/>
        </w:rPr>
        <w:t>Available abstract (not full text):</w:t>
      </w:r>
      <w:r>
        <w:t xml:space="preserve"> Abstract The Ocean Decade 2021-2030 was declared at the end of 2017. The Decade Declaration is aimed at accelerating the resolution of various social-ecological issues facing the oceans collectively and holistically by involving multi-stakeholders: natural and social scientists, governments, NGOs, private parties, and local communities. Indonesia as a large maritime country must play an important role in this Decade, both as a provider and as a beneficiary. The aims of this paper are to (1) convey important things about the Ocean Decade and (2) provide recommendations for carrying out three types of research to prepare for the Ocean Decade. This exploratory study is conducted qualitatively, using a literature review of UNESCO official documents as well as various other literature, such as scientific journal articles. An interview with a key informant was conducted for initial stakeholder analysis. The results of the analysis and the recommendations are expected to be used to help various stakeholders in Indonesia prepare to take part in the implementation of ‘The Ocean Decade’.</w:t>
      </w:r>
    </w:p>
    <w:p>
      <w:pPr>
        <w:pStyle w:val="Heading2"/>
      </w:pPr>
      <w:r>
        <w:t>681.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2023:</w:t>
      </w:r>
      <w:r>
        <w:t xml:space="preserve"> Income inequality and circular materials use: an analysis of European Union economies and implications for circular economy development — https://doi.org/10.1108/md-11-2022-1620</w:t>
      </w:r>
    </w:p>
    <w:p>
      <w:pPr/>
      <w:r>
        <w:rPr>
          <w:b/>
        </w:rPr>
        <w:t>Shared claim-specific concepts:</w:t>
      </w:r>
      <w:r>
        <w:t xml:space="preserve"> vast, circular, economy, occur, design, processes; EU scope visible. This is a provisional connection, not an outcome finding.</w:t>
      </w:r>
    </w:p>
    <w:p>
      <w:pPr>
        <w:pStyle w:val="SourceNote"/>
      </w:pPr>
      <w:r>
        <w:rPr>
          <w:b/>
        </w:rPr>
        <w:t>Available abstract (not full text):</w:t>
      </w:r>
      <w:r>
        <w:t xml:space="preserve"> Purpose The purpose of the research was to evaluate the relationship between income and the recycled materials used in order to rate the business related to circular repair services under the burden of economic development in the countries of the European Union. Design/methodology/approach The analytical processes explore data from 2010 to 2020. The countries were divided into clusters according to economic maturity (Human Development Index (HDI), real Gross domestic product (GDP) per capita). Subsequently, the relationships were evaluated through the income indicators (for the 13 population groups), and the circular materials use rate indicator. The three indicators decomposed into five specific metrics were employed. The commonly applied characteristics of the descriptive analysis, Pearson's correlation coefficient and the panel regression analysis were engaged in the investigation. Findings The results demonstrated the vast disparities between income and circular materials use. In the more economically developed countries, their levels were twice higher as the less-developed countries. However, there is a meaningful positive relationship between them. The greatest attention was paid to the panel regression analysis applied to the relationship between income and circular economy (CE) use. The results showed that in a majority of the cases (different income categories), there </w:t>
      </w:r>
    </w:p>
    <w:p>
      <w:pPr/>
      <w:r>
        <w:rPr>
          <w:b/>
        </w:rPr>
        <w:t>POSSIBLE 2023:</w:t>
      </w:r>
      <w:r>
        <w:t xml:space="preserve"> The Circular Economy Transformation of Airports: An Alternative Model for Retail Waste Management — https://doi.org/10.3390/su15043860</w:t>
      </w:r>
    </w:p>
    <w:p>
      <w:pPr/>
      <w:r>
        <w:rPr>
          <w:b/>
        </w:rPr>
        <w:t>Shared claim-specific concepts:</w:t>
      </w:r>
      <w:r>
        <w:t xml:space="preserve"> transformation, circular, economy, design, processes; EU scope not established. This is a provisional connection, not an outcome finding.</w:t>
      </w:r>
    </w:p>
    <w:p>
      <w:pPr>
        <w:pStyle w:val="SourceNote"/>
      </w:pPr>
      <w:r>
        <w:rPr>
          <w:b/>
        </w:rPr>
        <w:t>Available abstract (not full text):</w:t>
      </w:r>
      <w:r>
        <w:t xml:space="preserve"> Airport terminals worldwide generate approximately 6 million tons of passenger waste annually. Increased awareness of climate change and global interventions for environmental sustainability requires a reassessment of airports’ current methods of waste management. This paper proposes a new design concept solution called circular airport retail waste management (CAWM) for airport terminal retail waste processing, which aims to reduce and ideally eliminate airport waste ending up in landfill or incineration. Given the need for novelty and challenging the status-quo, the double diamond design process was adopted as the research method. The research began by collating the current practices of retail waste processing in airports via a literature review and field observations. Secondly, a critical analysis of the current processes was conducted to identify the intervention points. Thirdly, a concept solution was developed based on the circular economy (CE) 9R framework. Finally, the CAWM concept was delivered to airport waste management personnel for review. CAWM offers a structured way of airport retail waste management practices, including the segregation of nonrecyclable and recyclable waste (i.e., different bin designs, color coding, harmonization of waste colors, improved instructions and signage, various bin locations, training, and installing more liquid disposal and donation </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2022:</w:t>
      </w:r>
      <w:r>
        <w:t xml:space="preserve"> Circular cities: planning for circular development in European cities — https://doi.org/10.1080/09654313.2022.2060707</w:t>
      </w:r>
    </w:p>
    <w:p>
      <w:pPr/>
      <w:r>
        <w:rPr>
          <w:b/>
        </w:rPr>
        <w:t>Shared claim-specific concepts:</w:t>
      </w:r>
      <w:r>
        <w:t xml:space="preserve"> transformation, circular; EU scope visible. This is a provisional connection, not an outcome finding.</w:t>
      </w:r>
    </w:p>
    <w:p>
      <w:pPr>
        <w:pStyle w:val="SourceNote"/>
      </w:pPr>
      <w:r>
        <w:rPr>
          <w:b/>
        </w:rPr>
        <w:t>Available abstract (not full text):</w:t>
      </w:r>
      <w:r>
        <w:t xml:space="preserve"> Circular development could produce more resource efficient, ecologically regenerative and resilient cities. This development pathway offers many ecological, social and economic benefits. However, there are also many challenges to implementation, not least a heavy reliance on the market to transform urban systems of provision. A regulatory and policy framework is essential for a circular transformation, until circular activities become competitive within existing markets. Spatial and land-use planning can offer this framework. This paper provides insight into the circular development process. It discusses the role of planning in delivering circular development, using examples from four European cities. It identifies the tools for delivery and discusses the inherent limitations of using planning tools to deliver a circular transformation.</w:t>
      </w:r>
    </w:p>
    <w:p>
      <w:pPr/>
      <w:r>
        <w:rPr>
          <w:b/>
        </w:rPr>
        <w:t>POSSIBLE 2022:</w:t>
      </w:r>
      <w:r>
        <w:t xml:space="preserve"> The sustainable transformation of the Colombian cattle sector: Assessing its circularity — https://doi.org/10.1371/journal.pclm.0000074</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Circular food systems are increasingly acknowledged for their potential to contribute to the transition towards sustainable futures. In a circular food system, the use of finite and limited resources is minimized, and nutrients in residual streams and inedible biomass for humans are reused as inputs in the bioeconomy. Livestock has become relevant in this narrative for upcycling nutrients contained in food by-products and grass resources into nutritious food for humans without using human-edible resources. Evaluating on-going national sustainability initiatives in the livestock sector is key to determine if circularity elements are already represented and to identify new opportunities and pathways for the future. In this paper we synthetize the environmental actions promoted by different initiatives driving the sustainable transformation of Colombian cattle production systems and assess the inclusion of circularity elements in these actions. The proposed environmental actions were concentrated in the conservation of remaining natural ecosystems, zero-deforestation and the sustainable intensification of cattle production through silvopastoral and paddock rotational systems. Circularity was addressed by some initiatives via the use organic fertilizers and the use of manure as fertilizers or feedstock for bioenergy generation. However, given that cattle farming is often practiced </w:t>
      </w:r>
    </w:p>
    <w:p>
      <w:pPr/>
      <w:r>
        <w:rPr>
          <w:b/>
        </w:rPr>
        <w:t>POSSIBLE 2022:</w:t>
      </w:r>
      <w:r>
        <w:t xml:space="preserve"> Understanding circular economy transitions: The case of circular textiles — https://doi.org/10.1002/bse.3114</w:t>
      </w:r>
    </w:p>
    <w:p>
      <w:pPr/>
      <w:r>
        <w:rPr>
          <w:b/>
        </w:rPr>
        <w:t>Shared claim-specific concepts:</w:t>
      </w:r>
      <w:r>
        <w:t xml:space="preserve"> transformation, circular, economy, processes; EU scope visible. This is a provisional connection, not an outcome finding.</w:t>
      </w:r>
    </w:p>
    <w:p>
      <w:pPr>
        <w:pStyle w:val="SourceNote"/>
      </w:pPr>
      <w:r>
        <w:rPr>
          <w:b/>
        </w:rPr>
        <w:t>Available abstract (not full text):</w:t>
      </w:r>
      <w:r>
        <w:t xml:space="preserve"> Abstract The circular economy has been proposed to transform global textile supply chains which are currently challenged by a complex nexus of sustainability issues related to the dominant fast fashion trend. Research on circular economy in the textile sector often focuses on businesses or consumers as key enablers in circular transitions , yet it treats them as independent entities and thereby neglects the study of interactions that can provide insight at the systems level. The proclaimed “circular textile mission” in the Netherlands setting a national target for 100% circularity by 2050 is used as case study to address this research gap. We explore the circular textile transition processes found in the context of the Dutch mission and compare the development and interactions among various technical and non‐technological solutions produced by engaged actor constellations for assessing key factors driving and blocking the overall mission fulfilment. To these ends, we derive a theoretical framework based on innovation system theory and conceptualize the Dutch circular textile transition as a Mission‐oriented Innovation System ( MIS ). Analyzing the structure and functioning of the Dutch mission‐oriented innovation system, we show that (1) there is a good match between the formal Dutch circular textile mission and system actor perceptions; (2) system actors have formed structures</w:t>
      </w:r>
    </w:p>
    <w:p>
      <w:pPr/>
      <w:r>
        <w:rPr>
          <w:b/>
        </w:rPr>
        <w:t>POSSIBLE 2022:</w:t>
      </w:r>
      <w:r>
        <w:t xml:space="preserve"> Food system transformation for sustainable city-regions: exploring the potential of circular economies — https://doi.org/10.1080/00343404.2021.2021168</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Calls for food system transformation to strengthen synergies between socio-economic and environmental goals have been growing in recent years. As yet, however, insights from theoretical debates have not been tested against the actions and perceptions of food system actors. To add empirical weight to this debate, we focus on a region in the north of England where the Covid-19 crisis has challenged the embeddedness of linear thinking and siloed policy approaches. Based on an exploration of the potential of ‘circular food economies’, the analysis provides insights into the capacity of ‘city-regions’ to reorientate food system dynamics towards sustainability objectives.</w:t>
      </w:r>
    </w:p>
    <w:p>
      <w:pPr/>
      <w:r>
        <w:rPr>
          <w:b/>
        </w:rPr>
        <w:t>POSSIBLE 2022:</w:t>
      </w:r>
      <w:r>
        <w:t xml:space="preserve"> Circular Economy in the European Construction Sector: A Review of Strategies for Implementation in Building Renovation — https://doi.org/10.3390/en15134747</w:t>
      </w:r>
    </w:p>
    <w:p>
      <w:pPr/>
      <w:r>
        <w:rPr>
          <w:b/>
        </w:rPr>
        <w:t>Shared claim-specific concepts:</w:t>
      </w:r>
      <w:r>
        <w:t xml:space="preserve"> circular, economy, design; EU scope visible. This is a provisional connection, not an outcome finding.</w:t>
      </w:r>
    </w:p>
    <w:p>
      <w:pPr>
        <w:pStyle w:val="SourceNote"/>
      </w:pPr>
      <w:r>
        <w:rPr>
          <w:b/>
        </w:rPr>
        <w:t>Available abstract (not full text):</w:t>
      </w:r>
      <w:r>
        <w:t xml:space="preserve"> Building renovation was declared a key point for sustainable development, however, the renovation rate of residential buildings in the European Union is insufficient to meet the climate and energy targets set. This paper analyses the main circular economy models used in the construction sector, as well as the situation of the building renovation market, to set a framework for circular economy models in building renovation. Of all the existing strategies in this sector, design, material recovery, building renovation and end-of-life actions would be the best, respectively. It also includes a market analysis consisting of a literature review covering PEST perspectives (political, economic, social and technical) and a SWOT analysis (strengths, weaknesses, opportunities and threats), concluding with a market gap analysis. The results of these analyses allow the development of a series of suggestions and strategies to be followed in order to solve the main barriers that hinder the implementation of the circular economy in the building´s renovation sector.</w:t>
      </w:r>
    </w:p>
    <w:p>
      <w:pPr>
        <w:pStyle w:val="Heading2"/>
      </w:pPr>
      <w:r>
        <w:t>682.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2023:</w:t>
      </w:r>
      <w:r>
        <w:t xml:space="preserve"> Is the flood occurrence rate decreasing in Southeast Europe? — https://doi.org/10.5194/egusphere-egu23-6031</w:t>
      </w:r>
    </w:p>
    <w:p>
      <w:pPr/>
      <w:r>
        <w:rPr>
          <w:b/>
        </w:rPr>
        <w:t>Shared claim-specific concepts:</w:t>
      </w:r>
      <w:r>
        <w:t xml:space="preserve"> also, decrease, reduction, three, project; EU scope visible. This is a provisional connection, not an outcome finding.</w:t>
      </w:r>
    </w:p>
    <w:p>
      <w:pPr>
        <w:pStyle w:val="SourceNote"/>
      </w:pPr>
      <w:r>
        <w:rPr>
          <w:b/>
        </w:rPr>
        <w:t>Available abstract (not full text):</w:t>
      </w:r>
      <w:r>
        <w:t xml:space="preserve"> Floods are natural phenomena, which can turn into disasters and cause widespread damage, health problems and deaths. This is particularly the case where rivers have been denied from their natural floodplains and are limited by embankments, and where housing and industrial buildings have been constructed in areas that are naturally liable to flooding. However, during the last few decades, flood observations from different parts of Europe do not show a clear increase in flood occurrence rate (Blöschl et al., 2019). In the present paper we present longer-term records of winter and summer floods in one of the largest river of Southeast Europe, the Sava River for the 1926-2021 period. We analysed three group of events that were based on three flood protection levels in Republic of Serbia defined for Sremska Mitrovica station. Regular protection level is set at 4120 m3/s and emergency flood defense level which is set at 5120 m3/s, that is, minor events are up to the regular protection level, strong events are up to the emergency level and extreme events are above emergency flood defense level. For the past 95 years, we find a decrease in both summer and winter flood occurrence rates. The reduction in winter flood occurrence can partly be attributed to reduced amount of precipitation during this period of the year. Further, on the basis of these data and methods, we find that for the </w:t>
      </w:r>
    </w:p>
    <w:p>
      <w:pPr/>
      <w:r>
        <w:rPr>
          <w:b/>
        </w:rPr>
        <w:t>POSSIBLE 2023:</w:t>
      </w:r>
      <w:r>
        <w:t xml:space="preserve"> Decreasing trends of ammonia emissions over Europe seen from remote sensing and inverse modelling — https://doi.org/10.5194/acp-23-15235-2023</w:t>
      </w:r>
    </w:p>
    <w:p>
      <w:pPr/>
      <w:r>
        <w:rPr>
          <w:b/>
        </w:rPr>
        <w:t>Shared claim-specific concepts:</w:t>
      </w:r>
      <w:r>
        <w:t xml:space="preserve"> also, showed, emissions; EU scope visible. This is a provisional connection, not an outcome finding.</w:t>
      </w:r>
    </w:p>
    <w:p>
      <w:pPr>
        <w:pStyle w:val="SourceNote"/>
      </w:pPr>
      <w:r>
        <w:rPr>
          <w:b/>
        </w:rPr>
        <w:t>Available abstract (not full text):</w:t>
      </w:r>
      <w:r>
        <w:t xml:space="preserve"> Abstract. Ammonia (NH3), a significant precursor of particulate matter, affects not only biodiversity, ecosystems, and soil acidification but also climate and human health. In addition, its concentrations are constantly rising due to increasing feeding needs and the large use of fertilization and animal farming. Despite the significance of ammonia, its emissions are associated with large uncertainties, while its atmospheric abundance is difficult to measure. Nowadays, satellite products can effectively measure ammonia with low uncertainty and a global coverage. Here, we use satellite observations of column ammonia in combination with an inversion algorithm to derive ammonia emissions with a high resolution over Europe for the period 2013–2020. Ammonia emissions peak in northern Europe due to agricultural application and livestock management, in western Europe (industrial activity), and over Spain (pig farming). Emissions have decreased by −26 % since 2013 (from 5431 Gg in 2013 to 3994 Gg in 2020), showing that the abatement strategies adopted by the European Union have been very efficient. The slight increase (+4.4 %) in 2015 is also reproduced here and is attributed to some European countries exceeding annual emission targets. Ammonia emissions are low in winter (286 Gg) and peak in summer (563 Gg) and are dominated by the temperature-dependent volatilization of ammonia from t</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also, decrease, number;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Market Reaction As An Impact Of The Fed Interest Rate Decrease Announcement In Asian And European Areas — https://doi.org/10.24843/matrik:jmbk.2022.v16.i01.p03</w:t>
      </w:r>
    </w:p>
    <w:p>
      <w:pPr/>
      <w:r>
        <w:rPr>
          <w:b/>
        </w:rPr>
        <w:t>Shared claim-specific concepts:</w:t>
      </w:r>
      <w:r>
        <w:t xml:space="preserve"> also, decrease, reduction; EU scope visible. This is a provisional connection, not an outcome finding.</w:t>
      </w:r>
    </w:p>
    <w:p>
      <w:pPr>
        <w:pStyle w:val="SourceNote"/>
      </w:pPr>
      <w:r>
        <w:rPr>
          <w:b/>
        </w:rPr>
        <w:t>Available abstract (not full text):</w:t>
      </w:r>
      <w:r>
        <w:t xml:space="preserve"> Market Reaction As An Impact Of The Fed Interest Rate Decrease Announcement In Asian And European Areas ABSTRACT The announcement of the reduction in the Fed's interest rate on July 31, 2019 is a rare event since 2008. The Fed's rate cut will have a major impact on the global economy and conditions in the capital market.The purpose of this study is to determine whether there is a difference in the average abnormal return around the date of the announcement of the Fed's interest rate hike in Asia and the European region. The sample of this study was 18 emerging market countries' index indices in Asia and Europe with sample collection techniques using purposive sampling. This study uses One Way Anova analysis techniques and One Sample T-test. The results found that there was no difference in the average abnormal return before and after the announcement of the Fed's interest rate increase. This condition shows that markets in the two regions do not react significantly because markets in Asia and the European region are in an efficient condition in the form of half strong, where the market absorbs information quickly and is reflected in stock prices so there is no difference in the average abnormal return in both regions. The absence of a difference in the average abnormal return is also caused by the uncertainty of the global economy making investors more careful in making investm</w:t>
      </w:r>
    </w:p>
    <w:p>
      <w:pPr/>
      <w:r>
        <w:rPr>
          <w:b/>
        </w:rPr>
        <w:t>POSSIBLE 2022:</w:t>
      </w:r>
      <w:r>
        <w:t xml:space="preserve"> Flash drought drives rapid vegetation stress in arid regions in Europe — https://doi.org/10.1088/1748-9326/acae3a</w:t>
      </w:r>
    </w:p>
    <w:p>
      <w:pPr/>
      <w:r>
        <w:rPr>
          <w:b/>
        </w:rPr>
        <w:t>Shared claim-specific concepts:</w:t>
      </w:r>
      <w:r>
        <w:t xml:space="preserve"> also, decrease, about; EU scope visible. This is a provisional connection, not an outcome finding.</w:t>
      </w:r>
    </w:p>
    <w:p>
      <w:pPr>
        <w:pStyle w:val="SourceNote"/>
      </w:pPr>
      <w:r>
        <w:rPr>
          <w:b/>
        </w:rPr>
        <w:t>Available abstract (not full text):</w:t>
      </w:r>
      <w:r>
        <w:t xml:space="preserve"> Abstract Flash droughts are characterised by rapid onset, combined with the potential to severely impact agriculture and ecosystems. However, assessments of the ecological impacts of flash droughts, especially in Europe, are largely lacking. Here we investigate ecosystem responses to flash droughts in Europe between 2001 and 2019 using diverse observational data, including gross primary production (GPP) and leaf area index (LAI). We find that in arid regions an abrupt transition to water-stressed conditions occurs within a few weeks, which negatively affects vegetation status and reduces carbon uptake in the initial stages of drought; normalised anomalies of LAI and GPP decrease to about −0.5. By contrast, vegetation in humid regions is not as severely affected, given that soil moisture recovers relatively quickly. We also show that soil moisture status before the onset of drought significantly impacts the timing (1–5 pentads) and degree (−0.33 to −0.71 of normalised LAI and GPP anomalies) of drought-induced vegetation stress, particularly in arid regions. Our results highlight the regional characteristics of flash drought impacts for more informative monitoring and early warning systems.</w:t>
      </w:r>
    </w:p>
    <w:p>
      <w:pPr/>
      <w:r>
        <w:rPr>
          <w:b/>
        </w:rPr>
        <w:t>POSSIBLE 2022:</w:t>
      </w:r>
      <w:r>
        <w:t xml:space="preserve"> Decreasing trend of monkeypox cases in Europe and America shows hope for the world: Evidence from the latest epidemiological data — https://doi.org/10.1002/hsr2.1030</w:t>
      </w:r>
    </w:p>
    <w:p>
      <w:pPr/>
      <w:r>
        <w:rPr>
          <w:b/>
        </w:rPr>
        <w:t>Shared claim-specific concepts:</w:t>
      </w:r>
      <w:r>
        <w:t xml:space="preserve"> also, showed, decrease, number, three; EU scope visible. This is a provisional connection, not an outcome finding.</w:t>
      </w:r>
    </w:p>
    <w:p>
      <w:pPr>
        <w:pStyle w:val="SourceNote"/>
      </w:pPr>
      <w:r>
        <w:rPr>
          <w:b/>
        </w:rPr>
        <w:t>Available abstract (not full text):</w:t>
      </w:r>
      <w:r>
        <w:t xml:space="preserve"> Monkeypox (MPOX) is a zoonotic viral disease caused by an Orthopox DNA virus named mpox virus (MPOXV). Scientists first discovered MPOXV in a monkey transported from Singapore to Denmark for research purposes. However, at first, the virus's primary animal reservoir was rodents. In 1970, a 9-year-old child from the Democratic Republic of the Congo was first diagnosed with MPOX. Since then, 11 African nations have recorded human instances of MPOX.1 Between 1970 and 1979, six African countries reported only 48 confirmed human MPOX cases. However, African nations reported more than 400 human MPOX cases at a death rate close to 10% by 1986. Several minor MPOX outbreaks between 1991 and 1999 reported 500 MPOX cases in tropical Central and Western Africa.2 However, isolated cases have been discovered in countries outside of Africa since 2003. The United States of America (USA) had the first outbreak of MPOX outside of Africa in 2003.3 The multicountry MPOX outbreaks have been reported in nonendemic nations starting in early May 2022.4 Belgium, Sweden, and Italy detected their first confirmed MPOX cases on May 19, 2022. Australia reported the first case on May 20, 2022, in Sydney and Melbourne in persons who had visited Europe just before their detection. On May 20, 2022, France, Germany, and the Netherlands reported their first cases. In contrast, the United Arab Emirates announced th</w:t>
      </w:r>
    </w:p>
    <w:p>
      <w:pPr/>
      <w:r>
        <w:rPr>
          <w:b/>
        </w:rPr>
        <w:t>POSSIBLE 2022:</w:t>
      </w:r>
      <w:r>
        <w:t xml:space="preserve"> Osteoporosis in Europe: a compendium of country-specific reports — https://doi.org/10.1007/s11657-021-00969-8</w:t>
      </w:r>
    </w:p>
    <w:p>
      <w:pPr/>
      <w:r>
        <w:rPr>
          <w:b/>
        </w:rPr>
        <w:t>Shared claim-specific concepts:</w:t>
      </w:r>
      <w:r>
        <w:t xml:space="preserve"> also, number;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2021:</w:t>
      </w:r>
      <w:r>
        <w:t xml:space="preserve"> A 41‐year bioclimatology of thermal stress in Europe — https://doi.org/10.1002/joc.7051</w:t>
      </w:r>
    </w:p>
    <w:p>
      <w:pPr/>
      <w:r>
        <w:rPr>
          <w:b/>
        </w:rPr>
        <w:t>Shared claim-specific concepts:</w:t>
      </w:r>
      <w:r>
        <w:t xml:space="preserve"> also, showed, number; EU scope visible. This is a provisional connection, not an outcome finding.</w:t>
      </w:r>
    </w:p>
    <w:p>
      <w:pPr>
        <w:pStyle w:val="SourceNote"/>
      </w:pPr>
      <w:r>
        <w:rPr>
          <w:b/>
        </w:rPr>
        <w:t>Available abstract (not full text):</w:t>
      </w:r>
      <w:r>
        <w:t xml:space="preserve"> Abstract The bioclimatology of thermal stress over Europe between 1979 and 2019 was analysed using the Universal Thermal Climate Index (UTCI) derived from ERA5‐HEAT reanalysis. The bioclimatology of different European regions was assessed using Köppen–Geiger climate classification. The annual number of hours with heat stress (UTCI &gt; 32°C) increased significantly during the study period for all the analysed Köppen–Geiger climate subclasses, showing also a clear increase towards southern Europe. The highest percentage of hours (20% of all hours) with cold stress (UTCI &lt; −13°C) occur over northern Europe. A significant increasing trend (&gt;0.05 hr·year−1) in the number of hours with heat stress was observed for 23 out of 32 analysed European cities representative for the Köppen–Geiger climate subclasses. For these cities not only the number of hours with heat stress has increased but also the heat stress is more persistent, while the number of cases and the persistence of the periods with cold stress have decreased over the last four decades. The UTCI values showed a statistically significant increase between 0.6 and 3.2°C for all the analysed cities over the study period reflecting the rising of global mean temperatures.</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also, pm2, emissions,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683.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684.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2024:</w:t>
      </w:r>
      <w:r>
        <w:t xml:space="preserve"> Development of the international transportation projects in Russia – forecast until 2030 year — https://doi.org/10.64457/ru-science-2024-i03-a02</w:t>
      </w:r>
    </w:p>
    <w:p>
      <w:pPr/>
      <w:r>
        <w:rPr>
          <w:b/>
        </w:rPr>
        <w:t>Shared claim-specific concepts:</w:t>
      </w:r>
      <w:r>
        <w:t xml:space="preserve"> article, presents, forecasts, international, until; EU scope not established. This is a provisional connection, not an outcome finding.</w:t>
      </w:r>
    </w:p>
    <w:p>
      <w:pPr>
        <w:pStyle w:val="SourceNote"/>
      </w:pPr>
      <w:r>
        <w:rPr>
          <w:b/>
        </w:rPr>
        <w:t>Available abstract (not full text):</w:t>
      </w:r>
      <w:r>
        <w:t xml:space="preserve"> This article presents forecasts of the development of international infrastructure projects for the next decade. The author examines the transport infrastructure of Russia, sea and rail international transport corridors, highlighting the most promising areas for development. The article presents a retrospective of the formation of transport infrastructure from the beginning of the twentieth century to the present, and also examines promising areas for the development of transport logistics in modern realities. The historically established pattern is currently changing under the pressure of sanctions, and the political situation on the world stage is pushing to explore new directions and develop new international relations. In the article, the author tried to identify current trends in the development of the Russian transport network until 2030, considering examples of sea and rail transport routes.</w:t>
      </w:r>
    </w:p>
    <w:p>
      <w:pPr/>
      <w:r>
        <w:rPr>
          <w:b/>
        </w:rPr>
        <w:t>POSSIBLE 2024:</w:t>
      </w:r>
      <w:r>
        <w:t xml:space="preserve"> Machine Learning-Based Forecasting of Temperature and Solar Irradiance for Photovoltaic Systems — https://doi.org/10.3390/en17051124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integration of photovoltaic (PV) systems into the global energy landscape has been boosted in recent years, driven by environmental concerns and research into renewable energy sources. The accurate prediction of temperature and solar irradiance is essential for optimizing the performance and grid integration of PV systems. Machine learning (ML) has become an effective tool for improving the accuracy of these predictions. This comprehensive review explores the pioneer techniques and methodologies employed in the field of ML-based forecasting of temperature and solar irradiance for PV systems. This article presents a comparative study between various algorithms and techniques commonly used for temperature and solar radiation forecasting. These include regression models such as decision trees, random forest, XGBoost, and support vector machines (SVM). The beginning of this article highlights the importance of accurate weather forecasts for the operation of PV systems and the challenges associated with traditional meteorological models. Next, fundamental concepts of machine learning are explored, highlighting the benefits of improved accuracy in estimating the PV power generation for grid integration.</w:t>
      </w:r>
    </w:p>
    <w:p>
      <w:pPr/>
      <w:r>
        <w:rPr>
          <w:b/>
        </w:rPr>
        <w:t>POSSIBLE 2023:</w:t>
      </w:r>
      <w:r>
        <w:t xml:space="preserve"> PLANNING AND FORECASTING — https://doi.org/10.5281/zenodo.7818282</w:t>
      </w:r>
    </w:p>
    <w:p>
      <w:pPr/>
      <w:r>
        <w:rPr>
          <w:b/>
        </w:rPr>
        <w:t>Shared claim-specific concepts:</w:t>
      </w:r>
      <w:r>
        <w:t xml:space="preserve"> article, presents, need, related; EU scope not established. This is a provisional connection, not an outcome finding.</w:t>
      </w:r>
    </w:p>
    <w:p>
      <w:pPr>
        <w:pStyle w:val="SourceNote"/>
      </w:pPr>
      <w:r>
        <w:rPr>
          <w:b/>
        </w:rPr>
        <w:t>Available abstract (not full text):</w:t>
      </w:r>
      <w:r>
        <w:t xml:space="preserve"> The article presents scientific analyzes of the economic essence and the objective need for planning and forecasting in a market economy. In the article, in modern literature and manuals on economic planning, the scientific essence of theories and concepts related to the optimization and forecasting of data is explained.</w:t>
      </w:r>
    </w:p>
    <w:p>
      <w:pPr/>
      <w:r>
        <w:rPr>
          <w:b/>
        </w:rPr>
        <w:t>POSSIBLE 2023:</w:t>
      </w:r>
      <w:r>
        <w:t xml:space="preserve"> Improving the quality of the forecast through methods of combining forecasts — https://doi.org/10.18822/byusu20230346-51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Subject of research: The article is devoted to the comparison of forecasting methods and methods of combining forecasts when forecasting average monthly wages for some regions of the Russian Federation for the period from January 2013 to July 2022. Purpose of the study: To test the hypothesis of improving forecast quality through forecast pooling methods. Methods and objects of research: Time series of average monthly wages in the Khanty-Mansi Autonomous Okrug Yugra, Yamal-Nenets Autonomous Okrug and Sverdlovsk region are used to compare forecasting methods and methods of combining forecasts. The paper considers forecasting methods: TBATS, ARIMA, exponential smoothing, ETS, Theta, STL, polynomial regression and the approach in combining forecasts by the Granger-Ramanathan method. Main results of research: The paper presents the results of comparison of forecasting methods and approach in combining forecasts by Granger-Ramanathan method. Time series of average monthly wages were taken from statistical collections of Rosstat. The forecast horizon was set at 12, 18 and 24 points. The Granger-Ramanathan method showed that in most cases it is possible to improve the quality of the forecast by combining private forecasts.</w:t>
      </w:r>
    </w:p>
    <w:p>
      <w:pPr/>
      <w:r>
        <w:rPr>
          <w:b/>
        </w:rPr>
        <w:t>POSSIBLE 2023:</w:t>
      </w:r>
      <w:r>
        <w:t xml:space="preserve"> ENVIRONMENTAL SAFETY IN THE CONTEXT OF FORECASTS FOR THE DEVELOPMENT OF TRADITIONAL AND ALTERNATIVE ENERGY — https://doi.org/10.61260/2307-7476-2023-3-6-21</w:t>
      </w:r>
    </w:p>
    <w:p>
      <w:pPr/>
      <w:r>
        <w:rPr>
          <w:b/>
        </w:rPr>
        <w:t>Shared claim-specific concepts:</w:t>
      </w:r>
      <w:r>
        <w:t xml:space="preserve"> article, presents, forecasts, need, related; EU scope not established. This is a provisional connection, not an outcome finding.</w:t>
      </w:r>
    </w:p>
    <w:p>
      <w:pPr>
        <w:pStyle w:val="SourceNote"/>
      </w:pPr>
      <w:r>
        <w:rPr>
          <w:b/>
        </w:rPr>
        <w:t>Available abstract (not full text):</w:t>
      </w:r>
      <w:r>
        <w:t xml:space="preserve"> In the article, in connection with the problem of ensuring environmental safety and, in particular, in connection with the need to overcome the low level of environmental education and environmental culture of the population, the results of research on the development of energy, the use of renewable energy sources on a planetary scale and in Russia are considered. The research in the framework of this article was carried out, among other things, with the aim of further using the results obtained in the development of an educational and methodological manual at the department of security service of the Saint-Petersburg university of State fire service of EMERCOM of Russia, the content of which is related to the theoretical and practical study in classes on the disciplines of environmental orientation and life safety of the impact on ensuring environmental safety of alternative energy, separate renewable energy sources. This article presents forecast data in the field of energy development in the world, in individual countries and in Russia by 2050, published on the EES EAEC website. The prospects for the development of the electric power industry for the foreseeable future, up to 2050 in the whole world and Russia, are shown, according to which a significant increase in the use of renewable energy sources is expected and, consequently, a reduction in the negative impact on the e</w:t>
      </w:r>
    </w:p>
    <w:p>
      <w:pPr/>
      <w:r>
        <w:rPr>
          <w:b/>
        </w:rPr>
        <w:t>POSSIBLE 2023:</w:t>
      </w:r>
      <w:r>
        <w:t xml:space="preserve"> IMPORTANCE OF BUDGETING AND FORECASTING IN MANAGEMENT — https://openalex.org/W7216813823</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This article discusses the importance of budgeting and forecasting in management. It explains what budgeting and forecasting are, how to organize them, allocate resources, set goals, monitor progress, identify risks, and determine opportunities. The article also highlights some challenges and issues related to budgeting and forecasting, such as accuracy, uncertainty, and inconsistency, and proposes several solutions, including accepting variability and dynamic processes. It suggests using information sources and regularly reviewing and analyzing budgets and forecasts, leveraging technology, and improving accountability. Finally, the article presents literature reviews and comments on the budgeting and forecasting process in financial management.</w:t>
      </w:r>
    </w:p>
    <w:p>
      <w:pPr>
        <w:pStyle w:val="Heading2"/>
      </w:pPr>
      <w:r>
        <w:t>685. The implications of demographic and economic projections on public pension spending in the European Union</w:t>
      </w:r>
    </w:p>
    <w:p>
      <w:pPr>
        <w:pStyle w:val="SourceNote"/>
      </w:pPr>
      <w:r>
        <w:rPr>
          <w:b/>
        </w:rPr>
        <w:t>Original source (2020):</w:t>
      </w:r>
      <w:r>
        <w:t xml:space="preserve"> https://doi.org/10.1080/21699763.2017.1411288</w:t>
      </w:r>
    </w:p>
    <w:p>
      <w:pPr/>
      <w:r>
        <w:t>Original wording (abstract; indexed_source_text_not_full_document_verified): Abstract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r>
        <w:rPr>
          <w:b/>
        </w:rPr>
        <w:t>POSSIBLE 2023:</w:t>
      </w:r>
      <w:r>
        <w:t xml:space="preserve"> The new seismic hazard model ESHM20 of Europe: Investigating the implications to the seismic design and risk assessment of major industrial facilities across Europe — https://doi.org/10.1007/s10518-023-01661-7</w:t>
      </w:r>
    </w:p>
    <w:p>
      <w:pPr/>
      <w:r>
        <w:rPr>
          <w:b/>
        </w:rPr>
        <w:t>Shared claim-specific concepts:</w:t>
      </w:r>
      <w:r>
        <w:t xml:space="preserve"> abstract, analyses, implications, well; EU scope visible. This is a provisional connection, not an outcome finding.</w:t>
      </w:r>
    </w:p>
    <w:p>
      <w:pPr>
        <w:pStyle w:val="SourceNote"/>
      </w:pPr>
      <w:r>
        <w:rPr>
          <w:b/>
        </w:rPr>
        <w:t>Available abstract (not full text):</w:t>
      </w:r>
      <w:r>
        <w:t xml:space="preserve"> Abstract The seismic performance and safety of major European industrial facilities have a global interest for the whole of Europe and its citizens. However, the seismic design of these facilities is based on national, sometimes outdated seismic hazard analyses. The results of the commonly developed, fully harmonized newly released European Seismic Hazard Model ESHM20 provide a pertinent reference for seismic hazard at European scale and have been officially adopted as an “acceptable representation of the seismic hazard in Europe” in the ongoing revision of Eurocode 8. This study presents a large-scale investigation of the impact of the potential adoption of ESHM20 on the design of new industrial facilities as well as on the potential seismic risk of existing facilities at European level with respect to the current seismic codes. The horizontal elastic response spectra using ESHM20 in combination with the revised Eurocode 8 for selected industrial sites are compared with the respective response spectra of the national regulations for return periods of 475, 2500 and 5000 years. In addition, a single containment LNG tank is analysed for an industrial site in Germany using the design approach for liquid filled tanks according to the revised Eurocode 8. Furthermore, a deterministic and probabilistic seismic risk assessment of a vessel installed in a five-storey frame is performed f</w:t>
      </w:r>
    </w:p>
    <w:p>
      <w:pPr/>
      <w:r>
        <w:rPr>
          <w:b/>
        </w:rPr>
        <w:t>POSSIBLE 2022:</w:t>
      </w:r>
      <w:r>
        <w:t xml:space="preserve"> The Accession of European Union to the European Convention on Human Rights — https://openalex.org/W7135539752</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1 The Accession of the European Union to the European Convention on Human Rights 1. Abstract in English This diploma thesis focuses on the relationship between the European Union (EU) and the European Convention on Human Rights (Convention). Especially in the light of the renewed attempt of the EU's accession to the Convention. Introduction (First Chapter) explains in brief the current situation, motivation of the author and the goals of the thesis. Also, the sources and methods used are introduced. Second Chapter describes the rich history of both European Union and European Convention of Human rights, with respect to their interlocking nature in the area of human rights. Analyses instruments such as Lisbon Treaty and the Charter of fundamental rights of the European Union. Third Chapter analyses the Opinion 2/13 of the CJEU and its impact on the accession of the EU to the Convention. Situation before and after the adoption of the Opinion, with its implications for the future relationship between the EU and the Convention. The next major section of this Chapter are the most recent meetings between the EU and the Council of Europe and evaluation of the hitherto progress. Fourth Chapter compares level of protection procedurally. Fifth Chapter compares level of protection substantively, in relevant case-law...</w:t>
      </w:r>
    </w:p>
    <w:p>
      <w:pPr/>
      <w:r>
        <w:rPr>
          <w:b/>
        </w:rPr>
        <w:t>POSSIBLE 2021:</w:t>
      </w:r>
      <w:r>
        <w:t xml:space="preserve"> Paranoid styles and innumeracy: implications of a conspiracy mindset on Europeans' misperceptions about immigrants — https://doi.org/10.1017/ipo.2021.26</w:t>
      </w:r>
    </w:p>
    <w:p>
      <w:pPr/>
      <w:r>
        <w:rPr>
          <w:b/>
        </w:rPr>
        <w:t>Shared claim-specific concepts:</w:t>
      </w:r>
      <w:r>
        <w:t xml:space="preserve"> abstract, implications, facts, population; EU scope visible. This is a provisional connection, not an outcome finding.</w:t>
      </w:r>
    </w:p>
    <w:p>
      <w:pPr>
        <w:pStyle w:val="SourceNote"/>
      </w:pPr>
      <w:r>
        <w:rPr>
          <w:b/>
        </w:rPr>
        <w:t>Available abstract (not full text):</w:t>
      </w:r>
      <w:r>
        <w:t xml:space="preserve"> Abstract Innumeracy, that is, the inability to deal with numbers and provide correct estimates about political issues, is reported to be widespread among the public. Yet, despite the recognition that a conspiracy mindset is an increasingly common phenomenon in Western democracies, this has not been considered as a potential correlate of innumeracy. Using data from an online sample of respondents across 10 European countries, we show that those with a higher propensity to hold a conspiracy worldview tend to overestimate the actual share of the immigrant population living in their own country. This association holds true when accounting for country heterogeneity and other cognitive, affective and socio-demographic factors. Employing a comparative design and refined measurements, the article contributes to our understanding of how a conspiracy mentality may influence perceptions of relevant political facts, questioning basic processes of democratic accountability.</w:t>
      </w:r>
    </w:p>
    <w:p>
      <w:pPr/>
      <w:r>
        <w:rPr>
          <w:b/>
        </w:rPr>
        <w:t>POSSIBLE 2021:</w:t>
      </w:r>
      <w:r>
        <w:t xml:space="preserve"> Assessment and Valorization of Non-Wood Forest Products in Europe: A Quantitative Literature Review — https://doi.org/10.3390/su13063533</w:t>
      </w:r>
    </w:p>
    <w:p>
      <w:pPr/>
      <w:r>
        <w:rPr>
          <w:b/>
        </w:rPr>
        <w:t>Shared claim-specific concepts:</w:t>
      </w:r>
      <w:r>
        <w:t xml:space="preserve"> analyses, implications, trends; EU scope visible. This is a provisional connection, not an outcome finding.</w:t>
      </w:r>
    </w:p>
    <w:p>
      <w:pPr>
        <w:pStyle w:val="SourceNote"/>
      </w:pPr>
      <w:r>
        <w:rPr>
          <w:b/>
        </w:rPr>
        <w:t>Available abstract (not full text):</w:t>
      </w:r>
      <w:r>
        <w:t xml:space="preserve"> This article presents a quantitative review of non-wood forest products (NWFPs) at the regional scale in Europe. A text mining approach was applied to titles, abstracts, and keywords extracted from articles in the Scopus database. Different investigations, such as concept mapping and specificity analyses of textual corpus, were performed. Our search yielded a massive number of NWFP-related papers. Specifically, research was distributed in different countries, being more prevalent in the Mediterranean and Scandinavian contexts. Several NWFPs were analyzed, with mushrooms, resin, cork, and other forest fruit being the most common ones. Local socioeconomic improvement was one of the major aspects investigated in scientific literature. The proposed methodology applies specific scripts that can be updated, and the output of the present research can be compared with that of the future works. For instance, interest trends of products and methods can be investigated, and gap analyses performed. Finally, the potential implications of this review for researchers and stakeholders are discussed.</w:t>
      </w:r>
    </w:p>
    <w:p>
      <w:pPr>
        <w:pStyle w:val="Heading2"/>
      </w:pPr>
      <w:r>
        <w:t>686.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2024:</w:t>
      </w:r>
      <w:r>
        <w:t xml:space="preserve"> Managing CO2 under global and country-specific net-zero emissions targets in Europe — https://doi.org/10.48550/arxiv.2407.18653</w:t>
      </w:r>
    </w:p>
    <w:p>
      <w:pPr/>
      <w:r>
        <w:rPr>
          <w:b/>
        </w:rPr>
        <w:t>Shared claim-specific concepts:</w:t>
      </w:r>
      <w:r>
        <w:t xml:space="preserve"> targets, gas, network, carbon, methane; EU scope visible. This is a provisional connection, not an outcome finding.</w:t>
      </w:r>
    </w:p>
    <w:p>
      <w:pPr>
        <w:pStyle w:val="SourceNote"/>
      </w:pPr>
      <w:r>
        <w:rPr>
          <w:b/>
        </w:rPr>
        <w:t>Available abstract (not full text):</w:t>
      </w:r>
      <w:r>
        <w:t xml:space="preserve"> The European Union (EU) aims to reach carbon neutrality by 2050. This requires capturing CO2, eventually transporting it to different regions, and either converting it into valuable products or sequestering it underground. Although the target is set for the entire EU, in practice, most of the governance and strategy to attain it remains in the individual member states. Previous literature modelling how Europe can achieve carbon neutrality has either considered only a global CO2 limit or used coarse spatial and temporal representation without proper network modelling. Here, we use a highly-resolved open model of the European sector-coupled energy system, PyPSA-Eur, to explore the impacts of imposing net-zero emissions globally for the entire EU versus imposing carbon neutrality for each country. Forcing net-zero emissions in every country increases system cost by 1.4%, demands varied CO2 prices, and triggers higher investment in direct air capture and renewable capacities. Furthermore, in both scenarios, a significant portion of the captured CO2 is transported across Europe, either directly via CO2 pipelines or indirectly via solid biomass or synthetic methane gas, methanol, and oil. Our research enables quantifying the impact of following a collaborative or self-sufficient carbon management strategy to attain carbon neutrality.</w:t>
      </w:r>
    </w:p>
    <w:p>
      <w:pPr/>
      <w:r>
        <w:rPr>
          <w:b/>
        </w:rPr>
        <w:t>POSSIBLE 2024:</w:t>
      </w:r>
      <w:r>
        <w:t xml:space="preserve"> Net Zero Emissions and Positive Energy Districts: A Potential Solution to Achieve the European Climate Targets — https://doi.org/10.1109/eeeic/icpseurope61470.2024.10751307</w:t>
      </w:r>
    </w:p>
    <w:p>
      <w:pPr/>
      <w:r>
        <w:rPr>
          <w:b/>
        </w:rPr>
        <w:t>Shared claim-specific concepts:</w:t>
      </w:r>
      <w:r>
        <w:t xml:space="preserve"> net, zero, targets, network, developed, carbon; EU scope visible. This is a provisional connection, not an outcome finding.</w:t>
      </w:r>
    </w:p>
    <w:p>
      <w:pPr>
        <w:pStyle w:val="SourceNote"/>
      </w:pPr>
      <w:r>
        <w:rPr>
          <w:b/>
        </w:rPr>
        <w:t>Available abstract (not full text):</w:t>
      </w:r>
      <w:r>
        <w:t xml:space="preserve"> Net-zero emissions and positive energy districts are innovative urban planning solutions for reaching the decarbonization targets defined by the European Commission. Districts are gaining wide attention representing communities where different elements and energy systems are interconnected, leading to potential opportunities for achieving climate neutrality that may not be achievable at the level of individual buildings. In addition, the evaluation of the performances has shifted from a nearly zero-energy approach to more demanding and rigorous concepts of positive energy and zero climate emissions. To this end, the authors show and describe a case study related to a new district that will be built in Bologna (41 400 m2 of heated/cooled floor surface area). The theoretical energy demand plus the 5th generation district heating and cooling network supplying the buildings and the electricity produced by the on-site photovoltaic plant (and the associated climate profiles) are evaluated by a Fortran App specifically developed. The net balance approach (used for reaching carbon neutrality) was calculated using the process-based life cycle assessment method. The authors show the outcomes obtained and potential solutions for decarbonization.</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zero, targets, mean, carbon, need;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Business as Usual: Bank Net Zero Targets, Lending, and Engagement — https://doi.org/10.2139/ssrn.4663933</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Net Zero Policy Performance Measurement of European Countries — https://doi.org/10.37394/232033.2023.1.12</w:t>
      </w:r>
    </w:p>
    <w:p>
      <w:pPr/>
      <w:r>
        <w:rPr>
          <w:b/>
        </w:rPr>
        <w:t>Shared claim-specific concepts:</w:t>
      </w:r>
      <w:r>
        <w:t xml:space="preserve"> net, zero, order, gas, carbon; EU scope visible. This is a provisional connection, not an outcome finding.</w:t>
      </w:r>
    </w:p>
    <w:p>
      <w:pPr>
        <w:pStyle w:val="SourceNote"/>
      </w:pPr>
      <w:r>
        <w:rPr>
          <w:b/>
        </w:rPr>
        <w:t>Available abstract (not full text):</w:t>
      </w:r>
      <w:r>
        <w:t xml:space="preserve"> Net zero goal lays the foundation for a sustainable future. It is in question to keep global warming under control since at least carbon dioxide emissions are balanced with the net zero target. In order to avoid severe climate impacts, global greenhouse gas emissions should decrease by half by 2030 and reach zero by 2050. Thus, this study aims to measure the performance of European Countries based on carbon emissions. To measure performance, Data Envelopment Analysis (DEA) method is used. To use this method, decision-making units (DMUs), inputs, and outputs are determined. Input is identified as Primary Energy Consumption. Outputs are selected as Gross Domestic Product (GDP), Carbon dioxide (CO2) emission, and Nitrous Oxide (N2O) emission.</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hydrogen;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Net Zero: Science, Origins, and Implications — https://doi.org/10.1146/annurev-environ-112320-105050</w:t>
      </w:r>
    </w:p>
    <w:p>
      <w:pPr/>
      <w:r>
        <w:rPr>
          <w:b/>
        </w:rPr>
        <w:t>Shared claim-specific concepts:</w:t>
      </w:r>
      <w:r>
        <w:t xml:space="preserve"> net, zero, targets, gas, carbon; EU scope not established. This is a provisional connection, not an outcome finding.</w:t>
      </w:r>
    </w:p>
    <w:p>
      <w:pPr>
        <w:pStyle w:val="SourceNote"/>
      </w:pPr>
      <w:r>
        <w:rPr>
          <w:b/>
        </w:rPr>
        <w:t>Available abstract (not full text):</w:t>
      </w:r>
      <w:r>
        <w:t xml:space="preserve"> This review explains the science behind the drive for global net zero emissions and why this is needed to halt the ongoing rise in global temperatures. We document how the concept of net zero carbon dioxide (CO 2 ) emissions emerged from an earlier focus on stabilization of atmospheric greenhouse gas concentrations. Using simple conceptual models of the coupled climate–carbon cycle system, we explain why approximately net zero CO 2 emissions and declining net energy imbalance due to other climate drivers are required to halt global warming on multidecadal timescales, introducing important concepts, including the rate of adjustment to constant forcing and the rate of adjustment to zero emissions. The concept of net zero was taken up through the 5th Assessment Report of the Intergovernmental Panel on Climate Change and the United Nations Framework Convention on Climate Change (UNFCCC) Structured Expert Dialogue, culminating in Article 4of the 2015 Paris Agreement. Increasing numbers of net zero targets have since been adopted by countries, cities, corporations, and investors. The degree to which any entity can claim to have achieved net zero while continuing to rely on distinct removals to compensate for ongoing emissions is at the heart of current debates over carbon markets and offsetting both inside and outside the UNFCCC. We argue that what matters here is not the precise mak</w:t>
      </w:r>
    </w:p>
    <w:p>
      <w:pPr/>
      <w:r>
        <w:rPr>
          <w:b/>
        </w:rPr>
        <w:t>POSSIBLE 2021:</w:t>
      </w:r>
      <w:r>
        <w:t xml:space="preserve"> Can European electric utilities manage asset impairments arising from net zero carbon targets? — https://doi.org/10.1016/j.jcorpfin.2021.102075</w:t>
      </w:r>
    </w:p>
    <w:p>
      <w:pPr/>
      <w:r>
        <w:rPr>
          <w:b/>
        </w:rPr>
        <w:t>Shared claim-specific concepts:</w:t>
      </w:r>
      <w:r>
        <w:t xml:space="preserve"> net, zero, targets, carbon; EU scope visible. This is a provisional connection, not an outcome finding.</w:t>
      </w:r>
    </w:p>
    <w:p>
      <w:pPr>
        <w:pStyle w:val="SourceNote"/>
      </w:pPr>
      <w:r>
        <w:rPr>
          <w:b/>
        </w:rPr>
        <w:t>Available abstract (not full text):</w:t>
      </w:r>
      <w:r>
        <w:t xml:space="preserve"> Unavailable</w:t>
      </w:r>
    </w:p>
    <w:p>
      <w:pPr>
        <w:pStyle w:val="Heading2"/>
      </w:pPr>
      <w:r>
        <w:t>687.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2023:</w:t>
      </w:r>
      <w:r>
        <w:t xml:space="preserve"> Editors’ Note: Assembly, Gathering and Being with Dance — https://doi.org/10.1017/s0149767723000293</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Editors' Note: Assembly, Gathering and Being with DanceAssembly offers an affair of appearance in which people find common ground in public view or private space.Dance, social choreography, protests, and other forms of assembly are marked by actions that index shared beliefs about the self, the group, and broader social conditions.Assembly might be interpreted as expressing self-determination and the sovereignty of a commons-an ephemeral consolidation of bodies made manifest by the mutual decision to show up for something (Hardt and Negri 2017).That said, although spontaneous gatherings or carefully planned political protests might signal shared values through acts of popular will, copresence is not synonymous with homogeneity.Thus, an interest in the complexities of group formationthe processes and politics of gathering amid dance-drives this special issue of Dance Research Journal.Whereas assembly can be a strategy of turning the singular into the plural or the crowd into the collective, the practice of gathering-whether in a classroom, at a protest, or online-is rarely simple or straightforward.Sure, the presence of those gathered may be intentional, but a politics of belonging conditions the diverse experience of being together.Increasingly, gatherings are facilitated, framed, and disseminated by technological devices and artificial intelligence systems.We wondered, what ar</w:t>
      </w:r>
    </w:p>
    <w:p>
      <w:pPr/>
      <w:r>
        <w:rPr>
          <w:b/>
        </w:rPr>
        <w:t>POSSIBLE 2023:</w:t>
      </w:r>
      <w:r>
        <w:t xml:space="preserve"> Analyzing Communication Strategies in Polyglot Indonesia National Gathering Chapter Semarang: Ethnography of Communication Study — https://doi.org/10.55324/ijoms.v2i12.656</w:t>
      </w:r>
    </w:p>
    <w:p>
      <w:pPr/>
      <w:r>
        <w:rPr>
          <w:b/>
        </w:rPr>
        <w:t>Shared claim-specific concepts:</w:t>
      </w:r>
      <w:r>
        <w:t xml:space="preserve"> gathering, analyzing, article, used; EU scope not established. This is a provisional connection, not an outcome finding.</w:t>
      </w:r>
    </w:p>
    <w:p>
      <w:pPr>
        <w:pStyle w:val="SourceNote"/>
      </w:pPr>
      <w:r>
        <w:rPr>
          <w:b/>
        </w:rPr>
        <w:t>Available abstract (not full text):</w:t>
      </w:r>
      <w:r>
        <w:t xml:space="preserve"> This article presents the results of an ethnographic research on communication about the Indonesian Polyglot community, with a focus on the Semarang Chapter of the Indonesian Polyglot. Communication ethnography is used as an approach to understand the communication practices that occur in this community. This study involved an interview method with members of the Semarang Chapter of the Indonesian Polyglot as the main informant. The data collected was then analyzed using the Ethnographic Communication theory framework developed by Dell Hymes. This data analysis includes the communication practices, norms, and values found within this polyglot community. The results of the study show that communication within the Polyglot Indonesia Chapter Semarang community is very dynamic and is influenced by the diversity of languages owned by the members. Community members use various languages in their interactions, such as Indonesian, foreign languages, and regional languages. They also use effective communication strategies, such as code-switching, code-mixing, and body language, to facilitate understanding and successful communication. This study has important significance in the context of the study of cross-cultural and multilingual communication. In this era of globalization, cross-cultural communication is becoming increasingly relevant, and the study of polyglot communities can prov</w:t>
      </w:r>
    </w:p>
    <w:p>
      <w:pPr/>
      <w:r>
        <w:rPr>
          <w:b/>
        </w:rPr>
        <w:t>POSSIBLE 2022:</w:t>
      </w:r>
      <w:r>
        <w:t xml:space="preserve"> Edge Workload Trace Gathering and Analysis for Benchmarking — https://doi.org/10.1109/icfec54809.2022.00012</w:t>
      </w:r>
    </w:p>
    <w:p>
      <w:pPr/>
      <w:r>
        <w:rPr>
          <w:b/>
        </w:rPr>
        <w:t>Shared claim-specific concepts:</w:t>
      </w:r>
      <w:r>
        <w:t xml:space="preserve"> gathering, analyzing, diverse, tool; EU scope not established. This is a provisional connection, not an outcome finding.</w:t>
      </w:r>
    </w:p>
    <w:p>
      <w:pPr>
        <w:pStyle w:val="SourceNote"/>
      </w:pPr>
      <w:r>
        <w:rPr>
          <w:b/>
        </w:rPr>
        <w:t>Available abstract (not full text):</w:t>
      </w:r>
      <w:r>
        <w:t xml:space="preserve"> The emerging field of edge computing is suffering from a lack of representative data to evaluate rapidly introduced new algorithms or techniques. That is a critical issue as this complex paradigm has numerous different use cases which translate into a highly diverse set of workload types.In this work, within the context of the edge computing activity of SPEC RG Cloud, we continue working towards an edge benchmark by defining high-level workload classes as well as collecting and analyzing traces for three real-world edge applications, which, according to the existing literature, are the representatives of those classes. Moreover, we propose a practical and generic methodology for workload definition and gathering. The traces and gathering tool are provided open-source.In the analysis of the collected workloads, we detect discrepancies between the literature and the traces obtained, thus highlighting the need for a continuing effort into gathering and providing data from real applications, which can be done using the proposed trace gathering methodology. Additionally, we discuss various insights and future directions that rise to the surface through our analysis.</w:t>
      </w:r>
    </w:p>
    <w:p>
      <w:pPr/>
      <w:r>
        <w:rPr>
          <w:b/>
        </w:rPr>
        <w:t>POSSIBLE 2022:</w:t>
      </w:r>
      <w:r>
        <w:t xml:space="preserve"> MAJOR ISSUES AND DILEMMAS IN INTELLIGENCE GATHERING AND SHARING AS A COUNTERTERRORISM STRATEGY — https://doi.org/10.61426/sjbcm.v9i1.2191</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The central objective of this study was to identify major issues and dilemmas in intelligence gathering and sharing as a counterterrorism strategy.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Based on the design, a historical interrogation approach was applied to interrogate various facets of IG &amp; S and terrorism in Kenya whereby they were chronologically documented, and the changes that have occurred over time analyzed. Data analysis was done through mixed analysis method. The study found out that diverse security reforms that have been implemented in the country since independence which have helped to improve IG &amp; S. Major improvements were highlighted to have been streamlined in technology used, training and the information shared. Among the different forms of intelligence, human intelligence and signals intelligence were found to have played the greatest role in containing TT. The study concluded that the question of intelligenc</w:t>
      </w:r>
    </w:p>
    <w:p>
      <w:pPr/>
      <w:r>
        <w:rPr>
          <w:b/>
        </w:rPr>
        <w:t>POSSIBLE 2022:</w:t>
      </w:r>
      <w:r>
        <w:t xml:space="preserve"> STRENGTHENING INTELLIGENCE GATHERING AND SHARING IN REDUCING TERROR RELATED ACTS IN KENYA — https://doi.org/10.61426/sjbcm.v9i1.2192</w:t>
      </w:r>
    </w:p>
    <w:p>
      <w:pPr/>
      <w:r>
        <w:rPr>
          <w:b/>
        </w:rPr>
        <w:t>Shared claim-specific concepts:</w:t>
      </w:r>
      <w:r>
        <w:t xml:space="preserve"> gathering, diverse, here, used; EU scope not established. This is a provisional connection, not an outcome finding.</w:t>
      </w:r>
    </w:p>
    <w:p>
      <w:pPr>
        <w:pStyle w:val="SourceNote"/>
      </w:pPr>
      <w:r>
        <w:rPr>
          <w:b/>
        </w:rPr>
        <w:t>Available abstract (not full text):</w:t>
      </w:r>
      <w:r>
        <w:t xml:space="preserve"> This study explored appropriate measures for strengthening Intelligence Gathering &amp; Sharing in reducing terror related acts in Kenya.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Primary data was collected using open and close-ended questionnaires and interview guide. Data analysis done through mixed analysis method while quantitative data was analyzed through descriptive statistics. Qualitative data was analysed through content analysis. The findings revealed that TT has morphed overtime in terms of actors, motives and targets. Initial TT attacks in the country were indirect attacks on U.S and Israel interest but most subsequent attacks were direct targets to Kenya. The study found that diverse security reforms that have been implemented in the country since independence which have helped to improve IG &amp; S. Major improvements were highlighted to have been streamlined in technology used, training and the information shared. Among the</w:t>
      </w:r>
    </w:p>
    <w:p>
      <w:pPr/>
      <w:r>
        <w:rPr>
          <w:b/>
        </w:rPr>
        <w:t>POSSIBLE 2022:</w:t>
      </w:r>
      <w:r>
        <w:t xml:space="preserve"> Data Gathering Techniques in WSN: A Cross-Layer View — https://doi.org/10.3390/s22072650</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Wireless sensor networks (WSNs) have taken a giant leap in scale, expanding their applicability to a large variety of technological domains and applications, ranging from the Internet of things (IoT) for smart cities and smart homes to wearable technology healthcare applications, underwater, agricultural and environmental monitoring and many more. This expansion is rapidly growing every passing day in terms of the variety, heterogeneity and the number of devices which such applications support. Data collection is commonly the core application in WSN and IoT networks, which are typically composed of a large variety of devices, some constrained by their resources (e.g., processing, storage, energy) and some by highly diverse demands. Many challenges span all the conceptual communication layers, from the Physical to the Applicational. Many novel solutions devised in the past do not scale well with the exponential growth in the population of the devices and need to be adapted, revised, or new innovative solutions are required to comply with this massive growth. Furthermore, recent technological advances present new opportunities which can be leveraged in this context. This paper provides a cross-layer perspective and review of data gathering in WSN and IoT networks. We provide some background and essential milestones that have laid the foundation of many subsequent solutions sugges</w:t>
      </w:r>
    </w:p>
    <w:p>
      <w:pPr>
        <w:pStyle w:val="Heading2"/>
      </w:pPr>
      <w:r>
        <w:t>688.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r>
        <w:rPr>
          <w:b/>
        </w:rPr>
        <w:t>POSSIBLE 2024:</w:t>
      </w:r>
      <w:r>
        <w:t xml:space="preserve"> The effect of lab ageing on different types of fibre-reinforced bitumen — https://doi.org/10.1201/9781003402541-4</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Fibres have been introduced in the asphalt industry to improve the tensile strength and cracking resistance of pavement. In parallel, ageing is considered one of the causes of asphalt&amp;s;s deterioration. However, little research has described the effect of ageing when different types of fibres are incorporated into bitumen. Accordingly, this paper utilises different combinations of polypropylene, glass and basalt fibres in a conventional bituminous binder. Next, the fibre-reinforced binders are exposed to typical short- and long-term ageing protocols. A systematic evaluation of meaningful rheological indicators via a Dynamic Shear Rheometer (DSR) gives a more clear view of the role of each fibre type and the balance between the reinforcement potential and bitumen&amp;s;s degradation due to ageing. In parallel, the assessment of ageing-related indices by Fourier Transform Infrared (FTIR) spectrometer contributes to a better understanding of their rheological evaluation.</w:t>
      </w:r>
    </w:p>
    <w:p>
      <w:pPr/>
      <w:r>
        <w:rPr>
          <w:b/>
        </w:rPr>
        <w:t>POSSIBLE 2024:</w:t>
      </w:r>
      <w:r>
        <w:t xml:space="preserve"> Chemical and Rheological Evaluation of the Ageing Behaviour of High-Content Crumb Rubber Asphalt Binder — https://doi.org/10.3390/polym16213088</w:t>
      </w:r>
    </w:p>
    <w:p>
      <w:pPr/>
      <w:r>
        <w:rPr>
          <w:b/>
        </w:rPr>
        <w:t>Shared claim-specific concepts:</w:t>
      </w:r>
      <w:r>
        <w:t xml:space="preserve"> ageing, similar, but; EU scope not established. This is a provisional connection, not an outcome finding.</w:t>
      </w:r>
    </w:p>
    <w:p>
      <w:pPr>
        <w:pStyle w:val="SourceNote"/>
      </w:pPr>
      <w:r>
        <w:rPr>
          <w:b/>
        </w:rPr>
        <w:t>Available abstract (not full text):</w:t>
      </w:r>
      <w:r>
        <w:t xml:space="preserve"> High-Content Crumb Rubber Asphalt (HCRA) binder improves road performance and address waste tyre pollution, yet its ageing behaviour is not fully understood. In this study, 70# neat asphalt binder and HCRA with rubber contents of 35% and 50% were selected and aged through the Thin Film Oven Test (TFOT) and Pressure Ageing Vessel (PAV) tests. FTIR (Fourier Transform Infrared Spectroscopy) and DSR (Dynamic Shear Rheometer) were employed to investigate their chemical composition and rheological properties. The FTIR results show that HCRA's chemical test results are similar to those of 70#, but HCRA is more susceptible to ageing. I(C=C) strength decreases with age. The DSR results show that HCRA outperforms 70# neat asphalt binder in terms of viscoelasticity, high temperature performance and fatigue resistance, and exhibits greater resistance to ageing. The ageing index (AI) was obtained through a calculation using the formula, and overall, 70# neat asphalt binder is more sensitive to ageing behaviour and less resistant to ageing, and HCRA is particularly outstanding for fatigue resistance. A strong correlation is observed between chemical composition and some rheological property indicators. Therefore, we are able to predict the rheological properties using chemical composition indicators. This study provides insight into the ageing behaviour of a neat asphalt binder and an HCRA b</w:t>
      </w:r>
    </w:p>
    <w:p>
      <w:pPr/>
      <w:r>
        <w:rPr>
          <w:b/>
        </w:rPr>
        <w:t>POSSIBLE 2023:</w:t>
      </w:r>
      <w:r>
        <w:t xml:space="preserve"> Unveiling India's Ageing Mosaic: State-level Projections Revealing Regional Variations until 2031 — https://doi.org/10.21203/rs.3.rs-3118396/v1</w:t>
      </w:r>
    </w:p>
    <w:p>
      <w:pPr/>
      <w:r>
        <w:rPr>
          <w:b/>
        </w:rPr>
        <w:t>Shared claim-specific concepts:</w:t>
      </w:r>
      <w:r>
        <w:t xml:space="preserve"> different, ageing, indices, but, abstract, population; EU scope not established. This is a provisional connection, not an outcome finding.</w:t>
      </w:r>
    </w:p>
    <w:p>
      <w:pPr>
        <w:pStyle w:val="SourceNote"/>
      </w:pPr>
      <w:r>
        <w:rPr>
          <w:b/>
        </w:rPr>
        <w:t>Available abstract (not full text):</w:t>
      </w:r>
      <w:r>
        <w:t xml:space="preserve"> Abstract Population ageing is an inevitable consequence of demographic transitions and declining fertility causes a rising burden of ageing. The goal of the present study is to project the ageing index of various states across the country up to the year 2031. In addition, the study projects the year by which different states will reach the standard level of aging. Data for this study were taken from the 2001 and 2011 census of India. Using simple trend extrapolation techniques, we produced projections of ageing indices up to 2031; and then we projected when different states would reach the standard level of ageing (aging of Kerala in 2011). The results showed that there will be a change in the age structure of the population from 2011 to 2031, with an increase of 6% in the working-age group (15–59 years) and 5% in the older population (60 or more years), but a decline of 11.2% in the children ages 0–14 years. Southern and other states such as Punjab and Himachal Pradesh are likely to attain standard levels of ageing in the next few years. However, northern states are expected to take more years to achieve it.This is the time to start planning for the future burden of the old-age population across the country and arrange adequate health infrastructure for the older population in the future.</w:t>
      </w:r>
    </w:p>
    <w:p>
      <w:pPr/>
      <w:r>
        <w:rPr>
          <w:b/>
        </w:rPr>
        <w:t>POSSIBLE 2023:</w:t>
      </w:r>
      <w:r>
        <w:t xml:space="preserve"> Geospatial analysis of population ageing in Bosnia and Herzegovina — https://doi.org/10.5937/gp27-41960</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The aim of this research is to analyze the spatial distribution of the population ageing in Bosnia and Herzegovina and identify areas of the country that are particularly vulnerable to negative demographic trends. To achieve the goal of the study, data on the ageing coefficient and ageing index for the period 2013-2020 were used. The geospatial analysis of these indicators was performed using global (Global Moran's I and Getis-Ord General G) and local (Anselin Local Moran's I and Getis-Ord G*) indexes of spatial autocorrelation. The research results confirmed the clustering of both indicators. Ageing coefficient values are clustered in municipalities in western, northwestern, Eastern, and central Bosnia and Herzegovina. Ageing index values are clustered in municipalities in central, western, northwestern, and northeastern Bosnia and Herzegovina. This study provides insight into the research methods of spatial demographic trends and phenomena, and its findings can serve as a basis for future demographic research and development in Bosnia and Herzegovina.</w:t>
      </w:r>
    </w:p>
    <w:p>
      <w:pPr/>
      <w:r>
        <w:rPr>
          <w:b/>
        </w:rPr>
        <w:t>POSSIBLE 2022:</w:t>
      </w:r>
      <w:r>
        <w:t xml:space="preserve"> Relationship of Different Anthropometric Indices with Vascular Ageing in an Adult Population without Cardiovascular Disease—EVA Study — https://doi.org/10.3390/jcm11092671</w:t>
      </w:r>
    </w:p>
    <w:p>
      <w:pPr/>
      <w:r>
        <w:rPr>
          <w:b/>
        </w:rPr>
        <w:t>Shared claim-specific concepts:</w:t>
      </w:r>
      <w:r>
        <w:t xml:space="preserve"> different, ageing, indices, population, estimate; EU scope visible. This is a provisional connection, not an outcome finding.</w:t>
      </w:r>
    </w:p>
    <w:p>
      <w:pPr>
        <w:pStyle w:val="SourceNote"/>
      </w:pPr>
      <w:r>
        <w:rPr>
          <w:b/>
        </w:rPr>
        <w:t>Available abstract (not full text):</w:t>
      </w:r>
      <w:r>
        <w:t xml:space="preserve"> The objectives of this study were to analyse the capacity of different anthropometric indices to predict vascular ageing and this association in Spanish adult population without cardiovascular disease. A total of 501 individuals without cardiovascular disease residing in the capital of Salamanca (Spain) were selected (mean age: 55.9 years, 50.3% women), through stratified random sampling by age and sex. Starting from anthropometric measurements such as weight, height, and waist circumference, hip circumference, or biochemical parameters, we could estimate different indices that reflected general obesity, abdominal obesity, and body fat distribution. Arterial stiffness was evaluated by measuring carotid-femoral pulse wave velocity (cf-PWV) using a SphygmoCor® device. Vascular ageing was defined in three steps: Step 1: the participants with vascular injury were classified as early vascular ageing (EVA); Step 2: classification of the participants using the 10 and 90 percentiles of cf-PWV in the study population by age and sex in EVA, healthy vascular ageing (HVA) and normal vascular ageing (NVA); Step 3: re-classification of participants with arterial hypertension or type 2 diabetes mellitus included in HVA as NVA. The total prevalence of HVA and EVA was 8.4% and 21.4%, respectively. All the analysed anthropometric indices, except waist/hip ratio (WHpR), were associated with vascu</w:t>
      </w:r>
    </w:p>
    <w:p>
      <w:pPr/>
      <w:r>
        <w:rPr>
          <w:b/>
        </w:rPr>
        <w:t>POSSIBLE 2022:</w:t>
      </w:r>
      <w:r>
        <w:t xml:space="preserve"> State of the art: Multiscale evaluation of bitumen ageing behaviour — https://doi.org/10.1016/j.fuel.2022.125045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Ageing is a common phenomenon that seriously affects the performance and service life of asphalt pavements. In this paper, multiscale evaluations of bitumen ageing behaviour were reviewed to better understand the bitumen ageing mechanism and thereby contribute to future anti-ageing and binder rejuvenation work in this area. The paper initially looks at conventional as well as bespoke ageing methods before concentrating on bitumen ageing evaluation at different scales ranging from macro, meso, micro to nano scale. This is done by introducing the application of differential scanning calorimetry (DSC) and thermogravimetric analysis (TGA) in thermal indices; thin-layer chromatography-flame ionization detector (TLC-FID), gel permeation chromatography (GPC) and Fourier infrared spectrometer (FTIR) in components and functional groups; atomic force microscopy (AFM), optical spectroscopy and fluorescence spectroscopy (FM) in microstructural analysis; and, finally, nuclear magnetic resonance (NMR), time-of-flight secondary ion mass spectrometry (TOF-SIMS) and molecular dynamic simulations at the nanoscale. This review paper highlights the intricate correlations between the different hierarchical scales of bitumen ageing and the importance of a multiscale approach to provide a more comprehensive study and understanding of the ageing of bitumen.</w:t>
      </w:r>
    </w:p>
    <w:p>
      <w:pPr>
        <w:pStyle w:val="Heading2"/>
      </w:pPr>
      <w:r>
        <w:t>689.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r>
        <w:rPr>
          <w:b/>
        </w:rPr>
        <w:t>POSSIBLE 2024:</w:t>
      </w:r>
      <w:r>
        <w:t xml:space="preserve"> Measuring Digital Sustainability Paying Attention to the Economic, Social, and Environmental Dimensions: A European Perspective — https://doi.org/10.1007/s11205-024-03459-9</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Sustainability Pluralism in the Pharmaceutical Strategy for Europe: In Search of Social, Environmental and Economic Trends — https://doi.org/10.2139/ssrn.4991533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Valuing Public Sector Data in Scotland and Europe: Data Governance for Economic, Environmental and Social Development — https://doi.org/10.20933/100001329</w:t>
      </w:r>
    </w:p>
    <w:p>
      <w:pPr/>
      <w:r>
        <w:rPr>
          <w:b/>
        </w:rPr>
        <w:t>Shared claim-specific concepts:</w:t>
      </w:r>
      <w:r>
        <w:t xml:space="preserve"> environmental, different, needs, explored, benefits; EU scope visible. This is a provisional connection, not an outcome finding.</w:t>
      </w:r>
    </w:p>
    <w:p>
      <w:pPr>
        <w:pStyle w:val="SourceNote"/>
      </w:pPr>
      <w:r>
        <w:rPr>
          <w:b/>
        </w:rPr>
        <w:t>Available abstract (not full text):</w:t>
      </w:r>
      <w:r>
        <w:t xml:space="preserve"> Data is collected by many different kinds of people and organisations, including the government and big businesses but also ordinary people. Data can give us many benefits and opportunities to improve society, the economy and the environment, and it can therefore meet the needs of diverse, plural publics. Doing this requires a good understanding of data and its uses in order to navigate this landscape, beginning with clarity about the range of issues and the definitional challenges around data and its rich complexities. The ‘Valuing Public Sector Data in Scotland and Europe: Data Governance for Economic, Environmental and Social Development’ Programme, funded by the (now retired) Scottish Universities Insight Institute between October 2023 and January 2024, was a timely exploration into public (sector) data’s benefits and challenges. During the programme, the nuances of ascribing value to data, and how that data may contribute in good – and bad – ways to the general public, were discussed and explored. We considered how ‘public data’ is gathered and used, and by whom, in Scotland, the European Union and beyond, identifying key insights to inform further research and policymaking in this area. Here we give some context for our programme on public data, before providing an overview of the workshops we ran and key insights which emerged from them. Against this backdrop, we present</w:t>
      </w:r>
    </w:p>
    <w:p>
      <w:pPr/>
      <w:r>
        <w:rPr>
          <w:b/>
        </w:rPr>
        <w:t>POSSIBLE 2023:</w:t>
      </w:r>
      <w:r>
        <w:t xml:space="preserve"> Advancing the European energy transition based on environmental, economic and social justice — https://doi.org/10.1016/j.spc.2023.10.013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Energy transition has implications not only for economic growth and social welfare but also for the planet. It is therefore important to provide a framework of quantifying how this transition might affect these aspects from a triple perspective. In this regard, an in-depth and critical analysis of the available reports, policy frameworks and initiatives on energy transition, under the sustainable and circular perspectives, has been developed. This manuscript provides a “know-how” framework to assist in decision making and to assess the effectiveness, gaps and future actions to be developed for an effective energy transition. It presents a set of indicators to assess the sustainable and circular potential of emerging technologies and renewable energy production schemes, focusing on the environmental, social and economic pillars. It also highlights the policies and initiatives that should be implemented to facilitate this transition, as well as analyzing a comparison between European countries on how to improve energy renewability in those with low scores in the energy transition indexes. This study provides a critical analysis of the implications on energy transition over environmental, social and economic sustainability, as well as on circularity. It provides a preselection of the most appropriate indicators (both quantitative and qualitative) to effectively analyze the transit</w:t>
      </w:r>
    </w:p>
    <w:p>
      <w:pPr/>
      <w:r>
        <w:rPr>
          <w:b/>
        </w:rPr>
        <w:t>POSSIBLE 2023:</w:t>
      </w:r>
      <w:r>
        <w:t xml:space="preserve"> Sustainable Development in Europe: A Review of the Forestry Sector's Social, Environmental, and Economic Dynamics — https://doi.org/10.56556/gssr.v2i3.585</w:t>
      </w:r>
    </w:p>
    <w:p>
      <w:pPr/>
      <w:r>
        <w:rPr>
          <w:b/>
        </w:rPr>
        <w:t>Shared claim-specific concepts:</w:t>
      </w:r>
      <w:r>
        <w:t xml:space="preserve"> environmental, wood, strategies, variety; EU scope visible. This is a provisional connection, not an outcome finding.</w:t>
      </w:r>
    </w:p>
    <w:p>
      <w:pPr>
        <w:pStyle w:val="SourceNote"/>
      </w:pPr>
      <w:r>
        <w:rPr>
          <w:b/>
        </w:rPr>
        <w:t>Available abstract (not full text):</w:t>
      </w:r>
      <w:r>
        <w:t xml:space="preserve"> Despite their resilience, forest ecosystems become increasingly impacted by extreme climatic events, fires, and pathogen outbursts, which have considerable economic repercussions. How forest management solves these difficulties will affect human health, environmental variety, productivity, and forest ecosystem recuperation from exogenic distresses. Assuming forests provide ecosystem services essential to society and humanity along with wood, a better understanding of forest ecosystems seems essential to defining a development policy that meets ecological safeguard and energy and climate goals. According to the UN 2030 Agenda's Sustainable Development Goals, European forest management practices still don't provide a clear picture of ecological conditions, monetary estimate, and biodiversity. In light of the existing research, this article reviews and discusses recent European forestry industry trends and the environmental-economic nexus' complexity. Wood use has social consequences for regions adapting to ecological change, from rising temperatures to landscape modifications. This paper confirms that the technical-economic dimensions of forestry affect short-term economic dynamics, sector growth prospects, supply chain organization, company interconnections, and investment strategies. Forestry practices conserve species and habitats while boosting sustainable timber production. </w:t>
      </w:r>
    </w:p>
    <w:p>
      <w:pPr/>
      <w:r>
        <w:rPr>
          <w:b/>
        </w:rPr>
        <w:t>POSSIBLE 2023:</w:t>
      </w:r>
      <w:r>
        <w:t xml:space="preserve"> Sustainability assessment of economic, environmental and social impacts, feed-food competition and economic robustness of dairy and beef farming systems in South Western Europe — https://doi.org/10.1016/j.spc.2023.01.022</w:t>
      </w:r>
    </w:p>
    <w:p>
      <w:pPr/>
      <w:r>
        <w:rPr>
          <w:b/>
        </w:rPr>
        <w:t>Shared claim-specific concepts:</w:t>
      </w:r>
      <w:r>
        <w:t xml:space="preserve"> environmental, impacts, different, needs, assessed, sustainability; EU scope visible. This is a provisional connection, not an outcome finding.</w:t>
      </w:r>
    </w:p>
    <w:p>
      <w:pPr>
        <w:pStyle w:val="SourceNote"/>
      </w:pPr>
      <w:r>
        <w:rPr>
          <w:b/>
        </w:rPr>
        <w:t>Available abstract (not full text):</w:t>
      </w:r>
      <w:r>
        <w:t xml:space="preserve"> The objective of this study was to evaluate the sustainability of cattle systems in South Western Europe by combining life cycle sustainability assessment (LCSA) with assessment of feed-food competition and economic robustness. We studied three cattle systems using different proportions of semi-natural pasture, and producing either only beef or milk and beef, i.e. a dairy system with Holstein breed in the lowlands of France with &lt;5% of the total land used being semi-natural pastures (HolSy), a dairy system with Montbeliarde breed in the highlands of France with approximately 25% of the total land used being semi-natural pastures (MonSy), and a pure beef system with Parda de Montana breed in the highlands of Spain with &gt;85% of the total land used being semi-natural pastures (ParSy). The functional unit for LCSA was 1000 kg protein of animal origin and the system boundary was from cradle to farmgate. The cattle production systems were assessed using 27 indicators (LCSA, feed-food competition and robustness). The results indicated that MonSy performed less well for 10 and ParSy for 14 out of the 27 indicators researched when compared to HolSy, the reference case. HolSy was less sensitive to a support payment decrease and had lower social impacts on farmers than the other two systems. MonSy had lower impacts on some environmental indicators, lower life cycle costs, lower social imp</w:t>
      </w:r>
    </w:p>
    <w:p>
      <w:pPr>
        <w:pStyle w:val="Heading2"/>
      </w:pPr>
      <w:r>
        <w:t>690.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action, climate, emission, reduction;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Biobased Innovation as a Fashion and Textile Design Must: A European Perspective — https://doi.org/10.3390/su14010570</w:t>
      </w:r>
    </w:p>
    <w:p>
      <w:pPr/>
      <w:r>
        <w:rPr>
          <w:b/>
        </w:rPr>
        <w:t>Shared claim-specific concepts:</w:t>
      </w:r>
      <w:r>
        <w:t xml:space="preserve"> must, possible, feasible; EU scope visible. This is a provisional connection, not an outcome finding.</w:t>
      </w:r>
    </w:p>
    <w:p>
      <w:pPr>
        <w:pStyle w:val="SourceNote"/>
      </w:pPr>
      <w:r>
        <w:rPr>
          <w:b/>
        </w:rPr>
        <w:t>Available abstract (not full text):</w:t>
      </w:r>
      <w:r>
        <w:t xml:space="preserve"> Fashion industry investments drive the choice for textile solutions characterized by radical experimentation and a firm commitment to sustainability. In the last five years, textile innovations have been strongly related to biobased textile solutions evolving to become effectively feasible and strategic. The produced qualitative knowledge implementations consider new production patterns, innovative technical and digital know-how, and new consumption scenarios. The directions the industry is tracing may provide new opportunities for future textile development in the circular biobased economy. This paper presents a map of current European practices. It discusses the possible passage through a holistic paradigm that goes beyond the boundaries of the old productive systems to accompany the sector towards a new sustainable and transversal state. It also presents three selected best practices that return the actual context in which the phenomenon occurs. A model is presented to demonstrate how these circular processes of biobased materials production enable more process innovations which are developed through implementing the process itself: companies’ search for rethinking and implementing the traditional practices or designing new ones (as determined by the doctoral research of one of the authors).</w:t>
      </w:r>
    </w:p>
    <w:p>
      <w:pPr/>
      <w:r>
        <w:rPr>
          <w:b/>
        </w:rPr>
        <w:t>POSSIBLE 2022:</w:t>
      </w:r>
      <w:r>
        <w:t xml:space="preserve"> Musical Responses to Western European Bureaucratic Action — https://doi.org/10.47611/jsrhs.v11i3.2902</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With the rise of popular culture music, as well as resurgence of traditional folk music in the late twentieth century, Western cultures, distinctly Western European states, saw the relations between music and politics emerge to its current state- a deeply intertwined dependency between the two, with its effect spreading across borders to reach greater populations. To look at how the relations between music and politics came to be, first the examination of the dependency between the two in the latter half of the twentieth century must occur. Across genres, artists drew inspiration from their current political climate, creating music as a response. Yet, political action also resulted from music, distinctly with songs coined as “protest soundtracks.” The multifaceted nature of the relationship allows for a greater understanding of the extremes of this relationship, distinctly with music censorship occurring in most European states, democratic and authoritative alike. The continued censorship of music from European states leads to the notion that the existence of music warrants political action, despite proven lack of substantive response of the music itself. To grant a greater autonomy to artists and develop an enhanced comprehension of the multifaceted relationship that is music and politics, the implementation of music-based lessons of core classes into secondary schools will wa</w:t>
      </w:r>
    </w:p>
    <w:p>
      <w:pPr/>
      <w:r>
        <w:rPr>
          <w:b/>
        </w:rPr>
        <w:t>POSSIBLE 2021:</w:t>
      </w:r>
      <w:r>
        <w:t xml:space="preserve"> Innovative actions in oceans and human health for Europe — https://doi.org/10.1093/heapro/daab203</w:t>
      </w:r>
    </w:p>
    <w:p>
      <w:pPr/>
      <w:r>
        <w:rPr>
          <w:b/>
        </w:rPr>
        <w:t>Shared claim-specific concepts:</w:t>
      </w:r>
      <w:r>
        <w:t xml:space="preserve"> action, climate, targets; EU scope visible. This is a provisional connection, not an outcome finding.</w:t>
      </w:r>
    </w:p>
    <w:p>
      <w:pPr>
        <w:pStyle w:val="SourceNote"/>
      </w:pPr>
      <w:r>
        <w:rPr>
          <w:b/>
        </w:rPr>
        <w:t>Available abstract (not full text):</w:t>
      </w:r>
      <w:r>
        <w:t xml:space="preserve"> Innovative actions are local initiatives which leverage the interactions between the ocean and human health to reduce the risks and enhance the benefits for the stakeholders and the natural environment. These initiatives can have strong positive effects on human health and wellbeing as well as on the marine environment. We analysed 150 such innovative actions in Europe. Using a combined case study and survey approach, innovative actions were identified using interviews and content analysis of websites and compiled into a database. Quantitative data were analysed according to the Drivers, Pressures, State, Impact and Response (DPSIR) framework, guided by selected in-depth interviews. Overall, the innovative actions provided a positive impact on the health of both the ocean and humans through increasing food provision, water quality and tourism opportunities; and addressing environmental issues such as commercial fish stock depletion, pollution and climate change. Innovative actions contributed to meeting various targets of the Sustainable Development Goals (SDGs) 3, 13 and 14. These actions played a potential role ahead of and alongside policy. Some of the innovative actions may have potential to be put in place elsewhere. Such up-scaling would need to be adapted to local circumstances and could be facilitated by an innovative action exchange platform.</w:t>
      </w:r>
    </w:p>
    <w:p>
      <w:pPr/>
      <w:r>
        <w:rPr>
          <w:b/>
        </w:rPr>
        <w:t>POSSIBLE 2021:</w:t>
      </w:r>
      <w:r>
        <w:t xml:space="preserve"> Climate Action at Public Health Schools in the European Region — https://doi.org/10.3390/ijerph18041518</w:t>
      </w:r>
    </w:p>
    <w:p>
      <w:pPr/>
      <w:r>
        <w:rPr>
          <w:b/>
        </w:rPr>
        <w:t>Shared claim-specific concepts:</w:t>
      </w:r>
      <w:r>
        <w:t xml:space="preserve"> action, taken, climate, strategy, show; EU scope visible. This is a provisional connection, not an outcome finding.</w:t>
      </w:r>
    </w:p>
    <w:p>
      <w:pPr>
        <w:pStyle w:val="SourceNote"/>
      </w:pPr>
      <w:r>
        <w:rPr>
          <w:b/>
        </w:rPr>
        <w:t>Available abstract (not full text):</w:t>
      </w:r>
      <w:r>
        <w:t xml:space="preserve"> Climate change is putting the achievement of all Sustainable Development Goals at risk and leads to negative impacts on human health and well-being. Consequently, tremendous social responsibility lies with public health professionals and their associations. Therefore, this study addressed the following question: "How can the Association of Schools of Public Health in the European Region (ASPHER) best support the goals of the European Green Deal through its network of public health schools and departments?" This study looked at the implementation of climate education in public health schools in the European region and climate action taken by these public health schools. An online survey among ASPHER members with a 51% overall response rate (excluding non-European members) shows that 64% of the responding schools provide climate-health educational offerings, while 63% consider these for the future. Additionally, most climate actions taken by the schools were ad hoc actions. These findings show that a systematic approach is missing, and there is a general lack of strategy in most schools. We consequently recommend that schools invest in climate and health education in their curricula and become exemplars for climate action to actively contribute to the achievement of Europe's climate goals.</w:t>
      </w:r>
    </w:p>
    <w:p>
      <w:pPr/>
      <w:r>
        <w:rPr>
          <w:b/>
        </w:rPr>
        <w:t>POSSIBLE 2020:</w:t>
      </w:r>
      <w:r>
        <w:t xml:space="preserve"> Analysing European Union circular economy policies: words versus actions — https://doi.org/10.1016/j.spc.2020.11.001</w:t>
      </w:r>
    </w:p>
    <w:p>
      <w:pPr/>
      <w:r>
        <w:rPr>
          <w:b/>
        </w:rPr>
        <w:t>Shared claim-specific concepts:</w:t>
      </w:r>
      <w:r>
        <w:t xml:space="preserve"> action, taken, show, increase; EU scope visible. This is a provisional connection, not an outcome finding.</w:t>
      </w:r>
    </w:p>
    <w:p>
      <w:pPr>
        <w:pStyle w:val="SourceNote"/>
      </w:pPr>
      <w:r>
        <w:rPr>
          <w:b/>
        </w:rPr>
        <w:t>Available abstract (not full text):</w:t>
      </w:r>
      <w:r>
        <w:t xml:space="preserve"> Since the publication of the European Union's Circular Economy Action Plan in 2015, this new sustainability paradigm has become a guiding force behind the environmental and economic policies of the Junker Commission. The European Union (EU) has taken a particular approach to circularity, with high expectations to increase competitiveness, promote economic growth and create jobs while reducing environmental impacts and resource dependency. However, the circular economy (CE) is a contested paradigm, for which many competing interpretations exist, each seeking varying degrees of social, ecological and political transformation. Considering the emerging and contested state of the academic literature on CE, the EU's embrace of the concept is a remarkable phenomenon, which remains poorly researched. The aim of this paper is thus to address this research gap by analysing the CE discourse and policies of the Junker Commission (2014-2019) in order to critically discuss their sustainability implications and develop key policy recommendations. To do so, this research uses a combination of qualitative and quantitative research methods. The paper first critically analyses the EU's discourse based on a typology of circularity discourses. It then reviews the complex set of concrete CE policies and actions adopted by the EU and compares them to its discourse. Results show a dichotomy between wo</w:t>
      </w:r>
    </w:p>
    <w:p>
      <w:pPr>
        <w:pStyle w:val="Heading2"/>
      </w:pPr>
      <w:r>
        <w:t>691.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Unlocking the Power of Crowds: Exploring Crowdsourcing and Crowdfunding Initiatives in Europe — https://doi.org/10.7336/academicus.2023.28.08</w:t>
      </w:r>
    </w:p>
    <w:p>
      <w:pPr/>
      <w:r>
        <w:rPr>
          <w:b/>
        </w:rPr>
        <w:t>Shared claim-specific concepts:</w:t>
      </w:r>
      <w:r>
        <w:t xml:space="preserve"> article, aims, exploring, between, support; EU scope visible. This is a provisional connection, not an outcome finding.</w:t>
      </w:r>
    </w:p>
    <w:p>
      <w:pPr>
        <w:pStyle w:val="SourceNote"/>
      </w:pPr>
      <w:r>
        <w:rPr>
          <w:b/>
        </w:rPr>
        <w:t>Available abstract (not full text):</w:t>
      </w:r>
      <w:r>
        <w:t xml:space="preserve"> The world of crowdsourcing and crowdfunding in Europe is a dynamic and transformative space that has been significantly impacted by the rapid growth of digital technologies. This innovative approach has become a game-changer for entrepreneurs, startups, and creative individuals as it harnesses the collective intelligence and financial support of people. Various platforms and mechanisms are driving crowdsourcing and crowdfunding initiatives in Europe, leading to success stories, emerging trends, and potential benefits for all partecipants. This article aims to analyze some of the various emerging trends in crowdsourcing and crowdfunding across Europe while highlighting their potential benefits for those seeking funding or collaboration opportunities. It further examines both crowdsourcing and crowdfunding advantages &amp; disadvantages. Ultimately, this article aims to unlock the full potential of collaboration between people from diverse backgrounds by exploring ways to leverage crowdsourcing &amp; crowdfunding effectively.</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article, exploring, understanding;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exploring, between;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2021:</w:t>
      </w:r>
      <w:r>
        <w:t xml:space="preserve"> Judicial Dialogue in Social Media Cases in Europe: Exploring the Role of Peers in Judicial Adjudication — https://doi.org/10.1017/glj.2021.57</w:t>
      </w:r>
    </w:p>
    <w:p>
      <w:pPr/>
      <w:r>
        <w:rPr>
          <w:b/>
        </w:rPr>
        <w:t>Shared claim-specific concepts:</w:t>
      </w:r>
      <w:r>
        <w:t xml:space="preserve"> article, aims, exploring; EU scope visible. This is a provisional connection, not an outcome finding.</w:t>
      </w:r>
    </w:p>
    <w:p>
      <w:pPr>
        <w:pStyle w:val="SourceNote"/>
      </w:pPr>
      <w:r>
        <w:rPr>
          <w:b/>
        </w:rPr>
        <w:t>Available abstract (not full text):</w:t>
      </w:r>
      <w:r>
        <w:t xml:space="preserve"> Abstract This Article aims to examine the social media jurisprudence of national courts in a selected set of EU Member States by focusing on judicial dialogue specifically via references to the case law of other courts. Do judges in social media cases engage with the case law of peers, and if so how and to what extent? The analysis investigates whether national judges draw on the jurisprudence of higher domestic courts, foreign courts and/or European supranational courts—the Court of Justice of the European Union (CJEU) and the European Court of Human Rights (ECtHR)—and explores the use of such jurisprudence. It is based on 147 cases from the constitutional and/or supreme courts of Bulgaria, Croatia, Greece, Italy, Latvia, Slovakia, and Slovenia. Although judicial dialogue is generally limited in the cases under study, the analysis illustrates the different ways in which courts interact with the rulings of peers and informs on the latter’s contribution to judicial assessment.</w:t>
      </w:r>
    </w:p>
    <w:p>
      <w:pPr/>
      <w:r>
        <w:rPr>
          <w:b/>
        </w:rPr>
        <w:t>POSSIBLE 2020:</w:t>
      </w:r>
      <w:r>
        <w:t xml:space="preserve"> Creative Connections: The power of contemporary art to explore European citizenship — https://doi.org/10.14324/lre.18.2.10</w:t>
      </w:r>
    </w:p>
    <w:p>
      <w:pPr/>
      <w:r>
        <w:rPr>
          <w:b/>
        </w:rPr>
        <w:t>Shared claim-specific concepts:</w:t>
      </w:r>
      <w:r>
        <w:t xml:space="preserve"> article, citizens, perceptions; EU scope visible. This is a provisional connection, not an outcome finding.</w:t>
      </w:r>
    </w:p>
    <w:p>
      <w:pPr>
        <w:pStyle w:val="SourceNote"/>
      </w:pPr>
      <w:r>
        <w:rPr>
          <w:b/>
        </w:rPr>
        <w:t>Available abstract (not full text):</w:t>
      </w:r>
      <w:r>
        <w:t xml:space="preserve"> Across Europe, educational institutions are essential in assisting exploration of politics, culture and history, and the use of creative arts appears crucial to supporting this aim. This article reports on Creative Connections, a multi-partner research project that facilitated exchanges for young people to explore their European identities using online art galleries and blogging technologies. Their multimodal conversations revealed an openness to consider artworks as sources of knowledge and experience. Participants did not focus on the nationality of the artist, but concentrated on the relationship that the subject matter of the work had with their own concerns. Anxiety related to populism, exclusive nationalism, social inequality and new forms of labour appeared to impact young European citizens’ relationships and their perceptions of democracy.</w:t>
      </w:r>
    </w:p>
    <w:p>
      <w:pPr/>
      <w:r>
        <w:rPr>
          <w:b/>
        </w:rPr>
        <w:t>POSSIBLE 2020:</w:t>
      </w:r>
      <w:r>
        <w:t xml:space="preserve"> The content and potential of the right to social assistance in light of Article 13 of the European Social Charter — https://doi.org/10.1177/1388262720908695</w:t>
      </w:r>
    </w:p>
    <w:p>
      <w:pPr/>
      <w:r>
        <w:rPr>
          <w:b/>
        </w:rPr>
        <w:t>Shared claim-specific concepts:</w:t>
      </w:r>
      <w:r>
        <w:t xml:space="preserve"> article, aims, support; EU scope visible. This is a provisional connection, not an outcome finding.</w:t>
      </w:r>
    </w:p>
    <w:p>
      <w:pPr>
        <w:pStyle w:val="SourceNote"/>
      </w:pPr>
      <w:r>
        <w:rPr>
          <w:b/>
        </w:rPr>
        <w:t>Available abstract (not full text):</w:t>
      </w:r>
      <w:r>
        <w:t xml:space="preserve"> This article explores the current development of the right to social assistance as well as its potential for improving income support policies. Focusing on Article 13 of the European Social Charter (ESC), it aims to shed light on the content of such provision by identifying a list of comprehensive defining standards from the monitoring activity conducted by the European Committee of Social Rights (ECSR). Secondly, it asks whether the right can effectively enhance access to social assistance in practice by studying the implementation of the right in two national cases, the UK and Spain. The article concludes that Article 13 ESC imposes clear obligations on States Parties regarding aspects of the implementation of assistance schemes, such as the level of assistance and the right to appeal. Nevertheless, practical aspects of implementation should be taken into account for the effective realisation of the right. The ESC provisions, as well as the ECSR’s Conclusions, should be enforced by States at the national level. Furthermore, the standards developed by the ECSR for Article 13 can be complemented by recommendations currently suggested by civil society, such as the increased flexibility of activation measures for households with parenting duties, and the splitting of payments to achieve financial independence.</w:t>
      </w:r>
    </w:p>
    <w:p>
      <w:pPr/>
      <w:r>
        <w:rPr>
          <w:b/>
        </w:rPr>
        <w:t>POSSIBLE 2020:</w:t>
      </w:r>
      <w:r>
        <w:t xml:space="preserve"> Who is Teleworking and Where from? Exploring the Main Determinants of Telework in Europe — https://doi.org/10.3390/su12218797</w:t>
      </w:r>
    </w:p>
    <w:p>
      <w:pPr/>
      <w:r>
        <w:rPr>
          <w:b/>
        </w:rPr>
        <w:t>Shared claim-specific concepts:</w:t>
      </w:r>
      <w:r>
        <w:t xml:space="preserve"> exploring, understanding, between, support, technological; EU scope visible. This is a provisional connection, not an outcome finding.</w:t>
      </w:r>
    </w:p>
    <w:p>
      <w:pPr>
        <w:pStyle w:val="SourceNote"/>
      </w:pPr>
      <w:r>
        <w:rPr>
          <w:b/>
        </w:rPr>
        <w:t>Available abstract (not full text):</w:t>
      </w:r>
      <w:r>
        <w:t xml:space="preserve">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pPr/>
      <w:r>
        <w:rPr>
          <w:b/>
        </w:rPr>
        <w:t>POSSIBLE 2020:</w:t>
      </w:r>
      <w:r>
        <w:t xml:space="preserve"> Exploring inclusive education across Europe: some insights from the European Agency Statistics on Inclusive Education — https://doi.org/10.32865/fire202061172</w:t>
      </w:r>
    </w:p>
    <w:p>
      <w:pPr/>
      <w:r>
        <w:rPr>
          <w:b/>
        </w:rPr>
        <w:t>Shared claim-specific concepts:</w:t>
      </w:r>
      <w:r>
        <w:t xml:space="preserve"> article, exploring, insights, between; EU scope visible. This is a provisional connection, not an outcome finding.</w:t>
      </w:r>
    </w:p>
    <w:p>
      <w:pPr>
        <w:pStyle w:val="SourceNote"/>
      </w:pPr>
      <w:r>
        <w:rPr>
          <w:b/>
        </w:rPr>
        <w:t>Available abstract (not full text):</w:t>
      </w:r>
      <w:r>
        <w:t xml:space="preserve"> The European Agency Statistics on Inclusive Education (EASIE) work focuses upon the collection and analysis of longitudinal, comparative national data related to inclusive education systems and learners with officially recognised special educational needs (SEN) among its 31 member countries. In this article, the EASIE work is discussed in relation to the key concepts of presence, placement, participation and progress within inclusive education systems.The findings of the EASIE work indicate differences and variations between countries in how they respond to all learners</w:t>
      </w:r>
    </w:p>
    <w:p>
      <w:pPr>
        <w:pStyle w:val="Heading2"/>
      </w:pPr>
      <w:r>
        <w:t>692.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2022:</w:t>
      </w:r>
      <w:r>
        <w:t xml:space="preserve"> The micro-macro interplay of economic factors in late-life loneliness: Evidence from Europe and China — https://doi.org/10.3389/fpubh.2022.968411</w:t>
      </w:r>
    </w:p>
    <w:p>
      <w:pPr/>
      <w:r>
        <w:rPr>
          <w:b/>
        </w:rPr>
        <w:t>Shared claim-specific concepts:</w:t>
      </w:r>
      <w:r>
        <w:t xml:space="preserve"> china, need, increase, low; EU scope visible. This is a provisional connection, not an outcome finding.</w:t>
      </w:r>
    </w:p>
    <w:p>
      <w:pPr>
        <w:pStyle w:val="SourceNote"/>
      </w:pPr>
      <w:r>
        <w:rPr>
          <w:b/>
        </w:rPr>
        <w:t>Available abstract (not full text):</w:t>
      </w:r>
      <w:r>
        <w:t xml:space="preserve"> Individual socioeconomic status has a significant impact on whether older adults can initiate and maintain social relationships and participate in society, hence it affects loneliness. At the macro level, income inequality is expected to increase the risk of loneliness by eroding social cohesion and trust, while welfare generosity might protect people from loneliness. The aim of the study is to explore whether income inequality and welfare generosity at the country level moderate the effect of socioeconomic status at the individual level on late-life loneliness. Data were obtained from the HRS family of surveys - the Survey of Health, Aging and Retirement in Europe (SHARE) (wave 5, 2011/12) and China Health and Retirement Longitudinal Study (CHARLS) (wave 2, 2012/13). Respondents aged 50 years and older from twelve European countries and China were included in the study. Logistic country fixed effect models were used in the analysis. The findings show a stronger effect of individual socioeconomic status on late-life loneliness in more income-unequal societies and a weaker effect in more welfare-generous societies. There is a need to consider the impact of income distribution and welfare spending on the risk of loneliness among those older adults with low socioeconomic status when tailoring preventive programs and interventions to reduce loneliness among this vulnerable group.</w:t>
      </w:r>
    </w:p>
    <w:p>
      <w:pPr/>
      <w:r>
        <w:rPr>
          <w:b/>
        </w:rPr>
        <w:t>POSSIBLE 2021:</w:t>
      </w:r>
      <w:r>
        <w:t xml:space="preserve"> Increased trade with China and Eastern Europe hardly affects Dutch workers — https://openalex.org/W3187283793</w:t>
      </w:r>
    </w:p>
    <w:p>
      <w:pPr/>
      <w:r>
        <w:rPr>
          <w:b/>
        </w:rPr>
        <w:t>Shared claim-specific concepts:</w:t>
      </w:r>
      <w:r>
        <w:t xml:space="preserve"> china, need, increase; EU scope visible. This is a provisional connection, not an outcome finding.</w:t>
      </w:r>
    </w:p>
    <w:p>
      <w:pPr>
        <w:pStyle w:val="SourceNote"/>
      </w:pPr>
      <w:r>
        <w:rPr>
          <w:b/>
        </w:rPr>
        <w:t>Available abstract (not full text):</w:t>
      </w:r>
      <w:r>
        <w:t xml:space="preserve"> Contrary to other studies, we find no robust effect of an increase in trade with China and Central European (CEE) countries on local employment, wages and inequality in the Netherlands. If there is an effect, it is small, with positive effects of increased exports counteracting the negative effects of increased imports. One of the reasons why we find different results for the Netherlands is the fact that the Dutch manufacturing industry was already undergoing changes well before the emergence of China and the CEE countries and became less sensitive to import competition from China or the CEE countries. In addition, the Netherlands has collective wage negotiations, which may help to explain that we do not find any effects on wages. While the effect of increased trade with China and the CEE countries on manufacturing jobs is limited, it can create uncertainty for workers. The negative effect of import competition and the positive impact of export opportunities on manufacturing jobs also point to adjustments across industries and regions. Transitioning workers to new types of work can be difficult for these workers, as they are (temporarily) unemployed and may need to move to other regions.</w:t>
      </w:r>
    </w:p>
    <w:p>
      <w:pPr/>
      <w:r>
        <w:rPr>
          <w:b/>
        </w:rPr>
        <w:t>POSSIBLE 2020:</w:t>
      </w:r>
      <w:r>
        <w:t xml:space="preserve"> Dealing with China: A European Perspective — https://doi.org/10.1080/13439006.2020.1826681</w:t>
      </w:r>
    </w:p>
    <w:p>
      <w:pPr/>
      <w:r>
        <w:rPr>
          <w:b/>
        </w:rPr>
        <w:t>Shared claim-specific concepts:</w:t>
      </w:r>
      <w:r>
        <w:t xml:space="preserve"> china, need, increase, investments; EU scope visible. This is a provisional connection, not an outcome finding.</w:t>
      </w:r>
    </w:p>
    <w:p>
      <w:pPr>
        <w:pStyle w:val="SourceNote"/>
      </w:pPr>
      <w:r>
        <w:rPr>
          <w:b/>
        </w:rPr>
        <w:t>Available abstract (not full text):</w:t>
      </w:r>
      <w:r>
        <w:t xml:space="preserve"> The EU faces international (how to tackle Russian and Turkish policies?) and internal challenges, primarily intra-EU cooperation on strategic policies which are not “common European policies.” This reflects in the EU’s China policy. Nonetheless, some progress has been made. European perspectives on China are gradually changing. There is a growing awareness on the part of European institutions of a need to exercise caution over Chinese investments into the European Union and to counterbalance China’s diplomatic initiatives where they oppose European interests. This has opened avenues for cooperation with Japan, which has long taken a cautious yet benevolent approach to China. EU institutions and member states of greater international influence such as France have been keen to increase cooperation with Japan as they worked to strengthen European and internal legal frameworks.</w:t>
      </w:r>
    </w:p>
    <w:p>
      <w:pPr/>
      <w:r>
        <w:rPr>
          <w:b/>
        </w:rPr>
        <w:t>POSSIBLE 2020:</w:t>
      </w:r>
      <w:r>
        <w:t xml:space="preserve"> The People’s Republic of China Connecting Europe? — https://openalex.org/W3084282394</w:t>
      </w:r>
    </w:p>
    <w:p>
      <w:pPr/>
      <w:r>
        <w:rPr>
          <w:b/>
        </w:rPr>
        <w:t>Shared claim-specific concepts:</w:t>
      </w:r>
      <w:r>
        <w:t xml:space="preserve"> china, need, increase, investments, relative; EU scope visible. This is a provisional connection, not an outcome finding.</w:t>
      </w:r>
    </w:p>
    <w:p>
      <w:pPr>
        <w:pStyle w:val="SourceNote"/>
      </w:pPr>
      <w:r>
        <w:rPr>
          <w:b/>
        </w:rPr>
        <w:t>Available abstract (not full text):</w:t>
      </w:r>
      <w:r>
        <w:t xml:space="preserve"> The significance of the Belt and Road Initiative (BRI) of the People's Republic of China (PRC) for Europe is increasing. The diplomatic initiative "16+1," comprising 11 Central and East European EU member states and five Western Balkan economies, expanded to a "17+1" format in April 2019, when Greece officially joined the cooperation forum. In relative terms, the Western Balkans are expected to benefit the most from the BRI, as they show particularly high deficiencies in infrastructure and to date have limited access to EU grants. The economic effects of infrastructure projects in CESEE would, however, trickle through European production and supply chains, with an impact on economies not directly subject to construction plans. EU initiatives presented in 2018 may help to increase complementarity between Chinese and European infrastructure development plans, as well as reducing risks for some European economies, such as unsustainable debt or the rise of new barriers resulting from increased competition for Chinese investments. The BRI is about to change physical and digital connectivity within Europe, while the EU has yet to become an active player engaging in the initiative, in order to enable improved connectivity in Europe to drive economic convergence and not political divergence. The need to establish a level playing field for trade, investment, and its financing has become</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china, need,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The foreign direct investment from China to Europe — https://openalex.org/W3145125818</w:t>
      </w:r>
    </w:p>
    <w:p>
      <w:pPr/>
      <w:r>
        <w:rPr>
          <w:b/>
        </w:rPr>
        <w:t>Shared claim-specific concepts:</w:t>
      </w:r>
      <w:r>
        <w:t xml:space="preserve"> china, need, increase, low, rapid; EU scope visible. This is a provisional connection, not an outcome finding.</w:t>
      </w:r>
    </w:p>
    <w:p>
      <w:pPr>
        <w:pStyle w:val="SourceNote"/>
      </w:pPr>
      <w:r>
        <w:rPr>
          <w:b/>
        </w:rPr>
        <w:t>Available abstract (not full text):</w:t>
      </w:r>
      <w:r>
        <w:t xml:space="preserve"> With the rapid development of China's economy, foreign trade and foreign investment have been taken to great achievements. As in 2000 the Chinese government Chinese actively encourage enterprises going out, and its positioning as a national strategy, China's foreign investment in recent years has entered a period of gold. According to statistics, 2015 annual our country's outward FDI flow of 73.508 million yuan RMB, an increase rate of 14.7%, by the end of the year, China's outward FDI stock accumulated up to 5.4 trillion yuan, which is sufficient to prove that, in our country both from the investment flow or investment stock has been entered the ranks of big country of foreign investment among. In contrast, the European Union and China is the EU's second largest trading partner, very close economic exchanges between China and EU development, but due to the 2008 financial crisis and the European debt crisis to the EU's economic development has brought hit, once malaise, so the current EU need absorb foreign capital to boost the economy and solid economic recovery and relieve the EU internal social and economic contradictions. But the flow and stock of China's FDI is still low compared with the volume of trade between the EU and China, so China still has a huge space for development of EU FDI. Therefore, it is of great significance to study how to further cooperation on investme</w:t>
      </w:r>
    </w:p>
    <w:p>
      <w:pPr>
        <w:pStyle w:val="Heading2"/>
      </w:pPr>
      <w:r>
        <w:t>693.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2020:</w:t>
      </w:r>
      <w:r>
        <w:t xml:space="preserve"> CH2018 – National climate scenarios for Switzerland: How to construct consistent multi-model projections from ensembles of opportunity — https://doi.org/10.1016/j.cliser.2020.100196</w:t>
      </w:r>
    </w:p>
    <w:p>
      <w:pPr/>
      <w:r>
        <w:rPr>
          <w:b/>
        </w:rPr>
        <w:t>Shared claim-specific concepts:</w:t>
      </w:r>
      <w:r>
        <w:t xml:space="preserve"> unique, multi-model, used, ensemble; EU scope visible. This is a provisional connection, not an outcome finding.</w:t>
      </w:r>
    </w:p>
    <w:p>
      <w:pPr>
        <w:pStyle w:val="SourceNote"/>
      </w:pPr>
      <w:r>
        <w:rPr>
          <w:b/>
        </w:rPr>
        <w:t>Available abstract (not full text):</w:t>
      </w:r>
      <w:r>
        <w:t xml:space="preserve"> The latest Swiss Climate Scenarios (CH2018), released in November 2018, consist of several datasets derived through various methods that provide robust and relevant information on climate change in Switzerland. The scenarios build upon the regional climate model projections for Europe produced through the internationally coordinated downscaling effort EURO-CORDEX. The simulations from EURO-CORDEX consist of simulations at two spatial horizontal resolutions, several global climate models, and three different emission scenarios. Even with this unique dataset of regional climate scenarios, a number of practical challenges regarding a consistent interpretation of the model ensemble arise. Here we present the methodological chain employed in CH2018 in order to generate a multi-model ensemble that is consistent across scenarios and is used as a basis for deriving the CH2018 products. The different steps involve a thorough evaluation of the full EURO-CORDEX model ensemble, the removal of doubtful and potentially erroneous simulations, a time-shift approach to account for an equal number of simulations for each emission scenario, and the multi-model combination of simulations with different spatial resolutions. Each component of this cascade of processing steps is associated with an uncertainty that eventually contributes to the overall scientific uncertainty of the derived scenario pr</w:t>
      </w:r>
    </w:p>
    <w:p>
      <w:pPr>
        <w:pStyle w:val="Heading2"/>
      </w:pPr>
      <w:r>
        <w:t>694.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2022:</w:t>
      </w:r>
      <w:r>
        <w:t xml:space="preserve"> Trends and gaps in photovoltaic power forecasting with machine learning — https://doi.org/10.1016/j.egyr.2022.11.208</w:t>
      </w:r>
    </w:p>
    <w:p>
      <w:pPr/>
      <w:r>
        <w:rPr>
          <w:b/>
        </w:rPr>
        <w:t>Shared claim-specific concepts:</w:t>
      </w:r>
      <w:r>
        <w:t xml:space="preserve"> trends, world, help; EU scope not established. This is a provisional connection, not an outcome finding.</w:t>
      </w:r>
    </w:p>
    <w:p>
      <w:pPr>
        <w:pStyle w:val="SourceNote"/>
      </w:pPr>
      <w:r>
        <w:rPr>
          <w:b/>
        </w:rPr>
        <w:t>Available abstract (not full text):</w:t>
      </w:r>
      <w:r>
        <w:t xml:space="preserve"> The share of solar energy in the electricity mix increases year after year. Knowing the production of photovoltaic (PV) power at each instant of time is crucial for its integration into the grid. However, due to meteorological phenomena, PV power output can be uncertain and continuously varying, which complicates yield prediction. In recent years, machine learning (ML) techniques have entered the world of PV power forecasting to help increase the accuracy of predictions. Researchers have seen great potential in this approach, creating a vast literature on the topic. This paper intends to identify the most popular approaches and the gaps in this discipline. To do so, a representative part of the literature consisting of 100 publications is classified based on different aspects such as ML family, location of PV systems, number of systems considered, features, etc. Via this classification, the main trends and gaps can be highlighted while offering advice to researchers interested in the topic.</w:t>
      </w:r>
    </w:p>
    <w:p>
      <w:pPr/>
      <w:r>
        <w:rPr>
          <w:b/>
        </w:rPr>
        <w:t>POSSIBLE 2020:</w:t>
      </w:r>
      <w:r>
        <w:t xml:space="preserve"> European Mortality Forecasts: Are the Targets Still Moving? — https://doi.org/10.1007/978-3-030-42472-5_9</w:t>
      </w:r>
    </w:p>
    <w:p>
      <w:pPr/>
      <w:r>
        <w:rPr>
          <w:b/>
        </w:rPr>
        <w:t>Shared claim-specific concepts:</w:t>
      </w:r>
      <w:r>
        <w:t xml:space="preserve"> forecasts, show, trends, life; EU scope visible. This is a provisional connection, not an outcome finding.</w:t>
      </w:r>
    </w:p>
    <w:p>
      <w:pPr>
        <w:pStyle w:val="SourceNote"/>
      </w:pPr>
      <w:r>
        <w:rPr>
          <w:b/>
        </w:rPr>
        <w:t>Available abstract (not full text):</w:t>
      </w:r>
      <w:r>
        <w:t xml:space="preserve"> Abstract Many statistical agencies routinely produce population forecasts, and revise these forecasts when new data become available, or when current demographic trends indicate that an update is necessary. When the forecaster strongly revises, from one forecast round to the next one, a forecast for a certain target year (for instance the life expectancy in 2050), this indicates large uncertainty connected to mortality predictions. The aim of this chapter is to shed more light on the uncertainty in mortality forecasts, by analysing the extent to which life expectancy predictions for 2030 and 2050 were revised in subsequent rounds of population forecasts published by statistical agencies in selected countries. It updates and extends earlier work that focused on United Nations and Eurostat forecasts published between 1994 and 2004 (Keilman et al. 2008). There the conclusion was that life expectancy forecasts for 18 European countries for the year 2050 had been revised upwards systematically, by around 2 years on average during the 10-year publication period. A recent analysis based on official population forecasts for Norway published in the period 1999–2018 led to the same conclusion (Keilman 2018). Here we will show that the period of upward revisions seems to have ended for some European countries.</w:t>
      </w:r>
    </w:p>
    <w:p>
      <w:pPr/>
      <w:r>
        <w:rPr>
          <w:b/>
        </w:rPr>
        <w:t>POSSIBLE 2020:</w:t>
      </w:r>
      <w:r>
        <w:t xml:space="preserve"> Trend Analysis and Forecasting of COVID-19 outbreak in India — https://doi.org/10.1101/2020.03.26.20044511</w:t>
      </w:r>
    </w:p>
    <w:p>
      <w:pPr/>
      <w:r>
        <w:rPr>
          <w:b/>
        </w:rPr>
        <w:t>Shared claim-specific concepts:</w:t>
      </w:r>
      <w:r>
        <w:t xml:space="preserve"> show, trends, world; EU scope not established. This is a provisional connection, not an outcome finding.</w:t>
      </w:r>
    </w:p>
    <w:p>
      <w:pPr>
        <w:pStyle w:val="SourceNote"/>
      </w:pPr>
      <w:r>
        <w:rPr>
          <w:b/>
        </w:rPr>
        <w:t>Available abstract (not full text):</w:t>
      </w:r>
      <w:r>
        <w:t xml:space="preserve"> A bstract COVID-19 is spreading really fast around the world. The current study describes the situation of the outbreak of this disease in India and predicts the number of cases expected to rise in India. The study also discusses the regional analysis of Indian states and presents the preparedness level of India in combating this outbreak. The study uses exploratory data analysis to report the current situation and uses time-series forecasting methods to predict the future trends. The data has been considered from the repository of John Hopkins University and covers up the time period from 30 th January 2020 when the first case occurred in India till the end of 24 th March 2020 when the Prime Minister of India declared a complete lockdown in the country for 21 days starting 25 th March 2020. The major findings show that number of infected cases in India is rising quickly with the average infected cases per day rising from 10 to 73 from the first case to the 300 th case. The current mortality rate for India stands around 1.9. Kerala and Maharashtra are the top two infected states in India with more than 100 infected cases reported in each state, respectively. A total of 25 states have reported at least one infected case, however only 8 of them have reported deaths due to COVID-19. The ARIMA model prediction shows that the infected cases in India may reach up to 700 thousands in </w:t>
      </w:r>
    </w:p>
    <w:p>
      <w:pPr>
        <w:pStyle w:val="Heading2"/>
      </w:pPr>
      <w:r>
        <w:t>695.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2021:</w:t>
      </w:r>
      <w:r>
        <w:t xml:space="preserve"> Overview of reported national greenhouse gas policies and measures in Europe in 2021 — https://doi.org/10.5281/zenodo.6020402</w:t>
      </w:r>
    </w:p>
    <w:p>
      <w:pPr/>
      <w:r>
        <w:rPr>
          <w:b/>
        </w:rPr>
        <w:t>Shared claim-specific concepts:</w:t>
      </w:r>
      <w:r>
        <w:t xml:space="preserve"> overview, national; EU scope visible. This is a provisional connection, not an outcome finding.</w:t>
      </w:r>
    </w:p>
    <w:p>
      <w:pPr>
        <w:pStyle w:val="SourceNote"/>
      </w:pPr>
      <w:r>
        <w:rPr>
          <w:b/>
        </w:rPr>
        <w:t>Available abstract (not full text):</w:t>
      </w:r>
      <w:r>
        <w:t xml:space="preserve"> Member States have to report every two years on their national greenhouse gas policies and measures. In 2021, EU Member States reported a total of 2 052 expired, existing and planned policies and measures. This is again a marked increase in the number of policies and measures reported by Member States, that partially can be explained by the implementation of the National Energy and Climate Plans. Quantitative evidence on the effectiveness and costs and benefits of these measures remains insufficiently reported.</w:t>
      </w:r>
    </w:p>
    <w:p>
      <w:pPr/>
      <w:r>
        <w:rPr>
          <w:b/>
        </w:rPr>
        <w:t>POSSIBLE 2020:</w:t>
      </w:r>
      <w:r>
        <w:t xml:space="preserve"> European Language Grid: An Overview — https://doi.org/10.48550/arxiv.2003.13551</w:t>
      </w:r>
    </w:p>
    <w:p>
      <w:pPr/>
      <w:r>
        <w:rPr>
          <w:b/>
        </w:rPr>
        <w:t>Shared claim-specific concepts:</w:t>
      </w:r>
      <w:r>
        <w:t xml:space="preserve"> overview, national, sectors; EU scope visible. This is a provisional connection, not an outcome finding.</w:t>
      </w:r>
    </w:p>
    <w:p>
      <w:pPr>
        <w:pStyle w:val="SourceNote"/>
      </w:pPr>
      <w:r>
        <w:rPr>
          <w:b/>
        </w:rPr>
        <w:t>Available abstract (not full text):</w:t>
      </w:r>
      <w:r>
        <w:t xml:space="preserve"> With 24 official EU and many additional languages, multilingualism in Europe and an inclusive Digital Single Market can only be enabled through Language Technologies (LTs). European LT business is dominated by hundreds of SMEs and a few large players. Many are world-class, with technologies that outperform the global players. However, European LT business is also fragmented, by nation states, languages, verticals and sectors, significantly holding back its impact. The European Language Grid (ELG) project addresses this fragmentation by establishing the ELG as the primary platform for LT in Europe. The ELG is a scalable cloud platform, providing, in an easy-to-integrate way, access to hundreds of commercial and non-commercial LTs for all European languages, including running tools and services as well as data sets and resources. Once fully operational, it will enable the commercial and non-commercial European LT community to deposit and upload their technologies and data sets into the ELG, to deploy them through the grid, and to connect with other resources. The ELG will boost the Multilingual Digital Single Market towards a thriving European LT community, creating new jobs and opportunities. Furthermore, the ELG project organises two open calls for up to 20 pilot projects. It also sets up 32 National Competence Centres (NCCs) and the European LT Council (LTC) for outreach and c</w:t>
      </w:r>
    </w:p>
    <w:p>
      <w:pPr/>
      <w:r>
        <w:rPr>
          <w:b/>
        </w:rPr>
        <w:t>POSSIBLE 2020:</w:t>
      </w:r>
      <w:r>
        <w:t xml:space="preserve"> Plant food anti-nutritional factors and their reduction strategies: an overview — https://doi.org/10.1186/s43014-020-0020-5</w:t>
      </w:r>
    </w:p>
    <w:p>
      <w:pPr/>
      <w:r>
        <w:rPr>
          <w:b/>
        </w:rPr>
        <w:t>Shared claim-specific concepts:</w:t>
      </w:r>
      <w:r>
        <w:t xml:space="preserve"> graphical, overview, factors; EU scope not established. This is a provisional connection, not an outcome finding.</w:t>
      </w:r>
    </w:p>
    <w:p>
      <w:pPr>
        <w:pStyle w:val="SourceNote"/>
      </w:pPr>
      <w:r>
        <w:rPr>
          <w:b/>
        </w:rPr>
        <w:t>Available abstract (not full text):</w:t>
      </w:r>
      <w:r>
        <w:t xml:space="preserve"> Abstract Legumes and cereals contain high amounts of macronutrients and micronutrients but also anti-nutritional factors. Major anti-nutritional factors, which are found in edible crops include saponins, tannins, phytic acid, gossypol, lectins, protease inhibitors, amylase inhibitor, and goitrogens. Anti-nutritional factors combine with nutrients and act as the major concern because of reduced nutrient bioavailability. Various other factors like trypsin inhibitors and phytates, which are present mainly in legumes and cereals, reduce the digestibility of proteins and mineral absorption. Anti-nutrients are one of the key factors, which reduce the bioavailability of various components of the cereals and legumes. These factors can cause micronutrient malnutrition and mineral deficiencies. There are various traditional methods and technologies, which can be used to reduce the levels of these anti-nutrient factors. Several processing techniques and methods such as fermentation, germination, debranning, autoclaving, soaking etc. are used to reduce the anti-nutrient contents in foods. By using various methods alone or in combinations, it is possible to reduce the level of anti-nutrients in foods. This review is focused on different types of anti-nutrients, and possible processing methods that can be used to reduce the level of these factors in food products. Graphical abstract A brief </w:t>
      </w:r>
    </w:p>
    <w:p>
      <w:pPr>
        <w:pStyle w:val="Heading2"/>
      </w:pPr>
      <w:r>
        <w:t>696.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Design and application of a key performance indicator (KPI) framework for autonomous shipping in Europe — https://doi.org/10.1016/j.martra.2023.100095</w:t>
      </w:r>
    </w:p>
    <w:p>
      <w:pPr/>
      <w:r>
        <w:rPr>
          <w:b/>
        </w:rPr>
        <w:t>Shared claim-specific concepts:</w:t>
      </w:r>
      <w:r>
        <w:t xml:space="preserve"> effect, key, systems; EU scope visible. This is a provisional connection, not an outcome finding.</w:t>
      </w:r>
    </w:p>
    <w:p>
      <w:pPr>
        <w:pStyle w:val="SourceNote"/>
      </w:pPr>
      <w:r>
        <w:rPr>
          <w:b/>
        </w:rPr>
        <w:t>Available abstract (not full text):</w:t>
      </w:r>
      <w:r>
        <w:t xml:space="preserve"> The European Union (EU) transport policy recognizes the importance of the waterborne transport systems as key elements for sustainable growth in Europe. By 2030, 30% of total road freight over 300 km should shift to rail or waterborne transport, and more than 50% by 2050. Thus far, this ambition has failed but there have been several project initiatives within the EU to address these issues. In one of these projects, we consider a new waterborne transport system for Europe that is green, robust, flexible, more automated and autonomous, and able to connect both rural and urban terminals. The purpose of this paper is to describe work and preliminary results from this project. To that effect, and in order to assess any solutions contemplated, a comprehensive set of Key Performance Indicators (KPIs) has been defined, and three specific use cases within Europe are examined and evaluated according to these KPIs. KPIs represent the criteria under which the set of solutions developed are evaluated, and also compared to non-autonomous solutions. They are grouped under economic, environmental and social KPIs. KPIs have been selected after a consultation process involving project partners and external Advisory Group members. Links to EU transport and other regulatory action are also discussed.</w:t>
      </w:r>
    </w:p>
    <w:p>
      <w:pPr/>
      <w:r>
        <w:rPr>
          <w:b/>
        </w:rPr>
        <w:t>POSSIBLE 2022:</w:t>
      </w:r>
      <w:r>
        <w:t xml:space="preserve"> European Citizens’ Happiness: Key Factors and the Mediating Effect of Quality of Life, a PLS Approach — https://doi.org/10.3390/math10030367</w:t>
      </w:r>
    </w:p>
    <w:p>
      <w:pPr/>
      <w:r>
        <w:rPr>
          <w:b/>
        </w:rPr>
        <w:t>Shared claim-specific concepts:</w:t>
      </w:r>
      <w:r>
        <w:t xml:space="preserve"> effect, key, population, increasing, show; EU scope visible. This is a provisional connection, not an outcome finding.</w:t>
      </w:r>
    </w:p>
    <w:p>
      <w:pPr>
        <w:pStyle w:val="SourceNote"/>
      </w:pPr>
      <w:r>
        <w:rPr>
          <w:b/>
        </w:rPr>
        <w:t>Available abstract (not full text):</w:t>
      </w:r>
      <w:r>
        <w:t xml:space="preserve"> Happiness is a very important aspect in the life and well-being of all citizens; as such, it has become a key factor in personal preferences. For these reasons, it is relevant to study what factors principally affect the happiness of the population. However, the difficulties involved in measuring this concept mean that there are no clear criteria as to which aspects should be promoted in order for citizens to achieve greater happiness. This paper uses variance-based structural equation modelling (SEM)—partial least squares path modelling (PLS)—to analyse the direct and indirect effects of European citizens’ assessment of different aspects of their city related to safety, environmental quality and urban planning on their happiness. The source of information used in this study is the Flash Eurobarometer 419 prepared by Eurostat in 2015, with a total of 9799 observations. The results show how quality of life, safety, the environment and city planning have a positive and significant influence on European citizens’ happiness, especially safety. In addition, quality of life acts as a mediating variable, primarily increasing the influence of urban planning on happiness. The findings of the study point to the relevant policies that governments should undertake to ensure the happiness of their citizens.</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effect, increasing, distribution, systems;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Assessing the energy potential of modernizing the European hydropower fleet — https://doi.org/10.1016/j.enconman.2021.114655</w:t>
      </w:r>
    </w:p>
    <w:p>
      <w:pPr/>
      <w:r>
        <w:rPr>
          <w:b/>
        </w:rPr>
        <w:t>Shared claim-specific concepts:</w:t>
      </w:r>
      <w:r>
        <w:t xml:space="preserve"> increasing, expected, potential; EU scope visible. This is a provisional connection, not an outcome finding.</w:t>
      </w:r>
    </w:p>
    <w:p>
      <w:pPr>
        <w:pStyle w:val="SourceNote"/>
      </w:pPr>
      <w:r>
        <w:rPr>
          <w:b/>
        </w:rPr>
        <w:t>Available abstract (not full text):</w:t>
      </w:r>
      <w:r>
        <w:t xml:space="preserve"> About 50% of all hydropower plants (HPPs) worldwide were originally commissioned more than 40 years ago, so that the advanced age of the fleet is a major concern across all continents, and especially in Europe. The modernization of HPPs can generate several benefits in terms of generation, flexibility, safety, operation, and may have neutral or even positive implications for the environment. In this work, we appraise several options for the modernization of existing plants, with the exclusion of measures expected to increase the hydro-morphological pressure on water bodies (e.g. increase of withdrawals or new parallel waterways): dam heightening, head loss reduction in waterways, increase of weighted efficiency of electro-mechanical equipment, digitalization and inflow forecast, and floating photovoltaic (evaporation reduction). We provide an indicative estimation of the additional power and annual generation that could be obtained compared to the current condition. We estimate that the overall energy generation could be increased by 8.4% for European Union and 9.4% for the whole Europe by implementing the above-mentioned strategies. The additional energy gain achievable by increasing the inflow was discussed but not included in the above mentioned overall indicator, because it is very site-specific. The additional energy storage achievable by reservoir interconnection and coor</w:t>
      </w:r>
    </w:p>
    <w:p>
      <w:pPr/>
      <w:r>
        <w:rPr>
          <w:b/>
        </w:rPr>
        <w:t>POSSIBLE 2021:</w:t>
      </w:r>
      <w:r>
        <w:t xml:space="preserve"> HIV seroprevalence in five key populations in Europe: a systematic literature review, 2009 to 2019 — https://doi.org/10.2807/1560-7917.es.2021.26.47.2100044</w:t>
      </w:r>
    </w:p>
    <w:p>
      <w:pPr/>
      <w:r>
        <w:rPr>
          <w:b/>
        </w:rPr>
        <w:t>Shared claim-specific concepts:</w:t>
      </w:r>
      <w:r>
        <w:t xml:space="preserve"> key, population, systems; EU scope visible. This is a provisional connection, not an outcome finding.</w:t>
      </w:r>
    </w:p>
    <w:p>
      <w:pPr>
        <w:pStyle w:val="SourceNote"/>
      </w:pPr>
      <w:r>
        <w:rPr>
          <w:b/>
        </w:rPr>
        <w:t>Available abstract (not full text):</w:t>
      </w:r>
      <w:r>
        <w:t xml:space="preserve"> BackgroundIn Europe, HIV disproportionately affects men who have sex with men (MSM), people who inject drugs (PWID), prisoners, sex workers, and transgender people. Epidemiological data are primarily available from national HIV case surveillance systems that rarely capture information on sex work, gender identity or imprisonment. Surveillance of HIV prevalence in key populations often occurs as independent studies with no established mechanism for collating such information at the European level.AimWe assessed HIV prevalence in MSM, PWID, prisoners, sex workers, and transgender people in the 30 European Union/European Economic Area countries and the United Kingdom.MethodsWe conducted a systematic literature review of peer-reviewed studies published during 2009-19, by searching PubMed, Embase and the Cochrane Library. Data are presented in forest plots by country, as simple prevalence or pooled across multiple studies.ResultsEighty-seven country- and population-specific studies were identified from 23 countries. The highest number of studies, and the largest variation in HIV prevalence, were identified for MSM, ranging from 2.4-29.0% (19 countries) and PWID, from 0.0-59.5% (13 countries). Prevalence ranged from 0.0-15.6% in prisoners (nine countries), 1.1-8.5% in sex workers (five countries) and was 10.9% in transgender people (one country). Individuals belonging to several key </w:t>
      </w:r>
    </w:p>
    <w:p>
      <w:pPr>
        <w:pStyle w:val="Heading2"/>
      </w:pPr>
      <w:r>
        <w:t>697.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pStyle w:val="Heading2"/>
      </w:pPr>
      <w:r>
        <w:t>698.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r>
        <w:rPr>
          <w:b/>
        </w:rPr>
        <w:t>POSSIBLE 2021:</w:t>
      </w:r>
      <w:r>
        <w:t xml:space="preserve"> Large Shareholder Portfolio Diversification and Voluntary Disclosure* — https://doi.org/10.1111/1911-3846.12707</w:t>
      </w:r>
    </w:p>
    <w:p>
      <w:pPr/>
      <w:r>
        <w:rPr>
          <w:b/>
        </w:rPr>
        <w:t>Shared claim-specific concepts:</w:t>
      </w:r>
      <w:r>
        <w:t xml:space="preserve"> relying, diversified, portfolio, benefit; EU scope not established. This is a provisional connection, not an outcome finding.</w:t>
      </w:r>
    </w:p>
    <w:p>
      <w:pPr>
        <w:pStyle w:val="SourceNote"/>
      </w:pPr>
      <w:r>
        <w:rPr>
          <w:b/>
        </w:rPr>
        <w:t>Available abstract (not full text):</w:t>
      </w:r>
      <w:r>
        <w:t xml:space="preserve"> ABSTRACT Although large shareholders have sufficient influence to engage privately with management, extant literature provides inconclusive evidence on the relation between large equity positions and corporate disclosure. This study examines whether large shareholders' portfolio diversification affects voluntary corporate disclosure. We define diversification as the extent to which investors spread investments among portfolio stocks. We predict that holding a diversified portfolio deters large shareholders from incurring the costs of private information gathering about a portfolio firm. We document that firms provide more voluntary disclosure when their large shareholders hold a more diversified portfolio, consistent with investors relying more on public disclosure about portfolio firms when their portfolio diversification is higher. Evidence from cross‐sectional analyses suggests that, as predicted, the positive relation between portfolio diversification and voluntary disclosure is weaker as the net benefit of acquiring private information increases for large shareholders (i.e., when portfolio firms are more connected, have alternative information channels, or are more complex). Overall, our results suggest that diversified large shareholders' preference for a richer public disclosure environment creates a positive externality of lowering the information costs for external sta</w:t>
      </w:r>
    </w:p>
    <w:p>
      <w:pPr>
        <w:pStyle w:val="Heading2"/>
      </w:pPr>
      <w:r>
        <w:t>699.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2023:</w:t>
      </w:r>
      <w:r>
        <w:t xml:space="preserve"> The Drivers of Emission Reductions in the European Carbon Market — https://openalex.org/W7111538042</w:t>
      </w:r>
    </w:p>
    <w:p>
      <w:pPr/>
      <w:r>
        <w:rPr>
          <w:b/>
        </w:rPr>
        <w:t>Shared claim-specific concepts:</w:t>
      </w:r>
      <w:r>
        <w:t xml:space="preserve"> find, emission, reductions, dominant, also; EU scope visible. This is a provisional connection, not an outcome finding.</w:t>
      </w:r>
    </w:p>
    <w:p>
      <w:pPr>
        <w:pStyle w:val="SourceNote"/>
      </w:pPr>
      <w:r>
        <w:rPr>
          <w:b/>
        </w:rPr>
        <w:t>Available abstract (not full text):</w:t>
      </w:r>
      <w:r>
        <w:t xml:space="preserve"> This paper studies the drivers of emission reductions in the carbon market of the European Union Emission Trading System (EU ETS) since its inception in 2005. We introduce a novel empirical framework that facilitates the joint identification of simultaneous demand and supply shocks underlying the European carbon market. We find that emission supply restrictions of the EU ETS were the dominant driver of emissions reductions, reducing emissions by 46%. However we also find that two opposing emission demand factors also played an important role. Demand from industrial economic activity increased emissions by 15%, while other demand-side factors, primarily reflecting the transition to low-carbon economies, reduced emissions by 21%.</w:t>
      </w:r>
    </w:p>
    <w:p>
      <w:pPr/>
      <w:r>
        <w:rPr>
          <w:b/>
        </w:rPr>
        <w:t>POSSIBLE 2023:</w:t>
      </w:r>
      <w:r>
        <w:t xml:space="preserve"> Emissions savings from equitable energy demand reduction — https://doi.org/10.1038/s41560-023-01283-y</w:t>
      </w:r>
    </w:p>
    <w:p>
      <w:pPr/>
      <w:r>
        <w:rPr>
          <w:b/>
        </w:rPr>
        <w:t>Shared claim-specific concepts:</w:t>
      </w:r>
      <w:r>
        <w:t xml:space="preserve"> reductions, energy, transport, climate; EU scope visible. This is a provisional connection, not an outcome finding.</w:t>
      </w:r>
    </w:p>
    <w:p>
      <w:pPr>
        <w:pStyle w:val="SourceNote"/>
      </w:pPr>
      <w:r>
        <w:rPr>
          <w:b/>
        </w:rPr>
        <w:t>Available abstract (not full text):</w:t>
      </w:r>
      <w:r>
        <w:t xml:space="preserve"> Abstract Energy demand reduction (EDR) will be required to reach climate targets in the Global North. To be compatible with just transitions principles, EDR needs to be equitable. Equitable EDR may involve targeting high energy users while ensuring the satisfaction of needs for all, which could require increasing consumption of low users. Emissions impacts of equitable EDR approaches have not yet been assessed. This Article finds that capping energy use of the top quintile of consumers across 27 European countries can achieve considerable greenhouse gas emissions reductions of 11.4% from domestic energy, 16.8% from transport and 9.7% from total energy consumption. Increasing consumption of low energy users in poverty reduces these savings by only 1.2, 0.9 and 1.4 percentage points, respectively. Additional high annual emissions cuts of 7.3–24.0% would be required for Europe to meet globally equitable 2050 emissions budgets. Equitable EDR could make an important contribution to increasing public acceptance of such transformative action.</w:t>
      </w:r>
    </w:p>
    <w:p>
      <w:pPr/>
      <w:r>
        <w:rPr>
          <w:b/>
        </w:rPr>
        <w:t>POSSIBLE 2023:</w:t>
      </w:r>
      <w:r>
        <w:t xml:space="preserve"> Identifying and Monitoring Priority Areas for Methane Emissions Reduction — https://doi.org/10.1596/1813-9450-10391</w:t>
      </w:r>
    </w:p>
    <w:p>
      <w:pPr/>
      <w:r>
        <w:rPr>
          <w:b/>
        </w:rPr>
        <w:t>Shared claim-specific concepts:</w:t>
      </w:r>
      <w:r>
        <w:t xml:space="preserve"> dominant, but, also; EU scope visible. This is a provisional connection, not an outcome finding.</w:t>
      </w:r>
    </w:p>
    <w:p>
      <w:pPr>
        <w:pStyle w:val="SourceNote"/>
      </w:pPr>
      <w:r>
        <w:rPr>
          <w:b/>
        </w:rPr>
        <w:t>Available abstract (not full text):</w:t>
      </w:r>
      <w:r>
        <w:t xml:space="preserve"> This paper identifies high-priority areas for methane emissions reduction and estimates recent emissions changes in those areas using atmospheric concentration data from the European Space Agency’s Sentinel-5P satellite platform. The modeling approach is illustrated with three case studies: landfills in Spain (Madrid), irrigated rice production in India (Karnal district, Haryana state), and oil production in Iraq (Al Amarah district, Maysan governorate). For each case, the paper estimates two change models by fixed effects: the monthly trend in methane concentration from January 2019 to November 2022, and the difference between mean concentration in 2022 and the previous three years. The paper estimates the change models for 775 high-priority areas and finds that cases with decreasing methane emissions are outnumbered four to one by cases with increasing emissions. The paper also analyzes trends in high-priority areas for seven major methane source sectors (agricultural soils, livestock, gas, oil, coal, landfills, and wastewater) and finds only two where emissions decreases outnumber increases (gas and oil). Among World Bank income groups, decreases outnumber increases in high-income economies but increases are hugely dominant in the other three groups. The paper concludes with a presentation of summary emissions trend reports for all 775 high-priority areas, with accompanying </w:t>
      </w:r>
    </w:p>
    <w:p>
      <w:pPr/>
      <w:r>
        <w:rPr>
          <w:b/>
        </w:rPr>
        <w:t>POSSIBLE 2022:</w:t>
      </w:r>
      <w:r>
        <w:t xml:space="preserve"> An econometric analysis of the potential emission reduction components in Indonesia — https://doi.org/10.1016/j.clpl.2022.100008</w:t>
      </w:r>
    </w:p>
    <w:p>
      <w:pPr/>
      <w:r>
        <w:rPr>
          <w:b/>
        </w:rPr>
        <w:t>Shared claim-specific concepts:</w:t>
      </w:r>
      <w:r>
        <w:t xml:space="preserve"> emission, energy, lead, climate; EU scope not established. This is a provisional connection, not an outcome finding.</w:t>
      </w:r>
    </w:p>
    <w:p>
      <w:pPr>
        <w:pStyle w:val="SourceNote"/>
      </w:pPr>
      <w:r>
        <w:rPr>
          <w:b/>
        </w:rPr>
        <w:t>Available abstract (not full text):</w:t>
      </w:r>
      <w:r>
        <w:t xml:space="preserve"> Emissions reduction and increasing environmental quality have become a global concern to ensure sustainable development and mitigate the negative impacts of global warming and climate change. However, there is a scarcity of research exploring the potential of emission reduction components by using econometric approaches. Thus, the present study investigated the role of economic growth, fossil fuel energy use, renewable energy use, technological innovation, agricultural productivity, and forested area to achieve environmental sustainability by reducing carbon dioxide emissions in Indonesia. Time series data from 1990 to 2020 were utilized by applying the Dynamic Ordinary Least Squares method. The empirical findings revealed that a 1% increase in economic growth and fossil fuel energy use will increase carbon dioxide emissions by 0.36% and 0.67% in Indonesia. Conversely, a 1% increase in renewable energy use, technological innovation, agricultural productivity, and the forested area may lead to carbon dioxide emissions reduction by 0.11%, 0.07%, 0.24%, and 2.87%, respectively in the long run. This article put forward policy recommendations in the areas of low-carbon economy, promoting renewable energy use, financing technological innovation, climate-smart agriculture, and sustainable forest management which would ensure environmental sustainability by reducing emissions in Indone</w:t>
      </w:r>
    </w:p>
    <w:p>
      <w:pPr/>
      <w:r>
        <w:rPr>
          <w:b/>
        </w:rPr>
        <w:t>POSSIBLE 2022:</w:t>
      </w:r>
      <w:r>
        <w:t xml:space="preserve"> Improved monitoring of shipping NO 2 with TROPOMI: decreasing NO x emissions in European seas during the COVID-19 pandemic — https://doi.org/10.5194/amt-15-1415-2022</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Abstract. TROPOMI measurements of tropospheric NO2 columns provide powerful information on emissions of air pollution by ships on open sea. This information is potentially useful for authorities to help determine the (non-)compliance of ships with increasingly stringent NOx emission regulations. We find that the information quality is improved further by recent upgrades in the TROPOMI cloud retrieval and an optimal data selection. We show that the superior spatial resolution of TROPOMI allows the detection of several lanes of NO2 pollution ranging from the Aegean Sea near Greece to the Skagerrak in Scandinavia, which have not been detected with other satellite instruments before. Additionally, we demonstrate that under conditions of sun glint TROPOMI's vertical sensitivity to NO2 in the marine boundary layer increases by up to 60 %. The benefits of sun glint are most prominent under clear-sky situations when sea surface winds are low, but slightly above zero (±2 m/s). Beyond spatial resolution and sun glint, we examine for the first time the impact of the recently improved cloud algorithm on the TROPOMI NO2 retrieval quality, both over sea and over land. We find that the new FRESCO+wide algorithm leads to 50 hPa lower cloud pressures, correcting a known high bias, and produces 1–4·1015 molec/cm2 higher retrieved NO2 columns, thereby at least partially correcting for the previou</w:t>
      </w:r>
    </w:p>
    <w:p>
      <w:pPr/>
      <w:r>
        <w:rPr>
          <w:b/>
        </w:rPr>
        <w:t>POSSIBLE 2021:</w:t>
      </w:r>
      <w:r>
        <w:t xml:space="preserve"> Impact of SOx, NOx and NH3 emission reductions on PM2.5 concentrations across Europe: Hints for future measure development — https://doi.org/10.1016/j.envint.2021.106699</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Given the remaining air quality issues in many European regions, smart air quality strategies are necessary to reduce the burden of poor air quality. While designing effective strategies for non-reactive primary pollutants is straightforward, this is not the case for secondary pollutants for which the relationship between emission changes and the resulting concentration changes can be nonlinear. Under such conditions, strategies targeting the largest emitting sources might not be the most effective. In this work, we provide elements to better understand the role of the main emission precursors (SO2, NOx, NH3) on the formation of secondary inorganic aerosols. By quantifying the PM2.5 sensitivity to emission reductions for each of these three precursors, we define and quantify the intensity of PM2.5 formation chemical regimes across Europe. We find that for emission reductions limited to 25%, the relation between emission and PM concentration changes remain mostly linear, with the exception of the Po Valley where non-linearities reach more than 30% in winter. When emission reductions increase to 50%, non-linearity reaches more than 60% in the Po Valley but stay below 30% in the rest of Europe. In terms of implications on abatement strategies, our findings can be summarized in the following key messages: (1) reducing SO2 emissions where abundant is always efficient (e.g. eastern E</w:t>
      </w:r>
    </w:p>
    <w:p>
      <w:pPr/>
      <w:r>
        <w:rPr>
          <w:b/>
        </w:rPr>
        <w:t>POSSIBLE 2021:</w:t>
      </w:r>
      <w:r>
        <w:t xml:space="preserve"> Pricing carbon in the aviation sector: Evidence from the European emissions trading system — https://doi.org/10.1016/j.jeem.2021.102591</w:t>
      </w:r>
    </w:p>
    <w:p>
      <w:pPr/>
      <w:r>
        <w:rPr>
          <w:b/>
        </w:rPr>
        <w:t>Shared claim-specific concepts:</w:t>
      </w:r>
      <w:r>
        <w:t xml:space="preserve"> find, emission, sector, transport, but, also; EU scope visible. This is a provisional connection, not an outcome finding.</w:t>
      </w:r>
    </w:p>
    <w:p>
      <w:pPr>
        <w:pStyle w:val="SourceNote"/>
      </w:pPr>
      <w:r>
        <w:rPr>
          <w:b/>
        </w:rPr>
        <w:t>Available abstract (not full text):</w:t>
      </w:r>
      <w:r>
        <w:t xml:space="preserve"> A policy change in the European Union's Emissions Trading Scheme (EU ETS) provides us with a unique opportunity to measure the impact of carbon pricing on aviation, the most climate-intensive mode of transport. We implement a difference-in-differences strategy on a sample based on all flights within Europe from 2010 to 2016 to examine the causal impact of the EU ETS on emissions and supply. We find that the EU ETS reduced emissions by 4.7% in the regulated routes relative to the counterfactual. When we restrict the sample to short-haul flights, routes on which competition from other means of transport may exist (less than 1,000 km), the reduction in emissions is 10.7%. Finally, the reduction in emissions is also high for low-cost airlines (−11%) but it is not statistically significant for network airlines. In sum, the EU ETS has helped to mitigate emission growth by 3 Mt CO2 per year during the period analyzed, but not to reduce absolute emissions in the sector, as needed.</w:t>
      </w:r>
    </w:p>
    <w:p>
      <w:pPr/>
      <w:r>
        <w:rPr>
          <w:b/>
        </w:rPr>
        <w:t>POSSIBLE 2021:</w:t>
      </w:r>
      <w:r>
        <w:t xml:space="preserve"> Decoupling of urban CO 2 and air pollutant emission reductions during the European SARS-CoV-2 lockdown — https://doi.org/10.5194/acp-21-3091-2021</w:t>
      </w:r>
    </w:p>
    <w:p>
      <w:pPr/>
      <w:r>
        <w:rPr>
          <w:b/>
        </w:rPr>
        <w:t>Shared claim-specific concepts:</w:t>
      </w:r>
      <w:r>
        <w:t xml:space="preserve"> find, emission, reductions, energy, long-term, mitigation; EU scope visible. This is a provisional connection, not an outcome finding.</w:t>
      </w:r>
    </w:p>
    <w:p>
      <w:pPr>
        <w:pStyle w:val="SourceNote"/>
      </w:pPr>
      <w:r>
        <w:rPr>
          <w:b/>
        </w:rPr>
        <w:t>Available abstract (not full text):</w:t>
      </w:r>
      <w:r>
        <w:t xml:space="preserve"> Abstract. Lockdown and the associated massive reduction in people’s mobility imposed by SARS-CoV-2 mitigation measures across the globe provide a unique sensitivity experiment to investigate impacts on carbon and air pollution emissions. We present an integrated observational analysis based on long-term in-situ multispecies eddy flux measurements, allowing to quantify near real time changes of urban surface emissions for key air quality and climate tracers. During the first European SARS-CoV-2 wave we find that the emission reduction of classic air pollutants decoupled from CO2 and was significantly larger. These differences can only be rationalized by the different nature of urban combustion sources, and point towards a systematic bias of extrapolated urban NOx emissions in state-of the art emission models. The analysis suggests that European policies, shifting residential, public and commercial energy demand towards cleaner combustion, have helped to improve air quality more than expected, and that the urban NOx flux remains to be dominated (e.g. &gt; 90 %) by traffic.</w:t>
      </w:r>
    </w:p>
    <w:p>
      <w:pPr/>
      <w:r>
        <w:rPr>
          <w:b/>
        </w:rPr>
        <w:t>POSSIBLE 2020:</w:t>
      </w:r>
      <w:r>
        <w:t xml:space="preserve"> The European Union Emissions Trading System reduced CO 2 emissions despite low prices — https://doi.org/10.1073/pnas.1918128117</w:t>
      </w:r>
    </w:p>
    <w:p>
      <w:pPr/>
      <w:r>
        <w:rPr>
          <w:b/>
        </w:rPr>
        <w:t>Shared claim-specific concepts:</w:t>
      </w:r>
      <w:r>
        <w:t xml:space="preserve"> find, emission, reductions; EU scope visible. This is a provisional connection, not an outcome finding.</w:t>
      </w:r>
    </w:p>
    <w:p>
      <w:pPr>
        <w:pStyle w:val="SourceNote"/>
      </w:pPr>
      <w:r>
        <w:rPr>
          <w:b/>
        </w:rPr>
        <w:t>Available abstract (not full text):</w:t>
      </w:r>
      <w:r>
        <w:t xml:space="preserve"> International carbon markets are an appealing and increasingly popular tool to regulate carbon emissions. By putting a price on carbon, carbon markets reshape incentives faced by firms and reduce the value of emissions. How effective are carbon markets? Observers have tended to infer their effectiveness from market prices. The general belief is that a carbon market needs a high price in order to reduce emissions. As a result, many observers remain skeptical of initiatives such as the European Union Emissions Trading System (EU ETS), whose price remained low (compared to the social cost of carbon). In this paper, we assess whether the EU ETS reduced [Formula: see text] emissions despite low prices. We motivate our study by documenting that a carbon market can be effective if it is a credible institution that can plausibly become more stringent in the future. In such a case, firms might cut emissions even though market prices are low. In fact, low prices can be a signal that the demand for carbon permits weakens. Thus, low prices are compatible with successful carbon markets. To assess whether the EU ETS reduced carbon emissions even as permits were cheap, we estimate counterfactual carbon emissions using an original sectoral emissions dataset. We find that the EU ETS saved about 1.2 billion tons of [Formula: see text] between 2008 and 2016 (3.8%) relative to a world without carb</w:t>
      </w:r>
    </w:p>
    <w:p>
      <w:pPr/>
      <w:r>
        <w:rPr>
          <w:b/>
        </w:rPr>
        <w:t>POSSIBLE 2020:</w:t>
      </w:r>
      <w:r>
        <w:t xml:space="preserve"> The role of woody biomass for reduction of fossil GHG emissions in the future North European energy sector — https://doi.org/10.1016/j.apenergy.2020.115360</w:t>
      </w:r>
    </w:p>
    <w:p>
      <w:pPr/>
      <w:r>
        <w:rPr>
          <w:b/>
        </w:rPr>
        <w:t>Shared claim-specific concepts:</w:t>
      </w:r>
      <w:r>
        <w:t xml:space="preserve"> find, emission, reductions, energy, sector, transport; EU scope visible. This is a provisional connection, not an outcome finding.</w:t>
      </w:r>
    </w:p>
    <w:p>
      <w:pPr>
        <w:pStyle w:val="SourceNote"/>
      </w:pPr>
      <w:r>
        <w:rPr>
          <w:b/>
        </w:rPr>
        <w:t>Available abstract (not full text):</w:t>
      </w:r>
      <w:r>
        <w:t xml:space="preserve"> In this study, we analyse the use of woody biomass in the heat and power sector in Northern Europe towards 2040 and quantify the fossil GHG-emission reductions from biomass use at different carbon price levels. The applied partial equilibrium energy system model has endogenous capacity investments in relevant heat and power technologies. The results show that use of woody biomass can reduce the direct emissions from the Northern European power and heat sector by 4–27% for carbon prices in the range of 5–103 €/tonne CO2eq in 2030 compared to a scenario where woody biomass is not available for power and heat generation. The cost of delivering heat and electricity increases with 0.2–0.7% when wood chips are excluded, depending on the carbon price. At a low carbon price, the use of natural gas, wind, and coal power generation increases when biomass is not available for power and heat generation. At higher carbon prices, solar power, wind power, power-to-heat, and natural gas become increasingly competitive, and therefore the use of biomass has a lower impact on emission reductions. Using the same biomass volumes for liquid transport fuel, we find a higher impact on fossil carbon emission reductions but substantially higher costs. The main conclusion from this study is that woody biomass contribution to lowering the fossil emission from heat and power generation in the Northern Euro</w:t>
      </w:r>
    </w:p>
    <w:p>
      <w:pPr>
        <w:pStyle w:val="Heading2"/>
      </w:pPr>
      <w:r>
        <w:t>700.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r>
        <w:rPr>
          <w:b/>
        </w:rPr>
        <w:t>POSSIBLE 2025:</w:t>
      </w:r>
      <w:r>
        <w:t xml:space="preserve"> Supply and Demand Situation and Development Pathway of China's Green Electricity and Green Certificate Markets — https://doi.org/10.1007/978-981-96-2042-5_27</w:t>
      </w:r>
    </w:p>
    <w:p>
      <w:pPr/>
      <w:r>
        <w:rPr>
          <w:b/>
        </w:rPr>
        <w:t>Shared claim-specific concepts:</w:t>
      </w:r>
      <w:r>
        <w:t xml:space="preserve"> electricity, pathway;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Pathways for Net-Zero: How Future Electricity Demand Shapes India’s Power Sector Decarbonization Strategies — https://doi.org/10.2139/ssrn.5964754</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pStyle w:val="Heading2"/>
      </w:pPr>
      <w:r>
        <w:t>701.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2024:</w:t>
      </w:r>
      <w:r>
        <w:t xml:space="preserve"> The European Union and the Wider Europe — https://doi.org/10.1017/9781009230322.017</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Union Law — https://doi.org/10.1017/9781009230322</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Integration and the Treaties on European Union — https://doi.org/10.1017/9781009230322.008</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2023:</w:t>
      </w:r>
      <w:r>
        <w:t xml:space="preserve"> Economic Interdependence between Norway and The European Union Compared to Switzerland and The European Union — https://doi.org/10.34010/gpsjournal.v7i1.8697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Norway and Switzerland have a history of being part of the European Union (EU) and eventually opting out. Though, as a part of the European Economic Area allows Norway to integrate and participate with the EU’s single market. Similarly, Switzerland can participate in and access the European single market through a set of bilateral agreements with the EU. Consequently, both countries must accept a set of rules by the EU. This paper aims to compare and examine the bilateral relations maintained between Norway and the EU compared to Switzerland and the EU in the field of economic cooperation namely the trade and investment sectors in the aftermath of the financial crisis. This paper incorporates two types of analysis. The first part uses quantitative methods of descriptive statistical analysis and is followed by strength, weakness, opportunities, and threat (SWOT) analysis. This paper demonstrates that the bilateral relations between Norway and the EU as well as for Switzerland and the EU have created conditions of interdependence for both the EU and its partners, namely, Norway and Switzerland. Keywords— European Union, Interdependence, Norway, Switzerland</w:t>
      </w:r>
    </w:p>
    <w:p>
      <w:pPr/>
      <w:r>
        <w:rPr>
          <w:b/>
        </w:rPr>
        <w:t>POSSIBLE 2022:</w:t>
      </w:r>
      <w:r>
        <w:t xml:space="preserve"> The cultural policy of the European Union — https://doi.org/10.4337/9781800375932.00021</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study reviews the development of EU cultural policy over the past decades. It sets out its foundations in the Treaty on European Union and the Treaty on the Functioning of the European Union, and the role of the EU's various institutions. It assesses the consecutive generations of programmes such as Ariane, Kaleidoscope and Raphael, the European Capital of Culture, the Culture 2000 Programme and its successors, and the Creative Europe Programme (2014 to 2020). The impact of the UNESCO Convention on Cultural Diversity is covered as well. The author concludes that the Union still regards cultural policy mainly as a means to further integration. Although, by now the identity building function of EU cultural policy became less manifest, the different cultural programmes follow a much more comprehensive set of goals. However, some inherent aspects of cultural diversity are still not tackled properly, especially the problem of ethnic minorities.</w:t>
      </w:r>
    </w:p>
    <w:p>
      <w:pPr/>
      <w:r>
        <w:rPr>
          <w:b/>
        </w:rPr>
        <w:t>POSSIBLE 2022:</w:t>
      </w:r>
      <w:r>
        <w:t xml:space="preserve"> Gender Mainstreaming the European Union Energy Transition — https://doi.org/10.3390/en15218087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2021:</w:t>
      </w:r>
      <w:r>
        <w:t xml:space="preserve"> The European Union and Yemen — https://doi.org/10.4324/9780429317873-38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Yemen is one of the most volatile countries in the Middle East not least as the site of a conflict which has claimed thousands of lives and caused humanitarian catastrophe. Despite this, the country has always occupied a marginal place in the foreign policy of the European Union (EU). This chapter will provide an overview of EU–Yemeni relations since the formation of the modern Republic of Yemen in 1990 with a focus on policies of the Union in the areas of development and political reform as set out in the Country Strategy Paper. It will then examine the role played by the EU in response to the 2011 uprising and in the transitional period that followed, in particular in relation to the National Dialogue Conference. Finally, the chapter will examine the response of the EU to the conflict that has devastated the country since 2015 and, especially, European efforts to mediate between the warring parties. The chapter will examine the extent to which the efforts of the EU have been undermined by the sometimes divergent interests of individual Member States in the region more broadly. It will conclude with a reflection on the possible future course of EU–Yemeni relations.</w:t>
      </w:r>
    </w:p>
    <w:p>
      <w:pPr/>
      <w:r>
        <w:rPr>
          <w:b/>
        </w:rPr>
        <w:t>POSSIBLE 2021:</w:t>
      </w:r>
      <w:r>
        <w:t xml:space="preserve"> Diplomatic service of the European Union — https://doi.org/10.37772/2309-9275-2021-2(17)-3</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Problem setting. Today the European Union interacts with the whole world and represents the interests and values of the European community far beyond one continent. Carrying out such activities provides for the existence of effective institutions for its implementation, which today are the European External Action Service and the European Uniondelegations around the world. It significantly differs from the classical manifestations of diplomacy, which determines the relevance of research into the establishment and development of the European Union diplomatic service. Moreover, understanding the process of formation and features of European Union diplomacy is interesting for domestic researchers of European Union law given the pro-European aspirations of Ukraine. Analysis of recent researches and publications. Certain aspects of this topic have been studied by suchdomesticscientistsas F. Baranovsky, M. Hnatyuk, O. Grinenko, O. Gladenko, M. Entin, O. Opanasyuk-Radlinska, E. Ryaboshtan, D. Tkachenko, O. Turchenko, Y.Sergienko, V. Streltsova, G. Utko, O. Fisun, V. Tsivaty, V. Shamraeva, O. Shapovalova, etc. Target of research is to research the basic preconditions and features of the establishment and development of the European Union diplomatic service and its functioning in today’s conditions. Article’s main body. The article is devoted to the study of the main prerequisites and f</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union, out, other, hand;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European Union — https://doi.org/10.1017/9781839700507.019</w:t>
      </w:r>
    </w:p>
    <w:p>
      <w:pPr/>
      <w:r>
        <w:rPr>
          <w:b/>
        </w:rPr>
        <w:t>Shared claim-specific concepts:</w:t>
      </w:r>
      <w:r>
        <w:t xml:space="preserve"> union, set, out, periods, before; EU scope visible. This is a provisional connection, not an outcome finding.</w:t>
      </w:r>
    </w:p>
    <w:p>
      <w:pPr>
        <w:pStyle w:val="SourceNote"/>
      </w:pPr>
      <w:r>
        <w:rPr>
          <w:b/>
        </w:rPr>
        <w:t>Available abstract (not full text):</w:t>
      </w:r>
      <w:r>
        <w:t xml:space="preserve"> INTRODUCTION As concerns the issue of limitation periods on claims in tort, there are three dimensions in EU law. First, limitation of claims brought against the EU itself has been regulated. This is the primary subject matter of the present report. Second, in striving to harmonise national laws and ensure the functioning of the common market, the EU enacts directives requiring the implementation of specified regulations into domestic law. At times these directives concern tort law, and make reference in some scope to the issue of limitation periods. Third, the issue of expiry of claims appears in conjunction with the liability of a Member State for damage caused by a violation of EU law; such liability is subject to a mixed set of regulations, both national and European. The second and third issues are the focus of the last fragment of the report. DEFINITION OF PRESCRIPTION Expiry of a claim for damages against the EU 1 is regulated in art 46 of the Statute of the Court of Justice of the European Union. Article 46 Proceedings against the Union in matters arising from non-contractual liability shall be barred after a period of five years from the occurrence of the event giving rise thereto. The period of limitation shall be interrupted if proceedings are instituted before the Court of Justice or if prior to such proceedings an application is made by the aggrieved party to the r</w:t>
      </w:r>
    </w:p>
    <w:p>
      <w:pPr/>
      <w:r>
        <w:rPr>
          <w:b/>
        </w:rPr>
        <w:t>POSSIBLE 2020:</w:t>
      </w:r>
      <w:r>
        <w:t xml:space="preserve"> Policies for transitioning towards a circular economy: Expectations from the European Union (EU) — https://doi.org/10.1016/j.resconrec.2019.104634</w:t>
      </w:r>
    </w:p>
    <w:p>
      <w:pPr/>
      <w:r>
        <w:rPr>
          <w:b/>
        </w:rPr>
        <w:t>Shared claim-specific concepts:</w:t>
      </w:r>
      <w:r>
        <w:t xml:space="preserve"> union, set, out, hand; EU scope visible. This is a provisional connection, not an outcome finding.</w:t>
      </w:r>
    </w:p>
    <w:p>
      <w:pPr>
        <w:pStyle w:val="SourceNote"/>
      </w:pPr>
      <w:r>
        <w:rPr>
          <w:b/>
        </w:rPr>
        <w:t>Available abstract (not full text):</w:t>
      </w:r>
      <w:r>
        <w:t xml:space="preserve"> The circular economy is a much discussed pathway towards sustainability. While some scholarly work has been carried out on barriers towards a circular economy, there are relatively few academic studies on policies that may accelerate a transition towards a circular economy. Those that focus on policies mostly scrutinize existing policies. The study at hand utilizes data from semi-structured interviews with 47 public and private sector circular economy experts from the European Union to explore expectations regarding circular economy policies, with expectations possibly going beyond existing policies. Expectations identified via this work include more robust standards and norms in production, expansion of circular procurement, tax relief for circular products, liberalization of waste trading and its facilitation through virtual platforms, support for eco-industrial parks, and awareness campaigns. The set of policy recommendations is presented from a life-cycle perspective that is necessary for a transition towards a circular economy. The study aims to contribute to the nascent body of circular economy literature concerning policies and may be of particular interest to practitioners.</w:t>
      </w:r>
    </w:p>
    <w:p>
      <w:pPr>
        <w:pStyle w:val="Heading2"/>
      </w:pPr>
      <w:r>
        <w:t>702.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two, transition, pathways, energy, system, current;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2023:</w:t>
      </w:r>
      <w:r>
        <w:t xml:space="preserve"> An assessment of different transition pathways to a green global economy — https://doi.org/10.1038/s43247-023-01109-5</w:t>
      </w:r>
    </w:p>
    <w:p>
      <w:pPr/>
      <w:r>
        <w:rPr>
          <w:b/>
        </w:rPr>
        <w:t>Shared claim-specific concepts:</w:t>
      </w:r>
      <w:r>
        <w:t xml:space="preserve"> transition, pathways, renewable, energy, sector; EU scope not established. This is a provisional connection, not an outcome finding.</w:t>
      </w:r>
    </w:p>
    <w:p>
      <w:pPr>
        <w:pStyle w:val="SourceNote"/>
      </w:pPr>
      <w:r>
        <w:rPr>
          <w:b/>
        </w:rPr>
        <w:t>Available abstract (not full text):</w:t>
      </w:r>
      <w:r>
        <w:t xml:space="preserve"> Abstract Transition to green economy is urgently needed in order to reach the climate targets by the end of this century. We investigate the optimal pathways for transitioning of the global economy from one dominated by the fossil-fueled (brown) sector to one dominated by the zero-emission (green) sector. We consider three transition regimes: a "Linear" regime with a constant growth rate of the green sector, a "Delayed" regime composed of a much lower early growth rate until 2050 followed by a higher growth rate afterwards, and a "Fast" regime composed of a much higher early growth rate until 2050 followed by a slower growth rate afterwards. Our results indicate that the labor market is more sensitive to the pace of transition than the capital market. We also find that slow green growth under the "Delayed" regime induces higher rates of abatement in the brown sector which are amplified by early R&amp;D investment in green capital productivity. Finally, we show that rapid transition to green economy requires substantial upfront investment in renewable energy infrastructure and human capital development which in turn, reduces greenhouse gas emissions by 60% in 2050 compared to the "Delayed" regime.</w:t>
      </w:r>
    </w:p>
    <w:p>
      <w:pPr/>
      <w:r>
        <w:rPr>
          <w:b/>
        </w:rPr>
        <w:t>POSSIBLE 2023:</w:t>
      </w:r>
      <w:r>
        <w:t xml:space="preserve"> AdJUST: Potential Pathways of a Just Energy Transition in Europe — https://doi.org/10.20446/jep-2414-3197-39-3-139</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transition, pathways, renewable, energy, system, current;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2022:</w:t>
      </w:r>
      <w:r>
        <w:t xml:space="preserve"> Policy Instruments to Support Agroecological Transitions in Europe — https://doi.org/10.1111/1746-692x.12367</w:t>
      </w:r>
    </w:p>
    <w:p>
      <w:pPr/>
      <w:r>
        <w:rPr>
          <w:b/>
        </w:rPr>
        <w:t>Shared claim-specific concepts:</w:t>
      </w:r>
      <w:r>
        <w:t xml:space="preserve"> two, transition, system; EU scope visible. This is a provisional connection, not an outcome finding.</w:t>
      </w:r>
    </w:p>
    <w:p>
      <w:pPr>
        <w:pStyle w:val="SourceNote"/>
      </w:pPr>
      <w:r>
        <w:rPr>
          <w:b/>
        </w:rPr>
        <w:t>Available abstract (not full text):</w:t>
      </w:r>
      <w:r>
        <w:t xml:space="preserve"> Summary Agroecological transitions have the potential to deliver multiple environmental and social benefits. However socio‐economic barriers have prevented those transitions in many European contexts. This article aims to inform policymakers about policy instruments that can foster agroecological transitions in Europe, especially by removing key socio‐economic barriers. A multi‐step methodology was carried out over a two‐year period in 15 case studies across Europe. The case studies represent farming systems that are in the process of initiating or enhancing the transition. Data collection relied on a participatory process, involving a variety of transdisciplinary actors. Study findings identify three major themes of barriers to agroecological transitions, namely actor capacity , value chain and policy . To address these barriers, policy instruments should consider the farming system’s stage in the transition pathway to take account of the different priorities of local actors. At the stage of initiating the transition, removing the barriers requires improvements in knowledge delivery mechanisms by strengthening advisory services and reducing decision‐makers’ uncertainty. At the stage of enhancing the transition, a focus on social capital is needed, for example by strengthening networking and cooperation measures. Generally, more attention towards state interventions which suppo</w:t>
      </w:r>
    </w:p>
    <w:p>
      <w:pPr/>
      <w:r>
        <w:rPr>
          <w:b/>
        </w:rPr>
        <w:t>POSSIBLE 2022:</w:t>
      </w:r>
      <w:r>
        <w:t xml:space="preserve"> Reflecting the energy transition from a European perspective and in the global context—Relevance of solar photovoltaics benchmarking two ambitious scenarios — https://doi.org/10.1002/pip.3659</w:t>
      </w:r>
    </w:p>
    <w:p>
      <w:pPr/>
      <w:r>
        <w:rPr>
          <w:b/>
        </w:rPr>
        <w:t>Shared claim-specific concepts:</w:t>
      </w:r>
      <w:r>
        <w:t xml:space="preserve"> two, transition, renewable, energy, power, sector; EU scope visible. This is a provisional connection, not an outcome finding.</w:t>
      </w:r>
    </w:p>
    <w:p>
      <w:pPr>
        <w:pStyle w:val="SourceNote"/>
      </w:pPr>
      <w:r>
        <w:rPr>
          <w:b/>
        </w:rPr>
        <w:t>Available abstract (not full text):</w:t>
      </w:r>
      <w:r>
        <w:t xml:space="preserve"> Abstract Multiple energy‐related crises require a fast transition towards a sustainable energy system. The European Green Deal aims for zero CO 2 emission by 2050, while accelerating climate change impacts obligate a faster phase‐out of fossil fuels. Energy transition studies for Europe at and near 100% renewable energy are used as a benchmark for two newly introduced scenarios for Europe reaching zero CO 2 emissions by 2050 and 2040. A technology‐rich energy system model was applied in hourly resolution for Europe in 20 interconnected regions and in full sector coupling covering all energy demands. The results reveal a cost‐neutral energy transition towards 2050 based on declining levelised cost of electricity and a pathway with 9% higher energy costs leading to 17% lower total CO 2 emissions with an accelerated energy transition by 2040. The two scenarios find shares of solar photovoltaic (PV) in total generation of 61%–63% by 2050, the highest ever estimated for Europe, still below the highest global average shares ranging between 75% and 77% form three independent studies. The central energy system components are solar PV, wind power, batteries, electrolysers and CO 2 direct air capture for carbon capture and utilisation. The core characteristic of the European energy future may be best described by a power‐to‐X economy, which may evolve on the global scale to a solar‐to‐X </w:t>
      </w:r>
    </w:p>
    <w:p>
      <w:pPr/>
      <w:r>
        <w:rPr>
          <w:b/>
        </w:rPr>
        <w:t>POSSIBLE 2022:</w:t>
      </w:r>
      <w:r>
        <w:t xml:space="preserve"> Pathways of Transition to Organic Agriculture in Morocco — https://doi.org/10.3390/world3030040</w:t>
      </w:r>
    </w:p>
    <w:p>
      <w:pPr/>
      <w:r>
        <w:rPr>
          <w:b/>
        </w:rPr>
        <w:t>Shared claim-specific concepts:</w:t>
      </w:r>
      <w:r>
        <w:t xml:space="preserve"> transition, pathways, sector, system, current, area; EU scope not established. This is a provisional connection, not an outcome finding.</w:t>
      </w:r>
    </w:p>
    <w:p>
      <w:pPr>
        <w:pStyle w:val="SourceNote"/>
      </w:pPr>
      <w:r>
        <w:rPr>
          <w:b/>
        </w:rPr>
        <w:t>Available abstract (not full text):</w:t>
      </w:r>
      <w:r>
        <w:t xml:space="preserve"> Agriculture is a vital sector in Morocco through its contribution to the gross domestic product (13%) and workforce (30%). However, the sector faces important sustainability challenges due to Morocco’s dependence on rain-fed crops for 90% of the production and its vulnerability to climate change. In this context, organic agriculture presents itself as a promising alternative to valorize production and mitigate climate change effects. This article describes the dynamics and development of the organic agriculture niche in Morocco through the lens of the Multi-Level Perspective (MLP) on socio-technical transitions. The MLP is a widely used framework that bases its analysis on transitions being the result of the interaction of niches, socio-technical regimes, and socio-technical landscape. Results of the literature review and semi-structured interviews show that, although the organic niche is relatively well established (11,000 ha of organic land area in 2019), it is still developing at a slower rate than expected due to multiple setbacks. While organic farming does solve many sustainability challenges that Moroccan agriculture faces, it still lacks the infrastructure and human capital to succeed as a niche. All in all, organic farming is still in the first transition stages and can follow a multitude of pathways before becoming relevant in the current agri-food system.</w:t>
      </w:r>
    </w:p>
    <w:p>
      <w:pPr/>
      <w:r>
        <w:rPr>
          <w:b/>
        </w:rPr>
        <w:t>POSSIBLE 2020:</w:t>
      </w:r>
      <w:r>
        <w:t xml:space="preserve"> Developing Transition Pathways towards Sustainable Mobility in European Cities — https://openalex.org/W3217687997</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To create a climate-neutral Europe and liveable cities by 2050, transitions towards sustainable urban mobility need to be accelerated. To make these goals possible, cities need a clear long-term vision and a strategic pathway charting these transitions– as well as practical skills in relation to implementation in shorter-term. This report provides an evidence-based conceptual framework for how such transition pathways might look and implementation strategies for them, whilst and implementation strategies, and provides two sets of practical guidance to support European cities in developing these.</w:t>
      </w:r>
    </w:p>
    <w:p>
      <w:pPr>
        <w:pStyle w:val="Heading2"/>
      </w:pPr>
      <w:r>
        <w:t>703.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r>
        <w:rPr>
          <w:b/>
        </w:rPr>
        <w:t>POSSIBLE 2023:</w:t>
      </w:r>
      <w:r>
        <w:t xml:space="preserve"> Leadership styles: a study in Latin America, the United States and Europe — https://doi.org/10.56294/saludcyt2023401</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Introduction: leadership styles vary in organizations due to multiple factors, such as policies or organizational culture. Today's globalized world and post-pandemic times require a leader capable of integrating people and motivating them to achieve objectives. Objective: the aim of this study was to analyze leadership styles in organizations in Latin America, the United States and Europe. Method: a sample of eighty-one leaders were administered a questionnaire composed of twenty-one items, in order to evaluate the leadership style with the Blake and Mouton test, in order to identify whether leaders are people-oriented or task-oriented. Results: once the test was applied to the leaders of the study sample, it was found that 1,23 % are social leaders, 4,94 % are authoritarian leaders and 93,83 % are team leaders.Conclusions: today's society demands an integrative leadership style that helps transform the work team. Research on leadership identifies multiple factors that can lead to the selection of a leadership style. In this regard, the results obtained revealed that the team leadership style is the one most used by leaders</w:t>
      </w:r>
    </w:p>
    <w:p>
      <w:pPr/>
      <w:r>
        <w:rPr>
          <w:b/>
        </w:rPr>
        <w:t>POSSIBLE 2023:</w:t>
      </w:r>
      <w:r>
        <w:t xml:space="preserve"> Membership Trends in European Countries — https://doi.org/10.1353/ben.2023.a923758</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Membership Trends in European Countries Thomas Piazza (bio) Thomas Piazza Thomas Piazza is a retired survey research designer and statistician from the University of California, Berkeley. He was a Benedictine monk of St. Leo Abbey in Florida during the 1960s. Footnotes 1. Thomas Piazza, "Regional Trends in the Benedictine Confederation," American Benedictine Review 73, no. 3 (September 2022): 322–330. The number of monks considered as being in Europe in that article include 16 monks from Australia (rather than simply dropping them from the analysis) and 9 monks mistakenly classified as being in the UK instead of the U.S. Therefore, the current article counts 25 monks fewer in Europe than the earlier one. 2. See Piazza, "Regional Trends," 329–330. 3. Catalogus Monasteriorum O.S.B. Monachorum (Rome: The Benedictine Confederation, 2020). The Catalogus has been published by the Curia of the Abbot Primate in Rome at Sant'Anselmo approximately every five years since 1880 (except during periods of major wars). The Catalogus reports membership statistics for professed monks plus a few claustral oblates. We are grateful to Fr. Patrick Carter, O.S.B., for carrying out the computer work to digitize the 2020 Catalogus and to Fr. Geraldo González y Lima, O.S.B., for facilitating access to the data file. 4. The number of professed monks in the Confederation declined about 20 percent during t</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them, one, both, but;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analyzing, one, hand, other;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Possibilities of the Development of Edible Insect-Based Foods in Europe — https://doi.org/10.3390/foods10040766</w:t>
      </w:r>
    </w:p>
    <w:p>
      <w:pPr/>
      <w:r>
        <w:rPr>
          <w:b/>
        </w:rPr>
        <w:t>Shared claim-specific concepts:</w:t>
      </w:r>
      <w:r>
        <w:t xml:space="preserve"> them, one, valuable, knowledge, both, hand;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them, one, both, but, other,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Youth Participation in Europe — https://doi.org/10.1093/oso/9780190937768.003.0007</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Abstract In the European context, there is no one accepted definition of youth participation either in the political arena or in academic debates. This chapter analyzes whether the current discourses consider reshaping youth involvement in both public and individual spheres. It presents empirical findings on youth participation’s discourses as they emerge in exemplary interviews with experts, contrasting them with comments from young people collected through focus groups conducted in different youth social spaces in eight European cities. The goal is to analyze whether the claim for youth inclusion and engagement is inspired by the socio-pedagogical principle of participation as an empowering tool for young people, groups, and communities or by an adult-driven agenda focused on young people’s future as adults rather than their actual way of living, their needs, and their desires.</w:t>
      </w:r>
    </w:p>
    <w:p>
      <w:pPr>
        <w:pStyle w:val="Heading2"/>
      </w:pPr>
      <w:r>
        <w:t>704.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r>
        <w:rPr>
          <w:b/>
        </w:rPr>
        <w:t>POSSIBLE 2021:</w:t>
      </w:r>
      <w:r>
        <w:t xml:space="preserve"> Decision-making in sustainable energy transition in Southeastern Europe: probabilistic network-based model — https://doi.org/10.1186/s13705-021-00315-3</w:t>
      </w:r>
    </w:p>
    <w:p>
      <w:pPr/>
      <w:r>
        <w:rPr>
          <w:b/>
        </w:rPr>
        <w:t>Shared claim-specific concepts:</w:t>
      </w:r>
      <w:r>
        <w:t xml:space="preserve"> decision-making, transition, energy, challenging, different; EU scope visible. This is a provisional connection, not an outcome finding.</w:t>
      </w:r>
    </w:p>
    <w:p>
      <w:pPr>
        <w:pStyle w:val="SourceNote"/>
      </w:pPr>
      <w:r>
        <w:rPr>
          <w:b/>
        </w:rPr>
        <w:t>Available abstract (not full text):</w:t>
      </w:r>
      <w:r>
        <w:t xml:space="preserve"> Abstract Background Sustainable energy transition of a country is complex and long-term process, which requires decision-making in all stages and at all levels, including a large number of different factors, with different causality. The main objective of this paper is the development of a probabilistic model for decision-making in sustainable energy transition in developing countries of SE Europe. The model will be developed according to the specificities of the countries for which it is intended—SE Europe. These are countries where energy transition is slower and more difficult due to many factors: high degree of uncertainty, low transparency, corruption, investment problems, insufficiently reliable data, lower level of economic development, high level of corruption and untrained human resources. All these factors are making decision-making more challenging and demanding. Methods Research was done by using content analysis, artificial intelligence methods, software development method and testing. The model was developed by using MSBNx—Microsoft Research’s Bayesian Network Authoring and Evaluation Tool. Results Due to the large number of insufficiently clear, but interdependent factors, the model is developed on the principle of probabilistic (Bayesian) networks of factors of interest. The paper presents the first model for supporting decision-making in the field of energy sus</w:t>
      </w:r>
    </w:p>
    <w:p>
      <w:pPr/>
      <w:r>
        <w:rPr>
          <w:b/>
        </w:rPr>
        <w:t>POSSIBLE 2021:</w:t>
      </w:r>
      <w:r>
        <w:t xml:space="preserve"> Overcoming decision paralysis—A digital twin for decision making in energy system design — https://doi.org/10.1016/j.apenergy.2021.117954</w:t>
      </w:r>
    </w:p>
    <w:p>
      <w:pPr/>
      <w:r>
        <w:rPr>
          <w:b/>
        </w:rPr>
        <w:t>Shared claim-specific concepts:</w:t>
      </w:r>
      <w:r>
        <w:t xml:space="preserve"> energy, uncertainties, different; EU scope not established. This is a provisional connection, not an outcome finding.</w:t>
      </w:r>
    </w:p>
    <w:p>
      <w:pPr>
        <w:pStyle w:val="SourceNote"/>
      </w:pPr>
      <w:r>
        <w:rPr>
          <w:b/>
        </w:rPr>
        <w:t>Available abstract (not full text):</w:t>
      </w:r>
      <w:r>
        <w:t xml:space="preserve"> The design of efficient energy systems, through the development of new technologies and the improvement of current ones, requires the use of rigorous process synthesis methods for generating and analysing design alternatives. We introduce a digital twin of process and energy system design that interactively translates needs and preferences of decision makers into an optimization-based model and generates meaningful solutions. The Interactive Digital Twin (InDiT) assists decision makers in steering the exploration of the solution space and guiding them towards relevant system design decisions, taking into account multiple aspects such as the impact of uncertainties and multi-criteria analysis. InDiT enhances step-by-step communication with the decision maker, relying on visual aids to keep the communication during solution generation and exploration intuitive and flexible. In this way, decision makers are guided towards relevant solutions and improve their understanding of relations between the problem definition and system design decisions, while InDiT builds on the decision makers’ preferences and can, after training, suggest solutions that are best-suited to their interests. The novelty of this work lies in the holistic approach of addressing both (i) the systematic generation and exploration of solutions with the assistance of a digital consultant, which translates the decis</w:t>
      </w:r>
    </w:p>
    <w:p>
      <w:pPr/>
      <w:r>
        <w:rPr>
          <w:b/>
        </w:rPr>
        <w:t>POSSIBLE 2020:</w:t>
      </w:r>
      <w:r>
        <w:t xml:space="preserve"> Decision making on regional energy transition : models, tools and approaches — https://openalex.org/W3034318633</w:t>
      </w:r>
    </w:p>
    <w:p>
      <w:pPr/>
      <w:r>
        <w:rPr>
          <w:b/>
        </w:rPr>
        <w:t>Shared claim-specific concepts:</w:t>
      </w:r>
      <w:r>
        <w:t xml:space="preserve"> transition, energy, technological; EU scope not established. This is a provisional connection, not an outcome finding.</w:t>
      </w:r>
    </w:p>
    <w:p>
      <w:pPr>
        <w:pStyle w:val="SourceNote"/>
      </w:pPr>
      <w:r>
        <w:rPr>
          <w:b/>
        </w:rPr>
        <w:t>Available abstract (not full text):</w:t>
      </w:r>
      <w:r>
        <w:t xml:space="preserve"> Since the industrial revolution we have relied heavily on fossil fuels as feedstock and energy source. A major drawback in using fossil fuels is the emission of anthropogenic greenhouse gases. Deep reductions in these greenhouse gas emissions are needed if climate change is to be limited to 1.5-2°C above pre-industrial levels. These reductions will require a drastic transformation of the energy system as indicated by scenario studies which have evaluated possible roadmaps for this transformation. There is no straightforward solution to make a transition from a fossil-driven energy system to one based on renewables. There are many technological options to consider and which options work best depends to a great extent on local and regional circumstances. Therefore, it is increasingly recognized that the energy transition will take place at the local and regional level. This is where major decisions will have to be made.</w:t>
      </w:r>
    </w:p>
    <w:p>
      <w:pPr/>
      <w:r>
        <w:rPr>
          <w:b/>
        </w:rPr>
        <w:t>POSSIBLE 2020:</w:t>
      </w:r>
      <w:r>
        <w:t xml:space="preserve"> Energy transition in the South East Europe: The case of the Romanian power system — https://doi.org/10.1016/j.egyr.2020.07.032</w:t>
      </w:r>
    </w:p>
    <w:p>
      <w:pPr/>
      <w:r>
        <w:rPr>
          <w:b/>
        </w:rPr>
        <w:t>Shared claim-specific concepts:</w:t>
      </w:r>
      <w:r>
        <w:t xml:space="preserve"> decision-making, transition, energy, three; EU scope visible. This is a provisional connection, not an outcome finding.</w:t>
      </w:r>
    </w:p>
    <w:p>
      <w:pPr>
        <w:pStyle w:val="SourceNote"/>
      </w:pPr>
      <w:r>
        <w:rPr>
          <w:b/>
        </w:rPr>
        <w:t>Available abstract (not full text):</w:t>
      </w:r>
      <w:r>
        <w:t xml:space="preserve"> With the exception of Albania, the countries of South-Eastern Europe (SEE) have high shares of electricity generation from an ageing fleet of coal-fired power units with quite low efficiencies. Energy planning-related decision-making regarding whether to modernize or replace a significant share of this old generating capacity has to be fixed within a global clean energy transition context. At the same time, the SEE region has a huge potential for renewable energy deployment and energy efficiency implementation. This work presents a generic mixed integer linear programming model to determine the optimal energy scheduling of a multi-zonal power system following the roadmaps of its energy transition process. Through a detailed unit commitment model implementing a co-optimization of energy and reserves market with a cost minimization objective function, the developed approach determines the optimal annual energy mixes of the Romanian power system through the day by day iterative solution of all the dates of three specific time milestones (2020, 2030, and 2040), where the outputs of a specific date comprise the inputs of the next one. The model outputs highlight the impacts on the power system in terms of technical, economic, and environmental performance. The energy transition towards a renewables dominant capacity and production mix guarantees the system’s security of supply, and </w:t>
      </w:r>
    </w:p>
    <w:p>
      <w:pPr/>
      <w:r>
        <w:rPr>
          <w:b/>
        </w:rPr>
        <w:t>POSSIBLE 2020:</w:t>
      </w:r>
      <w:r>
        <w:t xml:space="preserve"> The International Energy Security Risk Index in Sustainable Energy and Economy Transition Decision Making—A Reliability Analysis — https://doi.org/10.3390/en13143691</w:t>
      </w:r>
    </w:p>
    <w:p>
      <w:pPr/>
      <w:r>
        <w:rPr>
          <w:b/>
        </w:rPr>
        <w:t>Shared claim-specific concepts:</w:t>
      </w:r>
      <w:r>
        <w:t xml:space="preserve"> decision-making, transition, energy, economy, different; EU scope not established. This is a provisional connection, not an outcome finding.</w:t>
      </w:r>
    </w:p>
    <w:p>
      <w:pPr>
        <w:pStyle w:val="SourceNote"/>
      </w:pPr>
      <w:r>
        <w:rPr>
          <w:b/>
        </w:rPr>
        <w:t>Available abstract (not full text):</w:t>
      </w:r>
      <w:r>
        <w:t xml:space="preserve"> The world economy and society are in a complex process of transition characterized by a high degree of uncertainty. Therefore, further development and management of the transition will largely depend on the quality of the decisions made and, accordingly, on the decision-making process itself. The main goal of this study is to analyze the reliability of International Energy Security Risk Index as a tool to support the process of energy and economy transition decision making, as closely related and highly interdependent phenomena. The index is composed of 29 aggregated variables (grouped into eight categories), and the research is conducted on a research sample of 25 countries over a period of 36 years. The reliability assessment is performed by using Multiple Regression Analysis. Multicollinearity test, plus Multicollinearity test with Variance Inflation Factors, is used for methodological verification. The test results indicate a high degree of unreliability of the Index, as is concluded based on the observed errors in its methodological settings. These errors primarily relate to a high degree of multicollinearity in all 29 variables, whereby independent variables lose their independence and thus jeopardize reliability of the total Index. Out of the eight groups of variables, the fuel imports group is the only one that does not show big methodological errors. The paper presents</w:t>
      </w:r>
    </w:p>
    <w:p>
      <w:pPr/>
      <w:r>
        <w:rPr>
          <w:b/>
        </w:rPr>
        <w:t>POSSIBLE 2020:</w:t>
      </w:r>
      <w:r>
        <w:t xml:space="preserve"> Stakeholder involvement through national panels and surveys to address the issues and uncertainties arising in the preparedness and management of the transition phase — https://doi.org/10.1051/radiopro/2020022</w:t>
      </w:r>
    </w:p>
    <w:p>
      <w:pPr/>
      <w:r>
        <w:rPr>
          <w:b/>
        </w:rPr>
        <w:t>Shared claim-specific concepts:</w:t>
      </w:r>
      <w:r>
        <w:t xml:space="preserve"> decision-making, transition, uncertainties; EU scope visible. This is a provisional connection, not an outcome finding.</w:t>
      </w:r>
    </w:p>
    <w:p>
      <w:pPr>
        <w:pStyle w:val="SourceNote"/>
      </w:pPr>
      <w:r>
        <w:rPr>
          <w:b/>
        </w:rPr>
        <w:t>Available abstract (not full text):</w:t>
      </w:r>
      <w:r>
        <w:t xml:space="preserve"> Under the framework of the CONFIDENCE project, work package 4 was focusing on the transition to long-term recovery, involving stakeholders in decision-making processes. The essential research was performed using a participatory approach, which combined scenario-based stakeholder discussion panels and transnational stakeholder surveys following the Delphi methodology. The objective was to identify and address the issues and uncertainties arising in the preparedness and management of the transition phase and to explore ways to facilitate the incorporation of stakeholders’ expertise, points of view and interests in the decision-making processes. The final goal was to build best practices for planning optimal remediation strategies during the transition phase considering stakeholder involvement in the decision-making process. The results obtained from the work undertaken in nine European countries are presented.</w:t>
      </w:r>
    </w:p>
    <w:p>
      <w:pPr>
        <w:pStyle w:val="Heading2"/>
      </w:pPr>
      <w:r>
        <w:t>705. Future Scenarios of European Forests</w:t>
      </w:r>
    </w:p>
    <w:p>
      <w:pPr>
        <w:pStyle w:val="SourceNote"/>
      </w:pPr>
      <w:r>
        <w:rPr>
          <w:b/>
        </w:rPr>
        <w:t>Original source (2019):</w:t>
      </w:r>
      <w:r>
        <w:t xml:space="preserve"> https://doi.org/10.2478/jlecol-2018-0020</w:t>
      </w:r>
    </w:p>
    <w:p>
      <w:pPr/>
      <w:r>
        <w:t>Original wording (abstract; indexed_source_text_not_full_document_verified):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2023:</w:t>
      </w:r>
      <w:r>
        <w:t xml:space="preserve"> Performance-based sub-selection of CMIP6 models for impact assessments in Europe — https://doi.org/10.5194/esd-14-457-2023</w:t>
      </w:r>
    </w:p>
    <w:p>
      <w:pPr/>
      <w:r>
        <w:rPr>
          <w:b/>
        </w:rPr>
        <w:t>Shared claim-specific concepts:</w:t>
      </w:r>
      <w:r>
        <w:t xml:space="preserve"> abstract, based, used, trends; EU scope visible. This is a provisional connection, not an outcome finding.</w:t>
      </w:r>
    </w:p>
    <w:p>
      <w:pPr>
        <w:pStyle w:val="SourceNote"/>
      </w:pPr>
      <w:r>
        <w:rPr>
          <w:b/>
        </w:rPr>
        <w:t>Available abstract (not full text):</w:t>
      </w:r>
      <w:r>
        <w:t xml:space="preserve"> Abstract. We have created a performance-based assessment of CMIP6 models for Europe that can be used to inform the sub-selection of models for this region. Our assessment covers criteria indicative of the ability of individual models to capture a range of large-scale processes that are important for the representation of present-day European climate. We use this study to provide examples of how this performance-based assessment may be applied to multi-model ensemble of CMIP6 models to a) filter the ensemble for performance against these climatological/ processed-based criteria and, b) create a smaller sub-set of models based on performance, that also maintains model diversity and the filtered projection range as far as possible. Filtering by excluding the least realistic models leads to higher sensitivity models remaining in the ensemble as an emergent consequence of the assessment. This results in both the 25th percentile and the median of the projected temperature range being shifted toward greater warming for the filtered set of models. We also weight the unfiltered ensemble against global trends. In contrast this shifts both the distribution of towards less warming. This highlights a tension for regional model selection in terms of selection based on regional climate processes versus the global mean warming trend.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used, explore, develop;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2022:</w:t>
      </w:r>
      <w:r>
        <w:t xml:space="preserve"> Contrasting future lightning stories across Europe — https://doi.org/10.1088/1748-9326/ac9b78</w:t>
      </w:r>
    </w:p>
    <w:p>
      <w:pPr/>
      <w:r>
        <w:rPr>
          <w:b/>
        </w:rPr>
        <w:t>Shared claim-specific concepts:</w:t>
      </w:r>
      <w:r>
        <w:t xml:space="preserve"> abstract, contrasting, here, general; EU scope visible. This is a provisional connection, not an outcome finding.</w:t>
      </w:r>
    </w:p>
    <w:p>
      <w:pPr>
        <w:pStyle w:val="SourceNote"/>
      </w:pPr>
      <w:r>
        <w:rPr>
          <w:b/>
        </w:rPr>
        <w:t>Available abstract (not full text):</w:t>
      </w:r>
      <w:r>
        <w:t xml:space="preserve"> Abstract Thunderstorms are the most common source of hazardous weather at local scales, but are poorly represented in conventional climate models, resulting in high uncertainty in future changes. How these changes manifest in terms of lightning is even more uncertain, with previous studies giving conflicting projections. Here, for the first time, we use a km-scale model that explicitly resolves convection across Europe; suggesting more convection by 2100 under RCP8.5. Our ice-based lightning scheme indicates a highly altered lightning climatology-the consequence of general increases in instability, partly limited by convective inhibition, along with huge increases in melting level height and less cloud ice. A northward shift in favourable weather regimes increases lightning frequency at higher latitudes, and favours more thunderstorms over the Alps, but lightning decreases over lower terrain elsewhere and over the sea. Our results suggest the need to re-evaluate lightning risk to wildfires, properties, and human life across Europe.</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abstract, based, different, impacts, large, recent;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Keeping Up or Giving Up? Income Inequality and Materialism in Europe and the United States — https://doi.org/10.1007/s11205-021-02760-1</w:t>
      </w:r>
    </w:p>
    <w:p>
      <w:pPr/>
      <w:r>
        <w:rPr>
          <w:b/>
        </w:rPr>
        <w:t>Shared claim-specific concepts:</w:t>
      </w:r>
      <w:r>
        <w:t xml:space="preserve"> abstract, based, used, different, trends; EU scope visible. This is a provisional connection, not an outcome finding.</w:t>
      </w:r>
    </w:p>
    <w:p>
      <w:pPr>
        <w:pStyle w:val="SourceNote"/>
      </w:pPr>
      <w:r>
        <w:rPr>
          <w:b/>
        </w:rPr>
        <w:t>Available abstract (not full text):</w:t>
      </w:r>
      <w:r>
        <w:t xml:space="preserve"> Abstract We examine the extent to which income inequality is associated with materialistic values and behavior in Europe and the United States (US). In the US, existing research on materialistic behavior is largely focused on the study of shopping behavior and shows that, when income inequality is higher, individuals search for and buy products that are more luxury. In Europe, the evidence for this phenomenon is mainly based on survey questions on people’s values, and results are mixed. To determine whether these conflicting findings are rooted in methodology or reflect structural differences between the situation of Americans and Europeans, we measure materialistic behavior and values in both the US and Europe. Different types of data are used to test our arguments. In study 1, we use information on materialistic values from the European Social Survey (ESS) and the World Values Survey (WVS) to study the relationship between income inequality and materialistic values, examining the same research question in the contexts of Europe and the United States. In study 2, we use information from Google Trends to examine the relationship between income inequality and internet searching behavior both in Europe and in the United States. Hybrid multilevel models analyzing the variation in these relationships both over time and across regions show that in Europe as well as in the US, income</w:t>
      </w:r>
    </w:p>
    <w:p>
      <w:pPr/>
      <w:r>
        <w:rPr>
          <w:b/>
        </w:rPr>
        <w:t>POSSIBLE 2020:</w:t>
      </w:r>
      <w:r>
        <w:t xml:space="preserve"> Diverging hydrological drought traits over Europe with global warming — https://doi.org/10.5194/hess-24-5919-2020</w:t>
      </w:r>
    </w:p>
    <w:p>
      <w:pPr/>
      <w:r>
        <w:rPr>
          <w:b/>
        </w:rPr>
        <w:t>Shared claim-specific concepts:</w:t>
      </w:r>
      <w:r>
        <w:t xml:space="preserve"> abstract, different, develop, impacts,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2020:</w:t>
      </w:r>
      <w:r>
        <w:t xml:space="preserve"> Is There a Crisis of Democracy in Europe? — https://doi.org/10.1007/s11615-020-00231-9</w:t>
      </w:r>
    </w:p>
    <w:p>
      <w:pPr/>
      <w:r>
        <w:rPr>
          <w:b/>
        </w:rPr>
        <w:t>Shared claim-specific concepts:</w:t>
      </w:r>
      <w:r>
        <w:t xml:space="preserve"> abstract, large, trends;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abstract, based, used, explore, impacts, here;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Attribution of precipitation to cyclones and fronts over Europe in a kilometer-scale regional climate simulation — https://doi.org/10.5194/wcd-1-675-2020</w:t>
      </w:r>
    </w:p>
    <w:p>
      <w:pPr/>
      <w:r>
        <w:rPr>
          <w:b/>
        </w:rPr>
        <w:t>Shared claim-specific concepts:</w:t>
      </w:r>
      <w:r>
        <w:t xml:space="preserve"> abstract, based, contrasting, characteristics; EU scope visible. This is a provisional connection, not an outcome finding.</w:t>
      </w:r>
    </w:p>
    <w:p>
      <w:pPr>
        <w:pStyle w:val="SourceNote"/>
      </w:pPr>
      <w:r>
        <w:rPr>
          <w:b/>
        </w:rPr>
        <w:t>Available abstract (not full text):</w:t>
      </w:r>
      <w:r>
        <w:t xml:space="preserve"> Abstract. This study presents a detailed analysis of the climatological distribution of precipitation in relation to cyclones and fronts over Europe for the nine-year period 2000–2008. The analysis uses hourly output of a COSMO (Consortium for Small-scale Modeling) model simulation with 2.2 km grid spacing and resolved deep convection. Cyclones and fronts are identified as two-dimensional features in 850 hPa geopotential, equivalent potential temperature, and wind fields, and subsequently tracked over time based on feature overlap and size. Thermal heat lows and local thermal fronts are removed based on track properties. This data set then serves to define seven mutually exclusive precipitation components: high-pressure (e.g., summer convection), cyclonic (near cyclone center), cold-frontal, warm-frontal, collocated (e.g., occlusion area), far-frontal, and residual. The approach is illustrated with two case studies with contrasting precipitation characteristics. The climatological analysis for the nine-year period shows that frontal precipitation peaks in fall and winter over the eastern North Atlantic, with cold frontal precipitation also being crucial year-round near the Alps; cyclonic precipitation is largest over the North Atlantic (especially in summer) and in the northern Mediterranean (except in summer); high-pressure precipitation occurs almost exclusively over land and</w:t>
      </w:r>
    </w:p>
    <w:p>
      <w:pPr>
        <w:pStyle w:val="Heading2"/>
      </w:pPr>
      <w:r>
        <w:t>706.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2022:</w:t>
      </w:r>
      <w:r>
        <w:t xml:space="preserve"> Global wood anatomical perspective on the onset of the Late Antique Little Ice Age (LALIA) in the mid-6th century CE — https://doi.org/10.1016/j.scib.2022.10.019</w:t>
      </w:r>
    </w:p>
    <w:p>
      <w:pPr/>
      <w:r>
        <w:rPr>
          <w:b/>
        </w:rPr>
        <w:t>Shared claim-specific concepts:</w:t>
      </w:r>
      <w:r>
        <w:t xml:space="preserve"> ice, two, climate; EU scope not established. This is a provisional connection, not an outcome finding.</w:t>
      </w:r>
    </w:p>
    <w:p>
      <w:pPr>
        <w:pStyle w:val="SourceNote"/>
      </w:pPr>
      <w:r>
        <w:rPr>
          <w:b/>
        </w:rPr>
        <w:t>Available abstract (not full text):</w:t>
      </w:r>
      <w:r>
        <w:t xml:space="preserve"> Linked to major volcanic eruptions around 536 and 540 CE, the onset of the Late Antique Little Ice Age has been described as the coldest period of the past two millennia. The exact timing and spatial extent of this exceptional cold phase are, however, still under debate because of the limited resolution and geographical distribution of the available proxy archives. Here, we use 106 wood anatomical thin sections from 23 forest sites and 20 tree species in both hemispheres to search for cell-level fingerprints of ephemeral summer cooling between 530 and 550 CE. After cross-dating and double-staining, we identified 89 Blue Rings (lack of cell wall lignification), nine Frost Rings (cell deformation and collapse), and 93 Light Rings (reduced cell wall thickening) in the Northern Hemisphere. Our network reveals evidence for the strongest temperature depression between mid-July and early-August 536 CE across North America and Eurasia, whereas more localised cold spells occurred in the summers of 532, 540-43, and 548 CE. The lack of anatomical signatures in the austral trees suggests limited incursion of stratospheric volcanic aerosol into the Southern Hemisphere extra-tropics, that any forcing was mitigated by atmosphere-ocean dynamical responses and/or concentrated outside the growing season, or a combination of factors. Our findings demonstrate the advantage of wood anatomical inves</w:t>
      </w:r>
    </w:p>
    <w:p>
      <w:pPr/>
      <w:r>
        <w:rPr>
          <w:b/>
        </w:rPr>
        <w:t>POSSIBLE 2022:</w:t>
      </w:r>
      <w:r>
        <w:t xml:space="preserve"> Tunnel valley formation beneath deglaciating mid-latitude ice sheets: Observations and modelling — https://doi.org/10.1016/j.quascirev.2022.107680</w:t>
      </w:r>
    </w:p>
    <w:p>
      <w:pPr/>
      <w:r>
        <w:rPr>
          <w:b/>
        </w:rPr>
        <w:t>Shared claim-specific concepts:</w:t>
      </w:r>
      <w:r>
        <w:t xml:space="preserve"> ice, climate; EU scope not established. This is a provisional connection, not an outcome finding.</w:t>
      </w:r>
    </w:p>
    <w:p>
      <w:pPr>
        <w:pStyle w:val="SourceNote"/>
      </w:pPr>
      <w:r>
        <w:rPr>
          <w:b/>
        </w:rPr>
        <w:t>Available abstract (not full text):</w:t>
      </w:r>
      <w:r>
        <w:t xml:space="preserve"> The geological record of landforms and sediments produced beneath deglaciating ice sheets offers insights into inaccessible glacial processes. Large subglacial valleys formed by meltwater erosion of sediments (tunnel valleys) are widespread in formerly glaciated regions such as the North Sea. Obtaining a better understanding of these features may help with the parameterisation of basal melt rates and the interplay between basal hydrology and ice dynamics in numerical models of past, present, and future ice-sheet configurations. However, the mechanisms and timescales over which tunnel valleys form remain poorly constrained. Here, we present a series of numerical modelling experiments, informed by new observations from high-resolution 3D seismic data (6.25 m bin size, ∼4 m vertical resolution), which test different hypotheses of tunnel valley formation and calculate subglacial water routing, seasonal water discharges, and the rates at which tunnel valleys are eroded beneath deglaciating ice sheets. Networks of smaller or abandoned channels, pervasive slump deposits, and subglacial landforms are imaged inside and at the base of larger tunnel valleys, indicating that these tunnel valleys were carved through the action of migrating smaller channels within tens of kilometres of the ice margin and were later widened by ice-contact erosion. Our model results imply that the drainage of </w:t>
      </w:r>
    </w:p>
    <w:p>
      <w:pPr/>
      <w:r>
        <w:rPr>
          <w:b/>
        </w:rPr>
        <w:t>POSSIBLE 2022:</w:t>
      </w:r>
      <w:r>
        <w:t xml:space="preserve"> Split westerlies over Europe in the early Little Ice Age — https://doi.org/10.1038/s41467-022-32654-w</w:t>
      </w:r>
    </w:p>
    <w:p>
      <w:pPr/>
      <w:r>
        <w:rPr>
          <w:b/>
        </w:rPr>
        <w:t>Shared claim-specific concepts:</w:t>
      </w:r>
      <w:r>
        <w:t xml:space="preserve"> ice, cover, climate; EU scope visible. This is a provisional connection, not an outcome finding.</w:t>
      </w:r>
    </w:p>
    <w:p>
      <w:pPr>
        <w:pStyle w:val="SourceNote"/>
      </w:pPr>
      <w:r>
        <w:rPr>
          <w:b/>
        </w:rPr>
        <w:t>Available abstract (not full text):</w:t>
      </w:r>
      <w:r>
        <w:t xml:space="preserve"> Abstract The Little Ice Age (LIA) was the coldest period of the past millennium, characterized by high-density volcanism, low solar activity, and increased Northern Hemisphere sea-ice cover. Past studies of LIA circulation changes over the North Atlantic sector have typically referenced the North Atlantic Oscillation (NAO), though recent studies have noted that LIA climate patterns appear to be possess complexity not captured by an NAO analog. Here, we present a new precipitation-sensitive stalagmite record from northern Italy that covers the past 800 years at high resolution. Combined with terrestrial and marine records in the North Atlantic realm, we show that in the early LIA (1470-1610 C.E.), a multi-decadal scale atmospheric blocking over northern Europe split the westerlies away from central and northern Europe, and towards the Arctic and the Mediterranean. This enhanced blocking results in a cold and dry climate over central and northern Europe, and wetter conditions over the Mediterranean. The LIA atmospheric blocking could be caused by the concurrent sea-ice reduction in the Arctic and the Spörer solar minimum. With ongoing ice melting in the northern high latitudes and decreasing solar irradiance in the coming years, the early LIA may potentially serve as an analog for European hydroclimatic conditions in the coming decades.</w:t>
      </w:r>
    </w:p>
    <w:p>
      <w:pPr/>
      <w:r>
        <w:rPr>
          <w:b/>
        </w:rPr>
        <w:t>POSSIBLE 2022:</w:t>
      </w:r>
      <w:r>
        <w:t xml:space="preserve"> Global tree-ring response and inferred climate variation following the mid-thirteenth century Samalas eruption — https://doi.org/10.1007/s00382-022-06141-3</w:t>
      </w:r>
    </w:p>
    <w:p>
      <w:pPr/>
      <w:r>
        <w:rPr>
          <w:b/>
        </w:rPr>
        <w:t>Shared claim-specific concepts:</w:t>
      </w:r>
      <w:r>
        <w:t xml:space="preserve"> predominantly, climate; EU scope visible. This is a provisional connection, not an outcome finding.</w:t>
      </w:r>
    </w:p>
    <w:p>
      <w:pPr>
        <w:pStyle w:val="SourceNote"/>
      </w:pPr>
      <w:r>
        <w:rPr>
          <w:b/>
        </w:rPr>
        <w:t>Available abstract (not full text):</w:t>
      </w:r>
      <w:r>
        <w:t xml:space="preserve"> Abstract The largest explosive volcanic eruption of the Common Era in terms of estimated sulphur yield to the stratosphere was identified in glaciochemical records 40 years ago, and dates to the mid-thirteenth century. Despite eventual attribution to the Samalas (Rinjani) volcano in Indonesia, the eruption date remains uncertain, and the climate response only partially understood. Seeking a more global perspective on summer surface temperature and hydroclimate change following the eruption, we present an analysis of 249 tree-ring chronologies spanning the thirteenth century and representing all continents except Antarctica. Of the 170 predominantly temperature sensitive high-frequency chronologies, the earliest hints of boreal summer cooling are the growth depressions found at sites in the western US and Canada in 1257 CE. If this response is a result of Samalas, it would be consistent with an eruption window of circa May–July 1257 CE. More widespread summer cooling across the mid-latitudes of North America and Eurasia is pronounced in 1258, while records from Scandinavia and Siberia reveal peak cooling in 1259. In contrast to the marked post-Samalas temperature response at high-elevation sites in the Northern Hemisphere, no strong hydroclimatic anomalies emerge from the 79 precipitation-sensitive chronologies. Although our findings remain spatially biased towards the western U</w:t>
      </w:r>
    </w:p>
    <w:p>
      <w:pPr/>
      <w:r>
        <w:rPr>
          <w:b/>
        </w:rPr>
        <w:t>POSSIBLE 2022:</w:t>
      </w:r>
      <w:r>
        <w:t xml:space="preserve"> Tricentennial trends in spring ice break-ups on three rivers in northern Europe — https://doi.org/10.5194/tc-16-2881-2022</w:t>
      </w:r>
    </w:p>
    <w:p>
      <w:pPr/>
      <w:r>
        <w:rPr>
          <w:b/>
        </w:rPr>
        <w:t>Shared claim-specific concepts:</w:t>
      </w:r>
      <w:r>
        <w:t xml:space="preserve"> ice, cover, two; EU scope visible. This is a provisional connection, not an outcome finding.</w:t>
      </w:r>
    </w:p>
    <w:p>
      <w:pPr>
        <w:pStyle w:val="SourceNote"/>
      </w:pPr>
      <w:r>
        <w:rPr>
          <w:b/>
        </w:rPr>
        <w:t>Available abstract (not full text):</w:t>
      </w:r>
      <w:r>
        <w:t xml:space="preserve"> Abstract. In Finland, ice breakup observations have been recorded for centuries for Aura River (1749–2020), Torne River (1693–2020) and Kokemäki River (1793–2020). The Kokemäki River is a newly revised, extended, and updated ice breakup series from Pori. The Spearman analysis shows that the correlation between Aura and Kokemäki rivers is strong, while the correlation between the two southern rivers (Aura and Kokemäki) and Torne River is weaker. The difference is attributed to the longitudinal distance between the rivers. Temperature correlations are strong for all three rivers and the long-term trends towards earlier breakups are statistically significant. Aura and Kokemäki rivers show considerable changes. Aura and Kokemäki river have had two respectively three years without a complete ice cover in the 21st century. These are the first non-freeze events in over 270 years of recorded observations. In Torne River, however, the earliest recorded breakup date has changed only marginally the last 100 years. Moreover, the earliest recorded breakup date in the 21st century occurred only five days earlier than the earliest breakup date in the 18th century. Kokemäki River did not escape the hydroelectric power plant boom in the mid-1900s, and this has speeded up the breakup process. A qualitative analysis shows that exceptionally late ice breakups occurred in all three rivers in 1807, </w:t>
      </w:r>
    </w:p>
    <w:p>
      <w:pPr/>
      <w:r>
        <w:rPr>
          <w:b/>
        </w:rPr>
        <w:t>POSSIBLE 2021:</w:t>
      </w:r>
      <w:r>
        <w:t xml:space="preserve"> Exposure of mammal genetic diversity to mid‐21st century global change — https://doi.org/10.1111/ecog.05588</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Accelerating climate and land‐use change are rapidly transforming Earth's biodiversity. While there is substantial evidence on the exposure and vulnerability of biodiversity to global change at the species level, the global exposure of intraspecific genetic diversity (GD) is still unknown. Here, we assess the exposure of mitochondrial GD to mid‐21st century climate and land‐use change in terrestrial mammal assemblages at grid‐cell and bioclimatic region scales under alternative narratives of future societal development. We used global predictions of mammal GD distribution based on thousands of georeferenced mitochondrial genes for hundreds of mammal species, the latest generation of global climate models from the ongoing sixth phase of the Coupled Model Intercomparison Project (CMIP6), and global future projections of land‐use prepared for CMIP6. We found that more than 50% of the genetically poorest geographic areas (grid‐cells), primarily distributed in tundra, boreal forests/taiga and temperate bioclimatic regions, will be exposed to mean annual temperature rise that exceeds 2°C compared to the baseline period under all considered future scenarios. We also show that at least 30% of the most genetically rich areas in tropical, subtropical and montane regions will be exposed to an increase of mean annual temperature &gt; 2°C under less optimal scenarios. Genetic diversity in thes</w:t>
      </w:r>
    </w:p>
    <w:p>
      <w:pPr/>
      <w:r>
        <w:rPr>
          <w:b/>
        </w:rPr>
        <w:t>POSSIBLE 2021:</w:t>
      </w:r>
      <w:r>
        <w:t xml:space="preserve"> Limnological changes in Lake Victoria since the mid‐20th century — https://doi.org/10.1111/fwb.13780</w:t>
      </w:r>
    </w:p>
    <w:p>
      <w:pPr/>
      <w:r>
        <w:rPr>
          <w:b/>
        </w:rPr>
        <w:t>Shared claim-specific concepts:</w:t>
      </w:r>
      <w:r>
        <w:t xml:space="preserve"> increase, about, deeper, climate; EU scope not established. This is a provisional connection, not an outcome finding.</w:t>
      </w:r>
    </w:p>
    <w:p>
      <w:pPr>
        <w:pStyle w:val="SourceNote"/>
      </w:pPr>
      <w:r>
        <w:rPr>
          <w:b/>
        </w:rPr>
        <w:t>Available abstract (not full text):</w:t>
      </w:r>
      <w:r>
        <w:t xml:space="preserve"> Abstract Lake Victoria experienced a strong degradation of water quality between the 1960s and the 1990s and, as a consequence of eutrophication, the dominant phytoplankton group changed from diatoms to N2‐fixing cyanobacteria and there was a 2‐ to 10‐fold increase in chlorophyll‐a. The goal of this study is to determine whether the 2018–2019 physical (light, stratification) and ecological (nutrient, chlorophyll‐a, phytoplankton composition) conditions in Lake Victoria changed from the 1990s. Samples were collected in 2018–2019 in nearshore and offshore waters (Uganda), during three contrasting seasons: heavy rains (March), low rains (October), and dry (June), which corresponded to distinct water column mixing regimes, respectively, late‐stratified, early‐stratified, and mixed regimes. At each station (48 nearshore and 25 offshore), we measured vertical profiles of temperature, oxygen, phytoplankton biomass and composition, inorganic nutrients, and particulate organic carbon, particulate nitrogen (N), and phosphorus (P). Chlorophyll‐a concentrations in 2018–2019 were 10.3 ± 7.1 and 2.8 ± 1.1 µg/L in the nearshore and offshore surface waters, respectively, close to those measured in the 1960s before eutrophication, but distinctly lower than those measured in the 1990s (71 ± 100 and 14 ± 6 µg/L). The phytoplankton of Lake Victoria in 2018–2019 still appears dominated by diatoms a</w:t>
      </w:r>
    </w:p>
    <w:p>
      <w:pPr/>
      <w:r>
        <w:rPr>
          <w:b/>
        </w:rPr>
        <w:t>POSSIBLE 2020:</w:t>
      </w:r>
      <w:r>
        <w:t xml:space="preserve"> Increased European heat waves in recent decades in response to shrinking Arctic sea ice and Eurasian snow cover — https://doi.org/10.1038/s41612-020-0110-8</w:t>
      </w:r>
    </w:p>
    <w:p>
      <w:pPr/>
      <w:r>
        <w:rPr>
          <w:b/>
        </w:rPr>
        <w:t>Shared claim-specific concepts:</w:t>
      </w:r>
      <w:r>
        <w:t xml:space="preserve"> ice, increase, cover, climate; EU scope visible. This is a provisional connection, not an outcome finding.</w:t>
      </w:r>
    </w:p>
    <w:p>
      <w:pPr>
        <w:pStyle w:val="SourceNote"/>
      </w:pPr>
      <w:r>
        <w:rPr>
          <w:b/>
        </w:rPr>
        <w:t>Available abstract (not full text):</w:t>
      </w:r>
      <w:r>
        <w:t xml:space="preserve"> Abstract In recent decades, unprecedented extreme summer heat waves have occurred in Europe, and they have exhibited an increasing trend since 1970s. Although previous studies have suggested that these recent hot European summers could have been instigated by the underlying surface thermal conditions, the possible influence of shrinking Arctic sea ice and Eurasian snow cover on heat waves are not well understood. Herein, we present evidence obtained via observational analyses and numerical experiments indicating that the interdecadal increase in European heat waves is closely linked to the reductions in Arctic sea ice concentration (ASIC) and Eurasian snow cover fraction (EASC) across mid–high latitudes via the excitation of the anomalous Eurasian wave train. The combined effects of declined ASIC and EASC, accompanied by the drier soil and the stronger heat flux, tend to weaken the poleward temperature gradient at mid–high latitudes and affect the midlatitude jet stream and transient eddy activities. These dynamic and thermodynamic circulations increase the likelihood of more persistent European blocking events that favor frequent and strengthened heat waves. Further projection analysis of simulations from 13 CMIP5 climate models suggests that Europe may experience more hot summers as the ASIC and EASC continue to decline over the next century.</w:t>
      </w:r>
    </w:p>
    <w:p>
      <w:pPr/>
      <w:r>
        <w:rPr>
          <w:b/>
        </w:rPr>
        <w:t>POSSIBLE 2020:</w:t>
      </w:r>
      <w:r>
        <w:t xml:space="preserve"> Six hundred years of South American tree rings reveal an increase in severe hydroclimatic events since mid-20th century — https://doi.org/10.1073/pnas.2002411117</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South American (SA) societies are highly vulnerable to droughts and pluvials, but lack of long-term climate observations severely limits our understanding of the global processes driving climatic variability in the region. The number and quality of SA climate-sensitive tree ring chronologies have significantly increased in recent decades, now providing a robust network of 286 records for characterizing hydroclimate variability since 1400 CE. We combine this network with a self-calibrated Palmer Drought Severity Index (scPDSI) dataset to derive the South American Drought Atlas (SADA) over the continent south of 12°S. The gridded annual reconstruction of austral summer scPDSI is the most spatially complete estimate of SA hydroclimate to date, and well matches past historical dry/wet events. Relating the SADA to the Australia-New Zealand Drought Atlas, sea surface temperatures and atmospheric pressure fields, we determine that the El Niño-Southern Oscillation (ENSO) and the Southern Annular Mode (SAM) are strongly associated with spatially extended droughts and pluvials over the SADA domain during the past several centuries. SADA also exhibits more extended severe droughts and extreme pluvials since the mid-20th century. Extensive droughts are consistent with the observed 20th-century trend toward positive SAM anomalies concomitant with the weakening of midlatitude Westerlies, whi</w:t>
      </w:r>
    </w:p>
    <w:p>
      <w:pPr>
        <w:pStyle w:val="Heading2"/>
      </w:pPr>
      <w:r>
        <w:t>707.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2020:</w:t>
      </w:r>
      <w:r>
        <w:t xml:space="preserve"> Right‐Wing Populism in Rural Europe. Introduction to the Special Issue — https://doi.org/10.1111/soru.12306</w:t>
      </w:r>
    </w:p>
    <w:p>
      <w:pPr/>
      <w:r>
        <w:rPr>
          <w:b/>
        </w:rPr>
        <w:t>Shared claim-specific concepts:</w:t>
      </w:r>
      <w:r>
        <w:t xml:space="preserve"> here, built, system; EU scope visible. This is a provisional connection, not an outcome finding.</w:t>
      </w:r>
    </w:p>
    <w:p>
      <w:pPr>
        <w:pStyle w:val="SourceNote"/>
      </w:pPr>
      <w:r>
        <w:rPr>
          <w:b/>
        </w:rPr>
        <w:t>Available abstract (not full text):</w:t>
      </w:r>
      <w:r>
        <w:t xml:space="preserve"> Abstract This special issue aims to understand the rise of right‐wing populism in the European countryside, as well as the forms of resistance and the alternatives being built against it. In this short introduction, we briefly present the main objectives and conceptual position of the special issue and introduce its articles. Each article is discussed here based on its contribution to one of the following themes: (1) analysis of the existing socio‐economic system and power relations that gave rise to right‐wing populism in rural Europe; (2) critical examination of the major assumptions about rural support for populist movements; (3) problematic overlap between politics and rhetoric of right‐wing populist parties and left‐wing (green) parties and agrarian movements; (4) agrarian populism and food sovereignty movement as progressive alternatives to right‐wing politics in the European countryside.</w:t>
      </w:r>
    </w:p>
    <w:p>
      <w:pPr/>
      <w:r>
        <w:rPr>
          <w:b/>
        </w:rPr>
        <w:t>POSSIBLE 2020:</w:t>
      </w:r>
      <w:r>
        <w:t xml:space="preserve"> Alternative lenses for viewing how China has built its accounting and auditing profession — https://doi.org/10.1108/jaee-01-2019-0029</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Purpose The paper reviews some theoretical approaches that have been adopted for understanding the drivers and achievements of the Chinese professional project and the challenges it faces for the future, as a complement and a contrast to previous histories of China and to studies of other developing economies. Design/methodology/approach Based mainly on evaluating the information as obtained from the interviews in mainland China, in Hong Kong and in London reported by Macve (2020), complemented by other published histories. Findings China remains a paradox. Since the “reform and open” policy began in 1978 it has been transformed from one of the poorest countries to one of the economically most powerful in just some 40 years. However it remains (per capita) a “developing country”/”emerging economy” and ideologically a Communist country. While the accounting profession in the USA and UK has developed “from the bottom up” over more than a century and a half, the Chinese profession has effectively been created “from the top down” in under 25 years. The paper outlines alternative theorizations of the major stages in this achievement, in the context of the continuing rapid growth of China's economy and its stock markets, and of the overseas expansion of its manufacturing and increasingly service-oriented base. Research limitations/implications Space has restricted the analysis here t</w:t>
      </w:r>
    </w:p>
    <w:p>
      <w:pPr/>
      <w:r>
        <w:rPr>
          <w:b/>
        </w:rPr>
        <w:t>POSSIBLE 2020:</w:t>
      </w:r>
      <w:r>
        <w:t xml:space="preserve"> Flood exposure and vulnerability estimation methods for residential and commercial assets in Europe — https://doi.org/10.5194/egusphere-egu2020-4753</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Floods affect many types of tangible assets in Europe. Here, we present novel methods of estimating exposure and vulnerability of four important categories of assets: (1) residential buildings, (2) household contents, (3) non-residential buildings, (4) machinery and equipment. One set of models was developed for “residential” assets (1+2) and another one for “commercial” assets (3+4) within the activities of EIT Climate-KIC “SaferPLACES” project. All methods are applicable within Europe using only openly-available datasets at the level of individual buildings. Residential exposure is calculated through combination of estimated useful flood space of buildings and average national replacement costs of buildings and household contents. We devised a method for estimating building height using OpenStreetMap and pan-European raster datasets and transforming it into floor space area. Combining economic and demographic data, we calculated replacement costs of residential assets per m2 of floor space in 30 European countries, covering years 2000–2017. Regarding commercial assets, we created a method to disaggregate economic statistics to obtain detailed building-level estimates of replacement costs of non-residential buildings and machinery/equipment. Finally, we developed two Bayesian Network-based, probabilistic, multivariate models to estimate relative losses to residential and comme</w:t>
      </w:r>
    </w:p>
    <w:p>
      <w:pPr>
        <w:pStyle w:val="Heading2"/>
      </w:pPr>
      <w:r>
        <w:t>708.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2023:</w:t>
      </w:r>
      <w:r>
        <w:t xml:space="preserve"> QuantMig microsimulation population projection model and migration scenarios for 31 European countries — https://doi.org/10.5281/zenodo.7728048</w:t>
      </w:r>
    </w:p>
    <w:p>
      <w:pPr/>
      <w:r>
        <w:rPr>
          <w:b/>
        </w:rPr>
        <w:t>Shared claim-specific concepts:</w:t>
      </w:r>
      <w:r>
        <w:t xml:space="preserve"> microsimulation, project, population, immigration; EU scope visible. This is a provisional connection, not an outcome finding.</w:t>
      </w:r>
    </w:p>
    <w:p>
      <w:pPr>
        <w:pStyle w:val="SourceNote"/>
      </w:pPr>
      <w:r>
        <w:rPr>
          <w:b/>
        </w:rPr>
        <w:t>Available abstract (not full text):</w:t>
      </w:r>
      <w:r>
        <w:t xml:space="preserve"> This open data deposit contains the data and model code of QuantMig-Mic microsimulation population projection model for 31 European countries and accompanies deliverables D8.3: Model outputs for dissemination and D8.1: Microsimulation projection model. This Zenodo deposit contains datasets of model input (baseline population and immigration database) and output data (demography and components output tables) and model code with parameters of the Baseline scenario (termed Default in the model code) deposited in QuantMig_mic.zip file. To view the code the users must first install MODGEN software (or can view code files in Visual Studio). All scenarios share the same parameters except the immigrant population - to change the immigration assumptions the users can import immigration assumptions for any other scenario from the ImmigDataBase.csv and change it in the immigration module using the MODGEN user interface or using Visual Studio. The file structure and codebook for the data files is included in the cover note file "readme_quantmig_datasets.pdf" Detailed information about the QuantMig-Mic microsimulation model, its modules and parameters: Marois, G., Potančoková, M., González-Leonardo, M. (2023) QuantMig-Mic microsimulation population projection model. QuantMig Project Deliverable D8.2. International Institute for Applied Systems Analysis (IIASA), Austria. Available at:http://</w:t>
      </w:r>
    </w:p>
    <w:p>
      <w:pPr/>
      <w:r>
        <w:rPr>
          <w:b/>
        </w:rPr>
        <w:t>POSSIBLE 2023:</w:t>
      </w:r>
      <w:r>
        <w:t xml:space="preserve"> MicSim, a microsimulation model for population dynamics — https://doi.org/10.21203/rs.3.rs-2986170/v1</w:t>
      </w:r>
    </w:p>
    <w:p>
      <w:pPr/>
      <w:r>
        <w:rPr>
          <w:b/>
        </w:rPr>
        <w:t>Shared claim-specific concepts:</w:t>
      </w:r>
      <w:r>
        <w:t xml:space="preserve"> microsimulation, used, project, population, different, dynamics; EU scope visible. This is a provisional connection, not an outcome finding.</w:t>
      </w:r>
    </w:p>
    <w:p>
      <w:pPr>
        <w:pStyle w:val="SourceNote"/>
      </w:pPr>
      <w:r>
        <w:rPr>
          <w:b/>
        </w:rPr>
        <w:t>Available abstract (not full text):</w:t>
      </w:r>
      <w:r>
        <w:t xml:space="preserve"> Abstract Demographers use microsimulation for studying individual life courses and their attributes; events are specified to be the result of stochastic processes based on predetermined probabilistic rules. In this study, we developed and validated a microsimulation model to reconstruct individual’s life courses and their interactions in different regions of the European Union. One of the main objectives of this study was to track migrants’ pathways in the context of three population systems, namely Sweden, the Netherlands and Spain, from 2014 to 2018. We used official datasets as data inputs to analyze and project future population dynamics. A revised version of the MicSim package which is part of the statistical software R has been used to model mobility and migration patterns at large scale. For this purpose, among other things new functions were added to make the software more efficient concerning runtimes and data handling. By analyzing the modelling results we conclude that MicSim has the potential to be applied for modelling migration and also more general population movements at a large scale. The application of the MicSim package would provide policy makers with a valid instrument for the governance of migration accounting for the demographic and social patterns of migrants and their origin-destination contextual environments.</w:t>
      </w:r>
    </w:p>
    <w:p>
      <w:pPr/>
      <w:r>
        <w:rPr>
          <w:b/>
        </w:rPr>
        <w:t>POSSIBLE 2022:</w:t>
      </w:r>
      <w:r>
        <w:t xml:space="preserve"> Health Equity and Its Economic Determinants (HEED): protocol for a pan-European microsimulation model for health impacts of income and social security policies — https://doi.org/10.1136/bmjopen-2022-062405</w:t>
      </w:r>
    </w:p>
    <w:p>
      <w:pPr/>
      <w:r>
        <w:rPr>
          <w:b/>
        </w:rPr>
        <w:t>Shared claim-specific concepts:</w:t>
      </w:r>
      <w:r>
        <w:t xml:space="preserve"> microsimulation, project, population, different; EU scope visible. This is a provisional connection, not an outcome finding.</w:t>
      </w:r>
    </w:p>
    <w:p>
      <w:pPr>
        <w:pStyle w:val="SourceNote"/>
      </w:pPr>
      <w:r>
        <w:rPr>
          <w:b/>
        </w:rPr>
        <w:t>Available abstract (not full text):</w:t>
      </w:r>
      <w:r>
        <w:t xml:space="preserve"> Introduction Government policies on taxation and social security are important determinants of population health outcomes and health inequalities. However, there is a shortage of evidence to inform policymakers of the health consequences of such policies. The Health Equity and Its Economic Determinants project aims to assess the potential impacts of different taxation and social security policies across Europe on population health and health inequalities using a computer-based simulation that provides projections over multiple health domains. Methods and analysis In the first phase, key input parameters for the model will be estimated using estimation techniques that control for the effects of prior exposure on time-varying confounders and mediators (g-methods). The second phase will involve developing and validating the microsimulation model for the UK. Policy proposals, developed with policymakers, will be simulated in the third phase to investigate the impacts of income tax and social security changes on population health and health inequalities. In the final phase, the microsimulation model will be extended across other European countries. Ethics and dissemination This project will use deidentified secondary data for which ethical approval and consents were received by the original data collectors. No further ethical approval will be required for our main analytical dataset</w:t>
      </w:r>
    </w:p>
    <w:p>
      <w:pPr/>
      <w:r>
        <w:rPr>
          <w:b/>
        </w:rPr>
        <w:t>POSSIBLE 2022:</w:t>
      </w:r>
      <w:r>
        <w:t xml:space="preserve"> Modeling Fuzzy Fidelity: Using Microsimulation to Explore Age, Period, and Cohort Effects in Secularization — https://doi.org/10.1163/2589742x-bja10012</w:t>
      </w:r>
    </w:p>
    <w:p>
      <w:pPr/>
      <w:r>
        <w:rPr>
          <w:b/>
        </w:rPr>
        <w:t>Shared claim-specific concepts:</w:t>
      </w:r>
      <w:r>
        <w:t xml:space="preserve"> microsimulation, population, period; EU scope visible. This is a provisional connection, not an outcome finding.</w:t>
      </w:r>
    </w:p>
    <w:p>
      <w:pPr>
        <w:pStyle w:val="SourceNote"/>
      </w:pPr>
      <w:r>
        <w:rPr>
          <w:b/>
        </w:rPr>
        <w:t>Available abstract (not full text):</w:t>
      </w:r>
      <w:r>
        <w:t xml:space="preserve"> Abstract This article presents a microsimulation that explores age, period, and cohort effects in the decline of religiosity in contemporary societies. The model implements a well-known and previously empirically validated theory of secularization that highlights the role of “fuzzy fidelity,” i.e., the percentage of a population whose religiosity is moderate (Voas 2009). Validation of the model involved comparing its simulation results to shifts in religiosity over 9 waves of the European Social Survey. Simulation experiments suggest that a cohort effect, based on weakened transmission of religiosity as a function of the social environment, appears to be the best explanation for secularization in the societies studied, both for the population as a whole and for the proportions of religious, fuzzy, and secular people.</w:t>
      </w:r>
    </w:p>
    <w:p>
      <w:pPr/>
      <w:r>
        <w:rPr>
          <w:b/>
        </w:rPr>
        <w:t>POSSIBLE 2021:</w:t>
      </w:r>
      <w:r>
        <w:t xml:space="preserve"> Projecting health-ageing trajectories in Europe using a dynamic microsimulation model — https://doi.org/10.1038/s41598-021-81092-z</w:t>
      </w:r>
    </w:p>
    <w:p>
      <w:pPr/>
      <w:r>
        <w:rPr>
          <w:b/>
        </w:rPr>
        <w:t>Shared claim-specific concepts:</w:t>
      </w:r>
      <w:r>
        <w:t xml:space="preserve"> microsimulation, used, project, population, period; EU scope visible. This is a provisional connection, not an outcome finding.</w:t>
      </w:r>
    </w:p>
    <w:p>
      <w:pPr>
        <w:pStyle w:val="SourceNote"/>
      </w:pPr>
      <w:r>
        <w:rPr>
          <w:b/>
        </w:rPr>
        <w:t>Available abstract (not full text):</w:t>
      </w:r>
      <w:r>
        <w:t xml:space="preserve"> The extent of the challenges and opportunities that population ageing presents depends heavily on the population's health. Hence, for the development of appropriate strategies that enable countries to adopt the emerging demographic and epidemiological realities, information on future health trajectories of elderly population is a natural requirement. This study presents an innovative methodological framework for projecting the health of individuals using a dynamic microsimulation model that considers interactions between sociodemographic characteristics, health, mortality, bio-medical and behavioral risk factors. The model developed, called ATHLOS-Mic, is used to project the health of cohorts born before 1960 for the period 2015-2060 for selected European Countries using SHARE data to illustrate the possible effects of some selected risk factors and education on future health trajectories. Results show that, driven by a better educational attainment, each generation will be healthier than the previous one at same age. Also, we see that, on average, an individual of our base population will live about 18 more years since the start of the projection period, but only 5 years in good health. Finally, we find that a scenario that removes the effect of having a low level of education on individual health has the largest impact on the projected average health, the average number of ye</w:t>
      </w:r>
    </w:p>
    <w:p>
      <w:pPr/>
      <w:r>
        <w:rPr>
          <w:b/>
        </w:rPr>
        <w:t>POSSIBLE 2021:</w:t>
      </w:r>
      <w:r>
        <w:t xml:space="preserve"> Development and Validation of Three Regional Microsimulation Models for Predicting Colorectal Cancer Screening Benefits in Europe — https://doi.org/10.1177/2381468320984974</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Development and Validation of Three Regional Microsimulation Models for Predicting Colorectal Cancer Screening Benefits in Europe — https://doi.org/10.25384/sage.c.5291471</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POS-323 INSIDE CKD: PROJECTING THE FUTURE BURDEN OF CHRONIC KIDNEY DISEASE IN EUROPE USING MICROSIMULATION MODELLING — https://doi.org/10.1016/j.ekir.2021.03.339</w:t>
      </w:r>
    </w:p>
    <w:p>
      <w:pPr/>
      <w:r>
        <w:rPr>
          <w:b/>
        </w:rPr>
        <w:t>Shared claim-specific concepts:</w:t>
      </w:r>
      <w:r>
        <w:t xml:space="preserve"> microsimulation, project, period; EU scope visible. This is a provisional connection, not an outcome finding.</w:t>
      </w:r>
    </w:p>
    <w:p>
      <w:pPr>
        <w:pStyle w:val="SourceNote"/>
      </w:pPr>
      <w:r>
        <w:rPr>
          <w:b/>
        </w:rPr>
        <w:t>Available abstract (not full text):</w:t>
      </w:r>
      <w:r>
        <w:t xml:space="preserve"> Chronic kidney disease (CKD) is a debilitating and costly condition, affecting about 10% of people globally. Progression of CKD is associated with increased incidence of cardiovascular events, adverse renal outcomes and mortality, as well as high costs from renal replacement therapy (RRT) in end-stage renal disease. The future trajectories of CKD prevalence, progression and outcomes and their related costs, are critical considerations for public health and policy planning. Inside CKD aims to project, for the 2020–2025 period, the public health burden of CKD in Europe using a patient-level microsimulation-based model.</w:t>
      </w:r>
    </w:p>
    <w:p>
      <w:pPr/>
      <w:r>
        <w:rPr>
          <w:b/>
        </w:rPr>
        <w:t>POSSIBLE 2021:</w:t>
      </w:r>
      <w:r>
        <w:t xml:space="preserve"> Developing an integrated microsimulation model for the impact of fiscal policies on child health in Europe: the example of childhood obesity in Italy — https://doi.org/10.1186/s12916-021-02155-6</w:t>
      </w:r>
    </w:p>
    <w:p>
      <w:pPr/>
      <w:r>
        <w:rPr>
          <w:b/>
        </w:rPr>
        <w:t>Shared claim-specific concepts:</w:t>
      </w:r>
      <w:r>
        <w:t xml:space="preserve"> microsimulation, population, different, increase; EU scope visible. This is a provisional connection, not an outcome finding.</w:t>
      </w:r>
    </w:p>
    <w:p>
      <w:pPr>
        <w:pStyle w:val="SourceNote"/>
      </w:pPr>
      <w:r>
        <w:rPr>
          <w:b/>
        </w:rPr>
        <w:t>Available abstract (not full text):</w:t>
      </w:r>
      <w:r>
        <w:t xml:space="preserve"> BACKGROUND: We developed an integrated model called Microsimulation for Income and Child Health (MICH) that provides a tool for analysing the prospective effects of fiscal policies on childhood health in European countries. The aim of this first MICH study is to evaluate the impact of alternative fiscal policies on childhood overweight and obesity in Italy. METHODS: MICH model is composed of three integrated modules. Firstly, module 1 (M1) simulates the effects of fiscal policies on disposable household income using the tax-benefit microsimulation program EUROMOD fed with the Italian EU-SILC 2010 data. Secondly, module 2 (M2) exploits data provided by the Italian birth cohort called Nascita e Infanzia: gli Effetti dell'Ambiente (NINFEA), translated as Birth and Childhood: the Effects of the Environment study, and runs a series of concatenated regressions in order to estimate the prospective effects of income on child body mass index (BMI) at different ages. Finally, module 3 (M3) uses dynamic microsimulation techniques that combine the population structure and incomes obtained by M1, with regression model specifications and estimated effect sizes provided by M2, projecting BMI distributions according to the simulated policy scenarios. RESULTS: Both universal benefits, such as universal basic income (BI), and targeted interventions, such as child benefit (CB) for poorer househol</w:t>
      </w:r>
    </w:p>
    <w:p>
      <w:pPr/>
      <w:r>
        <w:rPr>
          <w:b/>
        </w:rPr>
        <w:t>POSSIBLE 2021:</w:t>
      </w:r>
      <w:r>
        <w:t xml:space="preserve"> MO494INSIDE CKD: MODELLING THE ECONOMIC BURDEN OF CHRONIC KIDNEY DISEASE IN EUROPE USING PATIENT-LEVEL MICROSIMULATION — https://doi.org/10.1093/ndt/gfab087.0014</w:t>
      </w:r>
    </w:p>
    <w:p>
      <w:pPr/>
      <w:r>
        <w:rPr>
          <w:b/>
        </w:rPr>
        <w:t>Shared claim-specific concepts:</w:t>
      </w:r>
      <w:r>
        <w:t xml:space="preserve"> microsimulation, used, population, country-specific, rates, increase; EU scope visible. This is a provisional connection, not an outcome finding.</w:t>
      </w:r>
    </w:p>
    <w:p>
      <w:pPr>
        <w:pStyle w:val="SourceNote"/>
      </w:pPr>
      <w:r>
        <w:rPr>
          <w:b/>
        </w:rPr>
        <w:t>Available abstract (not full text):</w:t>
      </w:r>
      <w:r>
        <w:t xml:space="preserve"> Abstract Background and Aims Chronic kidney disease (CKD) is a debilitating and costly condition, affecting approximately 10% of people globally. Progression of CKD is associated with an increased incidence of adverse renal and cardiovascular outcomes, and premature mortality, as well as increased requirement for renal replacement therapies (RRTs), which are associated with significant healthcare costs and resource use. The trajectories of CKD prevalence, progression, outcomes and the related costs are therefore critical considerations for public health and policy planning. Using country-specific, patient-level microsimulation, Inside CKD aims to model the global clinical and economic burden of CKD from 2020 to 2025. Method We used the Inside CKD microsimulation to model the economic burden of CKD in Europe. A virtual general population was developed for each country using national survey data and relevant data from published literature. Data inputs included country demographics, the prevalence of CKD and RRT, comorbidities and complication rates, as well as associated healthcare costs. CKD stages were defined according to Kidney Disease Improving Global Outcomes (KDIGO) 2012 recommendations and patients were categorized according to estimated glomerular filtration rate and albuminuria status. RRT modelling was calibrated against historical trends from country-specific renal re</w:t>
      </w:r>
    </w:p>
    <w:p>
      <w:pPr>
        <w:pStyle w:val="Heading2"/>
      </w:pPr>
      <w:r>
        <w:t>709.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2024:</w:t>
      </w:r>
      <w:r>
        <w:t xml:space="preserve"> Ex-ante LCA of magnet recycling: Progressing towards sustainable industrial-scale technology — https://doi.org/10.1016/j.jclepro.2024.142453</w:t>
      </w:r>
    </w:p>
    <w:p>
      <w:pPr/>
      <w:r>
        <w:rPr>
          <w:b/>
        </w:rPr>
        <w:t>Shared claim-specific concepts:</w:t>
      </w:r>
      <w:r>
        <w:t xml:space="preserve"> lca, environmental, categories; EU scope not established. This is a provisional connection, not an outcome finding.</w:t>
      </w:r>
    </w:p>
    <w:p>
      <w:pPr>
        <w:pStyle w:val="SourceNote"/>
      </w:pPr>
      <w:r>
        <w:rPr>
          <w:b/>
        </w:rPr>
        <w:t>Available abstract (not full text):</w:t>
      </w:r>
      <w:r>
        <w:t xml:space="preserve"> To alleviate the pressure on the rare earth supply chain, new technologies are under development for recovering, recycling and remanufacturing NdFeB magnets. In this study, the anticipated environmental performance of large-scale recycling is investigated and compared to the production of primary magnets. To do so, this ex-ante life cycle assessment combines input from measurements of pilot processes, expert technology forecasts, thermodynamic modelling, and equipment data from manufacturers. We examined the effect of four technology developments: process changes, size scaling, internal recycling, and optimization. The results show that at pilot scale, recovered NdFeB powders have lower impacts than primary powders for almost all impact categories. This demonstrates that the recovery of NdFeB alloys is environmentally beneficial. Magnets from anticipated large-scale recycling have over 80% lower impacts than primary magnets in most of the impact categories analyzed. All four investigated types of technology development contributed to this improved performance. The final configuration was validated by comparison with an industrial reference and theoretical optimum configuration. Four magnet manufacturing routes (sintering, extrusion, metal injection molding, bonding) have distinct environmental profiles, but all can progress to similarly low levels of impact. The choice among ro</w:t>
      </w:r>
    </w:p>
    <w:p>
      <w:pPr/>
      <w:r>
        <w:rPr>
          <w:b/>
        </w:rPr>
        <w:t>POSSIBLE 2023:</w:t>
      </w:r>
      <w:r>
        <w:t xml:space="preserve"> Waste LCA and the future — https://doi.org/10.1016/j.wasman.2023.11.021</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Life cycle assessment (LCA) models quantifying the environmental aspects of waste management have become an integral part of waste management decision-making over the last two decades and have provided ample knowledge on both environmental benefits and drawbacks in the way we handle waste. Waste management and LCA modelling of waste management systems will soon be challenged by profound changes necessary in our societies and sectors to meet sustainable development goals. Foreseen changes in energy, material, and nutrient provision will directly and indirectly affect waste management in terms of its operation and goals. This study reflects on anticipated changes in society and industrial sectors and how these changes may affect waste management and LCA modelling of waste management systems in terms of waste input, the modelling of technologies and systems and exchanges of energy, materials, and nutrients, as well as how it may affect impact assessment and the interpretation of results. The study provides practical recommendations for LCA modelling of future waste management systems, which will hopefully lead to robust assessments that can support decision-making in an evolving society subject to great changes.</w:t>
      </w:r>
    </w:p>
    <w:p>
      <w:pPr/>
      <w:r>
        <w:rPr>
          <w:b/>
        </w:rPr>
        <w:t>POSSIBLE 2023:</w:t>
      </w:r>
      <w:r>
        <w:t xml:space="preserve"> A LCA and LCC analysis of pure subtractive manufacturing, wire arc additive manufacturing, and selective laser melting approaches — https://doi.org/10.1016/j.jmapro.2023.05.102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The development of sustainable manufacturing solutions is gaining attention in the manufacturing sector due to increased awareness about climate change and the formulation of stricter environmental legislation. Sustainable manufacturing involves the development of solutions that are environmentally friendly and cost-effective at the same time. Considering the opportunities and limitations of metal subtractive and additive manufacturing approaches from a sustainability perspective, this study aims to compare the environmental impact and production costs associated with the manufacture of a marine propeller using pure subtractive CNC milling along with additive Wire arc additive manufacturing (WAAM) and Selective Laser Melting (SLM) approaches. Life Cycle Assessment (LCA) and Life Cycle Costing (LCC) are used to quantify the environmental and economic impacts, respectively for each manufacturing approach. Based on the LCA and LCC models formulated, and the input data collected, the WAAM approach is observed to be the most environmentally and cost-efficient approach for the marine propeller analyzed. WAAM shows an environmental impact about 2.5 times and 3.4 times lower than pure CNC milling and SLM approaches, respectively mainly due to its better material and energy efficiencies. The effect of key variables on the environmental impact and production cost such as raw material, el</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lca, environmental;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r>
        <w:rPr>
          <w:b/>
        </w:rPr>
        <w:t>POSSIBLE 2022:</w:t>
      </w:r>
      <w:r>
        <w:t xml:space="preserve"> Closing gaps in LCA of lithium-ion batteries: LCA of lab-scale cell production with new primary data — https://doi.org/10.1016/j.jclepro.2022.135510</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Battery storage systems have become an important pillar in the transformation of the energy and transportation sector over the last decades. Lithium-ion batteries (LIBs) are the dominating technology in this process making them a constant subject of analysis regarding their sustainability. To assess their environmental performance, several Life Cycle Assessments (LCA) of LIBs have been performed over the last years. Yet, the amount of available primary data on their production remains low, leading to recurrent reliance on a few disclosed datasets, mostly at industrial scale. Thus, there is a need for new LCA studies at different scales (lab, pilot, industrial) using transparent datasets to facilitate more reliable and robust assessments. This work presents a screening of recent environmental assessments for LIBs at different production scales aiming at identifying remaining gaps and challenges, and deriving a detailed LCA of a lab-scale battery cell production. For the first time the environmental impact of a lab-scale battery production based on process-oriented primary data is investigated. The results are flanked by sensitivity analyses and scenarios and compared with literature values. The hotspots identified in this study, cathode slurry, anode current collector, as well as the energy demand of the dry room and coating process, are consistent with the literature, although </w:t>
      </w:r>
    </w:p>
    <w:p>
      <w:pPr/>
      <w:r>
        <w:rPr>
          <w:b/>
        </w:rPr>
        <w:t>POSSIBLE 2022:</w:t>
      </w:r>
      <w:r>
        <w:t xml:space="preserve"> Exploring the photocatalytic total oxidation of methane through the lens of a prospective LCA — https://doi.org/10.1016/j.aeaoa.2022.100190</w:t>
      </w:r>
    </w:p>
    <w:p>
      <w:pPr/>
      <w:r>
        <w:rPr>
          <w:b/>
        </w:rPr>
        <w:t>Shared claim-specific concepts:</w:t>
      </w:r>
      <w:r>
        <w:t xml:space="preserve"> lca, environmental, emission; EU scope not established. This is a provisional connection, not an outcome finding.</w:t>
      </w:r>
    </w:p>
    <w:p>
      <w:pPr>
        <w:pStyle w:val="SourceNote"/>
      </w:pPr>
      <w:r>
        <w:rPr>
          <w:b/>
        </w:rPr>
        <w:t>Available abstract (not full text):</w:t>
      </w:r>
      <w:r>
        <w:t xml:space="preserve"> Hundreds of megatons of the second most important greenhouse gas (GHG), methane, are released annually to the atmosphere, often from emission sources which are difficult to abate. Research on post-emission mitigation technology is scarce and still in its infancy. This paper proposes a self-sufficient photocatalytic system to mitigate atmospheric methane via total oxidation to CO 2 and analyzes its future viability and feasibility using environmental as well as physicochemical metrics. A four-step, explorative, scaled-up, prospective life cycle assessment (LCA) for the year 2050 shows that, in the best-case scenario, the market-ready photocatalytic module will amortize the produced GHG emissions in 1.5 years, while under more conservative assumptions, the physicochemical properties hinder a climate reasonable implementation. Targets like photocatalytic turnover numbers as well as reaction rates are calculated and compared to values reported in the literature to enable goal-oriented research and development. It is shown that more R&amp;D is needed to have the proposed photocatalyst ready by 2050. The importance of methane mitigation development is highlighted and avenues for doing so are presented.</w:t>
      </w:r>
    </w:p>
    <w:p>
      <w:pPr/>
      <w:r>
        <w:rPr>
          <w:b/>
        </w:rPr>
        <w:t>POSSIBLE 2022:</w:t>
      </w:r>
      <w:r>
        <w:t xml:space="preserve"> A Modular Tool to Support Data Management for LCA in Industry: Methodology, Application and Potentialities — https://doi.org/10.3390/su14073746</w:t>
      </w:r>
    </w:p>
    <w:p>
      <w:pPr/>
      <w:r>
        <w:rPr>
          <w:b/>
        </w:rPr>
        <w:t>Shared claim-specific concepts:</w:t>
      </w:r>
      <w:r>
        <w:t xml:space="preserve"> lca, environmental, across; EU scope not established. This is a provisional connection, not an outcome finding.</w:t>
      </w:r>
    </w:p>
    <w:p>
      <w:pPr>
        <w:pStyle w:val="SourceNote"/>
      </w:pPr>
      <w:r>
        <w:rPr>
          <w:b/>
        </w:rPr>
        <w:t>Available abstract (not full text):</w:t>
      </w:r>
      <w:r>
        <w:t xml:space="preserve"> Life Cycle Assessment (LCA) computes potential environmental impacts of a product or process. However, LCAs in the industrial sector are generally delivered through static yearly analyses which cannot capture any temporal dynamics of inventory data. Moreover, LCA must deal with differences across background models, Life Cycle Impact Assessment (LCIA) methods and specific rules of environmental labels, together with their developments over time and the difficulty of the non-expert organization staff to effectively interpret LCA results. A case study which discusses how to manage these barriers and their relevance is currently lacking. Here, we fill this gap by proposing a general methodology to develop a modular tool which integrates spreadsheets, LCA software, coding and visualization modules that can be independently modified while leaving the architecture unchanged. We test the tool within the ORI Martin secondary steelmaking plant, finding that it can manage (i) a high amount of primary foreground data to build a dynamic LCA; (ii) different background models, LCIA methods and environmental labels rules; (iii) interactive visualizations. Then, we outline the relevance of these capabilities since (i) temporal dynamics of foreground inventory data affect monthly LCA results, which may vary by ±14% around the yearly value; (ii) background datasets, LCIA methods and environmental</w:t>
      </w:r>
    </w:p>
    <w:p>
      <w:pPr/>
      <w:r>
        <w:rPr>
          <w:b/>
        </w:rPr>
        <w:t>POSSIBLE 2021:</w:t>
      </w:r>
      <w:r>
        <w:t xml:space="preserve"> Environmental assessments of scales: The effect of ex-ante and ex-post data on life cycle assessment of wood torrefaction — https://doi.org/10.1016/j.resconrec.2021.105906</w:t>
      </w:r>
    </w:p>
    <w:p>
      <w:pPr/>
      <w:r>
        <w:rPr>
          <w:b/>
        </w:rPr>
        <w:t>Shared claim-specific concepts:</w:t>
      </w:r>
      <w:r>
        <w:t xml:space="preserve"> ex-post, lca, environmental; EU scope not established. This is a provisional connection, not an outcome finding.</w:t>
      </w:r>
    </w:p>
    <w:p>
      <w:pPr>
        <w:pStyle w:val="SourceNote"/>
      </w:pPr>
      <w:r>
        <w:rPr>
          <w:b/>
        </w:rPr>
        <w:t>Available abstract (not full text):</w:t>
      </w:r>
      <w:r>
        <w:t xml:space="preserve"> Life Cycle Assessment (LCA) is a powerful tool for achieving sustainability. Traditional LCAs analyze well defined and developed industrial systems, but recent developments of LCA focus on analyzing emerging technologies which are not yet optimized with respect to energy and materials. Therefore, LCA results of ex-ante applications can be very different from ex-post applications for the same system. The purpose of this study is to show the different effects of data scales on LCA results regarding global warming, fine particulate matter formation, terrestrial acidification and freshwater eutrophication potentials. For this purpose torrefaction technology was selected as the case study and assessed based on bench scale data, lab scale data, data derived from process simulations, pilot scale data and commercial scale data. Considered environmental impacts were global warming, fine particulate matter formation, terrestrial acidification and freshwater eutrophication. Results showed that process efficiencies improved significantly between the bench scale system and systems with higher technology readiness levels (TRLs), such as pilot, process simulations and commercial scale systems. Furthermore, process simulations result in scores closer to commercial scale regarding all considered environmental impacts. However, if LCA practitioners focus only on global warming impact, then pilot</w:t>
      </w:r>
    </w:p>
    <w:p>
      <w:pPr>
        <w:pStyle w:val="Heading2"/>
      </w:pPr>
      <w:r>
        <w:t>710.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2020:</w:t>
      </w:r>
      <w:r>
        <w:t xml:space="preserve"> Minding the gap: identifying values to enable public and patient involvement at the pre-commencement stage of research projects — https://doi.org/10.1186/s40900-020-00220-7</w:t>
      </w:r>
    </w:p>
    <w:p>
      <w:pPr/>
      <w:r>
        <w:rPr>
          <w:b/>
        </w:rPr>
        <w:t>Shared claim-specific concepts:</w:t>
      </w:r>
      <w:r>
        <w:t xml:space="preserve"> respect, includes, critical, applied; EU scope not established. This is a provisional connection, not an outcome finding.</w:t>
      </w:r>
    </w:p>
    <w:p>
      <w:pPr>
        <w:pStyle w:val="SourceNote"/>
      </w:pPr>
      <w:r>
        <w:rPr>
          <w:b/>
        </w:rPr>
        <w:t>Available abstract (not full text):</w:t>
      </w:r>
      <w:r>
        <w:t xml:space="preserve"> BACKGROUND: The University College Dublin (UCD) Public and Patient Invovlement (PPI) ignite program is focused on embedding PPI in health and social care related research, education and training, professional practice and administration. During a PPI knowledge sharing event challenges were noted during the pre-commencement stage of research projects. This stage includes the time before a research projects/partnership starts or when funding is being applied for. As a response, we agreed there was a need to spend time developing a values-based approach to be used from the pre-commencement of PPI projects and partnerships. Values are deeply held ideals that people consider to be important. They are vital in shaping our attitudes and motivating our choices and behaviours. METHODS: Using independent facilitators, we invited a diverse group of participants to a full-day workshop in February. During the workshop, the concept of a values statement and values-based approaches was introduced. The group via a majority consensus, agreed on a core set of values and a shared understanding of them. After the workshop, a draft was shared with participants for further comment and final agreement. RESULTS: The workshop had 22 people representing experts by experience, PPI charity partners, funders, academics and national PPI Ignite partners. The group via consensus identified four values of resp</w:t>
      </w:r>
    </w:p>
    <w:p>
      <w:pPr>
        <w:pStyle w:val="Heading2"/>
      </w:pPr>
      <w:r>
        <w:t>711.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r>
        <w:rPr>
          <w:b/>
        </w:rPr>
        <w:t>POSSIBLE 2020:</w:t>
      </w:r>
      <w:r>
        <w:t xml:space="preserve"> Flood trends in Europe: are changes in small and big floods different? — https://doi.org/10.5194/hess-24-1805-2020</w:t>
      </w:r>
    </w:p>
    <w:p>
      <w:pPr/>
      <w:r>
        <w:rPr>
          <w:b/>
        </w:rPr>
        <w:t>Shared claim-specific concepts:</w:t>
      </w:r>
      <w:r>
        <w:t xml:space="preserve"> selected, especially, regional;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Mapping interventional cardiology in Europe: the European Association of Percutaneous Cardiovascular Interventions (EAPCI) Atlas Project — https://doi.org/10.1093/eurheartj/ehaa475</w:t>
      </w:r>
    </w:p>
    <w:p>
      <w:pPr/>
      <w:r>
        <w:rPr>
          <w:b/>
        </w:rPr>
        <w:t>Shared claim-specific concepts:</w:t>
      </w:r>
      <w:r>
        <w:t xml:space="preserve"> shown, countries, international; EU scope visible. This is a provisional connection, not an outcome finding.</w:t>
      </w:r>
    </w:p>
    <w:p>
      <w:pPr>
        <w:pStyle w:val="SourceNote"/>
      </w:pPr>
      <w:r>
        <w:rPr>
          <w:b/>
        </w:rPr>
        <w:t>Available abstract (not full text):</w:t>
      </w:r>
      <w:r>
        <w:t xml:space="preserve"> AIMS: The European Association of Percutaneous Cardiovascular Interventions (EAPCI) Atlas of Interventional Cardiology has been developed to map interventional practice across European Society of Cardiology (ESC) member countries. Here we present the main findings of a 16-country survey in which we examine the national availability of interventional infrastructure, human resource, and procedure volumes. METHODS AND RESULTS: Sixteen ESC member countries participated in the EAPCI Atlas survey. Interventional data were collected by the National Cardiac Society of each participating country. An annual median of 5131 [interquartile range (IQR) 4013-5801] diagnostic heart procedures per million people were reported, ranging from &lt;2500 in Egypt and Romania to &gt;7000 in Turkey and Germany. Procedure rates showed significant correlation (r = 0.67, P = 0.013) with gross national income (GNI) per capita. An annual median of 2478 (IQR 1690-2633) percutaneous coronary interventions (PCIs) per million people were reported, ranging from &lt;1000 in Egypt and Romania to &gt;3000 in Switzerland, Poland, and Germany. Procedure rates showed significant correlation with GNI per capita (r = 0.62, P = 0.014). An annual median of 48.2 (IQR 29.1-105.2) transcatheter aortic valve implantation procedures per million people were performed, varying from &lt;25 per million people in Egypt, Romania, Turkey, and Polan</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shown, international, regional;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countries, potential, especially, regional;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712.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projections, temperature, climate;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2022:</w:t>
      </w:r>
      <w:r>
        <w:t xml:space="preserve"> Model Projections of Increased Severity of Heat Waves in Eastern Europe — https://doi.org/10.1029/2022gl100183</w:t>
      </w:r>
    </w:p>
    <w:p>
      <w:pPr/>
      <w:r>
        <w:rPr>
          <w:b/>
        </w:rPr>
        <w:t>Shared claim-specific concepts:</w:t>
      </w:r>
      <w:r>
        <w:t xml:space="preserve"> projections, combined, climate; EU scope visible. This is a provisional connection, not an outcome finding.</w:t>
      </w:r>
    </w:p>
    <w:p>
      <w:pPr>
        <w:pStyle w:val="SourceNote"/>
      </w:pPr>
      <w:r>
        <w:rPr>
          <w:b/>
        </w:rPr>
        <w:t>Available abstract (not full text):</w:t>
      </w:r>
      <w:r>
        <w:t xml:space="preserve"> Abstract Extreme heat is investigated in a series of high‐resolution time‐slice global simulations comparing the current and late‐21st century climates. An increase in climate‐relative extreme heat is found in the region surrounding the Black Sea. Similarities between the synoptic‐scale flows in current and future heat events combined with a decrease in future summer precipitation suggests that the increased future severity stems from strengthened land‐atmosphere feedbacks driven primarily by the changes in precipitation. The resulting intensification of heat events beyond the mean warming driven by climate change could generate significant future heat hazards in vulnerable regions. Given the continental cool bias in the present‐day simulations, the resulting estimates of future extreme heat are likely to be conservative.</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2021:</w:t>
      </w:r>
      <w:r>
        <w:t xml:space="preserve"> Projections of temperature-attributable mortality in Europe: a time series analysis of 147 contiguous regions in 16 countries — https://doi.org/10.1016/s2542-5196(21)00150-9</w:t>
      </w:r>
    </w:p>
    <w:p>
      <w:pPr/>
      <w:r>
        <w:rPr>
          <w:b/>
        </w:rPr>
        <w:t>Shared claim-specific concepts:</w:t>
      </w:r>
      <w:r>
        <w:t xml:space="preserve"> projections, temperature, not, rcp2, combined, background; EU scope visible. This is a provisional connection, not an outcome finding.</w:t>
      </w:r>
    </w:p>
    <w:p>
      <w:pPr>
        <w:pStyle w:val="SourceNote"/>
      </w:pPr>
      <w:r>
        <w:rPr>
          <w:b/>
        </w:rPr>
        <w:t>Available abstract (not full text):</w:t>
      </w:r>
      <w:r>
        <w:t xml:space="preserve"> BACKGROUND: Europe has emerged as a major climate change hotspot, both in terms of an increase in seasonal averages and climate extremes. Projections of temperature-attributable mortality, however, have not been comprehensively reported for an extensive part of the continent. Therefore, we aim to estimate the future effect of climate change on temperature-attributable mortality across Europe. METHODS: We did a time series analysis study. We derived temperature-mortality associations by collecting daily temperature and all-cause mortality records of both urban and rural areas for the observational period between 1998 and 2012 from 147 regions in 16 European countries. We estimated the location-specific temperature-mortality relationships by using standard time series quasi-Poisson regression in conjunction with a distributed lag non-linear model. These associations were used to transform the daily temperature simulations from the climate models in the historical period (1971-2005) and scenario period (2006-2099) into projections of temperature-attributable mortality. We combined the resulting risk functions with daily time series of future temperatures simulated by four climate models (ie, GFDL-ESM2M, HadGEM2-ES, IPSL-CM5A-LR, and MIROC5) under three greenhouse gas emission scenarios (ie, Representative Concentration Pathway [RCP]2.6, RCP6.0, and RCP8.5), providing projections o</w:t>
      </w:r>
    </w:p>
    <w:p>
      <w:pPr/>
      <w:r>
        <w:rPr>
          <w:b/>
        </w:rPr>
        <w:t>POSSIBLE 2021:</w:t>
      </w:r>
      <w:r>
        <w:t xml:space="preserve"> Can we trust CMIP5/6 future projections of European winter precipitation? — https://doi.org/10.1088/1748-9326/abf28a</w:t>
      </w:r>
    </w:p>
    <w:p>
      <w:pPr/>
      <w:r>
        <w:rPr>
          <w:b/>
        </w:rPr>
        <w:t>Shared claim-specific concepts:</w:t>
      </w:r>
      <w:r>
        <w:t xml:space="preserve"> projections, suggest, over, climate; EU scope visible. This is a provisional connection, not an outcome finding.</w:t>
      </w:r>
    </w:p>
    <w:p>
      <w:pPr>
        <w:pStyle w:val="SourceNote"/>
      </w:pPr>
      <w:r>
        <w:rPr>
          <w:b/>
        </w:rPr>
        <w:t>Available abstract (not full text):</w:t>
      </w:r>
      <w:r>
        <w:t xml:space="preserve">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projections, suggest, temperature, not, over, climate;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projections, suggest, temperature,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2020:</w:t>
      </w:r>
      <w:r>
        <w:t xml:space="preserve"> Causal networks for climate model evaluation and constrained projections — https://doi.org/10.1038/s41467-020-15195-y</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pStyle w:val="Heading2"/>
      </w:pPr>
      <w:r>
        <w:t>713.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r>
        <w:rPr>
          <w:b/>
        </w:rPr>
        <w:t>POSSIBLE 2023:</w:t>
      </w:r>
      <w:r>
        <w:t xml:space="preserve"> A conceptual model for enabling sustainable management of soil-sediment-water ecosystems in support of European policy — https://doi.org/10.14321/aehm.026.02.063</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Abstract The health of soil-sediment-water ecosystems is under pressure from economic activities and a changing climate. This decreases health and hampers the service provision capacity of these ecosystems and thus impacts human well-being. Protecting and where feasible restoring of ecosystem health has currently become the key European environmental policy objective and for this it is needed to take an entire system approach and engage stakeholders. ‘Entire’ means that soil, sediment and water are regarded as closely interlinked environmental matrices that need to be managed by taking a ‘river (or mountain) to sea’ perspective, crossing spatial, discipline, political and cultural boundaries. This paper presents a conceptual model to support that purpose. Essentially, the conceptual model presents an approach for ecosystem-based management aimed to achieve healthy ecosystems, i.e. soil-sediment-water ecosystems that have the continued capacity to support ecosystem services to the benefit of their users. The model proposes a cyclic (iterative, learning-by-doing) approach and integrates soil-sediment-water, ecosystems, ecosystem services, users (stakeholders), pressures, information, management strategy and program of measures as building blocks. To successfully apply the model, it is above all needed to take an entrepreneurial approach, i.e. leave comfort zones, take an adventur</w:t>
      </w:r>
    </w:p>
    <w:p>
      <w:pPr/>
      <w:r>
        <w:rPr>
          <w:b/>
        </w:rPr>
        <w:t>POSSIBLE 2021:</w:t>
      </w:r>
      <w:r>
        <w:t xml:space="preserve"> IMPLEMENTING EUROPEAN ENVIRONMENTAL POLICY IN THE EUROPEAN UNION AND TURKEY: THE COST AND EXPENDITURES OF THE POLICY COMPLIANCE — https://doi.org/10.30546/2616-4418.bitd.2021.86</w:t>
      </w:r>
    </w:p>
    <w:p>
      <w:pPr/>
      <w:r>
        <w:rPr>
          <w:b/>
        </w:rPr>
        <w:t>Shared claim-specific concepts:</w:t>
      </w:r>
      <w:r>
        <w:t xml:space="preserve"> aim, water, good, all; EU scope visible. This is a provisional connection, not an outcome finding.</w:t>
      </w:r>
    </w:p>
    <w:p>
      <w:pPr>
        <w:pStyle w:val="SourceNote"/>
      </w:pPr>
      <w:r>
        <w:rPr>
          <w:b/>
        </w:rPr>
        <w:t>Available abstract (not full text):</w:t>
      </w:r>
      <w:r>
        <w:t xml:space="preserve"> This paper examines the European environmental policy and the tools that the European Union (EU) uses for the aim of protecting the environment. Environmental policy is of crucial importance indeed as it has direct impact on human’s health, on the quality of environment, on the well-being of all living creatures and species and on the preservation of our natural resources around the world. The EU is quite active in environmental protection policy making and the scope of her environmental policy expanded with time, including nowadays many aspects such as air, water and soil pollution, waste management, protection of the environment, industrial pollution, chemicals, climate change and noise pollution. The methodology of the study consists of the review and analysis of primary and secondary sources regarding EU legislation on European environmental policy. The requirements of environmental policy are exposed and evaluated at the European level and other international engagements at the global level such as the United Nations Framework Convention on Climate Change (UNFCC), Kyoto Protocol and Paris Agreement are also evaluated in our paper. European statistics and reports are evaluated to provide a good understanding and assessment of the relation between governments and corporations’ expenditures and the protection of environment in EU member states and in Turkey. Our paper also in</w:t>
      </w:r>
    </w:p>
    <w:p>
      <w:pPr/>
      <w:r>
        <w:rPr>
          <w:b/>
        </w:rPr>
        <w:t>POSSIBLE 2021:</w:t>
      </w:r>
      <w:r>
        <w:t xml:space="preserve"> WATER PRODUCTIVITY, EXPLOITATION AND FOOTPRINT: OBSOLETE CONCEPTS OR REPRESENTATIVE TOOLS IN UNDERSTANDING EUROPEAN ENVIRONMENTAL POLICY? — https://doi.org/10.15666/aeer/1903_25412564</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In contemporary economies, water represents a key resource in ensuring the sustainable economic development, being equally a factor of production in the economic branches, and also a relevant indicator in shaping the evolution of human activity.Water resources are vital for humanity, ecosystems and the economy, and its inefficient use is a serious problem.The main aim of the present research was to analyse and evaluate the impact of water use, from the perspective of a sustainable economic development, and to determine to what extent it can become a relevant indicator in this respect.For this purpose, three indicators were considered: water productivity, water exploitation index and water footprint.Based on the findings highlighted in the research, it can be concluded that the considered indicators can constitute representative instruments in understanding the European environmental policy.</w:t>
      </w:r>
    </w:p>
    <w:p>
      <w:pPr/>
      <w:r>
        <w:rPr>
          <w:b/>
        </w:rPr>
        <w:t>POSSIBLE 2020:</w:t>
      </w:r>
      <w:r>
        <w:t xml:space="preserve"> Perception of bottlenecks in the implementation of the European Water Framework Directive — https://openalex.org/W4390178243</w:t>
      </w:r>
    </w:p>
    <w:p>
      <w:pPr/>
      <w:r>
        <w:rPr>
          <w:b/>
        </w:rPr>
        <w:t>Shared claim-specific concepts:</w:t>
      </w:r>
      <w:r>
        <w:t xml:space="preserve"> water, achieve, good, ecological, status; EU scope visible. This is a provisional connection, not an outcome finding.</w:t>
      </w:r>
    </w:p>
    <w:p>
      <w:pPr>
        <w:pStyle w:val="SourceNote"/>
      </w:pPr>
      <w:r>
        <w:rPr>
          <w:b/>
        </w:rPr>
        <w:t>Available abstract (not full text):</w:t>
      </w:r>
      <w:r>
        <w:t xml:space="preserve"> The European Water Framework Directive (WFD) entered into force in December 2000; it marks a decisive turn in European water governance and related policies, management practices and restoration trends. After 20 years of implementation through two anagement cycles, EU member states have transposed the WFD requirements into national law, performed baseline assessments of water bodies, and implemented first measures such as hydromorphological river restoration which aims to achieve 'good ecological status', or at least the potential level targeted for that particular water body, by 2027. So far, however, WFD implementation has shown limited success; this weak result has given rise to studies, which are mainly discussions about possible technical limitations of WFD implementation and the appropriateness of monitoring procedures. This paper complements these studies by exploring governance-related bottlenecks that have emerged in the last two decades, as perceived by scientists and practitioners. An online survey was conducted which built on a list of 24 barriers to WFD implementation; these barriers had been identified previously by more than 40 researchers during a workshop in January 2019 and through a literature review. In this survey, the list of perceived barriers to WFD implementation was shared to 130 scientists and practitioners, who were asked to prioritise the items on l</w:t>
      </w:r>
    </w:p>
    <w:p>
      <w:pPr/>
      <w:r>
        <w:rPr>
          <w:b/>
        </w:rPr>
        <w:t>POSSIBLE 2020:</w:t>
      </w:r>
      <w:r>
        <w:t xml:space="preserve"> The Fifth Stage in Water Management: Policy Lessons for Water Governance — https://doi.org/10.1029/2019wr026714</w:t>
      </w:r>
    </w:p>
    <w:p>
      <w:pPr/>
      <w:r>
        <w:rPr>
          <w:b/>
        </w:rPr>
        <w:t>Shared claim-specific concepts:</w:t>
      </w:r>
      <w:r>
        <w:t xml:space="preserve"> water, achieve; EU scope not established. This is a provisional connection, not an outcome finding.</w:t>
      </w:r>
    </w:p>
    <w:p>
      <w:pPr>
        <w:pStyle w:val="SourceNote"/>
      </w:pPr>
      <w:r>
        <w:rPr>
          <w:b/>
        </w:rPr>
        <w:t>Available abstract (not full text):</w:t>
      </w:r>
      <w:r>
        <w:t xml:space="preserve"> Abstract Effective management of water resources is a critical policy issue globally. Using a framework developed by Turton, and a common set of characteristics describing key stages of water demand, we examine the effectiveness of isolated technical (e.g., irrigation upgrades) and allocative (e.g., buyback) efficiency for reducing water demand to sustainable levels. We base our analysis on Australia's water reform context which offers an advanced example of applying these levers to achieve allocative and technical efficiency. The study is motivated by appreciation of the benefits from increased policy flexibility and adaptability in response to the following: potential transformations toward inflexible production systems; uncertainty associated with impacts of climate change on future water reliability; and the need for increased possible future equity between uses/users (productive/consumptive, environmental, cultural). Our results highlight that a balance between technical and allocative efficiency mechanisms is necessary, as neither is sufficient in isolation, when seeking to reduce total water use. This approach also enables a clearer representation of uncertainty in future policy choices in many global settings with respect to water demand reduction.</w:t>
      </w:r>
    </w:p>
    <w:p>
      <w:pPr/>
      <w:r>
        <w:rPr>
          <w:b/>
        </w:rPr>
        <w:t>POSSIBLE 2020:</w:t>
      </w:r>
      <w:r>
        <w:t xml:space="preserve"> Policy and legislative barriers to close water-related loops in innovative small water and wastewater systems in Europe: A critical analysis — https://doi.org/10.1016/j.jclepro.2020.125604</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Water supply and reuse through non-conventional water resources can significantly decrease the stress on natural water resources. Decentralized systems can help not only to alleviate issues of water security in arid areas, but also to create a sustainable framework within a circular economy. Although these small-scale innovative technologies are able to achieve ready-to-use, high quality of recovered/treated water on-site, the loop cannot be closed in most cases due to legislative barriers. Similarly, the end-use of sewage sludge after treatment in decentralized systems still lacks specific regulations that limit its valorization. This work analyzes the current policy and legislations related to water supply, wastewater treatment, water reuse and resource valorization within the context of decentralized state-of-the-art technologies applied in rural areas. The drawbacks in the current EU legislation that set barriers to close water-related loops in European countries are highlighted. A regulatory fitness check was applied to each type of loop to identify the key factors to accomplish the legislative compliance, and financing pathways were further evaluated at the EU level. As a possible solution, further development of an innovation deal approach is recommended to address the environmental, regulatory and financial gaps in water management through an integrated framework, provi</w:t>
      </w:r>
    </w:p>
    <w:p>
      <w:pPr>
        <w:pStyle w:val="Heading2"/>
      </w:pPr>
      <w:r>
        <w:t>714.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r>
        <w:rPr>
          <w:b/>
        </w:rPr>
        <w:t>POSSIBLE 2023:</w:t>
      </w:r>
      <w:r>
        <w:t xml:space="preserve"> Shaping Sustainable Cities: A Long-Term GIS-Emanated Spatial Analysis of Settlement Growth and Planning in a Coastal Mediterranean European City — https://doi.org/10.3390/su151411202</w:t>
      </w:r>
    </w:p>
    <w:p>
      <w:pPr/>
      <w:r>
        <w:rPr>
          <w:b/>
        </w:rPr>
        <w:t>Shared claim-specific concepts:</w:t>
      </w:r>
      <w:r>
        <w:t xml:space="preserve"> long-term, planning, actions, levels; EU scope visible. This is a provisional connection, not an outcome finding.</w:t>
      </w:r>
    </w:p>
    <w:p>
      <w:pPr>
        <w:pStyle w:val="SourceNote"/>
      </w:pPr>
      <w:r>
        <w:rPr>
          <w:b/>
        </w:rPr>
        <w:t>Available abstract (not full text):</w:t>
      </w:r>
      <w:r>
        <w:t xml:space="preserve"> European cities have experienced rapid (and often conflicting) transformations that include, inter alia, the environment, the economy, society, climate change, and access to affordable housing, with implications for their future development. In order to address such issues, assessing the current situation of European metropolises is crucial to understanding new urban development models. In light of these dynamics, our study focused on urban expansion in Pafos, Cyprus, between 1993 and 2021. Such dynamics were examined through photointerpretation (using kernel density estimation) via the ArcGISPro spatial analyst tool. The empirical results of this analysis are considered particularly insightful, especially those regarding urban sprawl and its implications for future land management for the study area, and could help toward shaping specific policies to guide cities towards sustainable and environmentally friendly development. The analysis reveals a gradual increase in settlements over time (55%), although the rate of growth has decreased in recent years, as a consequence of the economic crisis. Density maps revealed varying levels of urban concentration density, highlighting the presence of high-density settlement cores downtown and low-density, dispersed settlements in the surrounding districts. According to the empirical findings of this study, urban growth in Pafos features f</w:t>
      </w:r>
    </w:p>
    <w:p>
      <w:pPr/>
      <w:r>
        <w:rPr>
          <w:b/>
        </w:rPr>
        <w:t>POSSIBLE 2022:</w:t>
      </w:r>
      <w:r>
        <w:t xml:space="preserve"> A stratified decision-making model for long-term planning: Application in flood risk management in Scotland — https://doi.org/10.1016/j.omega.2022.102803</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In a standard decision-making model for a game of chance, the best strategy is chosen based on the current state of the system under various conditions. There is however a shortcoming of this standard model, in that it can be applicable only for short-term decision-making periods. This is primarily due to not evaluating the dynamic characteristics and changes in status of the system and the outcomes of nature towards an a priori target or ideal state, which can occur in longer periods. Thus, in this study, a decision-making model based on the concept of stratification (CST), game theory and shared socio-economic pathway (SSP) is developed and its applicability to disaster management is shown. The game of chance and CST have been integrated to incorporate the dynamic nature of the decision environment for long-term disaster risk planning, while accounting for various states of the system and an ideal state. Furthermore, an interactive web application with dynamic user interface is built based on the proposed model to enable decision makers to identify the best choices in their model by a predictive approach. The Monte Carlo simulation is applied to experimentally validate the proposed model. Then, it is demonstrated how this methodology can suitably be applied to obtain ad hoc models, solutions, and analysis in the strategic decision-making process of flooding risk strategy eval</w:t>
      </w:r>
    </w:p>
    <w:p>
      <w:pPr/>
      <w:r>
        <w:rPr>
          <w:b/>
        </w:rPr>
        <w:t>POSSIBLE 2021:</w:t>
      </w:r>
      <w:r>
        <w:t xml:space="preserve"> Sequential Model for Long-Term Planning of Building Renewal and Capital Improvement — https://doi.org/10.3390/su13179575</w:t>
      </w:r>
    </w:p>
    <w:p>
      <w:pPr/>
      <w:r>
        <w:rPr>
          <w:b/>
        </w:rPr>
        <w:t>Shared claim-specific concepts:</w:t>
      </w:r>
      <w:r>
        <w:t xml:space="preserve"> long-term, planning, actions, levels; EU scope not established. This is a provisional connection, not an outcome finding.</w:t>
      </w:r>
    </w:p>
    <w:p>
      <w:pPr>
        <w:pStyle w:val="SourceNote"/>
      </w:pPr>
      <w:r>
        <w:rPr>
          <w:b/>
        </w:rPr>
        <w:t>Available abstract (not full text):</w:t>
      </w:r>
      <w:r>
        <w:t xml:space="preserve"> The paper puts forward a mixed integer linear programming model to support the long-term planning and budgeting for renewal and capital improvements of residential buildings, i.e., to select the optimal sequence of repair and improvement actions over a predefined planning horizon. The input is provided by the evaluation of the building performance according to a set of criteria. Then a set of possible repairs, replacements and improvements needs to be proposed together with the estimates of their cost and benefits; the latter are expressed by increments of building performance ratings according to predefined criteria. The renewal and modernization measures are not mutually independent: at least some of them are complementary and should be carried out in a specific order. The optimization problem was to define the order of renewal/improvement measures resulting with the highest benefits available within the budget, or to achieve the required levels of building performance at the lowest cost. A unique feature of the model is the approach to the constraints on sequential relationships between the measures and to their selection. The model can be used to construct long-term renewal and capital improvement plans.</w:t>
      </w:r>
    </w:p>
    <w:p>
      <w:pPr/>
      <w:r>
        <w:rPr>
          <w:b/>
        </w:rPr>
        <w:t>POSSIBLE 2020:</w:t>
      </w:r>
      <w:r>
        <w:t xml:space="preserve"> Long-Term Impact of Disasters on the Public Health System: A Multi-Case Analysis — https://doi.org/10.3390/ijerph17176251</w:t>
      </w:r>
    </w:p>
    <w:p>
      <w:pPr/>
      <w:r>
        <w:rPr>
          <w:b/>
        </w:rPr>
        <w:t>Shared claim-specific concepts:</w:t>
      </w:r>
      <w:r>
        <w:t xml:space="preserve"> setting, long-term, planning, well; EU scope visible. This is a provisional connection, not an outcome finding.</w:t>
      </w:r>
    </w:p>
    <w:p>
      <w:pPr>
        <w:pStyle w:val="SourceNote"/>
      </w:pPr>
      <w:r>
        <w:rPr>
          <w:b/>
        </w:rPr>
        <w:t>Available abstract (not full text):</w:t>
      </w:r>
      <w:r>
        <w:t xml:space="preserve"> As past events have shown, disasters can have a tremendous impact on the affected population's health. However, research regarding the long-term impact on a systems level perspective is still scarce. In this multi-case study, we analyzed and compared the long-term impacts on the public health system of five disasters which took place in Europe: avalanche (Austria), terror attack (Spain), airplane crash (Luxembourg), cable-car tunnel fire (Austria), and a flood in Central Europe. We used a mixed-methods approach consisting of a document analysis and interviews with key stakeholders, to examine the various long-term impacts each of the disasters had on health-system performance, as well as on security and health protection. The results show manifold changes undertaken in the fields of psychosocial support, infrastructure, and contingency and preparedness planning. The holistic approach of this study shows the importance of analyzing long-term impacts from the perspective of the type (e.g., disasters associated with natural hazards) and characteristic (e.g., duration and extent) of a disaster, as well as the regional context where a disaster took place. However, the identified recurring themes demonstrate the opportunity of learning from case studies in order to customize the lessons and apply them to the own-disaster-management setting.</w:t>
      </w:r>
    </w:p>
    <w:p>
      <w:pPr>
        <w:pStyle w:val="Heading2"/>
      </w:pPr>
      <w:r>
        <w:t>715.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2023:</w:t>
      </w:r>
      <w:r>
        <w:t xml:space="preserve"> Long-term optimization of the Norwegian energy system under the influence of the European power market — https://doi.org/10.1109/eem58374.2023.10161972</w:t>
      </w:r>
    </w:p>
    <w:p>
      <w:pPr/>
      <w:r>
        <w:rPr>
          <w:b/>
        </w:rPr>
        <w:t>Shared claim-specific concepts:</w:t>
      </w:r>
      <w:r>
        <w:t xml:space="preserve"> energy, system, indicate, investments, modelling; EU scope visible. This is a provisional connection, not an outcome finding.</w:t>
      </w:r>
    </w:p>
    <w:p>
      <w:pPr>
        <w:pStyle w:val="SourceNote"/>
      </w:pPr>
      <w:r>
        <w:rPr>
          <w:b/>
        </w:rPr>
        <w:t>Available abstract (not full text):</w:t>
      </w:r>
      <w:r>
        <w:t xml:space="preserve"> This paper proposes a novel bidirectional linkage between a national energy system model and a European power market model. The combined modelling framework enables long-term energy system investment strategies at the national level that captures the impact and interaction with the European power system. The linking methodology is demonstrated with two models, 1) IFE-TIMES-Norway, a technology-rich model used to analyze the cost-optimal development of the Norwegian energy system, and 2) EMPIRE, a stochastic capacity expansion model optimizing operation and investments of the European power system. Two convergence criteria are used: electricity generation capacities and prices. The linkage is performed for two future transition pathways, in which convergence is reached after 3 and 4 iterations. Results indicate that the pace of convergence greatly depends on the degree of interaction with neighbouring countries, as the European prices are sensitive to the Norwegian energy mix and vice versa. The linkage also led to changes in production and export volumes in Norway, emphasizing the importance of capturing the price elasticity of Europe when designing national energy systems.</w:t>
      </w:r>
    </w:p>
    <w:p>
      <w:pPr/>
      <w:r>
        <w:rPr>
          <w:b/>
        </w:rPr>
        <w:t>POSSIBLE 2022:</w:t>
      </w:r>
      <w:r>
        <w:t xml:space="preserve"> Indicators for the optimization of sustainable urban energy systems based on energy system modeling — https://doi.org/10.1186/s13705-021-00323-3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Abstract Background Urban energy systems are responsible for 75% of the world’s energy consumption and for 70% of the worldwide greenhouse gas emissions. Energy system models are used to optimize, benchmark and compare such energy systems with the help of energy sustainability indicators. We discuss several indicators for their basic suitability and their response to changing boundary conditions, system structures and reference values. The most suitable parameters are applied to four different supply scenarios of a real-world urban energy system. Results There is a number of energy sustainability indicators, but not all of them are suitable for the use in urban energy system optimization models. Shortcomings originate from the omission of upstream energy supply chains (secondary energy efficiency), from limited capabilities to compare small energy systems (energy productivity), from excessive accounting expense (regeneration rate), from unsuitable accounting methods (primary energy efficiency), from a questionable impact of some indicators on the overall system sustainability (self-sufficiency), from the lack of detailed information content (share of renewables), and more. On the other hand, indicators of absolute greenhouse gas emissions, energy costs, and final energy demand are well suitable for the use in optimization models. However, each of these indicators only represent</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2021:</w:t>
      </w:r>
      <w:r>
        <w:t xml:space="preserve"> Sustainable renewable energy supply networks optimization – The gradual transition to a renewable energy system within the European Union by 2050 — https://doi.org/10.1016/j.rser.2021.111186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In order to achieve the goal of a carbon neutral EU by 2050 and meet the climate targets of the Paris Agreement, a sustainable, efficient, competitive and secure energy system needs to be developed. This paper presents the synthesis of sustainable renewable energy supply networks within the EU-27, proposing a stepwise energy transition in the transport and power sectors, achieving a carbon net neutral target by 2050. A multi-period mixed-integer programming model is developed, with the objective of maximizing sustainability net present value, considering different biomass and waste resources for the production of biofuels, renewable electricity, hydrogen, food and bioproducts, employing different types of technologies. The results show that, with further development of existing technologies, the goal of a carbon-neutral EU can be achieved without compromising food production. Wind farms have proven to be the most promising solution at present for the rapid expansion of electricity generation from renewable energy sources, while the importance of solar photovoltaics is increasing over the years, reaching the 43% share of electricity generation from RES in 2050. Moreover, the energy transition within the EU could have a significant positive impact on the economic, environmental and also social aspects of sustainability, with more than 1.5 million new job opportunities created acr</w:t>
      </w:r>
    </w:p>
    <w:p>
      <w:pPr/>
      <w:r>
        <w:rPr>
          <w:b/>
        </w:rPr>
        <w:t>POSSIBLE 2021:</w:t>
      </w:r>
      <w:r>
        <w:t xml:space="preserve"> A modeler's guide to handle complexity in energy systems optimization — https://doi.org/10.1016/j.adapen.2021.100063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Determining environmentally- and economically-optimal energy systems designs and operations is complex. In particular, the integration of weather-dependent renewable energy technologies into energy system optimization models presents new challenges to computational tractability that cannot only be solved by advancements in computational resources. In consequence, energy system modelers must tackle the complexity of their models by applying various methods to manipulate the underlying data and model structure, with the ultimate goal of finding optimal solutions. As which complexity reduction method is suitable for which research question is often unclear, herein we review different approaches for handling complexity. We first analyze the determinants of complexity and note that many drivers of complexity could be avoided a priori with a tailored model design. Second, we conduct a review of systematic complexity reduction methods for energy system optimization models, which can range from simple linearization performed by modelers to sophisticated multi-level approaches combining aggregation and decomposition methods. Based on this overview, we develop a guide for energy system modelers who encounter computational limitations.</w:t>
      </w:r>
    </w:p>
    <w:p>
      <w:pPr/>
      <w:r>
        <w:rPr>
          <w:b/>
        </w:rPr>
        <w:t>POSSIBLE 2021:</w:t>
      </w:r>
      <w:r>
        <w:t xml:space="preserve"> Application of Markal Model Generator in Optimizing Energy Systems — https://doi.org/10.46873/2300-3960.1307</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The main objectives of European energy policy include: security of energy supply, reduction of greenhouse gas emissions and the development of efficient and clean energy technologies. The obligation to fulfil these objectives is connected, among others, with the optimization of the development of all energy system i.e. a group of facilities and equipment for the collection, transmission, processing, distribution and use of energy in all its forms. Computer programs such as MARKAL, TIMES, ENPEP, MIDAS are the basic tools for modelling different energy systems. Various simulation, optimization and macro models are created with them. Multi-criteria methods are also used. In this paper the use of MARKAL as a tool for the optimization of an energy system was the matter of research. The article presents the characteristics of MARKAL. Additionally, it includes an example of the use of the program to create a model of the supply of heat for the province of Silesia together with its results.</w:t>
      </w:r>
    </w:p>
    <w:p>
      <w:pPr/>
      <w:r>
        <w:rPr>
          <w:b/>
        </w:rPr>
        <w:t>POSSIBLE 2020:</w:t>
      </w:r>
      <w:r>
        <w:t xml:space="preserve"> A Novel Modular Optimization Framework for Modelling Investment and Operation of Energy Systems at European Level — https://openalex.org/W3026649545</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Project plan4res (www.plan4res.eu) involves the development of a modular framework for the modeling and analysis of energy system strategies at the European level. It will include models describing the investment and operation decisions for a wide variety of technologies related to electricity and non-electricity energy sectors across generation, consumption, transmission and distribution. The modularity of the framework allows for detailed modelling of major areas of energy systems that can help stakeholders from different backgrounds to focus on specific topics related to the energy landscape in Europe and to receive relevant outputs and insights tailored to their needs. The current paper presents a qualitative description of key concepts and methods of the novel modular optimization framework and provides insights into the corresponding energy landscape.</w:t>
      </w:r>
    </w:p>
    <w:p>
      <w:pPr>
        <w:pStyle w:val="Heading2"/>
      </w:pPr>
      <w:r>
        <w:t>716.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2023:</w:t>
      </w:r>
      <w:r>
        <w:t xml:space="preserve"> Elaborating, sharing, narrating: a narrative analysis of three approaches to health communication — https://doi.org/10.6084/m9.figshare.23584934</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2022:</w:t>
      </w:r>
      <w:r>
        <w:t xml:space="preserve"> FRAMING AND NARRATIVES AS ASSISTANTS IN ADVANCING A SCIENCE-ORIENTED MINDSET. THE EXAMPLE OF THE POLICE IN THE BALTICS — https://doi.org/10.17770/acj.v1i93.6492</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Country-specific knowledge offered by police science is a necessary precondition for successful policing. However, cursory data on police science in the Baltic countries raises many questions about the real use of scientific knowledge opportunities in these countries.The paper elaborates on a framework to advance a science-oriented mindset in the police. Principles of narratives and framing were used to overcome a possible conflict between scientists and practitioners, and bridge all the parties related to policing. In this framework, scientists should take the lead. External, internal, and strategic factors, as Alisson’s three key management functions, were used to specify factors of the framework in the research. The framing process that holds a focusing function allows the use of discovered narratives and presents a variety of possible future directions. Creating a metanarrative with beginning, middle, and end grasps all the agents and ties into future developments.</w:t>
      </w:r>
    </w:p>
    <w:p>
      <w:pPr/>
      <w:r>
        <w:rPr>
          <w:b/>
        </w:rPr>
        <w:t>POSSIBLE 2022:</w:t>
      </w:r>
      <w:r>
        <w:t xml:space="preserve"> For a narrative hospital : a training model to narrative medicine at the hospital — https://openalex.org/W4399152333</w:t>
      </w:r>
    </w:p>
    <w:p>
      <w:pPr/>
      <w:r>
        <w:rPr>
          <w:b/>
        </w:rPr>
        <w:t>Shared claim-specific concepts:</w:t>
      </w:r>
      <w:r>
        <w:t xml:space="preserve"> three, narratives, elaborated, based; EU scope not established. This is a provisional connection, not an outcome finding.</w:t>
      </w:r>
    </w:p>
    <w:p>
      <w:pPr>
        <w:pStyle w:val="SourceNote"/>
      </w:pPr>
      <w:r>
        <w:rPr>
          <w:b/>
        </w:rPr>
        <w:t>Available abstract (not full text):</w:t>
      </w:r>
      <w:r>
        <w:t xml:space="preserve"> Today, the Narrative Medicine training of health providers has three main challenges. How to overcome the limitations of individual training? How to promote the spread of Narrative Medicine? How to build narrative environments? This dissertation provides theoretical and pragmatic answers by considering the Narrative Medicine training that we have been carrying out at the Centre Hospitalier Intercommunal de Créteil (CHIC) since 2019.At first, we explain the methodology of this project based on the principles and practice of Narrative Medicine, as Rita Charon has elaborated them at Columbia University. At the CHIC, five interprofessional groups attend a two-hour Narrative Medicine workshop once a month: they read, write, and share texts and narratives of different nature (literary, clinical, artistic, and musical). At least, a «literary consultant» and a health professional provide the facilitation.In the light of experience, we developed an innovative three-phase model (Basic Workshops, Creative Workshops, Cofacilitated Workshops), and we describe it broadly. Our goal is to offer a training device that can be transferable and adaptable to other hospitals.Using an approach based on the dialogical research, as established by Arthur Frank, we provide feedback from participants to evaluate the effects of this training on professional wellbeing, narrative competence, and institutiona</w:t>
      </w:r>
    </w:p>
    <w:p>
      <w:pPr/>
      <w:r>
        <w:rPr>
          <w:b/>
        </w:rPr>
        <w:t>POSSIBLE 2021:</w:t>
      </w:r>
      <w:r>
        <w:t xml:space="preserve"> Elaborating Visual Narrative into Modern Adaptation Concept for Picture Book with Indonesian Folklore Theme — https://doi.org/10.2991/assehr.k.211228.061</w:t>
      </w:r>
    </w:p>
    <w:p>
      <w:pPr/>
      <w:r>
        <w:rPr>
          <w:b/>
        </w:rPr>
        <w:t>Shared claim-specific concepts:</w:t>
      </w:r>
      <w:r>
        <w:t xml:space="preserve"> three, based, literature, content; EU scope not established. This is a provisional connection, not an outcome finding.</w:t>
      </w:r>
    </w:p>
    <w:p>
      <w:pPr>
        <w:pStyle w:val="SourceNote"/>
      </w:pPr>
      <w:r>
        <w:rPr>
          <w:b/>
        </w:rPr>
        <w:t>Available abstract (not full text):</w:t>
      </w:r>
      <w:r>
        <w:t xml:space="preserve"> Folklore shows how a culture brings its point of view and values.It is also an agent of social values such as honesty, kindness, forgiveness, and many more.Through picture book, message from folklore can lead children understanding their society.These aspects are reasons why folklore becomes a favourite genre in picture book.Hence, some argue that folklore also store up cruelty and intimidating content which are not suitable for children.This leads creator and publisher to keep up with new way of adaptation.For example, by combining the method of modern storytelling technique and the art visual narration into the plot.The objective of this study is to design a new adaptation method for Indonesian folklore story by elaborating visual narrative into its story and illustration.By creating the formula, this study will not only help conserving Indonesian folklore stories, but also help delivering social values to children without the need of frighten the readers.This study follows a qualitative method by observing and existing Indonesian folklore books, which then categorized into three genres: Mythology, folktales, and fables.Samples from each category were then picked based on its popularity.A data collection of modern storytelling method and visual narrative literature were also done, which then mapped out into an adaptation concept suitable for children.The results show that vis</w:t>
      </w:r>
    </w:p>
    <w:p>
      <w:pPr/>
      <w:r>
        <w:rPr>
          <w:b/>
        </w:rPr>
        <w:t>POSSIBLE 2021:</w:t>
      </w:r>
      <w:r>
        <w:t xml:space="preserve"> About narrative: a study of the use of narratives in fashion design — https://doi.org/10.32920/ryerson.14646882</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2021:</w:t>
      </w:r>
      <w:r>
        <w:t xml:space="preserve"> About narrative: a study of the use of narratives in fashion design — https://doi.org/10.32920/ryerson.14646882.v1</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2020:</w:t>
      </w:r>
      <w:r>
        <w:t xml:space="preserve"> The Basic Concept of Narratology and Narrative — https://doi.org/10.15294/lc.v14i2.23247</w:t>
      </w:r>
    </w:p>
    <w:p>
      <w:pPr/>
      <w:r>
        <w:rPr>
          <w:b/>
        </w:rPr>
        <w:t>Shared claim-specific concepts:</w:t>
      </w:r>
      <w:r>
        <w:t xml:space="preserve"> three, narratives, elaborated, review; EU scope not established. This is a provisional connection, not an outcome finding.</w:t>
      </w:r>
    </w:p>
    <w:p>
      <w:pPr>
        <w:pStyle w:val="SourceNote"/>
      </w:pPr>
      <w:r>
        <w:rPr>
          <w:b/>
        </w:rPr>
        <w:t>Available abstract (not full text):</w:t>
      </w:r>
      <w:r>
        <w:t xml:space="preserve"> The field of narratology is concerned with the study and analysis of narrative texts. It puts under investigation literary pieces of language and yields an understanding of the components has in its very texture. The aim of this article is to provide insights about the field of ‘narratology’ and its associated subject of study ‘narrative’. It also tries to sketch the main issues concerning these two concepts. For this, the present review is presented in two major sections, each with related discussions about narratology and narrative. The first major part, narratology, will be presented in three sections: the first section, deals with the definitions and origins of narratology. The definitions are inspected and the researchers show how they go from general (encompassing all which is narrated) to more specific (encompassing literary narratives told by a narrator) ones. The second section, focuses on the two phases of narratology which are classical and post-classical ones in which narratology changed its orientations and scope. The last section is devoted to some of the elements and components of which narratology is made up, such as narration, focalization, narrative situation, action, story analysis, tellability, tense, time, and narrative modes which will be elaborated on in more details. The second major part, narrative, will be presented in four sections: first the concept </w:t>
      </w:r>
    </w:p>
    <w:p>
      <w:pPr/>
      <w:r>
        <w:rPr>
          <w:b/>
        </w:rPr>
        <w:t>POSSIBLE 2020:</w:t>
      </w:r>
      <w:r>
        <w:t xml:space="preserve"> Pastoral care and narrative: Towards a narrative pastoral care approach in intercultural communities — https://doi.org/10.4102/ids.v54i1.2619</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Narrative therapy, or narrative pastoral care, is one of the approaches of the last three decades that has attempted to address care for our current fluid communities. Stories and narratives play an important role in the meaning making of personhood and identity. Narratives and stories are becoming more used and recognised as an indispensable part of the healing of vulnerable persons within Psychology, Literature, Sociology and Theology. This contribution is an attempt to add to the growing scholarship of story and narrative approaches in Pastoral Care and Counselling by providing markers for a developing model of pastoral care within intercultural contexts. I will give a brief overview of pastoral care within four different contexts. The narrative approaches of Muller and Ganzevoort will be analysed and critically engaged because of their extensive and elaborative research of narrative for pastoral care and counselling. After a brief overview and critique of Muller and Ganzevoort, I will identify additional markers for narrative pastoral care in intercultural contexts.</w:t>
      </w:r>
    </w:p>
    <w:p>
      <w:pPr/>
      <w:r>
        <w:rPr>
          <w:b/>
        </w:rPr>
        <w:t>POSSIBLE 2020:</w:t>
      </w:r>
      <w:r>
        <w:t xml:space="preserve"> Narratives of the three extant chronicles — https://doi.org/10.1017/9781912961191.003</w:t>
      </w:r>
    </w:p>
    <w:p>
      <w:pPr/>
      <w:r>
        <w:rPr>
          <w:b/>
        </w:rPr>
        <w:t>Shared claim-specific concepts:</w:t>
      </w:r>
      <w:r>
        <w:t xml:space="preserve"> three, narratives, elaborated; EU scope not established. This is a provisional connection, not an outcome finding.</w:t>
      </w:r>
    </w:p>
    <w:p>
      <w:pPr>
        <w:pStyle w:val="SourceNote"/>
      </w:pPr>
      <w:r>
        <w:rPr>
          <w:b/>
        </w:rPr>
        <w:t>Available abstract (not full text):</w:t>
      </w:r>
      <w:r>
        <w:t xml:space="preserve"> The Chronicle of Kamatari THE FIRST SECTION of Tōshi Kaden describes the life of the patriarch of the Fujiwara line, Nakatomi no Kamatari, the eldest son of Nakatomi no Mikeko (?–?), information which is also confirmed in Kugyō bunin . In the context of Sovereign Jomei's (593–641) reign, the Nihon Shoki refers to Kamatari's father as Nakatomi no Muraji Mike , and mentions that he was one of four officials. Virtually nothing is known about his father but it is suggested that he was instrumental in the instalment of Jomei. On the death of Jomei in 641, Kamatari witnessed the dispute regarding his succession, a conflict that resulted in the dismissal and eventual forced suicide of Crown Prince Yamashiro no Ōe (?–643), the son of the illustrious Shōtoku Taishi, and the enthronement of Jomei's consort Kōgyoku. Tōshi Kaden starts exactly at this moment. Having elaborated on Kamatari's intellectual talents and his sense of morality, the chronicle narrates that the courtier Soga no Kuratsukuri (?–645), more commonly referred to as Iruka ‘increased his own fortune’ and controlled the court. Iruka was the son of Soga no Emishi (?–645), the head of the Soga, who was responsible for the removal of Prince Yamashiro and Jomei's enthronement. After having gained ground at court, he was quick to move against Prince Yamashiro, and during the ensuing standoff led by his son Iruka, the prince and</w:t>
      </w:r>
    </w:p>
    <w:p>
      <w:pPr>
        <w:pStyle w:val="Heading2"/>
      </w:pPr>
      <w:r>
        <w:t>717.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2022:</w:t>
      </w:r>
      <w:r>
        <w:t xml:space="preserve"> Prevalence of most common skin diseases in Europe: a population‐based study — https://doi.org/10.1111/jdv.18050</w:t>
      </w:r>
    </w:p>
    <w:p>
      <w:pPr/>
      <w:r>
        <w:rPr>
          <w:b/>
        </w:rPr>
        <w:t>Shared claim-specific concepts:</w:t>
      </w:r>
      <w:r>
        <w:t xml:space="preserve"> population, countries, policies, across;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Dataset on European diadromous species distributions from 1750 to present time in Europe, North Africa and the Middle East — https://doi.org/10.1016/j.dib.2022.107821</w:t>
      </w:r>
    </w:p>
    <w:p>
      <w:pPr/>
      <w:r>
        <w:rPr>
          <w:b/>
        </w:rPr>
        <w:t>Shared claim-specific concepts:</w:t>
      </w:r>
      <w:r>
        <w:t xml:space="preserve"> present, population, populations; EU scope visible. This is a provisional connection, not an outcome finding.</w:t>
      </w:r>
    </w:p>
    <w:p>
      <w:pPr>
        <w:pStyle w:val="SourceNote"/>
      </w:pPr>
      <w:r>
        <w:rPr>
          <w:b/>
        </w:rPr>
        <w:t>Available abstract (not full text):</w:t>
      </w:r>
      <w:r>
        <w:t xml:space="preserve"> EuroDiad version 4.0 is a set of data tables that store information about the presences/absences and population functionality of diadromous species (lampreys and fish) populations in selected catchments in Europe, the Middle East, and North Africa from 1750 to present time. This database contains distribution and life-history trait information for twenty-eight European diadromous species and geomorphological data for each of the selected catchments, though not every species has data for every catchment and time period. EuroDiad was originally created in 2005–2006 (EuroDiad 1.0 and 2.0), and contained data for 196 catchments and two time periods (1851–1950 and 1951–2010). It underwent a major update in 2009–2010 (EuroDiad 3.2) through a validation process by European fisheries experts. Version 3.2 included the addition of 63 small-sized catchments (&lt; 10,000 km2) and an additional time period (1751–1850) for select species and catchments. This database underwent a second validation process in 2019–2020 and was updated to v 4.0, with the primary goal of providing information for a new generation of species distribution models, referred to as hybrid models, which incorporate both habitat suitability and population dynamics within their framework. Secondary objectives of this update were to: (a) incorporate new catchments for which information was provided by additional experts, (b)</w:t>
      </w:r>
    </w:p>
    <w:p>
      <w:pPr/>
      <w:r>
        <w:rPr>
          <w:b/>
        </w:rPr>
        <w:t>POSSIBLE 2022:</w:t>
      </w:r>
      <w:r>
        <w:t xml:space="preserve"> Assessing the risk of establishment and transient populations of Spodoptera frugiperda in Europe — https://doi.org/10.1007/s10340-022-01517-0</w:t>
      </w:r>
    </w:p>
    <w:p>
      <w:pPr/>
      <w:r>
        <w:rPr>
          <w:b/>
        </w:rPr>
        <w:t>Shared claim-specific concepts:</w:t>
      </w:r>
      <w:r>
        <w:t xml:space="preserve"> present, population, demographic, potential, populations; EU scope visible. This is a provisional connection, not an outcome finding.</w:t>
      </w:r>
    </w:p>
    <w:p>
      <w:pPr>
        <w:pStyle w:val="SourceNote"/>
      </w:pPr>
      <w:r>
        <w:rPr>
          <w:b/>
        </w:rPr>
        <w:t>Available abstract (not full text):</w:t>
      </w:r>
      <w:r>
        <w:t xml:space="preserve"> Abstract The fall armyworm, Spodoptera frugiperda (J.E. Smith), is an invasive pest threatening crop production and food security worldwide. High concerns are linked to the potential establishment of the species in Europe. The high migratory capacity of S. frugiperda cause concerns about the potential impacts of transient populations invading new areas from suitable hotspots. In the present work, we developed and used a physiologically-based demographic model to quantitatively assess the risks of S. frugiperda in Europe. The risks were assessed considering a best-, a median-, and a worst-case scenario. The Mediterranean coastal areas of Southern Europe resulted suitable for the establishment of the species, with suitable areas reaching even higher latitudes, in the worst-case scenario. In Europe, up to 4 generations per year were predicted. The predicted average yearly adult population was 5 (± 4), 17 (± 5), and 139 (± 22) in the best, median-, and worst-case assessment scenario, respectively. Model results showed that Southern and Central Europe might be exposed to the risk of transient populations, at least up to the 48th parallel north, in the worst-case scenario. Depending on the latitude and on the period of arrival of the propagule, transient populations might be able to originate 1 or more generations per year. The model can be used to define strategies reducing the risk</w:t>
      </w:r>
    </w:p>
    <w:p>
      <w:pPr/>
      <w:r>
        <w:rPr>
          <w:b/>
        </w:rPr>
        <w:t>POSSIBLE 2022:</w:t>
      </w:r>
      <w:r>
        <w:t xml:space="preserve"> Population Genetics and Signatures of Selection in Early Neolithic European Farmers — https://doi.org/10.1093/molbev/msac108</w:t>
      </w:r>
    </w:p>
    <w:p>
      <w:pPr/>
      <w:r>
        <w:rPr>
          <w:b/>
        </w:rPr>
        <w:t>Shared claim-specific concepts:</w:t>
      </w:r>
      <w:r>
        <w:t xml:space="preserve"> present, population, migration, show, across; EU scope visible. This is a provisional connection, not an outcome finding.</w:t>
      </w:r>
    </w:p>
    <w:p>
      <w:pPr>
        <w:pStyle w:val="SourceNote"/>
      </w:pPr>
      <w:r>
        <w:rPr>
          <w:b/>
        </w:rPr>
        <w:t>Available abstract (not full text):</w:t>
      </w:r>
      <w:r>
        <w:t xml:space="preserve"> Human expansion in the course of the Neolithic transition in western Eurasia has been one of the major topics in ancient DNA research in the last 10 years. Multiple studies have shown that the spread of agriculture and animal husbandry from the Near East across Europe was accompanied by large-scale human expansions. Moreover, changes in subsistence and migration associated with the Neolithic transition have been hypothesized to involve genetic adaptation. Here, we present high quality genome-wide data from the Linear Pottery Culture site Derenburg-Meerenstieg II (DER) (N = 32 individuals) in Central Germany. Population genetic analyses show that the DER individuals carried predominantly Anatolian Neolithic-like ancestry and a very limited degree of local hunter-gatherer admixture, similar to other early European farmers. Increasing the Linear Pottery culture cohort size to ∼100 individuals allowed us to perform various frequency- and haplotype-based analyses to investigate signatures of selection associated with changes following the adoption of the Neolithic lifestyle. In addition, we developed a new method called Admixture-informed Maximum-likelihood Estimation for Selection Scans that allowed us test for selection signatures in an admixture-aware fashion. Focusing on the intersection of results from these selection scans, we identified various loci associated with immune fun</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union, range, policies, across;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The New European Political Arithmetic of Inequalities in Education: A History of the Present — https://doi.org/10.17645/si.v9i3.4339</w:t>
      </w:r>
    </w:p>
    <w:p>
      <w:pPr/>
      <w:r>
        <w:rPr>
          <w:b/>
        </w:rPr>
        <w:t>Shared claim-specific concepts:</w:t>
      </w:r>
      <w:r>
        <w:t xml:space="preserve"> present, population, demographic, policies, across; EU scope visible. This is a provisional connection, not an outcome finding.</w:t>
      </w:r>
    </w:p>
    <w:p>
      <w:pPr>
        <w:pStyle w:val="SourceNote"/>
      </w:pPr>
      <w:r>
        <w:rPr>
          <w:b/>
        </w:rPr>
        <w:t>Available abstract (not full text):</w:t>
      </w:r>
      <w:r>
        <w:t xml:space="preserve"> The article describes the emergence and development of positive epistemology and quantification tools in the dynamics of inequalities in education. It contributes to a history of the present at a time when datafication and experimentalism are reappearing in educational policies to justify the reduction of inequalities across international surveys and randomised controlled trials. This socio‐history of metrics also sheds light on transformations about relationships historically established between the welfare state and education that have shaped the representation of inequalities and social programs in education. The use of large‐scale surveys and controlled experiments in social and educational policies developed in the 1920s and 30s, even if their methods and techniques have become more sophisticated due to statistical progress. However, statistical reasoning is today no less persuasive in justifying the measurement of student skills and various forms of state intervention for “at‐risk” children and youth. With the rise of international organisations, notably the European Commission, demographic issues related to school population and the reduction of inequalities have shifted. It is less a question of selecting the most talented or gifted among working‐class students than of investing in human capital from early childhood to improve the education systems’ performance and comp</w:t>
      </w:r>
    </w:p>
    <w:p>
      <w:pPr/>
      <w:r>
        <w:rPr>
          <w:b/>
        </w:rPr>
        <w:t>POSSIBLE 2021:</w:t>
      </w:r>
      <w:r>
        <w:t xml:space="preserve"> Tinnitus prevalence in Europe: a multi-country cross-sectional population study — https://doi.org/10.1016/j.lanepe.2021.100250</w:t>
      </w:r>
    </w:p>
    <w:p>
      <w:pPr/>
      <w:r>
        <w:rPr>
          <w:b/>
        </w:rPr>
        <w:t>Shared claim-specific concepts:</w:t>
      </w:r>
      <w:r>
        <w:t xml:space="preserve"> population, countries, union, across; EU scope visible. This is a provisional connection, not an outcome finding.</w:t>
      </w:r>
    </w:p>
    <w:p>
      <w:pPr>
        <w:pStyle w:val="SourceNote"/>
      </w:pPr>
      <w:r>
        <w:rPr>
          <w:b/>
        </w:rPr>
        <w:t>Available abstract (not full text):</w:t>
      </w:r>
      <w:r>
        <w:t xml:space="preserve"> BACKGROUND: Tinnitus prevalence studies report large variability across countries that might be due to inconsistent research methods. Our study aimed to report a single Pan-European estimate for tinnitus prevalence and investigate the effect of individual and country-level characteristics on prevalence. We explored the relationships of healthcare resource use and hearing difficulty with tinnitus symptoms. METHODS: Between 2017-2018, a cross-sectional European Tinnitus Survey (ETS) was conducted in 12 European Union nations (Bulgaria, England, France, Germany, Greece, Ireland, Italy, Latvia, Poland, Portugal, Romania, and Spain), using a standardised set of tinnitus-related questions and response options in country-specific languages. We recruited 11,427 adults aged ≥18 years. FINDINGS: Prevalence of any tinnitus was 14·7% (14·0% in men and 15·2% in women), ranging from 8·7% in Ireland to 28·3% in Bulgaria. Severe tinnitus was found in 1·2% participants (1·0% in men and 1·4% in women), ranging from 0·6% in Ireland to 4·2% in Romania. Tinnitus prevalence significantly increased with increasing age and worsening of hearing status. Healthcare resource use for tinnitus increased with increasing tinnitus symptom severity. INTERPRETATION: This is the first multinational report of Pan-European tinnitus prevalence using standardised questions. The overall prevalence estimates refine pre</w:t>
      </w:r>
    </w:p>
    <w:p>
      <w:pPr/>
      <w:r>
        <w:rPr>
          <w:b/>
        </w:rPr>
        <w:t>POSSIBLE 2021:</w:t>
      </w:r>
      <w:r>
        <w:t xml:space="preserve"> Towards New Horizons: Climate Trends in Europe Increase the Environmental Suitability for Permanent Populations of Hyalomma marginatum (Ixodidae) — https://doi.org/10.3390/pathogens10020095</w:t>
      </w:r>
    </w:p>
    <w:p>
      <w:pPr/>
      <w:r>
        <w:rPr>
          <w:b/>
        </w:rPr>
        <w:t>Shared claim-specific concepts:</w:t>
      </w:r>
      <w:r>
        <w:t xml:space="preserve"> countries, show, increase, populations; EU scope visible. This is a provisional connection, not an outcome finding.</w:t>
      </w:r>
    </w:p>
    <w:p>
      <w:pPr>
        <w:pStyle w:val="SourceNote"/>
      </w:pPr>
      <w:r>
        <w:rPr>
          <w:b/>
        </w:rPr>
        <w:t>Available abstract (not full text):</w:t>
      </w:r>
      <w:r>
        <w:t xml:space="preserve"> Ticks and tick-borne pathogens are changing their current distribution, presumably due to the impact of the climate trends. On a large scale, these trends are changing the environmental suitability of Hyalomma marginatum, the main vector of several pathogens affecting human health. We generated annual models of environmental suitability for the tick in the period 1970–2018, using harmonic regression-derived data of the daily maximum and minimum temperature, soil moisture and water vapor deficit. The results demonstrate an expansion of the suitable area in Mediterranean countries, southeast central Europe and south of the Balkans. Also, the models allowed us to interpret the impact of the ecological variables on these changes. We deduced that (i) maximum temperature was significant for all of the biogeographical categories, (ii) soil humidity has an influence in the Mediterranean climate areas, and (iii) the minimum temperature and deficit water vapor did not influence the environmental suitability of the species. The conclusions clearly show that climate change could create new areas in Europe with suitable climates for H. marginatum, while keeping its “historical” distribution in the Mediterranean. Therefore, it is necessary to further explore possible risk areas for H. marginatum and its associated pathogens.</w:t>
      </w:r>
    </w:p>
    <w:p>
      <w:pPr/>
      <w:r>
        <w:rPr>
          <w:b/>
        </w:rPr>
        <w:t>POSSIBLE 2020:</w:t>
      </w:r>
      <w:r>
        <w:t xml:space="preserve"> A new typology of small farms in Europe — https://doi.org/10.1016/j.gfs.2020.100389</w:t>
      </w:r>
    </w:p>
    <w:p>
      <w:pPr/>
      <w:r>
        <w:rPr>
          <w:b/>
        </w:rPr>
        <w:t>Shared claim-specific concepts:</w:t>
      </w:r>
      <w:r>
        <w:t xml:space="preserve"> countries, range, across; EU scope visible. This is a provisional connection, not an outcome finding.</w:t>
      </w:r>
    </w:p>
    <w:p>
      <w:pPr>
        <w:pStyle w:val="SourceNote"/>
      </w:pPr>
      <w:r>
        <w:rPr>
          <w:b/>
        </w:rPr>
        <w:t>Available abstract (not full text):</w:t>
      </w:r>
      <w:r>
        <w:t xml:space="preserve"> We propose a new typology of small farms in Europe using a multivariate analysis drawing from household surveys from 14 European countries. The variables to develop the types covered a range of characteristics from farmers' histories and motivations, to farm production, assets and labour, market linkages and access to support. The clustering analysis found five types of small farms, two with relatively weak commercial orientation (peasant and part-time farms) and three with relatively strong commercial orientation (diversified businesses, specialized businesses, and new enterprises). This typology provides a richer picture of the diversity and nature of small farming across Europe beyond assumptions about their role in subsistence and fragile household economies. We find evidence of entrepreneurship and strong market linkages as well as a range of motivations, including lifestyle options. Typologies such as the one presented here can help to better document and understand the role of small-scale farming in Europe, and provide an input for evidence-based policy making that can enhance their livelihoods and contribution.</w:t>
      </w:r>
    </w:p>
    <w:p>
      <w:pPr/>
      <w:r>
        <w:rPr>
          <w:b/>
        </w:rPr>
        <w:t>POSSIBLE 2020:</w:t>
      </w:r>
      <w:r>
        <w:t xml:space="preserve"> Population of Eurasian beaver (Castor fiber) in Europe — https://doi.org/10.1016/j.gecco.2020.e01046</w:t>
      </w:r>
    </w:p>
    <w:p>
      <w:pPr/>
      <w:r>
        <w:rPr>
          <w:b/>
        </w:rPr>
        <w:t>Shared claim-specific concepts:</w:t>
      </w:r>
      <w:r>
        <w:t xml:space="preserve"> population, countries, increase, populations; EU scope visible. This is a provisional connection, not an outcome finding.</w:t>
      </w:r>
    </w:p>
    <w:p>
      <w:pPr>
        <w:pStyle w:val="SourceNote"/>
      </w:pPr>
      <w:r>
        <w:rPr>
          <w:b/>
        </w:rPr>
        <w:t>Available abstract (not full text):</w:t>
      </w:r>
      <w:r>
        <w:t xml:space="preserve"> The Eurasian beaver (Castor fiber) is an intensely expansionary species. Species reintroductions, which were conducted in various parts of Europe, as well as the rate of natural increase have resulted in the growth of the number of individuals. The dynamic development of the beaver population in Europe means that the available data concerning the quantity of beavers becomes outdated very quickly. The purpose of this manuscript is to update the available information about the beaver populations in all countries of Europe. The information was collected in the second half of 2019. Some of the data collected include generally available studies and articles. For some countries, the author had difficulty obtaining any data; therefore, personal communication was employed with various governmental or scientific units in the given country. The outcomes of the conducted analyses were figures about the Eurasian beaver population throughout Europe. It was found that the Eurasian beaver population in Europe numbered nearly 1,222,000 individuals.</w:t>
      </w:r>
    </w:p>
    <w:p>
      <w:pPr>
        <w:pStyle w:val="Heading2"/>
      </w:pPr>
      <w:r>
        <w:t>718.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2023:</w:t>
      </w:r>
      <w:r>
        <w:t xml:space="preserve"> The Macro Impact of Short‐Termism — https://doi.org/10.3982/ecta15420</w:t>
      </w:r>
    </w:p>
    <w:p>
      <w:pPr/>
      <w:r>
        <w:rPr>
          <w:b/>
        </w:rPr>
        <w:t>Shared claim-specific concepts:</w:t>
      </w:r>
      <w:r>
        <w:t xml:space="preserve"> forecasts, standard, estimate; EU scope not established. This is a provisional connection, not an outcome finding.</w:t>
      </w:r>
    </w:p>
    <w:p>
      <w:pPr>
        <w:pStyle w:val="SourceNote"/>
      </w:pPr>
      <w:r>
        <w:rPr>
          <w:b/>
        </w:rPr>
        <w:t>Available abstract (not full text):</w:t>
      </w:r>
      <w:r>
        <w:t xml:space="preserve"> R&amp;D investment reduces current profits, so short‐term pressure to hit profit targets may distort R&amp;D. In the data, firms just meeting Wall Street forecasts have lower R&amp;D growth and subsequent innovation, while managers just missing receive lower pay. But short‐termist distortions might not quantitatively matter if aggregation or equilibrium dampen their impact. So I build and estimate a quantitative endogenous growth model in which short‐termism arises naturally as discipline on conflicted managers and boosts firm value by about 1%. But short‐termism reduces R&amp;D, and the social return to R&amp;D is higher than the private return due to standard channels including knowledge spillovers and imperfect competition. So at the macro level, short‐termist distortions slow growth by 5 basis points yearly and lower social welfare by about 1%.</w:t>
      </w:r>
    </w:p>
    <w:p>
      <w:pPr/>
      <w:r>
        <w:rPr>
          <w:b/>
        </w:rPr>
        <w:t>POSSIBLE 2022:</w:t>
      </w:r>
      <w:r>
        <w:t xml:space="preserve"> From Short-Term Risk to Long-Term Strategic Challenges: Reviewing the Consequences of Geopolitics and COVID-19 on Economic Performance — https://doi.org/10.3390/su142114455</w:t>
      </w:r>
    </w:p>
    <w:p>
      <w:pPr/>
      <w:r>
        <w:rPr>
          <w:b/>
        </w:rPr>
        <w:t>Shared claim-specific concepts:</w:t>
      </w:r>
      <w:r>
        <w:t xml:space="preserve"> short-term, approach; EU scope visible. This is a provisional connection, not an outcome finding.</w:t>
      </w:r>
    </w:p>
    <w:p>
      <w:pPr>
        <w:pStyle w:val="SourceNote"/>
      </w:pPr>
      <w:r>
        <w:rPr>
          <w:b/>
        </w:rPr>
        <w:t>Available abstract (not full text):</w:t>
      </w:r>
      <w:r>
        <w:t xml:space="preserve"> The COVID-19 crisis and the war between Russia and Ukraine affects the world economy badly. The western countries’ economic sanctions on Russia and the Russian government’s reverse sanctions on western countries create pressure on the world economy. This study was conducted to investigate how the economic performance is responding to COVID-19 and the geopolitical crisis of the era. In doing so, both theoretical and numerical data reviews have been performed. The objective of the study is to investigate the short-term risks and long-term strategic challenges of the crisis. The study used a bibliometric approach with the help of RStudio software. The Web of Science database was used for extracting the resources in line with the grey literature from the Google Search engine. A total of 895 documents were utilized in this bibliometric analysis. At the same time, secondary panel data extracted from the international monetary fund (IMF) for a period of 4 years (2019–2022) were utilized for reviewing numerical implications. The purposive sampling technique is used for data selection and main economic variables. The findings of the study imply that countries over the world registered less economic growth, high inflation rate, and high government debt in 2022 compared to the fiscal period of 2019–2021. The emerging economies and developing countries of Europe were badly affected by the </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labour, output;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Remote Sensing for Short-Term Economic Forecasts — https://doi.org/10.3390/su13179593</w:t>
      </w:r>
    </w:p>
    <w:p>
      <w:pPr/>
      <w:r>
        <w:rPr>
          <w:b/>
        </w:rPr>
        <w:t>Shared claim-specific concepts:</w:t>
      </w:r>
      <w:r>
        <w:t xml:space="preserve"> short-term, forecasts, potential, very; EU scope not established. This is a provisional connection, not an outcome finding.</w:t>
      </w:r>
    </w:p>
    <w:p>
      <w:pPr>
        <w:pStyle w:val="SourceNote"/>
      </w:pPr>
      <w:r>
        <w:rPr>
          <w:b/>
        </w:rPr>
        <w:t>Available abstract (not full text):</w:t>
      </w:r>
      <w:r>
        <w:t xml:space="preserve"> Economic forecasts are an important instrument to judge the nation-wide economic situation. Such forecasts are mainly based on data from statistical offices. However, there is a time lag between the end of the reporting period and the release of the statistical data that arises for instance from the time needed to collect and process the data. To improve the forecasts by reducing the delay, it is of interest to find alternative data sources that provide information on economic activity without significant delays. Among others, satellite images are thought to assist here. This paper addresses the potential of earth observation imagery for short-term economic forecasts. The study is focused on the estimation of investments in the construction sector based on high resolution (HR) (10–20 m) and very high resolution (VHR) (0.3–0.5 m) images as well as on the estimation of investments in agricultural machinery based on orthophotos (0.1 m) simulating VHR satellite imagery. By applying machine learning it is possible to extract the objects of interest to a certain extent. For the detection of construction areas, VHR satellite images are much better suited than HR satellite images. VHR satellite images with a ground resolution of 30–50 cm are able to identify agricultural machinery. These results are promising and provide new and unconventional input for economic forecasting models.</w:t>
      </w:r>
    </w:p>
    <w:p>
      <w:pPr/>
      <w:r>
        <w:rPr>
          <w:b/>
        </w:rPr>
        <w:t>POSSIBLE 2020:</w:t>
      </w:r>
      <w:r>
        <w:t xml:space="preserve"> Short-term and long-term health impacts of air pollution reductions from COVID-19 lockdowns in China and Europe: a modelling study — https://doi.org/10.1016/s2542-5196(20)30224-2</w:t>
      </w:r>
    </w:p>
    <w:p>
      <w:pPr/>
      <w:r>
        <w:rPr>
          <w:b/>
        </w:rPr>
        <w:t>Shared claim-specific concepts:</w:t>
      </w:r>
      <w:r>
        <w:t xml:space="preserve"> short-term; EU scope visible. This is a provisional connection, not an outcome finding.</w:t>
      </w:r>
    </w:p>
    <w:p>
      <w:pPr>
        <w:pStyle w:val="SourceNote"/>
      </w:pPr>
      <w:r>
        <w:rPr>
          <w:b/>
        </w:rPr>
        <w:t>Available abstract (not full text):</w:t>
      </w:r>
      <w:r>
        <w:t xml:space="preserve"> Background Exposure to poor air quality leads to increased premature mortality from cardiovascular and respiratory diseases. Among the far-reaching implications of the ongoing COVID-19 pandemic, a substantial improvement in air quality was observed worldwide after the lockdowns imposed by many countries. We aimed to assess the implications of different lockdown measures on air pollution levels in Europe and China, as well as the short-term and long-term health impact. Methods For this modelling study, observations of fine particulate matter (PM 2·5 ) concentrations from more than 2500 stations in Europe and China during 2016–20 were integrated with chemical transport model simulations to reconstruct PM 2·5 fields at high spatiotemporal resolution. The health benefits, expressed as short-term and long-term avoided mortality from PM 2·5 exposure associated with the interventions imposed to control the COVID-19 pandemic, were quantified on the basis of the latest epidemiological studies. To explore the long-term variability in air quality and associated premature mortality, we built different scenarios of economic recovery (immediate or gradual resumption of activities, a second outbreak in autumn, and permanent lockdown for the whole of 2020). Findings The lockdown interventions led to a reduction in population-weighted PM 2·5 of 14·5 μg m −3 across China (−29·7%) and 2·2 μg m −3</w:t>
      </w:r>
    </w:p>
    <w:p>
      <w:pPr/>
      <w:r>
        <w:rPr>
          <w:b/>
        </w:rPr>
        <w:t>POSSIBLE 2020:</w:t>
      </w:r>
      <w:r>
        <w:t xml:space="preserve"> Effect of B Corp Certification on Short-Term Growth: European Evidence — https://doi.org/10.3390/su12208459</w:t>
      </w:r>
    </w:p>
    <w:p>
      <w:pPr/>
      <w:r>
        <w:rPr>
          <w:b/>
        </w:rPr>
        <w:t>Shared claim-specific concepts:</w:t>
      </w:r>
      <w:r>
        <w:t xml:space="preserve"> short-term, potential; EU scope visible. This is a provisional connection, not an outcome finding.</w:t>
      </w:r>
    </w:p>
    <w:p>
      <w:pPr>
        <w:pStyle w:val="SourceNote"/>
      </w:pPr>
      <w:r>
        <w:rPr>
          <w:b/>
        </w:rPr>
        <w:t>Available abstract (not full text):</w:t>
      </w:r>
      <w:r>
        <w:t xml:space="preserve"> This paper investigates the effect of sustainability certification on the short-term growth rates of socially responsible companies. A changing business environment in which stakeholders became more sensitive to the sustainability practices of companies induced a growing popularity of hybrid firms, which use market-based approaches to pursue environmental and social goals. However, stakeholders do not take unsubstantiated claims about companies’ sustainability efforts for granted, creating a potential economic role for independent certification organizations. In addition, the internal processes brought about by the external verification procedure could turn the social mission, which is often creating tension with financial goals, into a strategic advantage. B Lab is one such well-known and rapidly growing organization, granting so-called B Corp certificates across many countries around the world. This paper contributes to the hybrid firm literature by ascertaining the benefit of certification as measured by firm growth. Using a panel dataset of financial data of European firms that obtained B Corp certification between 2012 and 2018 and a quasi-experimental difference-in-difference research design, this paper empirically shows that B Corp certification positively impacts the turnover growth rates one year pre versus one year post certification. No significant effects on employe</w:t>
      </w:r>
    </w:p>
    <w:p>
      <w:pPr>
        <w:pStyle w:val="Heading2"/>
      </w:pPr>
      <w:r>
        <w:t>719.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Meeting the European green deal objective of expanding organic farming — https://doi.org/10.24136/eq.2022.021</w:t>
      </w:r>
    </w:p>
    <w:p>
      <w:pPr/>
      <w:r>
        <w:rPr>
          <w:b/>
        </w:rPr>
        <w:t>Shared claim-specific concepts:</w:t>
      </w:r>
      <w:r>
        <w:t xml:space="preserve"> objective, three, developed, methods, approach; EU scope visible. This is a provisional connection, not an outcome finding.</w:t>
      </w:r>
    </w:p>
    <w:p>
      <w:pPr>
        <w:pStyle w:val="SourceNote"/>
      </w:pPr>
      <w:r>
        <w:rPr>
          <w:b/>
        </w:rPr>
        <w:t>Available abstract (not full text):</w:t>
      </w:r>
      <w:r>
        <w:t xml:space="preserve"> Research background: Economic growth is unsustainable. However, a circular economy has the potential to lead to sustainable development, while decoupling economic growth from the negative consequences of resource depletion and environmental degradation. The EU's strategy of climate neutralization in 2050 developed, inter alia, into a European Green Deal action plan aiming at the efficient use of resources by moving to a cleaner, circular economy. More sustainable EU food system is a cornerstone of the European Green Deal. The European Commission's goal is 25% of agricultural land to be used for organic production in 2030. The question is if it is possible to reach the objective with the use of current incentives. What else may be done to encourage European farmers to convert to organic farming? Purpose of the article: The aim of this research is to review the development of organic agriculture in Europe and the EU and to identify incentives for farmers to convert to organic farming. Methods: First of all, the methodological approach is to iteratively review the existing literature to frame the problem. Secondly, the data on organic agriculture in Europe is to be analyzed to answer the research questions. The analysis is based on international statistics, mainly collected by FiBL, IFOAM, EC Agri-food data portal and Eurostat..Fitting the trend functions to the actual data has be</w:t>
      </w:r>
    </w:p>
    <w:p>
      <w:pPr/>
      <w:r>
        <w:rPr>
          <w:b/>
        </w:rPr>
        <w:t>POSSIBLE 2022:</w:t>
      </w:r>
      <w:r>
        <w:t xml:space="preserve"> COVID-19 in Europe: from outbreak to vaccination — https://doi.org/10.1186/s12889-022-14454-5</w:t>
      </w:r>
    </w:p>
    <w:p>
      <w:pPr/>
      <w:r>
        <w:rPr>
          <w:b/>
        </w:rPr>
        <w:t>Shared claim-specific concepts:</w:t>
      </w:r>
      <w:r>
        <w:t xml:space="preserve"> objective, three, affect, across, methods, approach;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evolution, methods, identification, stage;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factors, across, methods, approach, applied;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r>
        <w:rPr>
          <w:b/>
        </w:rPr>
        <w:t>POSSIBLE 2020:</w:t>
      </w:r>
      <w:r>
        <w:t xml:space="preserve"> Energy Performance of the European Union Countries in Terms of Reaching the European Energy Union Objectives — https://doi.org/10.3390/en13205317</w:t>
      </w:r>
    </w:p>
    <w:p>
      <w:pPr/>
      <w:r>
        <w:rPr>
          <w:b/>
        </w:rPr>
        <w:t>Shared claim-specific concepts:</w:t>
      </w:r>
      <w:r>
        <w:t xml:space="preserve"> objective, project, methods; EU scope visible. This is a provisional connection, not an outcome finding.</w:t>
      </w:r>
    </w:p>
    <w:p>
      <w:pPr>
        <w:pStyle w:val="SourceNote"/>
      </w:pPr>
      <w:r>
        <w:rPr>
          <w:b/>
        </w:rPr>
        <w:t>Available abstract (not full text):</w:t>
      </w:r>
      <w:r>
        <w:t xml:space="preserve"> European energy policy, especially the project of the Energy Union, is one of the most rapidly developing areas of the EU, and one through which European institutions are obtaining gradually more extensive power over the performance of the national energy sectors. The paper focuses on an analysis of the energy performance of EU member states (MS) with regard to the priorities of the European Energy Union. For an assessment of the energy performance of EU countries, the Technique for Order of Preference by Similarity to Ideal Solution (TOPSIS) was chosen, using the Coefficient of Variation method (CV) as an objective method for determining the weights of eight input indicators, including CO2 intensity, electricity and gas price, energy productivity, energy dependence, consumption of renewables and research and development. The analysis for the period from 2008 to 2016 showed significant changes in the input indicators, which directly influenced the results of both methods mentioned above. Long-term differences between the best- and worst-rated countries are seen mainly in CO2 emissions, energy imports and total consumption of renewable energy sources. It is these aspects of comprehensive energy performance and their convergence at the level of EU countries that we believe should be addressed in the near future.</w:t>
      </w:r>
    </w:p>
    <w:p>
      <w:pPr/>
      <w:r>
        <w:rPr>
          <w:b/>
        </w:rPr>
        <w:t>POSSIBLE 2020:</w:t>
      </w:r>
      <w:r>
        <w:t xml:space="preserve"> Branch-and-bound and objective branching with three objectives — https://openalex.org/W4412331006</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Besides the classical dominance test, bound sets are used to improve the computational time by imposing inequalities derived from (partial) dominance in the objective space. This process is called objective branching since it is mostly applied when generating child nodes. In this paper, we extend the concept of objective branching to tri-objective combinatorial optimization problems. Several difficulties arise in this case, as there is no longer a lexicographic order among nondominated outcome vectors in the multi-objective case, with more than two objectives. We discuss the general concept of objective branching in any number of dimensions and suggest a merging operation of local upper bounds to avoid the generation of redundant subproblems. Numerical experiments on tri-objective knapsack, assignment and facility location problems show a significant speed-up in the B&amp;B framework.</w:t>
      </w:r>
    </w:p>
    <w:p>
      <w:pPr>
        <w:pStyle w:val="Heading2"/>
      </w:pPr>
      <w:r>
        <w:t>720.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developed, large-scale, technology, environmental,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even, though;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environmental, initiatives;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pStyle w:val="Heading2"/>
      </w:pPr>
      <w:r>
        <w:t>721.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focus, energy;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Energy Systems — https://doi.org/10.1017/9781009157926.008</w:t>
      </w:r>
    </w:p>
    <w:p>
      <w:pPr/>
      <w:r>
        <w:rPr>
          <w:b/>
        </w:rPr>
        <w:t>Shared claim-specific concepts:</w:t>
      </w:r>
      <w:r>
        <w:t xml:space="preserve"> energy, system, without, total, increased; EU scope not established. This is a provisional connection, not an outcome finding.</w:t>
      </w:r>
    </w:p>
    <w:p>
      <w:pPr>
        <w:pStyle w:val="SourceNote"/>
      </w:pPr>
      <w:r>
        <w:rPr>
          <w:b/>
        </w:rPr>
        <w:t>Available abstract (not full text):</w:t>
      </w:r>
      <w:r>
        <w:t xml:space="preserve">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pPr/>
      <w:r>
        <w:rPr>
          <w:b/>
        </w:rPr>
        <w:t>POSSIBLE 2022:</w:t>
      </w:r>
      <w:r>
        <w:t xml:space="preserve"> Investigation of European modular façade system utilizing renewable energy — https://doi.org/10.1093/ijlct/ctab101</w:t>
      </w:r>
    </w:p>
    <w:p>
      <w:pPr/>
      <w:r>
        <w:rPr>
          <w:b/>
        </w:rPr>
        <w:t>Shared claim-specific concepts:</w:t>
      </w:r>
      <w:r>
        <w:t xml:space="preserve"> energy, system, without; EU scope visible. This is a provisional connection, not an outcome finding.</w:t>
      </w:r>
    </w:p>
    <w:p>
      <w:pPr>
        <w:pStyle w:val="SourceNote"/>
      </w:pPr>
      <w:r>
        <w:rPr>
          <w:b/>
        </w:rPr>
        <w:t>Available abstract (not full text):</w:t>
      </w:r>
      <w:r>
        <w:t xml:space="preserve"> Abstract The purpose of this investigation is to summarize modular façade construction using renewable energy features in different aspects. Researches done so far primarily focusing on building envelop have shown various constructions of building enclosure without energy usage. This paper mainly focuses on modular façade renovation system programmes of European Horizon 2020 [34] and IEA ECBCS Annex 50 Prefabricated Systems for Low Energy Renovation of Residential Buildings in terms of construction, material, installation and thermal performance. Four aspects of construction, material, installation and thermal performance are adopted to evaluate these practices. Related website, paper and report from European commission constitute the database providing for review. Final results illustrate that all modular façade systems mentioned above could be classified into three layers: interior; module and exterior layer, taking charge of disparate functions. Both insulation and energy usage achieve the innovative envelop constructions manufacture. Integrating the renewable energy resources utilization technique into insulated building façade system is the core of this innovative projects achievement.</w:t>
      </w:r>
    </w:p>
    <w:p>
      <w:pPr/>
      <w:r>
        <w:rPr>
          <w:b/>
        </w:rPr>
        <w:t>POSSIBLE 2021:</w:t>
      </w:r>
      <w:r>
        <w:t xml:space="preserve"> Incorporating uncertainties towards a sustainable European energy system: A stochastic approach for decarbonization paths focusing on the transport sector — https://doi.org/10.1016/j.esr.2021.100707</w:t>
      </w:r>
    </w:p>
    <w:p>
      <w:pPr/>
      <w:r>
        <w:rPr>
          <w:b/>
        </w:rPr>
        <w:t>Shared claim-specific concepts:</w:t>
      </w:r>
      <w:r>
        <w:t xml:space="preserve"> energy, system, co2, reduction, period; EU scope visible. This is a provisional connection, not an outcome finding.</w:t>
      </w:r>
    </w:p>
    <w:p>
      <w:pPr>
        <w:pStyle w:val="SourceNote"/>
      </w:pPr>
      <w:r>
        <w:rPr>
          <w:b/>
        </w:rPr>
        <w:t>Available abstract (not full text):</w:t>
      </w:r>
      <w:r>
        <w:t xml:space="preserve"> According to the Paris Agreement, the European energy system transition is essential to achieve GHG emission reduction targets set by the EU and limit the growth of global temperatures. Investigating the role of emerging mitigation technologies and their uncertainties together with the different GHG reduction targets is crucial to realize this transition. This study analyzes the uncertainties of electric vehicles' learning paths and biomass availability for biofuels, considering policy uncertainties. Since these technologies are considered possible alternatives to conventional fuels to reduce CO2 emissions in transport, it is critical to understand their future role and the possible impact of their uncertainties during the European energy system design in case of different climate ambitions. Stochastic modeling is applied to analyze associated uncertainties as an additional approach to a traditional sensitivity analysis. Our results show that decarbonization of car transport is prioritized, and electric cars appear as no-regret options in the sector's design during the energy transition. Therefore, early deployments of EVs are essential to hedge the given uncertainties independent of the hedging period's length. Longer resolution time reduces the deployment of electric vehicles in the recourse strategies compared to having a shorter one due to a delay in the cost reductions. Th</w:t>
      </w:r>
    </w:p>
    <w:p>
      <w:pPr/>
      <w:r>
        <w:rPr>
          <w:b/>
        </w:rPr>
        <w:t>POSSIBLE 2021:</w:t>
      </w:r>
      <w:r>
        <w:t xml:space="preserve"> Thinking, doing, organising: Prefiguring just and sustainable energy systems via collective prosumer ecosystems in Europe — https://doi.org/10.1016/j.erss.2021.102425</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article positions collective renewable energy prosumerism as a social movement that engages in energy system transformation. Collective renewable energy prosumer initiatives engage in ‘prefigurative’ work through their discursive framings (ways of thinking), their activities (ways of doing) and their understanding and enactment of social relations (ways of organising). The core of this article is a comparative analysis of the prefigurative work of 13 collective prosumers from 7 European countries (Belgium, Croatia, Germany, Italy, Netherlands, Portugal, United Kingdom). The article discusses their contributions to energy system transformation, including renewable energy production, different mechanisms for involving citizens, local value creation, and the degree of desired and actual collaboration and networking within broader prosumer ecosystems. We then discuss these contributions against societal discourses and expectations towards prosumerism, such as energy democracy, energy justice, and environmental sustainability and decarbonisation. This reveals three tensions: 1) a focus on decarbonisation but not on broader environmental problems, 2) the involvement of certain people and not of others, and 3) the building of prosumer eco-systems while ignoring incumbency. Future research avenues are formulated to conclude the article.</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system, cumulative;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Actuating the European Energy System Transition: Indicators for Translating Energy Systems Modelling Results into Policy-Making — https://doi.org/10.3389/fenrg.2021.677208</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In this paper, we define indicators, with a focus on the electricity sector, that translate the results of energy systems modelling to quantitative entities that can facilitate assessments of the transitions required to meet stringent climate targets. Such indicators, which are often overlooked in model scenario presentations, can be applied to make the modelling results more accessible and are useful for managing the transition on the policy level, as well as for internal evaluations of modelling results. We propose a set of 13 indicators related to: 1) the resource and material usages in modelled energy system designs; 2) the rates of transition from current to future energy systems; and 3) the energy security in energy system modelling results. To illustrate its value, the proposed set of indicators is applied to energy system scenarios derived from an electricity system investment model for Northern Europe. We show that the proposed indicators are useful for facilitating discussions, raising new questions, and relating the modelling results to Sustainable Development Goals and thus facilitate better policy processes. The indicators presented here should not be seen as a complete set, but rather as examples. Therefore, this paper represents a starting point and a call to other modellers to expand and refine the list of indicators.</w:t>
      </w:r>
    </w:p>
    <w:p>
      <w:pPr/>
      <w:r>
        <w:rPr>
          <w:b/>
        </w:rPr>
        <w:t>POSSIBLE 2020:</w:t>
      </w:r>
      <w:r>
        <w:t xml:space="preserve"> Utility scale energy storage systems: possible business cases in Europe, with focus on Germany and Italy — https://openalex.org/W3151406791</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Energy transition &amp; storage: overview and analysis. The electric power system. The role of storage in VRE integration. The European power sector. Renevable outlook in the EU. Research questions and methodology. Financial drivers of ESSs. Project financing for VRE and ESSs. Construction of a financial model of ESS–comparative analysis. First business case–Germany. Second business case–Italy.</w:t>
      </w:r>
    </w:p>
    <w:p>
      <w:pPr/>
      <w:r>
        <w:rPr>
          <w:b/>
        </w:rPr>
        <w:t>POSSIBLE 2020:</w:t>
      </w:r>
      <w:r>
        <w:t xml:space="preserve"> Europeanization of the Swiss Energy System — https://openalex.org/W3016255705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Switzerland and the EU have been negotiating an electricity agreement since 2007. Irrespective of the outcome of these negotiations, whose success is also dependent on other factors, European energy policy will influence the framework conditions and players in Switzerland’s energy policy. The effects of a «Europeanization» of Swiss energy policy are the primary interest of this book. It focuses on the influence of current and future EU policies on the (regulatory) framework and policy instruments in Switzerland, including the effects on public and private actors active in the Swiss energy sector. It will also present the consequences of the possible integration of Swiss energy policy into the complex European multi-level governance system, taking into account two scenarios: the «direct Europeanization» in case of the conclusion of a bilateral electricity agreement between Switzerland and the EU as well as the possible «indirect Europeanization» in the sense of autonomous adjustments to European policies.</w:t>
      </w:r>
    </w:p>
    <w:p>
      <w:pPr/>
      <w:r>
        <w:rPr>
          <w:b/>
        </w:rPr>
        <w:t>POSSIBLE 2020:</w:t>
      </w:r>
      <w:r>
        <w:t xml:space="preserve"> Early decarbonisation of the European energy system pays off — https://doi.org/10.1038/s41467-020-20015-4</w:t>
      </w:r>
    </w:p>
    <w:p>
      <w:pPr/>
      <w:r>
        <w:rPr>
          <w:b/>
        </w:rPr>
        <w:t>Shared claim-specific concepts:</w:t>
      </w:r>
      <w:r>
        <w:t xml:space="preserve"> energy, system, reduction, cumulative; EU scope visible. This is a provisional connection, not an outcome finding.</w:t>
      </w:r>
    </w:p>
    <w:p>
      <w:pPr>
        <w:pStyle w:val="SourceNote"/>
      </w:pPr>
      <w:r>
        <w:rPr>
          <w:b/>
        </w:rPr>
        <w:t>Available abstract (not full text):</w:t>
      </w:r>
      <w:r>
        <w:t xml:space="preserve"> Abstract For a given carbon budget over several decades, different transformation rates for the energy system yield starkly different results. Here we consider a budget of 33 GtCO2 for the cumulative carbon dioxide emissions from the European electricity, heating, and transport sectors between 2020 and 2050, which represents Europe’s contribution to the Paris Agreement. We have found that following an early and steady path in which emissions are strongly reduced in the first decade is more cost-effective than following a late and rapid path in which low initial reduction targets quickly deplete the carbon budget and require a sharp reduction later. We show that solar photovoltaic, onshore and offshore wind can become the cornerstone of a fully decarbonised energy system and that installation rates similar to historical maxima are required to achieve timely decarbonisation. Key to those results is a proper representation of existing balancing strategies through an open, hourly-resolved, networked model of the sector-coupled European energy system.</w:t>
      </w:r>
    </w:p>
    <w:p>
      <w:pPr>
        <w:pStyle w:val="Heading2"/>
      </w:pPr>
      <w:r>
        <w:t>722.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2022:</w:t>
      </w:r>
      <w:r>
        <w:t xml:space="preserve"> Does the transition to renewable energy increase inflation in European countries? — https://doi.org/10.21203/rs.3.rs-1408222/v1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Review of PV Solar Energy Development 2011–2021 in Central European Countries — https://doi.org/10.3390/en15218307</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data collected in 2022 during 5th International Off-Grid Renewable Energy Conference organized in Abu Dhabi by the International Renewable Energy Agency, the global energy requirements show a negative impact on approximately 785 million people facing energy poverty. The long-term energy sustainability solutions should consider off-grid solutions in the planning of an energy mix and be considered as interim both in remote and already urbanized areas. These measures require integrated planning and partnering with local distribution networks. The review presents the development of photovoltaic installations in Central European countries. For more than 40 years, this area belonged to different regimes and joined the European Union at various dates. Hence, the development of energy policies and cultural and social expectations differ even when based on the Green Deal presented by the European Union in 2020. The outcomes prove that even with a variety of policy measures, the strongest boost can be given only by a set of national rules and financial incentives supporting the stakeholders. It should be noted that the advancement of PV often does not rely on climatic conditions, but more on the level of incentives undertaken by each country, as well as the general policy measures undertaken on the EU level.</w:t>
      </w:r>
    </w:p>
    <w:p>
      <w:pPr/>
      <w:r>
        <w:rPr>
          <w:b/>
        </w:rPr>
        <w:t>POSSIBLE 2022:</w:t>
      </w:r>
      <w:r>
        <w:t xml:space="preserve"> CAN GREECE STRENGTHEN EUROPEAN ENERGY SECURITY? — https://openalex.org/W7112735520</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energy security is at risk mainly due to its high dependence on Russian energy resources. Although some scholars have argued that the Kremlin would not weaponize its natural resources, the Russian invasion of Ukraine in 2022 has made them reconsider. This thesis seeks to answer whether Greece can strengthen the energy security of the European Union through two energy projects: the EastMed pipeline and the electrical interconnectors. These two case studies analyzed the potential barriers that emerged from the literature review of respective energy projects. The research shows that the economic factor does not seem to be an obstacle to implementing EastMed and electricity interconnection projects. Moreover, this thesis points out that both energy projects at the domestic political level find a fertile environment for their construction. On the other hand, the thesis indicates that the geopolitical factor, specifically Turkey’s role, is the main inhibiting factor that endangers the implementation of energy projects. However, according to the research findings, Turkey’s positions do not find international acceptance, its actions are condemned, and the investors of the energy projects do not seem to be affected. Thus, the implementation of EastMed and electrical interconnections does not seem to be affected, and Greece can, through them, strengthen the energy se</w:t>
      </w:r>
    </w:p>
    <w:p>
      <w:pPr/>
      <w:r>
        <w:rPr>
          <w:b/>
        </w:rPr>
        <w:t>POSSIBLE 2022:</w:t>
      </w:r>
      <w:r>
        <w:t xml:space="preserve"> Assessment of the Economic Efficiency of Energy Development in the Industrial Sector of the European Union Area Countries — https://doi.org/10.3390/en15093322</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Green Deal emphasises the importance of improving the efficiency of the energy sector in its countries, which is why the issues involved are relevant in both scientific and practical terms. The article sets out the hypothesis that conveying the state of the economic efficiency of energy development by grades does not reflect the real situation. Instead of ranks, it is proposed to form homogeneous groups of some countries based on non-linear data normalisation instead of today’s universally used linearisation. Grouping the euro area countries in the European Union on the basis of the value of the cost-effectiveness indicator for the energy development of their industrial sector confirmed the appropriateness of the proposed method-ology. In this way, three groups of countries were formed according to the level of cost-effectiveness achieved. The proposed methodology for grouping countries is universal and can be used for international comparisons of any kind.</w:t>
      </w:r>
    </w:p>
    <w:p>
      <w:pPr/>
      <w:r>
        <w:rPr>
          <w:b/>
        </w:rPr>
        <w:t>POSSIBLE 2021:</w:t>
      </w:r>
      <w:r>
        <w:t xml:space="preserve"> Review of methods for the combined assessment of seismic resilience and energy efficiency towards sustainable retrofitting of existing European buildings — https://doi.org/10.1016/j.scs.2021.103556</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Sustainable retrofitting of existing buildings is a prerequisite for achieving climatic and energy objectives in the EU. Thus, practical tools supporting the evaluation and decision-making process when planning retrofit interventions are required. In specific areas, in addition to energy efficiency, the improvement in building resilience to natural hazards is requested; in several European regions, seismicity poses a significant hazard. This study aims to analyse the state-of-the-art of the integrated methods for the implementation of structural and energy retrofitting. The work consists of reviewing available tools, international sustainability protocols, and methods specifically developed for combined energy and seismic assessment. In the first group of methods, assessment is independently referred to specific criteria for energy performance and seismic safety, quantified according to available codes. Besides, in a second group, integrated evaluation is achieved considering ‘equivalent’ initial or life-cycle costs associated with energy consumption and seismic vulnerability. The collected methods were evaluated for qualitative requirements for optimal integration, such as multidisciplinary, life-cycle approaches, and other indicators. Finally, a critical evaluation is provided, highlighting what can be used for future developments toward a sustainable and resilient retrofitti</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Positioning Positive Energy Districts in European Cities — https://doi.org/10.3390/buildings11010019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There are many concepts for buildings with integrated renewable energy systems that have received increased attention during the last few years. However, these concepts only strive to streamline building-level renewable energy solutions. In order to improve the flexibility of decentralized energy generation, individual buildings and energy systems should be able to interact with each other. The positive energy district (PED) concept highlights the importance of active interaction between energy generation systems, energy consumers and energy storage within a district. This paper strives to inform the public, decision makers and fellow researchers about the aspects that should be accounted for when planning and implementing different types of PEDs in different regions throughout the European Union. The renewable energy environment varies between different EU regions, in terms of the available renewable energy sources, energy storage potential, population, energy consumption behaviour, costs and regulations, which affect the design and operation of PEDs, and hence, no PED is like the other. This paper provides clear definitions for different types of PEDs, a survey of the renewable energy market circumstances in the EU and a detailed analysis of factors that play an essential role in the PED planning process.</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r>
        <w:rPr>
          <w:b/>
        </w:rPr>
        <w:t>POSSIBLE 2020:</w:t>
      </w:r>
      <w:r>
        <w:t xml:space="preserve"> Trends in Social Acceptance of Renewable Energy Across Europe—A Literature Review — https://doi.org/10.3390/ijerph17249161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Social acceptance has proven to be a significant barrier in the implementation of renewable energy systems (hereinafter "RES"). While a general acceptance of RES is high, low local acceptance has hindered the development of renewable energy projects (hereinafter "REP"). This study assesses the determinants of local and general social acceptance of REP across Europe through a qualitative analysis from 25 case studies of the most significant social drivers and barriers that include all European countries. These case studies contain qualitative and quantitative analyses of the main factors for social acceptance of many representative groups including residents, stakeholders, and experts. Understanding the influences of social acceptance enables us to create strategies that will promote the development of REP by mitigating any public opposition.</w:t>
      </w:r>
    </w:p>
    <w:p>
      <w:pPr>
        <w:pStyle w:val="Heading2"/>
      </w:pPr>
      <w:r>
        <w:t>723.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r>
        <w:rPr>
          <w:b/>
        </w:rPr>
        <w:t>POSSIBLE 2023:</w:t>
      </w:r>
      <w:r>
        <w:t xml:space="preserve"> Pillars of long-term antiretroviral therapy success — https://doi.org/10.1016/j.phrs.2023.106898</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BACKGROUND: Meeting the challenge of antiretroviral therapy (ART) whose efficacy can last a lifetime requires continuous updating of the virological, pharmacological, and quality of life outcomes to be pursued and a continuous review of literature data on the efficacy and tolerability of new drugs and therapeutic strategies. METHODS: With the aim of identifying open questions and answers about the current controversies in modern ART, we adapted the Design Thinking methodology to the needs of the design phase of a scientific article, involving a team of experts in HIV care. RESULTS: Five main pillars of treatment success were discussed: sustained virologic suppression over time; immunological recovery; pharmacological attributes; long-term tolerability and safety of ART; and people's satisfaction and quality of life. The definition of the outcomes to be achieved in each thematic area and the tools to achieve them were reviewed and discussed. CONCLUSIONS: Long-term treatment success should be intended as a combination of HIV-RNA suppression, immune recovery, and high quality of life. To achieve this, the regimen should be well-tolerated, with high potency, genetic barrier, and forgiveness, and should be tailored by a person-centered perspective, based on individual needs, preferences, and therapeutic history.</w:t>
      </w:r>
    </w:p>
    <w:p>
      <w:pPr/>
      <w:r>
        <w:rPr>
          <w:b/>
        </w:rPr>
        <w:t>POSSIBLE 2022:</w:t>
      </w:r>
      <w:r>
        <w:t xml:space="preserve"> Decarbonizing Prudence: How Realigning Present Pleasure and Long-Term Thinking is Climate Action — https://doi.org/10.21428/dd52e8dc.baa71636</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Present Pleasure and Long-Term Thinking is Climate Action 2 "The people I love the best jump into work head first without dallying in the shallows and swim off with sure strikes almost out of sight.They seem to become the natives of that element, the black sleek heads of seals bouncing like half-submerged balls.I love people who harness themselves, an ox to a heavy cart, who pull like water buffalo, with massive patience, who strain in the mud and the muck to move things forward who do what has to be done, again and again."-To Be of Use by Marge Pierce</w:t>
      </w:r>
    </w:p>
    <w:p>
      <w:pPr/>
      <w:r>
        <w:rPr>
          <w:b/>
        </w:rPr>
        <w:t>POSSIBLE 2022:</w:t>
      </w:r>
      <w:r>
        <w:t xml:space="preserve"> Wishful thinking? Addressing the long-term implications of COVID-19 for transport in Nigeria — https://doi.org/10.1016/j.trd.2022.103206</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With their inherent economic and infrastructure challenges, developing countries must assess commuters' travel behaviour and establish whether consumers' desire for sustainable transportation is feasible or merely wishful thinking. Using a qualitative research design, these issues were explored based on semi-structured interviews conducted with 72 participants across the six geopolitical zones of Nigeria. Findings suggest that the desires and dreams of the commuters are great, and they want to reduce their journeys, work from home, and do online shopping. However, when they consider the inherent challenges, they can only hope for a better future. COVID-19 has impacted the ownership or use of motorised and non-motorised transport, but this is also influenced by affordability, convenience, and awareness. Likewise, there are long-term effects on home and work location choices, but this is further influenced by the large informal economy of the country, job accessibility and the infrastructural developments across the country.</w:t>
      </w:r>
    </w:p>
    <w:p>
      <w:pPr/>
      <w:r>
        <w:rPr>
          <w:b/>
        </w:rPr>
        <w:t>POSSIBLE 2022:</w:t>
      </w:r>
      <w:r>
        <w:t xml:space="preserve"> complexity and criticality of long-term collaborative processes — https://doi.org/10.22456/1982-8918.127557</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There has been increasing recognition that social collectives, such as knowledge communities and professional learning networks, support teachers and enhance their practice. At the same time, there is little research on how such communities form, are sustained over time, create professional knowledge and practices, and transform the professional lives of their participants. We address these gaps in this paper by drawing on self-study methodology to structure a critical reflection of Luiz’s experiences of participating in an autonomous group of teacher-researchers that constituted their own knowledge community since 2005. Through critical friendship, a complexity thinking lens guided the shared reflection on Luiz’s experience in the knowledge community by considering the relational connections, affective forces, opportunities for action and agential capacities that are continually made and reconfigured within the collective nature of learning communities. In conclusion, we discuss both the facilitation and cultivation of long-term collaborative processes towards a complex, critical, and socially just perspective of PETE.</w:t>
      </w:r>
    </w:p>
    <w:p>
      <w:pPr/>
      <w:r>
        <w:rPr>
          <w:b/>
        </w:rPr>
        <w:t>POSSIBLE 2021:</w:t>
      </w:r>
      <w:r>
        <w:t xml:space="preserve"> Thinking Beyond the Pandemic: Monetary Policy Challenges in the Medium- to Long-Term — https://doi.org/10.2139/ssrn.3873976</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Thinking Beyond the Pandemic: Monetary Policy Challenges in the Medium- to Long-Term (preprint) — https://openalex.org/W3180662084</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The economic characteristics of the COVID-19 crisis differ from those of previous crises. It is a combination of demand- and supply-side constraints which led to the formation of a monetary overhang that will be unfrozen once the pandemic ends. Monetary policy must take this effect into consideration, along with other pro-inflationary factors, in the post-pandemic era. It must also think in advance about how to avoid a policy trap coming from fiscal dominance. This paper is organized as follows: Chapter 2 deals with the economic characteristics of the COVID-19 pandemic and its impact on the effectiveness of the monetary policy response measures undertaken. In Chapter 3, we analyse the monetary policy decisions of the ECB (and other major CBs for comparison) and their effectiveness in achieving the declared policy goals in the short term. Chapter 4 is devoted to an analysis of the policy challenges which may be faced by the ECB and other major CBs once the pandemic emergency comes to its end. Chapter 5 contains a summary and the conclusions of our analysis.</w:t>
      </w:r>
    </w:p>
    <w:p>
      <w:pPr/>
      <w:r>
        <w:rPr>
          <w:b/>
        </w:rPr>
        <w:t>POSSIBLE 2020:</w:t>
      </w:r>
      <w:r>
        <w:t xml:space="preserve"> Casting Long-Term and Regenerative Perspectives on Global Sustainability through Systems and Resilience Thinking — https://doi.org/10.3390/su12031230</w:t>
      </w:r>
    </w:p>
    <w:p>
      <w:pPr/>
      <w:r>
        <w:rPr>
          <w:b/>
        </w:rPr>
        <w:t>Shared claim-specific concepts:</w:t>
      </w:r>
      <w:r>
        <w:t xml:space="preserve"> long-term, thinking, casting, action, local; EU scope not established. This is a provisional connection, not an outcome finding.</w:t>
      </w:r>
    </w:p>
    <w:p>
      <w:pPr>
        <w:pStyle w:val="SourceNote"/>
      </w:pPr>
      <w:r>
        <w:rPr>
          <w:b/>
        </w:rPr>
        <w:t>Available abstract (not full text):</w:t>
      </w:r>
      <w:r>
        <w:t xml:space="preserve"> The main objective of this work is to foster long-term and regenerative perspectives on global sustainability. In pursuing this goal, this study encompasses a critical analysis and synthesis of insights from the fields of systems and resilience thinking, a conceptual framework for modeling and envisioning socio-ecological systems, and the proposition of the “flourishing within boundaries” archetype, which is conceived to provide meaningful insights regarding the essential conditions that would enable global society to flourish not just safely but also fairly. Through systems dynamics modeling, portrayed scenarios emphasize that the higher the regenerative societal change achieved, the greater the exponential behavior of the system’s speed towards promising socio-ecological outcomes. Especially for longer time horizons, the overall results reveal that the pace of the transitions associated with the societal action is inherently higher than those associated with the limiting social and ecological factors. Actions taken by individuals in the local realm and short-term time horizon may not only have immediate local effects but also a variety of innumerous ones that radiate out for years, decades, and even centuries to come. Finally, the pursuit of flourishing within boundaries relies on thinking rationally, globally, and above all, through a long-term and regenerative perspective.</w:t>
      </w:r>
    </w:p>
    <w:p>
      <w:pPr>
        <w:pStyle w:val="Heading2"/>
      </w:pPr>
      <w:r>
        <w:t>724.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2021:</w:t>
      </w:r>
      <w:r>
        <w:t xml:space="preserve"> Summary of evidence and recommendations — https://doi.org/10.4324/9781003048558-14</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In this final chapter, we bring together recommendations from the experience and research of our expert authors. We have not tried to prioritise our list of key actions for developing countries to implement to enhance mathematical and statistical knowledge, skills and understanding for sustainable economic growth as there are so many variations between countries. What we can conclude though is that future generations of young people will need enhanced mathematical and statistical competency and transferable skills in an increasingly technological and competitive world and that significant investment in education is crucial for long-term economic growth and success.</w:t>
      </w:r>
    </w:p>
    <w:p>
      <w:pPr/>
      <w:r>
        <w:rPr>
          <w:b/>
        </w:rPr>
        <w:t>POSSIBLE 2020:</w:t>
      </w:r>
      <w:r>
        <w:t xml:space="preserve"> Summary, recommendations, and conclusions — https://doi.org/10.4324/9781351047289-6</w:t>
      </w:r>
    </w:p>
    <w:p>
      <w:pPr/>
      <w:r>
        <w:rPr>
          <w:b/>
        </w:rPr>
        <w:t>Shared claim-specific concepts:</w:t>
      </w:r>
      <w:r>
        <w:t xml:space="preserve"> summary, recommendations, develop; EU scope not established. This is a provisional connection, not an outcome finding.</w:t>
      </w:r>
    </w:p>
    <w:p>
      <w:pPr>
        <w:pStyle w:val="SourceNote"/>
      </w:pPr>
      <w:r>
        <w:rPr>
          <w:b/>
        </w:rPr>
        <w:t>Available abstract (not full text):</w:t>
      </w:r>
      <w:r>
        <w:t xml:space="preserve"> Chapter 6 summarizes the study and concludes that the choice of policies made the difference between where Malaysia and Ghana are today. In Ghana’s haste to develop, it misdirected resources; in its initial adoption of a socialist model of economic development, it disrupted the market based economic system which it had inherited from the British and set the economy back many years; in its frequent changes in government, it created an environment that was not conducive for business. Malaysia, by adopting a go-slow approach to development, did not disrupt the economic system it had inherited from the British, and also created an environment that was hospitable for the private sector; by creating institutions that mobilized local resources, it was able to increase growth and reduce poverty. More importantly, Malaysia, by embracing inclusive economic growth, kept the country stable, prevented civil strife, and thereby benefited from continuity in development plans.</w:t>
      </w:r>
    </w:p>
    <w:p>
      <w:pPr/>
      <w:r>
        <w:rPr>
          <w:b/>
        </w:rPr>
        <w:t>POSSIBLE 2020:</w:t>
      </w:r>
      <w:r>
        <w:t xml:space="preserve"> ESCAP practice guidance for autism: a summary of evidence-based recommendations for diagnosis and treatment — https://doi.org/10.1007/s00787-020-01587-4</w:t>
      </w:r>
    </w:p>
    <w:p>
      <w:pPr/>
      <w:r>
        <w:rPr>
          <w:b/>
        </w:rPr>
        <w:t>Shared claim-specific concepts:</w:t>
      </w:r>
      <w:r>
        <w:t xml:space="preserve"> summary, recommendations, information; EU scope visible. This is a provisional connection, not an outcome finding.</w:t>
      </w:r>
    </w:p>
    <w:p>
      <w:pPr>
        <w:pStyle w:val="SourceNote"/>
      </w:pPr>
      <w:r>
        <w:rPr>
          <w:b/>
        </w:rPr>
        <w:t>Available abstract (not full text):</w:t>
      </w:r>
      <w:r>
        <w:t xml:space="preserve"> Across Europe, there is increased awareness of the frequency and importance of autism spectrum disorder (ASD), which is now recognised not only as a childhood disorder but as a heterogeneous, neurodevelopmental condition that persists throughout life. Services for individuals with autism and their families vary widely, but in most European countries, provision is limited. In 2018, European Society of Child and Adolescent Psychiatry (ESCAP) identified the need for a Practice Guidance document that would help to improve knowledge and practice, especially for individuals in underserviced areas. The present document, prepared by the ASD Working Party and endorsed by the ESCAP Board on October 3, 2019, summarises current information on autism and focuses on ways of detecting, diagnosing, and treating this condition.</w:t>
      </w:r>
    </w:p>
    <w:p>
      <w:pPr>
        <w:pStyle w:val="Heading2"/>
      </w:pPr>
      <w:r>
        <w:t>725.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726.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2022:</w:t>
      </w:r>
      <w:r>
        <w:t xml:space="preserve"> Trust in official statistics across Europe: Evidence from two waves of Eurobarometer using multilevel models — https://doi.org/10.3233/sji-220070</w:t>
      </w:r>
    </w:p>
    <w:p>
      <w:pPr/>
      <w:r>
        <w:rPr>
          <w:b/>
        </w:rPr>
        <w:t>Shared claim-specific concepts:</w:t>
      </w:r>
      <w:r>
        <w:t xml:space="preserve"> uses, two; EU scope visible. This is a provisional connection, not an outcome finding.</w:t>
      </w:r>
    </w:p>
    <w:p>
      <w:pPr>
        <w:pStyle w:val="SourceNote"/>
      </w:pPr>
      <w:r>
        <w:rPr>
          <w:b/>
        </w:rPr>
        <w:t>Available abstract (not full text):</w:t>
      </w:r>
      <w:r>
        <w:t xml:space="preserve"> This paper uses data from Eurobarometer for the years 2007 and 2015 to investigate the determinants of trust in official statistics across 28 countries and 2 regions in Europe. Our estimation follows a multilevel modelling approach, which allows us to distinguish within-country and between-country variation in individual trust in official statistics. Our estimation results show that the within-country variation is mainly explained by individual-level statistical literacy and education, as well as occupational status. With respect to the variation between countries, we show that neither the level of GPD nor the index of inequality are important in explaining cross-country variation. Instead, EU membership history, i.e. the ‘acquis communautaire’, is the main macro variable that explains the increase in trust for the official statistics across Europe.</w:t>
      </w:r>
    </w:p>
    <w:p>
      <w:pPr/>
      <w:r>
        <w:rPr>
          <w:b/>
        </w:rPr>
        <w:t>POSSIBLE 2022:</w:t>
      </w:r>
      <w:r>
        <w:t xml:space="preserve"> Evapotranspiration Retrieval Using S-SEBI Model with Landsat-8 Split-Window Land Surface Temperature Products over Two European Agricultural Crops — https://doi.org/10.3390/rs14112723</w:t>
      </w:r>
    </w:p>
    <w:p>
      <w:pPr/>
      <w:r>
        <w:rPr>
          <w:b/>
        </w:rPr>
        <w:t>Shared claim-specific concepts:</w:t>
      </w:r>
      <w:r>
        <w:t xml:space="preserve"> two, energy; EU scope visible. This is a provisional connection, not an outcome finding.</w:t>
      </w:r>
    </w:p>
    <w:p>
      <w:pPr>
        <w:pStyle w:val="SourceNote"/>
      </w:pPr>
      <w:r>
        <w:rPr>
          <w:b/>
        </w:rPr>
        <w:t>Available abstract (not full text):</w:t>
      </w:r>
      <w:r>
        <w:t xml:space="preserve"> Crop evapotranspiration (ET) is a key variable within the global hydrological cycle to account for the irrigation scheduling, water budgeting, and planning of the water resources associated with irrigation in croplands. Remote sensing techniques provide geophysical information at a large spatial scale and over a relatively long time series, and even make possible the retrieval of ET at high spatiotemporal resolutions. The present short study analyzed the daily ET maps generated with the S-SEBI model, adapted to Landsat-8 retrieved land surface temperatures and broadband albedos, at two different crop sites for two consecutive years (2017–2018). Maps of land surface temperatures were determined using Landsat-8 Collection 2 data, after applying the split-window (SW) algorithm proposed for the operational SW product, which will be implemented in the future Collection 3. Preliminary results showed a good agreement with ground reference data for the main surface energy balance fluxes Rn and LE, and for daily ET values, with RMSEs around 50 W/m2 and 0.9 mm/d, respectively, and high correlation coefficient (R2 = 0.72–0.91). The acceptable uncertainties observed when comparing with local ground data were reaffirmed after the regional (spatial resolution of 9 km) comparison with reanalysis data obtained from ERA5-Land model, showing a StDev of 0.9 mm/d, RMSE = 1.1 mm/d, MAE = 0.9 mm/d, </w:t>
      </w:r>
    </w:p>
    <w:p>
      <w:pPr/>
      <w:r>
        <w:rPr>
          <w:b/>
        </w:rPr>
        <w:t>POSSIBLE 2021:</w:t>
      </w:r>
      <w:r>
        <w:t xml:space="preserve"> Modeling and forecasting the spread of COVID-19 with stochastic and deterministic approaches: Africa and Europe — https://doi.org/10.1186/s13662-021-03213-2</w:t>
      </w:r>
    </w:p>
    <w:p>
      <w:pPr/>
      <w:r>
        <w:rPr>
          <w:b/>
        </w:rPr>
        <w:t>Shared claim-specific concepts:</w:t>
      </w:r>
      <w:r>
        <w:t xml:space="preserve"> two, system, first; EU scope visible. This is a provisional connection, not an outcome finding.</w:t>
      </w:r>
    </w:p>
    <w:p>
      <w:pPr>
        <w:pStyle w:val="SourceNote"/>
      </w:pPr>
      <w:r>
        <w:rPr>
          <w:b/>
        </w:rPr>
        <w:t>Available abstract (not full text):</w:t>
      </w:r>
      <w:r>
        <w:t xml:space="preserve"> Using the existing collected data from European and African countries, we present a statistical analysis of forecast of the future number of daily deaths and infections up to 10 September 2020. We presented numerous statistical analyses of collected data from both continents using numerous existing statistical theories. Our predictions show the possibility of the second wave of spread in Europe in the worse scenario and an exponential growth in the number of infections in Africa. The projection of statistical analysis leads us to introducing an extended version of the well-blancmange function to further capture the spread with fractal properties. A mathematical model depicting the spread with nine sub-classes is considered, first converted to a stochastic system, where the existence and uniqueness are presented. Then the model is extended to the concept of nonlocal operators; due to nonlinearity, a modified numerical scheme is suggested and used to present numerical simulations. The suggested mathematical model is able to predict two to three waves of the spread in the near future.</w:t>
      </w:r>
    </w:p>
    <w:p>
      <w:pPr/>
      <w:r>
        <w:rPr>
          <w:b/>
        </w:rPr>
        <w:t>POSSIBLE 2021:</w:t>
      </w:r>
      <w:r>
        <w:t xml:space="preserve"> The 2020 update of the European Seismic Hazard Model - ESHM20: Model Overview — https://doi.org/10.12686/a15</w:t>
      </w:r>
    </w:p>
    <w:p>
      <w:pPr/>
      <w:r>
        <w:rPr>
          <w:b/>
        </w:rPr>
        <w:t>Shared claim-specific concepts:</w:t>
      </w:r>
      <w:r>
        <w:t xml:space="preserve"> two, system, several, design; EU scope visible. This is a provisional connection, not an outcome finding.</w:t>
      </w:r>
    </w:p>
    <w:p>
      <w:pPr>
        <w:pStyle w:val="SourceNote"/>
      </w:pPr>
      <w:r>
        <w:rPr>
          <w:b/>
        </w:rPr>
        <w:t>Available abstract (not full text):</w:t>
      </w:r>
      <w:r>
        <w:t xml:space="preserve"> The 2020 European Seismic Hazard Model (ESHM20) provides an update of the earthquake hazard assessment of the Euro-Mediterranean region. ESHM20 has received funding from the European Union's Horizon 2020 research and innovation programme under grant agreement No.s 730900 of the SERA-Project (www.sera-eu.org). The ESHM20 follows the same principles as the ESHM13, with state-of-the art procedures homogeneously applied for the entire pan-European region, without the country-borders issues. The model was built upon recently compiled datasets (i.e. earthquake catalogues, active faults, ground shaking recordings), information (tectonic and geological) and models (seismogenic sources, ground shaking). A fully probabilistic framework was adopted in the hazard model implementation and all datasets and inputs are fully cross-border harmonized. The newly developed seismogenic source model encompass fully harmonized and cross borders seismogenic sources following the recent national earthquake hazard models. The inherent uncertainties in characterizing the earthquake rupture forecast are handled by a complex logic tree, consisting of two main models (branches): an area source-based model and a hybrid fault-smoothed seismicity model. The ground motion characteristic model is built upon the most complete ground shaking recordings in Europe and aims at capturing the effects of source and atte</w:t>
      </w:r>
    </w:p>
    <w:p>
      <w:pPr/>
      <w:r>
        <w:rPr>
          <w:b/>
        </w:rPr>
        <w:t>POSSIBLE 2020:</w:t>
      </w:r>
      <w:r>
        <w:t xml:space="preserve"> Analysis of crash injury severity on two trans-European transport network corridors in Spain using discrete-choice models and random forests — https://doi.org/10.1080/15389588.2020.1733539</w:t>
      </w:r>
    </w:p>
    <w:p>
      <w:pPr/>
      <w:r>
        <w:rPr>
          <w:b/>
        </w:rPr>
        <w:t>Shared claim-specific concepts:</w:t>
      </w:r>
      <w:r>
        <w:t xml:space="preserve"> two, implications, first, design; EU scope visible. This is a provisional connection, not an outcome finding.</w:t>
      </w:r>
    </w:p>
    <w:p>
      <w:pPr>
        <w:pStyle w:val="SourceNote"/>
      </w:pPr>
      <w:r>
        <w:rPr>
          <w:b/>
        </w:rPr>
        <w:t>Available abstract (not full text):</w:t>
      </w:r>
      <w:r>
        <w:t xml:space="preserve"> Objective: The objective of this paper is to identify the list of crash severity contributing factors and evaluate their impact on multiple-vehicle crashes on two high use Trans-European interurban, freight corridors in Spain (southern Europe): Madrid - Irùn and Barcelona – Almerìa.Methods: We have used both logistic regression and random forests to identify crash severity predictors and estimate their impacts on crash outcomes. Although both statistical methods can provide useful information to help explain the safety implications of highway crashes, using both methods may further enable a more comprehensive understanding of this phenomenon. For this effort, we disaggregated the crash data into different crash types (i.e., head-on, angle, sideswipe and rear-end) and analyzed this data using roadway design elements, driver characteristics, and environmental factors. To identify the most important predictors of crash severity, we used the random forests data mining approach. We then used ordered logit models to estimate the effect of external factors on the severity of each crash type. Finally, we assessed the accuracy of the model estimates using bootstrap sampling.Results: The results of data mining analyses indicated that roadway design factors such as horizontal and vertical curvature, super elevation, and lane and shoulder width are among the most important factors associat</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two, based, first;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Multispectral Models from Bare Soil Composites for Mapping Topsoil Properties over Europe — https://doi.org/10.3390/rs12091369</w:t>
      </w:r>
    </w:p>
    <w:p>
      <w:pPr/>
      <w:r>
        <w:rPr>
          <w:b/>
        </w:rPr>
        <w:t>Shared claim-specific concepts:</w:t>
      </w:r>
      <w:r>
        <w:t xml:space="preserve"> two, system, first, capacity; EU scope visible. This is a provisional connection, not an outcome finding.</w:t>
      </w:r>
    </w:p>
    <w:p>
      <w:pPr>
        <w:pStyle w:val="SourceNote"/>
      </w:pPr>
      <w:r>
        <w:rPr>
          <w:b/>
        </w:rPr>
        <w:t>Available abstract (not full text):</w:t>
      </w:r>
      <w:r>
        <w:t xml:space="preserve"> Reflectance of light across the visible, near-infrared and shortwave infrared (VIS-NIR-SWIR, 0.4–2.5 µm) spectral region is very useful for investigating mineralogical, physical and chemical properties of soils, which can reduce the need for traditional wet chemistry analyses. As many collections of multispectral satellite data are available for environmental studies, a large extent with medium resolution mapping could be benefited from the spectral measurements made from remote sensors. In this paper, we explored the use of bare soil composites generated from the large historical collections of Landsat images for mapping cropland topsoil attributes across the European extent. For this task, we used the Geospatial Soil Sensing System (GEOS3) for generating two bare soil composites of 30 m resolution (named synthetic soil images, SYSI), which were employed to represent the median topsoil reflectance of bare fields. The first (framed SYSI) was made with multitemporal images (2006–2012) framed to the survey time of the Land-Use/Land-Cover Area Frame Survey (LUCAS) soil dataset (2009), seeking to be more compatible to the soil condition upon the sampling campaign. The second (full SYSI) was generated from the full collection of Landsat images (1982–2018), which although displaced to the field survey, yields a higher proportion of bare areas for soil mapping. For evaluating the two </w:t>
      </w:r>
    </w:p>
    <w:p>
      <w:pPr/>
      <w:r>
        <w:rPr>
          <w:b/>
        </w:rPr>
        <w:t>POSSIBLE 2020:</w:t>
      </w:r>
      <w:r>
        <w:t xml:space="preserve"> The making of the New European Wind Atlas – Part 1: Model sensitivity — https://doi.org/10.5194/gmd-13-5053-2020</w:t>
      </w:r>
    </w:p>
    <w:p>
      <w:pPr/>
      <w:r>
        <w:rPr>
          <w:b/>
        </w:rPr>
        <w:t>Shared claim-specific concepts:</w:t>
      </w:r>
      <w:r>
        <w:t xml:space="preserve"> two, several, first, optimal; EU scope visible. This is a provisional connection, not an outcome finding.</w:t>
      </w:r>
    </w:p>
    <w:p>
      <w:pPr>
        <w:pStyle w:val="SourceNote"/>
      </w:pPr>
      <w:r>
        <w:rPr>
          <w:b/>
        </w:rPr>
        <w:t>Available abstract (not full text):</w:t>
      </w:r>
      <w:r>
        <w:t xml:space="preserve"> Abstract. This is the first of two papers that documents the creation of the New European Wind Atlas (NEWA). It describes the sensitivity analysis and evaluation procedures that formed the basis for choosing the final setup of the mesoscale model simulations of the wind atlas. An optimal combination of model setup and parameterisations was found for simulating the climatology of the wind field at turbine-relevant heights with the Weather Research and Forecasting (WRF) model. Initial WRF model sensitivity experiments compared the wind climate generated by using two commonly used planetary boundary layer schemes and were carried out over several regions in Europe. They confirmed that the largest differences in annual mean wind speed at 100 m above ground level mostly coincide with areas of high surface roughness length and not with the location of the domains or maximum wind speed. Then an ensemble of more than 50 simulations with different setups for a single year was carried out for one domain covering Northern Europe, for which tall mast observations were available. Many different parameters were varied across the simulations, for example, model version, forcing data, various physical parameterisations and the size of the model domain. These simulations showed that although virtually every parameter change affects the results in some way, significant changes on the wind climat</w:t>
      </w:r>
    </w:p>
    <w:p>
      <w:pPr>
        <w:pStyle w:val="Heading2"/>
      </w:pPr>
      <w:r>
        <w:t>727.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2023:</w:t>
      </w:r>
      <w:r>
        <w:t xml:space="preserve"> Homopositivity Across Europe: Predictors, Pathways, and Moderators — https://doi.org/10.1007/s10508-023-02531-8</w:t>
      </w:r>
    </w:p>
    <w:p>
      <w:pPr/>
      <w:r>
        <w:rPr>
          <w:b/>
        </w:rPr>
        <w:t>Shared claim-specific concepts:</w:t>
      </w:r>
      <w:r>
        <w:t xml:space="preserve"> pathways, socioeconomic, those; EU scope visible. This is a provisional connection, not an outcome finding.</w:t>
      </w:r>
    </w:p>
    <w:p>
      <w:pPr>
        <w:pStyle w:val="SourceNote"/>
      </w:pPr>
      <w:r>
        <w:rPr>
          <w:b/>
        </w:rPr>
        <w:t>Available abstract (not full text):</w:t>
      </w:r>
      <w:r>
        <w:t xml:space="preserve">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pathways, support, vision;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Protective genes and pathways in Alzheimer’s disease: moving towards precision interventions — https://doi.org/10.1186/s13024-021-00452-5</w:t>
      </w:r>
    </w:p>
    <w:p>
      <w:pPr/>
      <w:r>
        <w:rPr>
          <w:b/>
        </w:rPr>
        <w:t>Shared claim-specific concepts:</w:t>
      </w:r>
      <w:r>
        <w:t xml:space="preserve"> pathways, moving, shift; EU scope not established. This is a provisional connection, not an outcome finding.</w:t>
      </w:r>
    </w:p>
    <w:p>
      <w:pPr>
        <w:pStyle w:val="SourceNote"/>
      </w:pPr>
      <w:r>
        <w:rPr>
          <w:b/>
        </w:rPr>
        <w:t>Available abstract (not full text):</w:t>
      </w:r>
      <w:r>
        <w:t xml:space="preserve"> Alzheimer's disease (AD) is a progressive, neurodegenerative disorder that is characterized by neurodegeneration, cognitive impairment, and an eventual inability to perform daily tasks. The etiology of Alzheimer's is complex, with numerous environmental and genetic factors contributing to the disease. Late-onset AD is highly heritable (60 to 80%), and over 40 risk loci for AD have been identified via large genome-wide association studies, most of which are common variants with small effect sizes. Although these discoveries have provided novel insight on biological contributors to AD, disease-modifying treatments remain elusive. Recently, the concepts of resistance to pathology and resilience against the downstream consequences of pathology have been of particular interest in the Alzheimer's field as studies continue to identify individuals who evade the pathology of the disease even into late life and individuals who have all of the neuropathological features of AD but evade downstream neurodegeneration and cognitive impairment. It has been hypothesized that a shift in focus from Alzheimer's risk to resilience presents an opportunity to uncover novel biological mechanisms of AD and to identify promising therapeutic targets for the disease. This review will highlight a selection of genes and variants that have been reported to confer protection from AD within the literature and </w:t>
      </w:r>
    </w:p>
    <w:p>
      <w:pPr/>
      <w:r>
        <w:rPr>
          <w:b/>
        </w:rPr>
        <w:t>POSSIBLE 2021:</w:t>
      </w:r>
      <w:r>
        <w:t xml:space="preserve"> Marketing Farmers’ Varieties in Europe: Encouraging Pathways with Missing Links for the Recognition and Support of Farmer Seed Systems — https://doi.org/10.3390/agronomy11112159</w:t>
      </w:r>
    </w:p>
    <w:p>
      <w:pPr/>
      <w:r>
        <w:rPr>
          <w:b/>
        </w:rPr>
        <w:t>Shared claim-specific concepts:</w:t>
      </w:r>
      <w:r>
        <w:t xml:space="preserve"> pathways, support, shows; EU scope visible. This is a provisional connection, not an outcome finding.</w:t>
      </w:r>
    </w:p>
    <w:p>
      <w:pPr>
        <w:pStyle w:val="SourceNote"/>
      </w:pPr>
      <w:r>
        <w:rPr>
          <w:b/>
        </w:rPr>
        <w:t>Available abstract (not full text):</w:t>
      </w:r>
      <w:r>
        <w:t xml:space="preserve"> Farmer seed systems come in many shades: Conserving, producing, and using diverse plant material for different motives and purposes, whether the conservation or selection of locally adapted plant varieties and populations, or the safeguard of social bonds to secure economic stability and integration into rural communities. In Europe, strict seed marketing rules, by viewing any exchange of seeds as commercial exploitation, have first outlawed these farmer seed systems and the varieties conserved and developed in these systems, before carving out limited space for them as derogations to the main regime that remains based on mandatory variety registration and certified seed production. Examining these spaces in the legislation of the European Union (‘EU’) and Switzerland, along with their practical implications on the ground, the article shows the conceptual shortcomings of the EU legislation to fully address all the characteristics of farmer seed systems, especially to recognize farmers’ innovation. It exposes the need to carefully define, assess and adjust the underlying objectives of the future EU legislative effort to register farmers’ varieties or allow for their exchange, to fully represent and address the complex socio-economic values and diversity of farmer seed systems. The success of these endeavors will lie in the truthful representation, but also the engagement of farm</w:t>
      </w:r>
    </w:p>
    <w:p>
      <w:pPr/>
      <w:r>
        <w:rPr>
          <w:b/>
        </w:rPr>
        <w:t>POSSIBLE 2021:</w:t>
      </w:r>
      <w:r>
        <w:t xml:space="preserve"> Unraveling pathways of elevated ozone induced by the 2020 lockdown in Europe by an observationally constrained regional model using TROPOMI — https://doi.org/10.5194/acp-21-18227-2021</w:t>
      </w:r>
    </w:p>
    <w:p>
      <w:pPr/>
      <w:r>
        <w:rPr>
          <w:b/>
        </w:rPr>
        <w:t>Shared claim-specific concepts:</w:t>
      </w:r>
      <w:r>
        <w:t xml:space="preserve"> pathways, support, gas, emissions, those; EU scope visible. This is a provisional connection, not an outcome finding.</w:t>
      </w:r>
    </w:p>
    <w:p>
      <w:pPr>
        <w:pStyle w:val="SourceNote"/>
      </w:pPr>
      <w:r>
        <w:rPr>
          <w:b/>
        </w:rPr>
        <w:t>Available abstract (not full text):</w:t>
      </w:r>
      <w:r>
        <w:t xml:space="preserve"> Abstract. Questions about how emissions are changing during the COVID-19 lockdown periods cannot be answered by observations of atmospheric trace gas concentrations alone, in part due to simultaneous changes in atmospheric transport, emissions, dynamics, photochemistry, and chemical feedback. A chemical transport model simulation benefiting from a multi-species inversion framework using well-characterized observations should differentiate those influences enabling to closely examine changes in emissions. This approach has another advantage in that we can, to a certain extent, disentangle the chemical and physical processes involved in the formation of ozone. Accordingly, we jointly constrain NOx and VOC emissions using well-characterized TROPOMI HCHO and NO2 columns during the months of March, April, and May 2020 (lockdown) and 2019 (baseline). We observe a noticeable decline in the magnitude of NOx emissions in March 2020 (14–31 %) in several major cities including Paris, London, Madrid, and Milan expanding further to Rome, Brussels, Frankfurt, Warsaw, Belgrade, Kyiv, and Moscow (34–51 %) in April. The large variability of changes in NOx emissions is indicative of different dates and the degree of restrictions enacted to prevent the spread of the virus. For instance, NOx emissions remain at somewhat similar values or even higher in northern Germany and Moscow in March 2020 com</w:t>
      </w:r>
    </w:p>
    <w:p>
      <w:pPr/>
      <w:r>
        <w:rPr>
          <w:b/>
        </w:rPr>
        <w:t>POSSIBLE 2020:</w:t>
      </w:r>
      <w:r>
        <w:t xml:space="preserve"> NORA moving forward: Developing an oyster restoration network in Europe to support the Berlin Oyster Recommendation — https://doi.org/10.1002/aqc.3447</w:t>
      </w:r>
    </w:p>
    <w:p>
      <w:pPr/>
      <w:r>
        <w:rPr>
          <w:b/>
        </w:rPr>
        <w:t>Shared claim-specific concepts:</w:t>
      </w:r>
      <w:r>
        <w:t xml:space="preserve"> support, moving, enhance; EU scope visible. This is a provisional connection, not an outcome finding.</w:t>
      </w:r>
    </w:p>
    <w:p>
      <w:pPr>
        <w:pStyle w:val="SourceNote"/>
      </w:pPr>
      <w:r>
        <w:rPr>
          <w:b/>
        </w:rPr>
        <w:t>Available abstract (not full text):</w:t>
      </w:r>
      <w:r>
        <w:t xml:space="preserve"> Abstract The Native Oyster Restoration Alliance (NORA) supports the protection and ecological restoration of the native European oyster, Ostrea edulis , and its habitat across its current and historical biogeographical range. NORA works to overcome barriers to the conservation, restoration, and recovery of the European oyster by providing a platform for the NORA community to collaborate and participate in knowledge exchange. NORA seeks to support responsible restoration practice, in compliance with biosecurity and sustainability. Against this background, the NORA community formulated a series of specific recommendations, the Berlin Oyster Recommendation, to support native oyster restoration by developing and applying best practice with the aim to recover healthy and resilient marine ecosystems. In combination with the Standards for Ecological Restoration (SER) and the Restoration Guidelines for Shellfish Reefs, the Berlin Oyster Recommendation is a relevant tool for successful and sustainable oyster restoration in Europe. The establishment of NORA working groups will support the implementation and further development of the six corresponding recommendations. Current NORA working groups cover site selection, biosecurity, production, and monitoring. The site selection working group will address the identification of suitable sites for oyster restoration to support policy relevant</w:t>
      </w:r>
    </w:p>
    <w:p>
      <w:pPr/>
      <w:r>
        <w:rPr>
          <w:b/>
        </w:rPr>
        <w:t>POSSIBLE 2020:</w:t>
      </w:r>
      <w:r>
        <w:t xml:space="preserve"> Moving Toward an Agenda on Ocean Health and Human Health in Europe — https://doi.org/10.3389/fmars.2020.00037</w:t>
      </w:r>
    </w:p>
    <w:p>
      <w:pPr/>
      <w:r>
        <w:rPr>
          <w:b/>
        </w:rPr>
        <w:t>Shared claim-specific concepts:</w:t>
      </w:r>
      <w:r>
        <w:t xml:space="preserve"> moving, actions, well-being; EU scope visible. This is a provisional connection, not an outcome finding.</w:t>
      </w:r>
    </w:p>
    <w:p>
      <w:pPr>
        <w:pStyle w:val="SourceNote"/>
      </w:pPr>
      <w:r>
        <w:rPr>
          <w:b/>
        </w:rPr>
        <w:t>Available abstract (not full text):</w:t>
      </w:r>
      <w:r>
        <w:t xml:space="preserve"> The integrated study of ocean health and human health is an emerging area of increasing global importance. Growing evidences demonstrate that the health of the ocean and the health of humans have always been and will continue to be, inextricably linked. Our actions towards the oceans will significantly influence the future of the whole planet and, in turn, our own health. The current review of these issues arose from a summer school in San Sebastian (Spain), from 5th-7th June, 2019. An interdisciplinary group of researchers discussed key risks (e.g. microbial pollution, pharmaceuticals, harmful algal blooms, plastic pollution) and benefits (e.g. bathing waters, recreation, tourism) of the seas and global ocean for humanity; and debated the future priorities and potential actions for a joint Oceans and Human Health research and governance programme in Europe. The aim of this review is to contribute to the emerging scientific agenda on ocean health and human health, as well as coordinate efforts with stakeholders, policy makers and the general public. This agenda operates within the larger context of the upcoming United Nations Decade of Ocean Science for Sustainable Development: 2021-2030, which strives to achieve the Sustainable Development Goals (SDG), including healthy (human) lives and well-being (SDG3) and conserving and sustainably using the oceans (SDG14), among others. I</w:t>
      </w:r>
    </w:p>
    <w:p>
      <w:pPr>
        <w:pStyle w:val="Heading2"/>
      </w:pPr>
      <w:r>
        <w:t>728.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among, countries, population, between;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countries, between;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On Virtual Mobility in Three Central European Universities: Similar but Different? — https://doi.org/10.22381/kc11320235</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This article examines the patterns and determinants of virtual mobility among students in the social sciences and humanities at three universities in Central Europe: University of Hradec Kralove (HKU) in the Czech Republic, Adam Mickiewicz University, Poznan (AMU) in Poland and Constantine the Philosopher University in Nitra (UKF) in Slovakia. Virtual mobility, a form of international cooperation facilitated by information and communication technologies, has become increasingly important, especially during the COVID-19 pandemic. The study investigates students’ motivation, resources and experiences in this form of mobility. Findings show that a similar percentage of students participated in both physical and virtual mobility across the three universities, with over 60% not participating in any form of mobility. Work experience significantly impacted participation, as students with employment records were likelier to participate. Gender and level of study did not have a significant influence on participation. Noticeable differences in motivation were observed between universities, with students at the AMU demonstrating a higher level of motivation for virtual mobility. The study also revealed differences in students’ perceptions of technical resources and organisational effectiveness for virtual mobility.</w:t>
      </w:r>
    </w:p>
    <w:p>
      <w:pPr/>
      <w:r>
        <w:rPr>
          <w:b/>
        </w:rPr>
        <w:t>POSSIBLE 2022:</w:t>
      </w:r>
      <w:r>
        <w:t xml:space="preserve"> The burden of mental disorders, substance use disorders and self-harm among young people in Europe, 1990–2019: Findings from the Global Burden of Disease Study 2019 — https://doi.org/10.1016/j.lanepe.2022.100341</w:t>
      </w:r>
    </w:p>
    <w:p>
      <w:pPr/>
      <w:r>
        <w:rPr>
          <w:b/>
        </w:rPr>
        <w:t>Shared claim-specific concepts:</w:t>
      </w:r>
      <w:r>
        <w:t xml:space="preserve"> findings, among, countries, population; EU scope visible. This is a provisional connection, not an outcome finding.</w:t>
      </w:r>
    </w:p>
    <w:p>
      <w:pPr>
        <w:pStyle w:val="SourceNote"/>
      </w:pPr>
      <w:r>
        <w:rPr>
          <w:b/>
        </w:rPr>
        <w:t>Available abstract (not full text):</w:t>
      </w:r>
      <w:r>
        <w:t xml:space="preserve"> Background: Mental health is a public health issue for European young people, with great heterogeneity in resource allocation. Representative population-based studies are needed. The Global Burden of Disease (GBD) Study 2019 provides internationally comparable information on trends in the health status of populations and changes in the leading causes of disease burden over time. Methods: Prevalence, incidence, Years Lived with Disability (YLDs) and Years of Life Lost (YLLs) from mental disorders (MDs), substance use disorders (SUDs) and self-harm were estimated for young people aged 10-24 years in 31 European countries. Rates per 100,000 population, percentage changes in 1990-2019, 95% Uncertainty Intervals (UIs), and correlations with Sociodemographic Index (SDI), were estimated. Findings: In 2019, rates per 100,000 population were 16,983 (95% UI 12,823 - 21,630) for MDs, 3,891 (3,020 - 4,905) for SUDs, and 89·1 (63·8 - 123·1) for self-harm. In terms of disability, anxiety contributed to 647·3 (432-912·3) YLDs, while in terms of premature death, self-harm contributed to 319·6 (248·9-412·8) YLLs, per 100,000 population. Over the 30 years studied, YLDs increased in eating disorders (14·9%;9·4-20·1) and drug use disorders (16·9%;8·9-26·3), and decreased in idiopathic developmental intellectual disability (-29·1%;23·8-38·5). YLLs decreased in self-harm (-27·9%;38·3-18·7). Variatio</w:t>
      </w:r>
    </w:p>
    <w:p>
      <w:pPr/>
      <w:r>
        <w:rPr>
          <w:b/>
        </w:rPr>
        <w:t>POSSIBLE 2022:</w:t>
      </w:r>
      <w:r>
        <w:t xml:space="preserve"> Oral health and quality of life: findings from the Survey of Health, Ageing and Retirement in Europe — https://doi.org/10.1186/s12903-022-02599-z</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BACKGROUND: The aim of this study was to clarify the link between oral health and quality of life among older adults in Europe. METHODS: Cross-sectional data from wave 5 (n = 59,048 observations) were used from the representative Survey of Health, Ageing and Retirement in Europe. Oral health was quantified by three questions: presence of all natural teeth (yes; no); among individuals with missing natural teeth, the number of missing teeth and the extent of replaced natural teeth were quantified. Quality of life was quantified using the widely used CASP-12. Multiple linear regressions were used to determine the association between oral health and quality of life, adjusting for various potential confounders. RESULTS: Multiple linear regressions showed that higher quality of life was associated with (1) the presence of all natural teeth and among individuals with missing natural teeth, with (2) a lower number of missing natural teeth and (3) completely replaced natural teeth. Additionally, quality of life was positively associated with younger age, being female, being married or in a partnership, higher income, higher educational level, not currently smoking, a lower number of functional impairments, better self-rated health, a lower number of depressive symptoms and a lower number of chronic diseases. CONCLUSION: Study findings showed an association between oral health and qualit</w:t>
      </w:r>
    </w:p>
    <w:p>
      <w:pPr/>
      <w:r>
        <w:rPr>
          <w:b/>
        </w:rPr>
        <w:t>POSSIBLE 2021:</w:t>
      </w:r>
      <w:r>
        <w:t xml:space="preserve"> Digital Inequality Among States at a European Level — https://doi.org/10.4018/ijdldc.291969</w:t>
      </w:r>
    </w:p>
    <w:p>
      <w:pPr/>
      <w:r>
        <w:rPr>
          <w:b/>
        </w:rPr>
        <w:t>Shared claim-specific concepts:</w:t>
      </w:r>
      <w:r>
        <w:t xml:space="preserve"> findings, among, three, identifies, countries; EU scope visible. This is a provisional connection, not an outcome finding.</w:t>
      </w:r>
    </w:p>
    <w:p>
      <w:pPr>
        <w:pStyle w:val="SourceNote"/>
      </w:pPr>
      <w:r>
        <w:rPr>
          <w:b/>
        </w:rPr>
        <w:t>Available abstract (not full text):</w:t>
      </w:r>
      <w:r>
        <w:t xml:space="preserve"> For the past 25 years, digital inequalities have been analyzed by several scholars. Many empirical studies have shaped a theoretical framework that identifies three main digital divides. However, most of the scientific contributions have been focusing on digital inequalities within countries, leaving inequalities among countries behind. This paper aims at analyzing what kind of digital inequalities emerge among European countries, focusing on the trends that characterized Europe in the last decade, to consider whether some of the main elements of the digital divide literature replicate at the continental level. The paper analyzes secondary data, mainly retrieved from Eurostat. It emerges that inequalities in digital skills and use of the web persist in Europe, and some of the trends that scholars found among individuals are identifiable among countries as well. These findings contribute to the description of digital inequalities, a social phenomenon not so deeply studied at the continental level.</w:t>
      </w:r>
    </w:p>
    <w:p>
      <w:pPr/>
      <w:r>
        <w:rPr>
          <w:b/>
        </w:rPr>
        <w:t>POSSIBLE 2021:</w:t>
      </w:r>
      <w:r>
        <w:t xml:space="preserve"> Seroprevalence of SARS-CoV-2 IgG antibodies among health care workers prior to vaccine administration in Europe, the USA and East Asia: A systematic review and meta-analysis — https://doi.org/10.1016/j.eclinm.2021.100770</w:t>
      </w:r>
    </w:p>
    <w:p>
      <w:pPr/>
      <w:r>
        <w:rPr>
          <w:b/>
        </w:rPr>
        <w:t>Shared claim-specific concepts:</w:t>
      </w:r>
      <w:r>
        <w:t xml:space="preserve"> findings, among, three, countries, considered; EU scope visible. This is a provisional connection, not an outcome finding.</w:t>
      </w:r>
    </w:p>
    <w:p>
      <w:pPr>
        <w:pStyle w:val="SourceNote"/>
      </w:pPr>
      <w:r>
        <w:rPr>
          <w:b/>
        </w:rPr>
        <w:t>Available abstract (not full text):</w:t>
      </w:r>
      <w:r>
        <w:t xml:space="preserve"> BACKGROUND: Knowing the seroprevalence of SARS-CoV-2 IgG antibodies across geographic regions before vaccine administration is one key piece of knowledge to achieve herd immunity. While people of all ages, occupations, and communities are at risk of getting infected with SARS-CoV-2, the health care workers (HCWs) are possibly at the highest risk. Most seroprevalence surveys with HCWs conducted worldwide have been limited to Europe, North America, and East Asia. We aimed to understand how the seroprevalence of SARS-CoV-2 IgG antibodies varied across these geographic regions among HCWs based on the available evidences. METHODS: statistics. We performed sensitivity analyses based on sample size, diagnostic method and publication status. The study protocol was registered with PROSPERO (CRD42020219086). FINDINGS: A total of 53 peer-reviewed articles were selected, including 173,353 HCWs (32.7% male) from the United States, ten European, and three East Asian countries. The overall seropositive prevalence rate of IgG antibodies was 8.6% in these regions (95% CI= 7.2-9.9%). Pooled seroprevalence of IgG antibodies was higher in studies conducted in the USA (12.4%, 95% CI= 7.8-17%) than in Europe (7.7%, 95% CI=6.3-9.2%) and East Asia (4.8%, 95% CI=2.9-6.7%). The subgroup study also estimated that male HCWs had 9.4% (95% CI= 7.2-11.6%) IgG seroconversion, and female HCWs had 7.8% (95% CI=</w:t>
      </w:r>
    </w:p>
    <w:p>
      <w:pPr/>
      <w:r>
        <w:rPr>
          <w:b/>
        </w:rPr>
        <w:t>POSSIBLE 2020:</w:t>
      </w:r>
      <w:r>
        <w:t xml:space="preserve"> How Many Older Informal Caregivers Are There in Europe? Comparison of Estimates of Their Prevalence from Three European Surveys — https://doi.org/10.3390/ijerph17249531</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Informal caregivers are people providing some type of unpaid, ongoing assistance to a person with a chronic illness or disability. Long-term care measures and policies cannot take place without taking into account the quantitatively crucial role played by informal caregivers. We use the European Health Interview Survey (EHIS), the European Quality of Life Survey (EQLS), and the Study on Health and Ageing in Europe (SHARE) to measure the prevalence of informal caregivers in the European population, and analyze associated socio-demographic factors. This rate ranges between about 13 percent in Portugal and Spain, and more than 22 percent in Luxembourg, Belgium, and Denmark. It declines in older age groups and, on average, is lower in men than in women in all countries studied, and lower among the poorly educated compared to those with higher levels of education. However, large variance was observed in the average share of informal caregivers for most countries between the three surveys. Our findings, estimated through the three surveys, reveal common trends, but also a series of disparities. Additional research will be needed to enable policy makers to access a richer and more harmonized body of data, allowing them to adopt truly evidence-based and targeted policies and interventions in this field.</w:t>
      </w:r>
    </w:p>
    <w:p>
      <w:pPr/>
      <w:r>
        <w:rPr>
          <w:b/>
        </w:rPr>
        <w:t>POSSIBLE 2020:</w:t>
      </w:r>
      <w:r>
        <w:t xml:space="preserve"> Physical Inactivity among Ghanaians in Ghana and Ghanaian Migrants in Europe — https://doi.org/10.1249/mss.0000000000002357</w:t>
      </w:r>
    </w:p>
    <w:p>
      <w:pPr/>
      <w:r>
        <w:rPr>
          <w:b/>
        </w:rPr>
        <w:t>Shared claim-specific concepts:</w:t>
      </w:r>
      <w:r>
        <w:t xml:space="preserve"> findings, among, three; EU scope visible. This is a provisional connection, not an outcome finding.</w:t>
      </w:r>
    </w:p>
    <w:p>
      <w:pPr>
        <w:pStyle w:val="SourceNote"/>
      </w:pPr>
      <w:r>
        <w:rPr>
          <w:b/>
        </w:rPr>
        <w:t>Available abstract (not full text):</w:t>
      </w:r>
      <w:r>
        <w:t xml:space="preserve"> PURPOSE: There is a paucity of data on physical activity (PA) among migrants from sub-Saharan Africa, yet physical inactivity is a key risk factor for noncommunicable diseases. We examined the levels of physical inactivity and its determinants among Ghanaians in different geographical locations. METHODS: We used the Research on Obesity and Diabetes among African Migrants data of Ghanaian adults (n = 4760) age 25-70 yr in rural and urban Ghana and three European cities (Amsterdam, London, and Berlin). Using total physical activity metabolic equivalent of task, physical inactivity was defined as total physical activity metabolic equivalent of task minutes per week less than 600. Logistic regression was used to examine the differences in the levels and the determinants of physical inactivity across sites. RESULTS: Physical inactivity was higher among Ghanaian migrants (14.6% in Amsterdam, 24.1% in Berlin, and 36.6% in London) and urban Ghanaians (29.0%) compared with rural Ghanaians (11.2%). After adjustment for covariates (age, sex, education, health status, smoking status, body mass index, and social network) using rural Ghanaians as the comparator group, the odds ratios for physical inactivity in men ranged from 3.67 (95% confidence interval, 2.19-6.16) in urban Ghanaians to 10.37 (5.96-18.02) in London Ghanaians, and from 3.27 (2.46-4.35) in urban Ghanaians to 4.41 (3.12-6.22)</w:t>
      </w:r>
    </w:p>
    <w:p>
      <w:pPr>
        <w:pStyle w:val="Heading2"/>
      </w:pPr>
      <w:r>
        <w:t>729.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2021:</w:t>
      </w:r>
      <w:r>
        <w:t xml:space="preserve"> Fiscal Policy, Consumption and Current Account in the European Countries — https://doi.org/10.5281/zenodo.4686796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This paper explores the relationship between fiscal deficit, trade deficit and private consumption in European countries in the years 1970-2010. The aim of the study is to test empirically the validity and rationale of the Keynesian proposition (conventional view or Twin Deficits hypothesis) and the Ricardian Equivalence hypothesis, as well as to analyze the relationship between fiscal policy and private consumption. The empirical findings of our study show mixed results. In fact, static panel data estimates suggest that a one per cent increase in fiscal deficit/GDP ratio tends to deteriorate the current account/GDP ratio of 0.21 per cent, although it increases the private consumption of 0.21 per cent. Furthermore, the dynamic estimates largely depend on the estimator chosen, since the GMM-Dif estimates show a significant effect of fiscal deficit both on trade balance and on private consumption, in line with TD hypothesis; on the contrary, GMM-Sys estimator suggests that these effects are irrelevant, supporting RE hypothesis. With regard to the former estimates, we observed that each euro rise in fiscal deficit is associated, on average, with a 22 cents decline in the current account, while the estimated rise in private consumption is smaller (11 cents). Finally, Granger causality tests show mixed results.</w:t>
      </w:r>
    </w:p>
    <w:p>
      <w:pPr/>
      <w:r>
        <w:rPr>
          <w:b/>
        </w:rPr>
        <w:t>POSSIBLE 2020:</w:t>
      </w:r>
      <w:r>
        <w:t xml:space="preserve"> European bird declines: Do we need to rethink approaches to the management of abundant generalist predators? — https://doi.org/10.1111/1365-2664.13695</w:t>
      </w:r>
    </w:p>
    <w:p>
      <w:pPr/>
      <w:r>
        <w:rPr>
          <w:b/>
        </w:rPr>
        <w:t>Shared claim-specific concepts:</w:t>
      </w:r>
      <w:r>
        <w:t xml:space="preserve"> current, decline, however, not; EU scope visible. This is a provisional connection, not an outcome finding.</w:t>
      </w:r>
    </w:p>
    <w:p>
      <w:pPr>
        <w:pStyle w:val="SourceNote"/>
      </w:pPr>
      <w:r>
        <w:rPr>
          <w:b/>
        </w:rPr>
        <w:t>Available abstract (not full text):</w:t>
      </w:r>
      <w:r>
        <w:t xml:space="preserve"> Abstract Bird species are declining across Europe. Current European policy, that is, the Birds and Habitats Directives, focus on habitat management as a way of halting the declines. This paper explores the role of predation in causing bird population declines and asks if we need to reconsider our approach to the management of generalist predators. We analysed bird population trends and distribution changes across Europe, Britain and Ireland, reflecting an increasing gradient of generalist predator abundance (principally red fox Vulpes vulpes and species of the family Corvidae). We tested if ground‐nesting bird species, considered more vulnerable to predation, were in greater decline compared to other nesting strategies. We also compared Annex I designated species to non‐designated species as a proxy for habitat management. We found that across Europe, 74% of ground‐nesting bird species were in decline, compared to 41% of other species. This was especially evident in Britain, where the pattern was 66% compared to 31%, and in Ireland, 71% compared to 20%. Ground‐nesting species were significantly more likely to be declining than other species. These patterns are consistent with the idea that population declines are at least partially related to the increased abundance of generalist predators. In Britain, ground‐nesting species were less likely to be in decline if covered by Annex</w:t>
      </w:r>
    </w:p>
    <w:p>
      <w:pPr/>
      <w:r>
        <w:rPr>
          <w:b/>
        </w:rPr>
        <w:t>POSSIBLE 2020:</w:t>
      </w:r>
      <w:r>
        <w:t xml:space="preserve"> Poland as the country with the steepest decline in per capita cigarette consumption in Europe — https://doi.org/10.18332/tpc/128479</w:t>
      </w:r>
    </w:p>
    <w:p>
      <w:pPr/>
      <w:r>
        <w:rPr>
          <w:b/>
        </w:rPr>
        <w:t>Shared claim-specific concepts:</w:t>
      </w:r>
      <w:r>
        <w:t xml:space="preserve"> average, decline, number; EU scope visible. This is a provisional connection, not an outcome finding.</w:t>
      </w:r>
    </w:p>
    <w:p>
      <w:pPr>
        <w:pStyle w:val="SourceNote"/>
      </w:pPr>
      <w:r>
        <w:rPr>
          <w:b/>
        </w:rPr>
        <w:t>Available abstract (not full text):</w:t>
      </w:r>
      <w:r>
        <w:t xml:space="preserve"> Background In recent years, we have seen the publication of several large studies and surveys allowing us to trace the changes in the exposure of European populations to tobacco. These included a publication on tobacco smoking in the European Union1, a Global Burden of Disease analysis2 and estimates of cigarette consumption for 713. Objectives To summarise the existing state of knowledge on cigarette consumption and smoking prevalence in European countries. To explore and analyse in-depth the case of Poland. Methods A ranking table and analysis of cigarette consumption and smoking prevalence in European countries between 1970 and 2015 were prepared. Results In the early 1990s, during political change in Eastern Europe, Poland had the highest per capita cigarette consumption in Europe (almost 4000 per annum) one of the highest smoking prevalence levels in the world (70% in men and 30% in women). After introducing wide-ranging tobacco control measures, Poland experienced a steady decline in cigarette consumption and smoking prevalence. The pace of decline in the number of cigarettes consumed per capita per annum was fastest in Poland and reached less than 1500 cigarettes per capita per annum in 2015. Currently, Poland is an average European country when it comes to smoking rates, with a prevalence of 26% in men and 17% in women. Conclusions The case of Poland illustrates that ap</w:t>
      </w:r>
    </w:p>
    <w:p>
      <w:pPr/>
      <w:r>
        <w:rPr>
          <w:b/>
        </w:rPr>
        <w:t>POSSIBLE 2020:</w:t>
      </w:r>
      <w:r>
        <w:t xml:space="preserve"> Smoking epidemic in Europe in the 21st century — https://doi.org/10.1136/tobaccocontrol-2020-055658</w:t>
      </w:r>
    </w:p>
    <w:p>
      <w:pPr/>
      <w:r>
        <w:rPr>
          <w:b/>
        </w:rPr>
        <w:t>Shared claim-specific concepts:</w:t>
      </w:r>
      <w:r>
        <w:t xml:space="preserve"> average, decline, reach; EU scope visible. This is a provisional connection, not an outcome finding.</w:t>
      </w:r>
    </w:p>
    <w:p>
      <w:pPr>
        <w:pStyle w:val="SourceNote"/>
      </w:pPr>
      <w:r>
        <w:rPr>
          <w:b/>
        </w:rPr>
        <w:t>Available abstract (not full text):</w:t>
      </w:r>
      <w:r>
        <w:t xml:space="preserve"> OBJECTIVE: To estimate smoking-attributable mortality in the long-term future in 29 European countries using a novel data-driven forecasting approach that integrates the wave pattern of the smoking epidemic and the cohort dimension. METHODS: We estimated and forecasted age-specific and age-standardised smoking-attributable mortality fractions (SAMF) and 95% projection intervals for 29 European countries by sex, 1950-2100, using age-period-cohort modelling with a generalised logit link function. We projected the (decelerating) period increases (women) by a quadratic curve to obtain future declines, and extrapolated the past period decline (men). In addition, we extrapolated the recent cohort trend. RESULTS: SAMF among men are projected to decline from, on average, 25% in 2014 (11% (Sweden)-41% (Hungary)) to 11% in 2040 (range: 6.3%-15.4%), 7% in 2065 (range: 5.9%-9.4%) and 6% in 2100. SAMF among women in 21 non-Eastern European countries, currently at an average of 16%, are projected to reach peak levels in 2013 (Northern Europe), 2019 (Western Europe), 2027 (Greece, Italy) and 2022 (Central Europe), with maximum levels of, on average, 17% (8% (Greece)-28% (Denmark)), and to decline to 10% in 2040 (range: 4%-20%), 5% in 2065 (range: 3.5%-7.6%) and 4% in 2100. For women, a short-term shift in the peak of the inverse U-shaped age pattern to higher ages is projected, and crossovers</w:t>
      </w:r>
    </w:p>
    <w:p>
      <w:pPr/>
      <w:r>
        <w:rPr>
          <w:b/>
        </w:rPr>
        <w:t>POSSIBLE 2020:</w:t>
      </w:r>
      <w:r>
        <w:t xml:space="preserve"> Decline of depressive symptoms in Europe: differential trends across the lifespan — https://doi.org/10.1007/s00127-020-01979-6</w:t>
      </w:r>
    </w:p>
    <w:p>
      <w:pPr/>
      <w:r>
        <w:rPr>
          <w:b/>
        </w:rPr>
        <w:t>Shared claim-specific concepts:</w:t>
      </w:r>
      <w:r>
        <w:t xml:space="preserve"> decline, however, not; EU scope visible. This is a provisional connection, not an outcome finding.</w:t>
      </w:r>
    </w:p>
    <w:p>
      <w:pPr>
        <w:pStyle w:val="SourceNote"/>
      </w:pPr>
      <w:r>
        <w:rPr>
          <w:b/>
        </w:rPr>
        <w:t>Available abstract (not full text):</w:t>
      </w:r>
      <w:r>
        <w:t xml:space="preserve"> PURPOSE: We examined changes in the burden of depressive symptoms between 2006 and 2014 in 18 European countries across different age groups. METHODS: We used population-based data drawn from the European Social Survey (N = 64.683, 54% female, age 14-90 years) covering 18 countries (Austria, Belgium, Denmark, Estonia, Finland, France, Germany, Great Britain, Hungary, Ireland, The Netherlands, Norway, Poland, Portugal, Slovenia, Spain, Sweden, Switzerland) from 2006 to 2014. Depressive symptoms were measured via the CES-D 8. Generalized additive models, multilevel regression, and linear regression analyses were conducted. RESULTS: We found a general decline in CES-D 8 scale scores in 2014 as compared with 2006, with only few exceptions in some countries. This decline was most strongly pronounced in older adults, less strongly in middle-aged adults, and least in young adults. Including education, health and income partially explained the decline in older but not younger or middle-aged adults. CONCLUSIONS: Burden of depressive symptoms decreased in most European countries between 2006 and 2014. However, the decline in depressive symptoms differed across age groups and was most strongly pronounced in older adults and least in younger adults. Future studies should investigate the mechanisms that contribute to these overall and differential changes over time in depressive symptoms.</w:t>
      </w:r>
    </w:p>
    <w:p>
      <w:pPr>
        <w:pStyle w:val="Heading2"/>
      </w:pPr>
      <w:r>
        <w:t>730.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r>
        <w:rPr>
          <w:b/>
        </w:rPr>
        <w:t>POSSIBLE 2023:</w:t>
      </w:r>
      <w:r>
        <w:t xml:space="preserve"> From farm to table: Agrifood systems and trade challenges in the Southern Cone — https://doi.org/10.2499/p15738coll2.137016</w:t>
      </w:r>
    </w:p>
    <w:p>
      <w:pPr/>
      <w:r>
        <w:rPr>
          <w:b/>
        </w:rPr>
        <w:t>Shared claim-specific concepts:</w:t>
      </w:r>
      <w:r>
        <w:t xml:space="preserve"> trade, agrifood, current, different; EU scope not established. This is a provisional connection, not an outcome finding.</w:t>
      </w:r>
    </w:p>
    <w:p>
      <w:pPr>
        <w:pStyle w:val="SourceNote"/>
      </w:pPr>
      <w:r>
        <w:rPr>
          <w:b/>
        </w:rPr>
        <w:t>Available abstract (not full text):</w:t>
      </w:r>
      <w:r>
        <w:t xml:space="preserve"> Food production includes a complex and varied set of agricultural and nonagricultural activities, involving a growing number of sectors and actors that influence the way food is produced, processed, distributed, and consumed. Recently, and especially after the 2021 United Nation Food Systems Summit (UNFSS), it has been proposed that this conglomerate of activities and socioeconomic actors be jointly identified as food systems. National food systems, which exist in each country, are interrelated through trade and other factors with regional food systems and finally with the global food system.\nThe concept of food systems has been adopted as a useful tool for understanding the multiple and complex interrelations between different production, distribution, and trade partners and for adjusting policy analysis and design to this complex world. The discussions and documentation prepared during the UNFSS process brought to public attention not only the utility and complexity of this concept but also some of the shortcomings of current food production practices. The summit also highlighted an urgent need to establish processes for identifying such shortcomings, their relative importance, and possible measures that would lead to the transformation of national food systems and the global food system.</w:t>
      </w:r>
    </w:p>
    <w:p>
      <w:pPr/>
      <w:r>
        <w:rPr>
          <w:b/>
        </w:rPr>
        <w:t>POSSIBLE 2023:</w:t>
      </w:r>
      <w:r>
        <w:t xml:space="preserve"> Portuguese Agrifood Sector Resilience: An Analysis Using Structural Breaks Applied to International Trade — https://doi.org/10.3390/agriculture13091699</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In the last two decades, Portugal suffered the effects of two global crises, the financial crisis and the COVID-19 pandemic, as well as the Common Agriculture Policy reforms. These crises had a great impact on the Portuguese economy, but it is completely unclear how they affected the dynamics of the Portuguese agrifood sector. This study’s objective is to analyze the resilience of this sector to European and global socks, testing the effects on international trade. Secondary data from the Portuguese Statistics Institute were used for the exports and imports trade series of animal and vegetable products and food industries from 2000 to 2020. The methodology was based on the structural xtbreak model, stability analysis, and tests for structural breaks. Some volatility was observed in the trade series, particularly in imports, without consistency among years, trade sectors, or imports versus exports trade. In the case of exports, one or two structural breaks in the different sectors occurred in different years. The most relevant dynamics occurred after the sovereign debt crisis. It was concluded that CAP reforms and global crises seem to not have caused new relevant dynamics in the Portuguese international agrifood trade. This revealed the resilience of the sector to external shocks.</w:t>
      </w:r>
    </w:p>
    <w:p>
      <w:pPr/>
      <w:r>
        <w:rPr>
          <w:b/>
        </w:rPr>
        <w:t>POSSIBLE 2023:</w:t>
      </w:r>
      <w:r>
        <w:t xml:space="preserve"> Modeling Actions for Transforming Agrifood Systems — https://doi.org/10.1007/978-3-031-15703-5_7</w:t>
      </w:r>
    </w:p>
    <w:p>
      <w:pPr/>
      <w:r>
        <w:rPr>
          <w:b/>
        </w:rPr>
        <w:t>Shared claim-specific concepts:</w:t>
      </w:r>
      <w:r>
        <w:t xml:space="preserve"> agrifood, different; EU scope not established. This is a provisional connection, not an outcome finding.</w:t>
      </w:r>
    </w:p>
    <w:p>
      <w:pPr>
        <w:pStyle w:val="SourceNote"/>
      </w:pPr>
      <w:r>
        <w:rPr>
          <w:b/>
        </w:rPr>
        <w:t>Available abstract (not full text):</w:t>
      </w:r>
      <w:r>
        <w:t xml:space="preserve"> Abstract We modeled six interventions to study the scenarios’ impact on agrifood systems, undernutrition, access to healthy diets, and the environment. We also assessed the interventions as a group to consider the impact of synergies and complementarities. Our baseline showed that 690 million people were undernourished, and 3 billion people could not afford healthy diets in 2019. The first finding confirmed that ending chronic hunger at a 5% level by 2030 is possible, with key structural interventions to ramp up agrifood systems’ efficiency. Through increased farm productivity and reduction of food loss and waste, the number of chronically hungry people could be cut by 314 million. In addition, 568 million people would be able to afford healthy diets by 2030. The cost of ending hunger represents 8% of the size of global food markets, a sum that can be mobilized and invested to generate impact through food value chains, national economies, and social safety nets. Furthermore, the use of well-targeted social safety nets could provide an additional 2.4 billion people with access to healthy diets. The second critical finding was that various interventions could create synergies. This would become apparent through addressing different causes of hunger. Moreover, aiming to minimize the total cost of interventions and seeking, at the same time, the highest return interventions in term</w:t>
      </w:r>
    </w:p>
    <w:p>
      <w:pPr/>
      <w:r>
        <w:rPr>
          <w:b/>
        </w:rPr>
        <w:t>POSSIBLE 2023:</w:t>
      </w:r>
      <w:r>
        <w:t xml:space="preserve"> Trends Shaping the Future of Agrifood — https://doi.org/10.5772/intechopen.111608</w:t>
      </w:r>
    </w:p>
    <w:p>
      <w:pPr/>
      <w:r>
        <w:rPr>
          <w:b/>
        </w:rPr>
        <w:t>Shared claim-specific concepts:</w:t>
      </w:r>
      <w:r>
        <w:t xml:space="preserve"> agrifood, current; EU scope not established. This is a provisional connection, not an outcome finding.</w:t>
      </w:r>
    </w:p>
    <w:p>
      <w:pPr>
        <w:pStyle w:val="SourceNote"/>
      </w:pPr>
      <w:r>
        <w:rPr>
          <w:b/>
        </w:rPr>
        <w:t>Available abstract (not full text):</w:t>
      </w:r>
      <w:r>
        <w:t xml:space="preserve"> In agriculture innovation is the main driver of productivity growth. Innovative technologies and methods have to help increase firms’ productivity in a sustainable way. Technology diffusion is important as developing new technologies for sustainable production processes. Current innovations can lead to define the composition of foods with impoverishment or enrichment of nutritional and sensory characteristics. New technologies play a central role in adapting agricultural practices to environmental change. New agricultural practices help to preserve environmental integrity. Competition for an alternative use of natural resources is increasing and agricultural practices and technologies will have to adapt to climate change and more extreme weather-related conditions. This multifunctional approach needs to be directed towards increasing knowledge about the relationship between microstructure, process, product characteristics and technological innovation to protect the quality and origin of products. Innovations are not enough if they are not accompanied by a regulatory environment conducive to business development. Think first of all about the issues of security, rationalization of controls and the embargo of bureaucracy. But also, to the sustainability of food production and the need for common rules on supply conditions in crucial international commodity markets for the developm</w:t>
      </w:r>
    </w:p>
    <w:p>
      <w:pPr/>
      <w:r>
        <w:rPr>
          <w:b/>
        </w:rPr>
        <w:t>POSSIBLE 2022:</w:t>
      </w:r>
      <w:r>
        <w:t xml:space="preserve"> role of trade unions in sport - the essence, features and perspectives — https://doi.org/10.12775/jehs.2022.12.10.009</w:t>
      </w:r>
    </w:p>
    <w:p>
      <w:pPr/>
      <w:r>
        <w:rPr>
          <w:b/>
        </w:rPr>
        <w:t>Shared claim-specific concepts:</w:t>
      </w:r>
      <w:r>
        <w:t xml:space="preserve"> taking, trade, perspective; EU scope visible. This is a provisional connection, not an outcome finding.</w:t>
      </w:r>
    </w:p>
    <w:p>
      <w:pPr>
        <w:pStyle w:val="SourceNote"/>
      </w:pPr>
      <w:r>
        <w:rPr>
          <w:b/>
        </w:rPr>
        <w:t>Available abstract (not full text):</w:t>
      </w:r>
      <w:r>
        <w:t xml:space="preserve"> Trade unions play an important role in organizing activities in the field of labour law, although some representatives of the doctrine believe that the ruling powers of trade unions are in fact administrative in nature. The role of trade unions is important in all sectors of the economy, including sports. In many European countries, trade unions in sport play a key role in ensuring that players’ right are respected. The potential of trade unions in Poland is still not fully used. The aim of this article is to analyse the role of trade unions in sport by determining their features and perspectives, in particular taking into account the extension of the subjective scope of the coalition right after the amendment to the Trade Unions Act. The deliberations will lead to an answer to the question: Is it finally time for trade unions in the professional sport sector or is it still a distant perspective? The article uses the dogmatic and legal method, and also indicates foreign solutions in relation to the comparative method. The considerations present legal solutions in the USA, England and the Netherlands. The deliberations concern both labor law and sports law. The main conclusion from the conducted research is that there are formal and legal possibilities for trade unions to play a more important role in the medium and long term, however, there is no specific entity or group of ent</w:t>
      </w:r>
    </w:p>
    <w:p>
      <w:pPr/>
      <w:r>
        <w:rPr>
          <w:b/>
        </w:rPr>
        <w:t>POSSIBLE 2021:</w:t>
      </w:r>
      <w:r>
        <w:t xml:space="preserve"> Perspectives on Trade and Structural Transformation — https://doi.org/10.3386/w28720</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macro-models to advance our understanding of structural change.</w:t>
      </w:r>
    </w:p>
    <w:p>
      <w:pPr>
        <w:pStyle w:val="Heading2"/>
      </w:pPr>
      <w:r>
        <w:t>731.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r>
        <w:rPr>
          <w:b/>
        </w:rPr>
        <w:t>POSSIBLE 2023:</w:t>
      </w:r>
      <w:r>
        <w:t xml:space="preserve"> Using Registration Data to Measure International and Internal Migration in the European Union: S. Makaryan — https://doi.org/10.1007/978-3-031-19631-7_41</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Mapping and modelling the main determinants of Migration Flows at the NUTS2 Level in European Union using Spatial Data Analysis Techniques — https://doi.org/10.2478/mmcks-2023-0032</w:t>
      </w:r>
    </w:p>
    <w:p>
      <w:pPr/>
      <w:r>
        <w:rPr>
          <w:b/>
        </w:rPr>
        <w:t>Shared claim-specific concepts:</w:t>
      </w:r>
      <w:r>
        <w:t xml:space="preserve"> data, migration, flows, between, international, countries; EU scope visible. This is a provisional connection, not an outcome finding.</w:t>
      </w:r>
    </w:p>
    <w:p>
      <w:pPr>
        <w:pStyle w:val="SourceNote"/>
      </w:pPr>
      <w:r>
        <w:rPr>
          <w:b/>
        </w:rPr>
        <w:t>Available abstract (not full text):</w:t>
      </w:r>
      <w:r>
        <w:t xml:space="preserve"> Abstract Spatial data analysis approaches have grown in popularity in recent years as there has been an increased interest in studying migration at the regional level. We employed in our analysis the Nomenclature of Territorial Units for Statistics (NUTS) level, which offers a more thorough view of migratory patterns inside a nation as well as among EU countries.Using spatial data analytic tools, this research aims to investigate the key determinants of international migration at the NUTS2 level. Using data from the Eurostat database, we undertake an extensive analysis of migration movements in a sample of European Union countries. We apply spatial econometric models to examine the relationship between crude rate migration and other relevant variables as independent variables. Although the available data at the NUTS2 level of regional ranking are limited, we believe that we included the most comprehensive set of relevant variables in our analysis.Our study contributes to the existing literature on migration determinants by highlighting the importance of spatial analysis techniques in understanding migration factors at the NUTS2 level.</w:t>
      </w:r>
    </w:p>
    <w:p>
      <w:pPr>
        <w:pStyle w:val="Heading2"/>
      </w:pPr>
      <w:r>
        <w:t>732.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r>
        <w:rPr>
          <w:b/>
        </w:rPr>
        <w:t>POSSIBLE 2019:</w:t>
      </w:r>
      <w:r>
        <w:t xml:space="preserve"> Euromodernity's Undertone: On Reconceptualizing Political Speech — https://openalex.org/W2943803555</w:t>
      </w:r>
    </w:p>
    <w:p>
      <w:pPr/>
      <w:r>
        <w:rPr>
          <w:b/>
        </w:rPr>
        <w:t>Shared claim-specific concepts:</w:t>
      </w:r>
      <w:r>
        <w:t xml:space="preserve"> about, racialized, others, conditions; EU scope not established. This is a provisional connection, not an outcome finding.</w:t>
      </w:r>
    </w:p>
    <w:p>
      <w:pPr>
        <w:pStyle w:val="SourceNote"/>
      </w:pPr>
      <w:r>
        <w:rPr>
          <w:b/>
        </w:rPr>
        <w:t>Available abstract (not full text):</w:t>
      </w:r>
      <w:r>
        <w:t xml:space="preserve"> This dissertation contends speech is indispensable to politics. It begins with Aristotle, whose conception of political speech grounds our modern understanding. I argue the Aristotelian position is colonizing insofar as it essentializes speech as sound. The consequence is that speech becomes phonocentric, privileging a particular mode of communication. This raises the issue of Deaf subjects who engage politics in non-phonocentric ways. That is, their speech is seen in what I contend is a visual vernacular. Subsequently, I turn to the issue of race. If Deaf subjects raise questions about what it means to speak, Black subjects, who speak audibly and are still unheard, raise a correspondent question: What does it mean to be heard? Within Euromodernity, I contend political speech becomes essentialized and racialized. Here, particular human beings (whites) are deemed as deserving of being heard, while others (Blacks) are silenced and thus, rendered speechless.\nIn response to these conditions, I argue Black and Deaf subjects do speak and their speech challenges existing hegemonic, colonized forms. Black and Deaf political speech allow for the creation of Black and Deaf lifeworlds, an articulation of their own ways of existing in the social world. The result is a project actualizing freedom. Ultimately, I posit a creolizing of political speech, a mixing of Deaf and Black existential </w:t>
      </w:r>
    </w:p>
    <w:p>
      <w:pPr>
        <w:pStyle w:val="Heading2"/>
      </w:pPr>
      <w:r>
        <w:t>733.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2023:</w:t>
      </w:r>
      <w:r>
        <w:t xml:space="preserve"> Ten questions concerning residential overheating in Central and Northern Europe — https://doi.org/10.1016/j.buildenv.2023.110154</w:t>
      </w:r>
    </w:p>
    <w:p>
      <w:pPr/>
      <w:r>
        <w:rPr>
          <w:b/>
        </w:rPr>
        <w:t>Shared claim-specific concepts:</w:t>
      </w:r>
      <w:r>
        <w:t xml:space="preserve"> northern, questions, experts; EU scope visible. This is a provisional connection, not an outcome finding.</w:t>
      </w:r>
    </w:p>
    <w:p>
      <w:pPr>
        <w:pStyle w:val="SourceNote"/>
      </w:pPr>
      <w:r>
        <w:rPr>
          <w:b/>
        </w:rPr>
        <w:t>Available abstract (not full text):</w:t>
      </w:r>
      <w:r>
        <w:t xml:space="preserve"> Rising global temperatures and more frequent heatwaves due to climate change have led to a growing body of research and increased policy focus on how to protect against the adverse effects of heat. In cold and temperate Europe, dwellings have traditionally been designed for cold protection rather than heat mitigation. There is, therefore, a need to understand the mechanisms through which indoor overheating can occur, its effects on occupants and energy consumption, and how we can design, adapt, and operate buildings during warm weather to improve thermal comfort and reduce cooling energy consumption. This paper brings together experts in overheating from across Europe to explore 10 key questions about the causes and risks from overheating in residential settings in Central and Northern Europe, including the way in which we define and measure overheating, its impacts, and its social and policy implications. The focus is not on summarising literature, but rather on identifying the evidence, key challenges and misconceptions, and limitations of current knowledge. Looking ahead, we outline actions needed to adapt, including the (re)design of dwellings, neighbourhoods, and population responses to indoor heat, and the potential shape of these actions. In doing so, we illustrate how heat adaptation is a multi-faceted challenge that requires urgent and coordinated action at multiple le</w:t>
      </w:r>
    </w:p>
    <w:p>
      <w:pPr/>
      <w:r>
        <w:rPr>
          <w:b/>
        </w:rPr>
        <w:t>POSSIBLE 2023:</w:t>
      </w:r>
      <w:r>
        <w:t xml:space="preserve"> Vernacularisation of Documentary Legal Texts in Northern Europe — https://doi.org/10.4312/linguistica.63.1-2.19-39</w:t>
      </w:r>
    </w:p>
    <w:p>
      <w:pPr/>
      <w:r>
        <w:rPr>
          <w:b/>
        </w:rPr>
        <w:t>Shared claim-specific concepts:</w:t>
      </w:r>
      <w:r>
        <w:t xml:space="preserve"> northern, used, questions; EU scope visible. This is a provisional connection, not an outcome finding.</w:t>
      </w:r>
    </w:p>
    <w:p>
      <w:pPr>
        <w:pStyle w:val="SourceNote"/>
      </w:pPr>
      <w:r>
        <w:rPr>
          <w:b/>
        </w:rPr>
        <w:t>Available abstract (not full text):</w:t>
      </w:r>
      <w:r>
        <w:t xml:space="preserve"> At the transition from medieval to early modern Europe, vernaculars became more commonly used in writing in various domain, including administration and law. In the late Middle Ages, vernaculars seem to gain status and start to be regarded as suitable languages for recording municipal matters. But how did this vernacularisation progress in such documentary legal texts? When and why was Latin replaced by vernaculars? To answer these questions, this article presents diachronic quantitative analyses of the language choice in individual entries of two documentary legal sources: the first eight volumes of the Aberdeen Council Registers (1398–1511) and one volume of the Lübecker Niederstadtbuch (1430–1451). The comparative approach to these multilingual texts allows us to trace vernacularisation processes across two language contexts, uncovering similarities and differences between them. In the council registers from Aberdeen, Scots replaced Latin slowly and gradually – a process that took over a century and was far from finished by 1511. In the text from Lübeck, on the other hand, the shift from Latin to Low German was largely completed within about 30 years. In both cases, language practices of the scribes rather than top-down language policies seem to have driven this development. The scribes’ language choices will have been influenced by the use of vernaculars in other texts, inc</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case, northern, used, different;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Balancing Electricity Supply and Demand in a Carbon-Neutral Northern Europe — https://doi.org/10.3390/en16083548</w:t>
      </w:r>
    </w:p>
    <w:p>
      <w:pPr/>
      <w:r>
        <w:rPr>
          <w:b/>
        </w:rPr>
        <w:t>Shared claim-specific concepts:</w:t>
      </w:r>
      <w:r>
        <w:t xml:space="preserve"> northern, combination, different, after;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2022:</w:t>
      </w:r>
      <w:r>
        <w:t xml:space="preserve"> Impact of external cost internalization on short sea shipping – The case of the Portugal-Northern Europe trade — https://doi.org/10.1016/j.trd.2022.103544</w:t>
      </w:r>
    </w:p>
    <w:p>
      <w:pPr/>
      <w:r>
        <w:rPr>
          <w:b/>
        </w:rPr>
        <w:t>Shared claim-specific concepts:</w:t>
      </w:r>
      <w:r>
        <w:t xml:space="preserve"> case, northern, used, regarding, different; EU scope visible. This is a provisional connection, not an outcome finding.</w:t>
      </w:r>
    </w:p>
    <w:p>
      <w:pPr>
        <w:pStyle w:val="SourceNote"/>
      </w:pPr>
      <w:r>
        <w:rPr>
          <w:b/>
        </w:rPr>
        <w:t>Available abstract (not full text):</w:t>
      </w:r>
      <w:r>
        <w:t xml:space="preserve"> This paper presents research on the impact of transportation external costs internalization in the competitiveness of short sea shipping. Numerical methods for calculating emissions and external costs, that consider the full range of technical and operational vehicle characteristics are presented. The impacts of existing and future emission control areas, emissions abatement technologies, types of fuel, ship speed, cargo capacity and utilization factors in the required freight rate are evaluated. Internal and external costs are used to evaluate alternative intermodal chains for a set of pairs origin/destination extending to a range of regions in Northern Europe. Short sea shipping is competitive for a large set of destinations and its scope of competitiveness does not change significantly between different scenarios. Competitiveness regarding external costs shows more variation but, due to the small relative magnitude of these costs, internalization shows a moderate potential for promoting modal shift towards short sea shipping.</w:t>
      </w:r>
    </w:p>
    <w:p>
      <w:pPr/>
      <w:r>
        <w:rPr>
          <w:b/>
        </w:rPr>
        <w:t>POSSIBLE 2022:</w:t>
      </w:r>
      <w:r>
        <w:t xml:space="preserve"> Epidemiological Trends of Human Monkeypox Cases in Northern, Southern, Western, and Eastern Regions in Europe: A Cross-Sectional Study — https://doi.org/10.1155/2022/4042962</w:t>
      </w:r>
    </w:p>
    <w:p>
      <w:pPr/>
      <w:r>
        <w:rPr>
          <w:b/>
        </w:rPr>
        <w:t>Shared claim-specific concepts:</w:t>
      </w:r>
      <w:r>
        <w:t xml:space="preserve"> northern, portugal, different; EU scope visible. This is a provisional connection, not an outcome finding.</w:t>
      </w:r>
    </w:p>
    <w:p>
      <w:pPr>
        <w:pStyle w:val="SourceNote"/>
      </w:pPr>
      <w:r>
        <w:rPr>
          <w:b/>
        </w:rPr>
        <w:t>Available abstract (not full text):</w:t>
      </w:r>
      <w:r>
        <w:t xml:space="preserve"> Background: The growing amount of monkeypox cases in non-endemic regions raises concerns in societies as a potential pandemic. This study highlights the prevalence and epidemiological trends of a human monkeypox outbreak in various regions in Europe. Methods: This cross-sectional study was conducted in the Department of Physiology, College of Medicine, King Saud University, Riyadh, Saudi Arabia. The data about the monkeypox outbreak in European countries were recorded by the World Health Organization (WHO), and Centers for Disease Control and Prevention (CDC) reports. The period prevalence-based data were recorded from Jan 1, 2022, to July 7, 2022, and analyzed, and epidemiological trends were established in different European regions and countries. Results: In Europe, the human monkeypox rapidly spread in all the four subregions and involved 30 European countries, infecting 6077 people. The rising number of monkeypox cases is identified in Western Europe, 2599 (42.76%); Southern Europe, 1932 (31.79%); Northern Europe, 1487 (24.46%); and Eastern Europe, 59 (0.97%). In Western Europe, significant cases are found in Germany (1304), France (604), the Netherlands (352), Belgium (168), and Switzerland (131). In Northern Europe, it is found in the United Kingdom (1351), Ireland (44), Sweden (28), and Denmark (26); in Southern Europe, it is found in Spain (1256), Portugal (415), and I</w:t>
      </w:r>
    </w:p>
    <w:p>
      <w:pPr/>
      <w:r>
        <w:rPr>
          <w:b/>
        </w:rPr>
        <w:t>POSSIBLE 2022:</w:t>
      </w:r>
      <w:r>
        <w:t xml:space="preserve"> The impact of the COVID-19 pandemic on Portuguese events: the case of Northern Portugal — https://doi.org/10.34190/ictr.15.1.209</w:t>
      </w:r>
    </w:p>
    <w:p>
      <w:pPr/>
      <w:r>
        <w:rPr>
          <w:b/>
        </w:rPr>
        <w:t>Shared claim-specific concepts:</w:t>
      </w:r>
      <w:r>
        <w:t xml:space="preserve"> case, northern, portugal, used, regarding; EU scope visible. This is a provisional connection, not an outcome finding.</w:t>
      </w:r>
    </w:p>
    <w:p>
      <w:pPr>
        <w:pStyle w:val="SourceNote"/>
      </w:pPr>
      <w:r>
        <w:rPr>
          <w:b/>
        </w:rPr>
        <w:t>Available abstract (not full text):</w:t>
      </w:r>
      <w:r>
        <w:t xml:space="preserve"> Events, as forms of leisure and tourism, have had an exponential growth, visible in academic studies, but also as a new form of communication. Acting as important tools for territorial dynamization, they are assumed as generators of development opportunities for a region and leverage the positioning of a strong and positive image for tourist destinations. COVID-19 has had an impact on almost all aspects of our life. Many industries have faced significant revenue losses and contracted in terms of their growth and, naturally, one of the worst affected by the pandemic was the events industry. This pandemic crisis has introduced an unparalleled level of doubts regarding the type of events that will take place in the coming years and how they will be produced. Also, with restrictions and a population less willing to be in the physical presence of others, it's important to understand how participants are facing the possibility to attend future events. This research study aims to investigate and understand the impact of the Covid-19 pandemic on the tourism sector, particularly on the events industry, especially in the North of Portugal. It is also analysed how Portuguese were affected by the cancellation and/or postponement of events and also how they anticipate the future of this area. It is also analysed the risk and fear management and its relationship with the pandemic. In methodo</w:t>
      </w:r>
    </w:p>
    <w:p>
      <w:pPr>
        <w:pStyle w:val="Heading2"/>
      </w:pPr>
      <w:r>
        <w:t>734.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2022:</w:t>
      </w:r>
      <w:r>
        <w:t xml:space="preserve"> Exploring the Potential of Mobile Laser Scanning to Quantify Forest Structural Complexity — https://doi.org/10.3389/frsen.2022.861337</w:t>
      </w:r>
    </w:p>
    <w:p>
      <w:pPr/>
      <w:r>
        <w:rPr>
          <w:b/>
        </w:rPr>
        <w:t>Shared claim-specific concepts:</w:t>
      </w:r>
      <w:r>
        <w:t xml:space="preserve"> potential, several, exploring; EU scope visible. This is a provisional connection, not an outcome finding.</w:t>
      </w:r>
    </w:p>
    <w:p>
      <w:pPr>
        <w:pStyle w:val="SourceNote"/>
      </w:pPr>
      <w:r>
        <w:rPr>
          <w:b/>
        </w:rPr>
        <w:t>Available abstract (not full text):</w:t>
      </w:r>
      <w:r>
        <w:t xml:space="preserve"> Today, creating or maintaining forest structural complexity is a management paradigm in many countries due to the positive relationships between structural complexity and several forest functions and services. In this study, we tested whether the box-dimension (D b ), a holistic and objective measure to describe the structural complexity of trees or forests, can be used to quantify the structural complexity of 14 European beech ( Fagus sylvatica L.) dominated forest plots by means of mobile laser scanning (MLS). The goal of this study was to explore the potential of this approach for quantifying the effect of leaves (summer vs winter) and management (lately unmanaged vs managed) on forest structural complexity. The findings suggest that repeated measurements on the same site and at the same time yielded consistent results if the measuring scheme is standardized. The results also showed that standardized measurement protocols allowed quantifying differences in forest structural complexity due to season. The highest stand structural complexity was found in leaf-on condition during summer, with the complexity being significantly higher than in winter condition. Also, in case of our beech-dominated plots, managed forests were more complex in structure than formerly managed but now unmanaged forests. This study illustrates the potential of MLS for monitoring the changes in forest st</w:t>
      </w:r>
    </w:p>
    <w:p>
      <w:pPr/>
      <w:r>
        <w:rPr>
          <w:b/>
        </w:rPr>
        <w:t>POSSIBLE 2022:</w:t>
      </w:r>
      <w:r>
        <w:t xml:space="preserve"> Giardia duodenalis in Wildlife: Exploring Genotype Diversity in Italy and across Europe — https://doi.org/10.3390/pathogens11010105</w:t>
      </w:r>
    </w:p>
    <w:p>
      <w:pPr/>
      <w:r>
        <w:rPr>
          <w:b/>
        </w:rPr>
        <w:t>Shared claim-specific concepts:</w:t>
      </w:r>
      <w:r>
        <w:t xml:space="preserve"> exploring, far, find; EU scope visible. This is a provisional connection, not an outcome finding.</w:t>
      </w:r>
    </w:p>
    <w:p>
      <w:pPr>
        <w:pStyle w:val="SourceNote"/>
      </w:pPr>
      <w:r>
        <w:rPr>
          <w:b/>
        </w:rPr>
        <w:t>Available abstract (not full text):</w:t>
      </w:r>
      <w:r>
        <w:t xml:space="preserve"> Fragmented data are so far available on genotype diversity of G. duodenalis in wildlife in different countries in Europe, in particular, in Italy. In the present study, G. duodenalis sequences obtained from different Italian wild animals [12 porcupines (Hystrix cristata), 4 wild boars (Sus scrofa), 1 wolf (Canis lupus italicus), 6 Alpine chamois (Rupicapra rupicapra rupicapra)] were compared with those available from wild host species in Europe to add new data on the geographic distribution of Giardia assemblages/sub-assemblages and their transmission patterns among natural hosts. Thirty-eight sequences were obtained by MLG analysis (SSU-rRNA, bg, gdh, and tpi genes) and subsequently compared by phylogenetic and network analyses with those from wild species monitored in the last decades in Europe. The results revealed the presence of potentially zoonotic (A-AI, A-AII from wild boar; B from porcupine) and host-adapted (D from wolf; E, A-AIII from chamois) assemblages and sub-assemblages and represent the first report for Italian wild boar. The analysis did not find any evidence of spatial or host segregation for specific genetic variants, mostly shared between different hosts from different European countries. However, conflicting evidence was found in genotypic assignment, advocating for data improvement and new genomic approaches.</w:t>
      </w:r>
    </w:p>
    <w:p>
      <w:pPr/>
      <w:r>
        <w:rPr>
          <w:b/>
        </w:rPr>
        <w:t>POSSIBLE 2021:</w:t>
      </w:r>
      <w:r>
        <w:t xml:space="preserve"> Testing UNFC as a harmonized supporting tool for resource management in Europe — https://doi.org/10.5194/egusphere-egu21-15566</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With the global increase in raw material demand comes the need for harmonized supporting tools for sustainable resource management in Europe. Europe needs to assess their resource potential, but the European countries do not have a common tool to aggregate information for continent-wide resource inventories. The United Nations Framework Classification for Resources (UNFC) is a system that may be used for this purpose. One of the specific tasks in the MINTELL4EU project under the GeoERA programme is to test if the European geological surveys will be able to use UNFC as a tool to evaluate a country’s known and potential resources across variable levels of knowledge. The project will also show, if the application of UNFC can provide better harmonization of mineral resource data nationally and across Europe. The work on UNFC in MINTELL4EU is based on case studies to gain experience. Based on the knowledge and lessons learned from the case studies, guidelines and recommendations for further work will be given. Preliminary results show that there is a need for a more harmonized system and that stricter guidelines are required. On top of this, there are different levels of experience in UNFC among the European geological surveys, and the approach and methods on UNFC varies between the countries.</w:t>
      </w:r>
    </w:p>
    <w:p>
      <w:pPr/>
      <w:r>
        <w:rPr>
          <w:b/>
        </w:rPr>
        <w:t>POSSIBLE 2021:</w:t>
      </w:r>
      <w:r>
        <w:t xml:space="preserve"> Health Inequality Analysis in Europe: Exploring the Potential of the EQ-5D as Outcome — https://doi.org/10.3389/fpubh.2021.744405</w:t>
      </w:r>
    </w:p>
    <w:p>
      <w:pPr/>
      <w:r>
        <w:rPr>
          <w:b/>
        </w:rPr>
        <w:t>Shared claim-specific concepts:</w:t>
      </w:r>
      <w:r>
        <w:t xml:space="preserve"> potential, exploring; EU scope visible. This is a provisional connection, not an outcome finding.</w:t>
      </w:r>
    </w:p>
    <w:p>
      <w:pPr>
        <w:pStyle w:val="SourceNote"/>
      </w:pPr>
      <w:r>
        <w:rPr>
          <w:b/>
        </w:rPr>
        <w:t>Available abstract (not full text):</w:t>
      </w:r>
      <w:r>
        <w:t xml:space="preserve"> Objective: This study explored the additive value of the multi-item EuroQol 5-Dimension 5-Level (EQ-5D-5L) as an outcome measure in health inequality analyses, relative to the single-item EuroQol visual analog scale (EQ VAS). Methods: A sample comprising the general population from Italy, the Netherlands, and United Kingdom (UK) completed the EQ-5D-5L and the EQ VAS. The level of education was selected as a proxy for socio-economic status (SES). EQ-5D-5L level sum scores (LSS) were compared against EQ VAS scores. Stratified and multivariable analyses were used to study the associations between SES and the LSS/EQ VAS relative to the presence of chronic health conditions. Results: A total of 10,172 people participated in this study. In the UK and Netherlands, the LSS was worst for respondents with a low educational level and better for respondents with middle and high educational levels. For Italy, the LSS was best for respondents with a middle educational level compared to respondents with low and high educational levels. The same patterns were observed for the EQ VAS, but differences were slightly smaller. Multivariable analyses showed generally stronger predictive relations in the UK, and with the LSS. The presence of chronic health conditions and being unable to work were independent strong predictors, canceling out the effects of education. Conclusions: In three different Eu</w:t>
      </w:r>
    </w:p>
    <w:p>
      <w:pPr/>
      <w:r>
        <w:rPr>
          <w:b/>
        </w:rPr>
        <w:t>POSSIBLE 2021:</w:t>
      </w:r>
      <w:r>
        <w:t xml:space="preserve"> Exploring the therapeutic potential of mitochondrial uncouplers in cancer — https://doi.org/10.1016/j.molmet.2021.101222</w:t>
      </w:r>
    </w:p>
    <w:p>
      <w:pPr/>
      <w:r>
        <w:rPr>
          <w:b/>
        </w:rPr>
        <w:t>Shared claim-specific concepts:</w:t>
      </w:r>
      <w:r>
        <w:t xml:space="preserve"> potential, several, exploring; EU scope not established. This is a provisional connection, not an outcome finding.</w:t>
      </w:r>
    </w:p>
    <w:p>
      <w:pPr>
        <w:pStyle w:val="SourceNote"/>
      </w:pPr>
      <w:r>
        <w:rPr>
          <w:b/>
        </w:rPr>
        <w:t>Available abstract (not full text):</w:t>
      </w:r>
      <w:r>
        <w:t xml:space="preserve"> BACKGROUND: Mitochondrial uncouplers are well-known for their ability to treat a myriad of metabolic diseases, including obesity and fatty liver diseases. However, for many years now, mitochondrial uncouplers have also been evaluated in diverse models of cancer in vitro and in vivo. Furthermore, some mitochondrial uncouplers are now in clinical trials for cancer, although none have yet been approved for the treatment of cancer. SCOPE OF REVIEW: In this review we summarise published studies in which mitochondrial uncouplers have been investigated as an anti-cancer therapy in preclinical models. In many cases, mitochondrial uncouplers show strong anti-cancer effects both as single agents, and in combination therapies, and some are more toxic to cancer cells than normal cells. Furthermore, the mitochondrial uncoupling mechanism of action in cancer cells has been described in detail, with consistencies and inconsistencies between different structural classes of uncouplers. For example, many mitochondrial uncouplers decrease ATP levels and disrupt key metabolic signalling pathways such as AMPK/mTOR but have different effects on reactive oxygen species (ROS) production. Many of these effects oppose aberrant phenotypes common in cancer cells that ultimately result in cell death. We also highlight several gaps in knowledge that need to be addressed before we have a clear direction and </w:t>
      </w:r>
    </w:p>
    <w:p>
      <w:pPr/>
      <w:r>
        <w:rPr>
          <w:b/>
        </w:rPr>
        <w:t>POSSIBLE 2021:</w:t>
      </w:r>
      <w:r>
        <w:t xml:space="preserve"> Exploring the potential of coconut shell biomass for charcoal production — https://doi.org/10.1016/j.asej.2021.05.013</w:t>
      </w:r>
    </w:p>
    <w:p>
      <w:pPr/>
      <w:r>
        <w:rPr>
          <w:b/>
        </w:rPr>
        <w:t>Shared claim-specific concepts:</w:t>
      </w:r>
      <w:r>
        <w:t xml:space="preserve"> potential, several, exploring, alternative; EU scope not established. This is a provisional connection, not an outcome finding.</w:t>
      </w:r>
    </w:p>
    <w:p>
      <w:pPr>
        <w:pStyle w:val="SourceNote"/>
      </w:pPr>
      <w:r>
        <w:rPr>
          <w:b/>
        </w:rPr>
        <w:t>Available abstract (not full text):</w:t>
      </w:r>
      <w:r>
        <w:t xml:space="preserve"> Coconut shells are produced in a vast amount around tropical countries that needs to be utilized properly. Thermochemical methods are the main route for converting biomass to charcoal. Percentage of some relative factors in the biomass such as low-density, low caloric value, high ash, SOX, NOX, moisture content, microstructure, and complex elements are its major drawbacks. Nevertheless, no scientific studies were conducted on the carbonization of converting coconut shells to charcoal from local to global scales. Therefore, comprehensive and precise data on its production is limited. To overcome these problems; biomass materials need to be evaluated to assure the suitability of the biomass for the thermochemical process to curtail the yearning of energy demand. For the overall efficiency of the biomass conversion processes into the preference biomass-derived fuel, it is important to understand the physicochemical characteristics of the biomass. The paper aims at understanding the specialties of coconut shell biomass, which is directly used for thermochemical conversion mainly for charcoal production via; chemical structure, energy potential, and morphological analysis. The biomass exhibits a high: density of 412 kg/m3, a calorific value of 19.4 MJ/kg, fixed carbon of 21.8%, a volatile matter of 70.8%, carbon of 40.1%, and low amount moisture of 5.6%, and ash of 1.8%. EDX and XRF</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potential, modelling, find;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pStyle w:val="Heading2"/>
      </w:pPr>
      <w:r>
        <w:t>735.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r>
        <w:rPr>
          <w:b/>
        </w:rPr>
        <w:t>POSSIBLE 2023:</w:t>
      </w:r>
      <w:r>
        <w:t xml:space="preserve"> There is no such thing as a validated prediction model — https://doi.org/10.1186/s12916-023-02779-w</w:t>
      </w:r>
    </w:p>
    <w:p>
      <w:pPr/>
      <w:r>
        <w:rPr>
          <w:b/>
        </w:rPr>
        <w:t>Shared claim-specific concepts:</w:t>
      </w:r>
      <w:r>
        <w:t xml:space="preserve"> prediction, support, not, but; EU scope not established. This is a provisional connection, not an outcome finding.</w:t>
      </w:r>
    </w:p>
    <w:p>
      <w:pPr>
        <w:pStyle w:val="SourceNote"/>
      </w:pPr>
      <w:r>
        <w:rPr>
          <w:b/>
        </w:rPr>
        <w:t>Available abstract (not full text):</w:t>
      </w:r>
      <w:r>
        <w:t xml:space="preserve"> BACKGROUND: Clinical prediction models should be validated before implementation in clinical practice. But is favorable performance at internal validation or one external validation sufficient to claim that a prediction model works well in the intended clinical context? MAIN BODY: We argue to the contrary because (1) patient populations vary, (2) measurement procedures vary, and (3) populations and measurements change over time. Hence, we have to expect heterogeneity in model performance between locations and settings, and across time. It follows that prediction models are never truly validated. This does not imply that validation is not important. Rather, the current focus on developing new models should shift to a focus on more extensive, well-conducted, and well-reported validation studies of promising models. CONCLUSION: Principled validation strategies are needed to understand and quantify heterogeneity, monitor performance over time, and update prediction models when appropriate. Such strategies will help to ensure that prediction models stay up-to-date and safe to support clinical decision-making.</w:t>
      </w:r>
    </w:p>
    <w:p>
      <w:pPr/>
      <w:r>
        <w:rPr>
          <w:b/>
        </w:rPr>
        <w:t>POSSIBLE 2022:</w:t>
      </w:r>
      <w:r>
        <w:t xml:space="preserve"> Computing Model for Alzheimer Prediction Using Support Vector Machine Classifier — https://doi.org/10.1109/ccet56606.2022.10080346</w:t>
      </w:r>
    </w:p>
    <w:p>
      <w:pPr/>
      <w:r>
        <w:rPr>
          <w:b/>
        </w:rPr>
        <w:t>Shared claim-specific concepts:</w:t>
      </w:r>
      <w:r>
        <w:t xml:space="preserve"> then, prediction, findings, support; EU scope not established. This is a provisional connection, not an outcome finding.</w:t>
      </w:r>
    </w:p>
    <w:p>
      <w:pPr>
        <w:pStyle w:val="SourceNote"/>
      </w:pPr>
      <w:r>
        <w:rPr>
          <w:b/>
        </w:rPr>
        <w:t>Available abstract (not full text):</w:t>
      </w:r>
      <w:r>
        <w:t xml:space="preserve"> The first stage of Alzheimer's disease is known as Mild Cognitive Impairment. Identification of MCI subjects who are at high risk of developing frame over time is crucial for successful therapy. In order to track the progress of numerous Alzheimer's forecasts over time, automated modelling was used in this work. Three separate longitudinal data systems are used to train models. Then, for each experimental investigation, these models are used to assess biomarker data. Finally, MCI patients at risk of acquiring in the future are identified using a typical support vector machine categorization. Both cognitive points and magnetic resonance image-based measurements are used to thoroughly assess the proposed models' prediction ability. Our suggested strategy produced the maximum AUC 88.93% (Accuracy = 84.29%) and 88.13% (Accuracy = 83.26%) in the five different split verification settings, respectively, 1 year and 2 years prior to conversion prediction of MCI data. Important findings of this research include: Clinical changes in magnetic resonance image- based therapies may be predicted more accurately than cognitive points in two ways: Multiple predictive models are more accurate in predicting change than single biomarker models and Neuropsychology programme by themselves may provide superior long-term change prediction. Enhancing the accuracy of Alzheimer occurrences prediction usi</w:t>
      </w:r>
    </w:p>
    <w:p>
      <w:pPr/>
      <w:r>
        <w:rPr>
          <w:b/>
        </w:rPr>
        <w:t>POSSIBLE 2021:</w:t>
      </w:r>
      <w:r>
        <w:t xml:space="preserve"> Limits of Electoral Predictions Using Twitter — https://doi.org/10.1609/icwsm.v5i1.14189</w:t>
      </w:r>
    </w:p>
    <w:p>
      <w:pPr/>
      <w:r>
        <w:rPr>
          <w:b/>
        </w:rPr>
        <w:t>Shared claim-specific concepts:</w:t>
      </w:r>
      <w:r>
        <w:t xml:space="preserve"> findings, support, not, but; EU scope not established. This is a provisional connection, not an outcome finding.</w:t>
      </w:r>
    </w:p>
    <w:p>
      <w:pPr>
        <w:pStyle w:val="SourceNote"/>
      </w:pPr>
      <w:r>
        <w:rPr>
          <w:b/>
        </w:rPr>
        <w:t>Available abstract (not full text):</w:t>
      </w:r>
      <w:r>
        <w:t xml:space="preserve"> Using social media for political discourse is becoming common practice, especially around election time. One interesting aspect of this trend is the possibility of pulsing the public’s opinion about the elections, and that has attracted the interest of many researchers and the press. Allegedly, predicting electoral outcomes from social media data can be feasible and even simple. Positive results have been reported, but without an analysis on what principle enables them. Our work puts to test the purported predictive power of socialmedia metrics against the 2010 US congressional elections. Here, we applied techniques that had reportedly led to positive election predictions in the past, on the Twitter data collected from the 2010 US congressional elections. Unfortunately, we find no correlation between the analysis results and the electoral outcomes, contradicting previous reports. Observing that 80 years of polling research would support our findings, we argue that one should not be accepting predictions about events using social media data as a black box. Instead, scholarly research should be accompanied by a model explaining the predictive power of social media, when there is one.</w:t>
      </w:r>
    </w:p>
    <w:p>
      <w:pPr>
        <w:pStyle w:val="Heading2"/>
      </w:pPr>
      <w:r>
        <w:t>736.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2024:</w:t>
      </w:r>
      <w:r>
        <w:t xml:space="preserve"> Reduced predation and competition from herring may have contributed to the increase of three-spined stickleback in the Baltic Sea — https://doi.org/10.1093/icesjms/fsae168</w:t>
      </w:r>
    </w:p>
    <w:p>
      <w:pPr/>
      <w:r>
        <w:rPr>
          <w:b/>
        </w:rPr>
        <w:t>Shared claim-specific concepts:</w:t>
      </w:r>
      <w:r>
        <w:t xml:space="preserve"> baltic, herring, food, increased; EU scope visible. This is a provisional connection, not an outcome finding.</w:t>
      </w:r>
    </w:p>
    <w:p>
      <w:pPr>
        <w:pStyle w:val="SourceNote"/>
      </w:pPr>
      <w:r>
        <w:rPr>
          <w:b/>
        </w:rPr>
        <w:t>Available abstract (not full text):</w:t>
      </w:r>
      <w:r>
        <w:t xml:space="preserve"> Abstract In many areas of the Baltic Sea, three-spined stickleback (Gasterosteus aculeatus) has increased several fold since the early 2000s. Two major planktivores of the Baltic Sea, Atlantic herring (Clupea harengus) and European sprat (Sprattus sprattus), may interact with stickleback via competition for food and predation, but the potential implications at the population level are still unknown. Here, we explored interactions between stickleback, herring, and sprat using (i) herring diet analyses and (ii) fish biomass estimates from hydroacoustics for 2001–2019 covering the largest Baltic Sea basins—the Central Baltic and the Bothnian Sea. The diet analyses revealed that stickleback is an important prey for large herring along the Swedish Baltic Sea coast, comprising up to 64% of the diet of individuals &gt;22 cm. We found a negative influence of large herring (&gt;18 cm) on stickleback in the Central Baltic, and a negative relationship between sprat and small herring (&lt;18 cm) (pooled) and stickleback in the Bothnian Sea. The decline in herring and sprat population after the mid-1990s could have contributed to the increase in stickleback population via reduced predation and competition. Overall, herring may be an underappreciated piscivore, and high fishing pressure on herring could generate cascading effects on lower trophic levels.</w:t>
      </w:r>
    </w:p>
    <w:p>
      <w:pPr/>
      <w:r>
        <w:rPr>
          <w:b/>
        </w:rPr>
        <w:t>POSSIBLE 2024:</w:t>
      </w:r>
      <w:r>
        <w:t xml:space="preserve"> Workshop 3 on Stock Identification and Allocation of Catches of Herring to Stocks (WKSIDAC3) — https://doi.org/10.17895/ices.pub.27902457</w:t>
      </w:r>
    </w:p>
    <w:p>
      <w:pPr/>
      <w:r>
        <w:rPr>
          <w:b/>
        </w:rPr>
        <w:t>Shared claim-specific concepts:</w:t>
      </w:r>
      <w:r>
        <w:t xml:space="preserve"> case, baltic, herring, based, workshop; EU scope not established. This is a provisional connection, not an outcome finding.</w:t>
      </w:r>
    </w:p>
    <w:p>
      <w:pPr>
        <w:pStyle w:val="SourceNote"/>
      </w:pPr>
      <w:r>
        <w:rPr>
          <w:b/>
        </w:rPr>
        <w:t>Available abstract (not full text):</w:t>
      </w:r>
      <w:r>
        <w:t xml:space="preserve"> Most herring populations are migratory with variable overlap such that catches and surveys often cover a mixture of stocks. To monitor specific stocks, stock composition data based on ver-tebrae, otoliths or genetics have routinely been collected; however, the design of sampling strate-gies has received limited attention for this specific purpose. WKSIDAC3 reviewed current sam-pling strategies and designs. Further, simulation and case studies evaluated different sampling strategies and the effect of different sample sizes. Most institutes are collecting genetic samples from herring in surveys and commercial catches. However, some gaps are still present, particularly in the southwestern North Sea, eastern Baltic Sea, and Icelandic Sea. The number of individual genotypes needed for inference on stock com-positions depends on the genetic difference between stocks, between haul variation, and the sub-sequent analysis. Simulation studies indicated that random sampling strategies should geno-type at least 30–50 individuals per haul and 300 per stratum. For length stratified sampling the minimum number per haul should be 50–70. When possible, increasing the number of hauls is more effective at increasing precision than increasing the number of genotyped individuals. The two case studies have also demonstrated this. However, further studies based on the specific sampling programs are n</w:t>
      </w:r>
    </w:p>
    <w:p>
      <w:pPr/>
      <w:r>
        <w:rPr>
          <w:b/>
        </w:rPr>
        <w:t>POSSIBLE 2023:</w:t>
      </w:r>
      <w:r>
        <w:t xml:space="preserve"> Storytelling at board meetings: A case study of co-developing recommendations — https://doi.org/10.35680/2372-0247.1742</w:t>
      </w:r>
    </w:p>
    <w:p>
      <w:pPr/>
      <w:r>
        <w:rPr>
          <w:b/>
        </w:rPr>
        <w:t>Shared claim-specific concepts:</w:t>
      </w:r>
      <w:r>
        <w:t xml:space="preserve"> case, recommendations, use, governance; EU scope not established. This is a provisional connection, not an outcome finding.</w:t>
      </w:r>
    </w:p>
    <w:p>
      <w:pPr>
        <w:pStyle w:val="SourceNote"/>
      </w:pPr>
      <w:r>
        <w:rPr>
          <w:b/>
        </w:rPr>
        <w:t>Available abstract (not full text):</w:t>
      </w:r>
      <w:r>
        <w:t xml:space="preserve"> In healthcare, stories shared by patients often provide details and insights into experiences of illness and care. Stories are a way to educate healthcare providers and others to improve care and systems to become more patient and family centred and to better meet patients’ needs and priorities. Telling stories may bring benefits to both storytellers and audience members but also presents risks of harm. A reflective storytelling practice aims to honor stories and storytellers by ensuring there is time to prepare, reflect, learn, ask questions, and engage in dialogue with the storyteller to explore what went well and where there are learning and improvement opportunities. Healthcare Excellence Canada (HEC) is a pan-Canadian health organization focused on improving the quality and safety of care in Canada. HEC commits to engage patients, caregivers, and communities and aims to develop practices and structures to enable engagement activities. At the request of the HEC Board, the Patient Engagement and Partnerships team co-developed recommendations on the process for how best to meaningfully share stories at Board meetings, including stories from those leading, providing, and receiving care. This Case Study outlines the process HEC used to co-develop storytelling recommendations, focusing on a trauma-informed approach to create safe spaces for preparing, learning from and reflectin</w:t>
      </w:r>
    </w:p>
    <w:p>
      <w:pPr/>
      <w:r>
        <w:rPr>
          <w:b/>
        </w:rPr>
        <w:t>POSSIBLE 2023:</w:t>
      </w:r>
      <w:r>
        <w:t xml:space="preserve"> The challenges of developing accurate mood-based music recommendation systems: A Conceptual Case Investigation — https://doi.org/10.21203/rs.3.rs-3364709/v1</w:t>
      </w:r>
    </w:p>
    <w:p>
      <w:pPr/>
      <w:r>
        <w:rPr>
          <w:b/>
        </w:rPr>
        <w:t>Shared claim-specific concepts:</w:t>
      </w:r>
      <w:r>
        <w:t xml:space="preserve"> case, based, identifies; EU scope not established. This is a provisional connection, not an outcome finding.</w:t>
      </w:r>
    </w:p>
    <w:p>
      <w:pPr>
        <w:pStyle w:val="SourceNote"/>
      </w:pPr>
      <w:r>
        <w:rPr>
          <w:b/>
        </w:rPr>
        <w:t>Available abstract (not full text):</w:t>
      </w:r>
      <w:r>
        <w:t xml:space="preserve"> Abstract The development of accurate mood-based music recommendation systems is a challenging task due to the complexity and subjectivity of human emotions, the lack of standardized datasets for mood detection, the diversity of music genres and styles, the cold start problem, and the user's personal preferences. This paper presents a conceptual framework with documentation analysis case study with different scenarios for studying the challenges of developing accurate mood-based music recommendation systems. Case 1 investigated combination of physiological signals and audio features to detect users' moods, Case 2 investigated large dataset of music tracks that had been labeled with emotions to train a machine learning algorithm to recommend music based on users' moods Music recommendation system that uses a combination of collaborative filtering and content-based filtering. We analysis the secondary source of data studied by researchers at the University of California, Berkeley, University of Amsterdam and University of Cambridge. The conceptual framework is based on the theory of emotions, and the documentation analysis identifies the different methods that have been used to develop these systems. The different scenarios are based on the different methods that have been used to develop mood-based music recommendation systems. The paper concludes by discussing the challenges tha</w:t>
      </w:r>
    </w:p>
    <w:p>
      <w:pPr/>
      <w:r>
        <w:rPr>
          <w:b/>
        </w:rPr>
        <w:t>POSSIBLE 2023:</w:t>
      </w:r>
      <w:r>
        <w:t xml:space="preserve"> The prevalence of Corynosoma parasite worms in the great cormorants and the Baltic herring in the northern Baltic Sea, Finland — https://doi.org/10.1016/j.ijppaw.2023.07.004</w:t>
      </w:r>
    </w:p>
    <w:p>
      <w:pPr/>
      <w:r>
        <w:rPr>
          <w:b/>
        </w:rPr>
        <w:t>Shared claim-specific concepts:</w:t>
      </w:r>
      <w:r>
        <w:t xml:space="preserve"> baltic, herring, increased; EU scope visible. This is a provisional connection, not an outcome finding.</w:t>
      </w:r>
    </w:p>
    <w:p>
      <w:pPr>
        <w:pStyle w:val="SourceNote"/>
      </w:pPr>
      <w:r>
        <w:rPr>
          <w:b/>
        </w:rPr>
        <w:t>Available abstract (not full text):</w:t>
      </w:r>
      <w:r>
        <w:t xml:space="preserve"> were found. The prevalence of corynosoma in herring increased from 2014 to 2018, and individuals in the Bothnian Sea were infected less frequently than herring in the Archipelago Sea. Results also showed that infected herring individuals were generally larger than non-infected individuals, which could be explained by their size and their feeding habits. Currently, the changing environment of the Baltic Sea may cause an effect on the herring making them more susceptible to infections. Our results, therefore, emphasize the importance of the regular monitoring of infections and the parasite-host relationships in the Baltic Sea.</w:t>
      </w:r>
    </w:p>
    <w:p>
      <w:pPr>
        <w:pStyle w:val="Heading2"/>
      </w:pPr>
      <w:r>
        <w:t>737.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r>
        <w:rPr>
          <w:b/>
        </w:rPr>
        <w:t>POSSIBLE 2023:</w:t>
      </w:r>
      <w:r>
        <w:t xml:space="preserve"> Sex and Gender Differences in Stroke and Their Practical Implications in Acute Care — https://doi.org/10.5853/jos.2022.04077</w:t>
      </w:r>
    </w:p>
    <w:p>
      <w:pPr/>
      <w:r>
        <w:rPr>
          <w:b/>
        </w:rPr>
        <w:t>Shared claim-specific concepts:</w:t>
      </w:r>
      <w:r>
        <w:t xml:space="preserve"> practical, implications, conclusions, provide; EU scope not established. This is a provisional connection, not an outcome finding.</w:t>
      </w:r>
    </w:p>
    <w:p>
      <w:pPr>
        <w:pStyle w:val="SourceNote"/>
      </w:pPr>
      <w:r>
        <w:rPr>
          <w:b/>
        </w:rPr>
        <w:t>Available abstract (not full text):</w:t>
      </w:r>
      <w:r>
        <w:t xml:space="preserve"> There are several controversies regarding the role of sex and gender in the pathophysiology and management of acute stroke. Assessing the role of sex, i.e., biological/pathophysiological factors, and gender, i.e., sociocultural factors, in isolation is often not possible since they are closely intertwined with each other. To complicate matters even more, the functional baseline status of women and men at the time of their first stroke is substantially different, whereby women have, on average, a poorer reported/ascertained baseline function compared to men. These differences in baseline variables account for a large part of the differences in post-stroke outcomes between women and men. Adjusting for these baseline differences is difficult, and in many cases, residual confounding cannot be excluded. Despite these obstacles, a better understanding of how patient sex and gender differences influence acute stroke and stroke care pathways is crucial to avoid biases and allow us to provide the best possible care for all acute stroke patients. Disregarding patient sex and gender on one hand and ignoring potential confounding factors in sex- and gender-stratified analyses on the other hand, may cause researchers to come to erroneous conclusions and physicians to provide suboptimal care. This review outlines sex- and gender-related factors in key aspects of acute stroke, including acute</w:t>
      </w:r>
    </w:p>
    <w:p>
      <w:pPr/>
      <w:r>
        <w:rPr>
          <w:b/>
        </w:rPr>
        <w:t>POSSIBLE 2023:</w:t>
      </w:r>
      <w:r>
        <w:t xml:space="preserve"> Medico-Legal Implications and Regulatory Frameworks of Regenerative Orthopaedics — https://doi.org/10.7759/cureus.42557</w:t>
      </w:r>
    </w:p>
    <w:p>
      <w:pPr/>
      <w:r>
        <w:rPr>
          <w:b/>
        </w:rPr>
        <w:t>Shared claim-specific concepts:</w:t>
      </w:r>
      <w:r>
        <w:t xml:space="preserve"> implications, provide, framework; EU scope visible. This is a provisional connection, not an outcome finding.</w:t>
      </w:r>
    </w:p>
    <w:p>
      <w:pPr>
        <w:pStyle w:val="SourceNote"/>
      </w:pPr>
      <w:r>
        <w:rPr>
          <w:b/>
        </w:rPr>
        <w:t>Available abstract (not full text):</w:t>
      </w:r>
      <w:r>
        <w:t xml:space="preserve"> Regenerative orthopaedics has revolutionized traditional medicine, which represents a giant leap in science and research. The knowledge of the medico-legal implications and regulatory framework of this branch is vital for clinicians and researchers to go forward smoothly. This systematic review of the literature should shed light on these considerations and provide a comprehensive knowledge of the various implications and laws governing practice and research. The wide plethora of knowledge in the use of regenerative orthopaedics should be complemented by updated regulations and clinicians' grasp of knowledge on regenerative medicine. The review focused on peer-reviewed published articles concerned with the topic and outlined common medico-legal issues and the current regulatory frameworks in various countries. The articles suggest that developed nations like the US have faced several lawsuits in this field, and a few countries in Europe like Italy and Germany, which were frontrunners in this field based on research, have fallen back due to emerging legal and regulatory policies. Undoubtedly, regenerative orthopaedics holds the key to future orthopaedics, but the world is skeptical of this concept, and laws and regulatory frameworks can curb it if not guided well. In India, this field has received prime attention, but at a slow pace when compared to the laws. After reviewing 113</w:t>
      </w:r>
    </w:p>
    <w:p>
      <w:pPr/>
      <w:r>
        <w:rPr>
          <w:b/>
        </w:rPr>
        <w:t>POSSIBLE 2023:</w:t>
      </w:r>
      <w:r>
        <w:t xml:space="preserve"> Resilience: Theoretical Framework and Implications for School — https://doi.org/10.5539/ies.v16n2p1</w:t>
      </w:r>
    </w:p>
    <w:p>
      <w:pPr/>
      <w:r>
        <w:rPr>
          <w:b/>
        </w:rPr>
        <w:t>Shared claim-specific concepts:</w:t>
      </w:r>
      <w:r>
        <w:t xml:space="preserve"> implications, provide, framework; EU scope not established. This is a provisional connection, not an outcome finding.</w:t>
      </w:r>
    </w:p>
    <w:p>
      <w:pPr>
        <w:pStyle w:val="SourceNote"/>
      </w:pPr>
      <w:r>
        <w:rPr>
          <w:b/>
        </w:rPr>
        <w:t>Available abstract (not full text):</w:t>
      </w:r>
      <w:r>
        <w:t xml:space="preserve"> The main purpose of this report is to provide a brief yet holistic view of the concept of Resilience. In the following pages the basic aspects of this term are going to be examined so that not only the significance of Resilience in our everyday lives, but also the factors that affect someone’s ability to bounce back and keep making progress in many aspects of life can be understood despite the adversities that may interfere. The above mentioned are widely known as protective and risk factors depending on the way they affect somebody’s life. Another aspect that is going to be briefly analyzed is the role of school and teacher in students’ resilience- how this role can help students maintain their psychosocial and learning progress.</w:t>
      </w:r>
    </w:p>
    <w:p>
      <w:pPr/>
      <w:r>
        <w:rPr>
          <w:b/>
        </w:rPr>
        <w:t>POSSIBLE 2022:</w:t>
      </w:r>
      <w:r>
        <w:t xml:space="preserve"> THEORETICAL AND PRACTICAL ASPECTS REGARDING THE ISSUANCE OF EUROPEAN INVESTIGATION ORDER — https://openalex.org/W4365816987</w:t>
      </w:r>
    </w:p>
    <w:p>
      <w:pPr/>
      <w:r>
        <w:rPr>
          <w:b/>
        </w:rPr>
        <w:t>Shared claim-specific concepts:</w:t>
      </w:r>
      <w:r>
        <w:t xml:space="preserve"> practical, implications, conclusions, framework; EU scope visible. This is a provisional connection, not an outcome finding.</w:t>
      </w:r>
    </w:p>
    <w:p>
      <w:pPr>
        <w:pStyle w:val="SourceNote"/>
      </w:pPr>
      <w:r>
        <w:rPr>
          <w:b/>
        </w:rPr>
        <w:t>Available abstract (not full text):</w:t>
      </w:r>
      <w:r>
        <w:t xml:space="preserve"> The chosen topic, through its novelty in the field of international judicial cooperation in criminal matters, presents both theoretical and practical importance through the procedural-criminal implications it determines. The author analyzes both synthetically and analytically the functionality of the institution of the European investigation order, determining its content, application limits and subjects involved in the criminal trial report, highlighting the aspects of non-correlation of the objective with the intended purpose. The conclusions materialized in proposals to complete and improve the existing legislative framework, represented by Law no. 236/2017.</w:t>
      </w:r>
    </w:p>
    <w:p>
      <w:pPr/>
      <w:r>
        <w:rPr>
          <w:b/>
        </w:rPr>
        <w:t>POSSIBLE 2022:</w:t>
      </w:r>
      <w:r>
        <w:t xml:space="preserve"> Globalization, Green Economy and Environmental Challenges: State of the Art Review for Practical Implications — https://doi.org/10.3389/fenvs.2022.870271</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Globalization has significantly influenced the economy, ecology, and society during the previous decade. Meanwhile, the green economy has emerged as a critical policy framework for growth and development in developed and developing countries. The current study is an attempt to provide a detailed review on globalization, green economy, and climate challenges to draw some implications. There are disagreements between competing green economic discourses and a variety of definitions, all of which have problems. Recognizing the environmental effects of natural resource depletion and the economic benefits of environmental management are common examples of green economy operationalization. The new study also examines climate change’s impact on the green economy and infrastructure development. The study further considers the role of economic structure to mitigate environmental issues, increase production efficiency, enhance green economy and environmentally friendly technologies. The present study concluded that working toward a green economy helps reduce poverty in the four ways indicated in this study. It also shed a brief light to improves poor people’s access to a healthy and safe environment while increasing human security by preventing or resolving conflicts over land, food, water, and other natural resources.</w:t>
      </w:r>
    </w:p>
    <w:p>
      <w:pPr>
        <w:pStyle w:val="Heading2"/>
      </w:pPr>
      <w:r>
        <w:t>738.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2024:</w:t>
      </w:r>
      <w:r>
        <w:t xml:space="preserve"> Advancements in Transition to Green Steel in Europe through Direct Reduced Iron Production — https://doi.org/10.32730/mswt.2024.68.2.2</w:t>
      </w:r>
    </w:p>
    <w:p>
      <w:pPr/>
      <w:r>
        <w:rPr>
          <w:b/>
        </w:rPr>
        <w:t>Shared claim-specific concepts:</w:t>
      </w:r>
      <w:r>
        <w:t xml:space="preserve"> reduce, greenhouse, gas, emissions, compared, reduction; EU scope visible. This is a provisional connection, not an outcome finding.</w:t>
      </w:r>
    </w:p>
    <w:p>
      <w:pPr>
        <w:pStyle w:val="SourceNote"/>
      </w:pPr>
      <w:r>
        <w:rPr>
          <w:b/>
        </w:rPr>
        <w:t>Available abstract (not full text):</w:t>
      </w:r>
      <w:r>
        <w:t xml:space="preserve"> This article describes the current situation in Europe regarding methods of steel production and transition to green steel, produced in a sustainable way, i.e. with renewable energy and without fossil fuels, in order to reduce greenhouse gas emissions. The study focuses on direct reduction (DR) as potentially the best technology to eliminate the use of fossil fuels in the steel industry. The main commercial processes of direct reduced iron (DRI) production such as MIDREX, Energiron, PERED, SL/RN, Fastmet and Circored are described and compared in terms of the quality of finished products, operational conditions and efficiency. The article presents recent statistics regarding the production capacity of DRI, comparing Europe with the rest of the world. Plans concerning the construction of DRI plants across Europe are summarised alongside other projects aimed to support the process of transition to green steel by providing environmentally friendly materials or increasing efficiency of already implemented technologies by recycling waste materials.</w:t>
      </w:r>
    </w:p>
    <w:p>
      <w:pPr/>
      <w:r>
        <w:rPr>
          <w:b/>
        </w:rPr>
        <w:t>POSSIBLE 2024:</w:t>
      </w:r>
      <w:r>
        <w:t xml:space="preserve"> Transforming Trade and Environment: Digital Trade's Impact on Carbon Emissions in the European Union — https://doi.org/10.1002/jid.3977</w:t>
      </w:r>
    </w:p>
    <w:p>
      <w:pPr/>
      <w:r>
        <w:rPr>
          <w:b/>
        </w:rPr>
        <w:t>Shared claim-specific concepts:</w:t>
      </w:r>
      <w:r>
        <w:t xml:space="preserve"> emissions, compared, reduction; EU scope visible. This is a provisional connection, not an outcome finding.</w:t>
      </w:r>
    </w:p>
    <w:p>
      <w:pPr>
        <w:pStyle w:val="SourceNote"/>
      </w:pPr>
      <w:r>
        <w:rPr>
          <w:b/>
        </w:rPr>
        <w:t>Available abstract (not full text):</w:t>
      </w:r>
      <w:r>
        <w:t xml:space="preserve"> ABSTRACT The rapid expansion of digital trade is reshaping global economies, offering promising opportunities to mitigate carbon emissions. This study investigates the impact of digital trade on carbon emissions across 27 European Union countries from 2009 to 2023, presenting new insights into the environmental benefits of digital trade. The empirical findings reveal that digital trade significantly reduces emissions by optimizing industrial structure, promoting technological innovation and enhancing human capital. The heterogeneity analysis shows that this reduction effect is more pronounced in Northern, Western and Central Europe, where digital infrastructure and regulatory support may be more robust, and it is also stronger in highly innovative countries compared to less innovative ones. These results underscore the potential of digital trade as a driver of sustainable economic growth, providing valuable insights for policymakers aiming to leverage digitalization to enhance environmental sustainability, align with climate targets and foster a more efficient, low‐carbon economy.</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pStyle w:val="Heading2"/>
      </w:pPr>
      <w:r>
        <w:t>739.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2024:</w:t>
      </w:r>
      <w:r>
        <w:t xml:space="preserve"> Advancements in Transition to Green Steel in Europe through Direct Reduced Iron Production — https://doi.org/10.32730/mswt.2024.68.2.2</w:t>
      </w:r>
    </w:p>
    <w:p>
      <w:pPr/>
      <w:r>
        <w:rPr>
          <w:b/>
        </w:rPr>
        <w:t>Shared claim-specific concepts:</w:t>
      </w:r>
      <w:r>
        <w:t xml:space="preserve"> reduce, greenhouse, gas, emissions, compared, reduction; EU scope visible. This is a provisional connection, not an outcome finding.</w:t>
      </w:r>
    </w:p>
    <w:p>
      <w:pPr>
        <w:pStyle w:val="SourceNote"/>
      </w:pPr>
      <w:r>
        <w:rPr>
          <w:b/>
        </w:rPr>
        <w:t>Available abstract (not full text):</w:t>
      </w:r>
      <w:r>
        <w:t xml:space="preserve"> This article describes the current situation in Europe regarding methods of steel production and transition to green steel, produced in a sustainable way, i.e. with renewable energy and without fossil fuels, in order to reduce greenhouse gas emissions. The study focuses on direct reduction (DR) as potentially the best technology to eliminate the use of fossil fuels in the steel industry. The main commercial processes of direct reduced iron (DRI) production such as MIDREX, Energiron, PERED, SL/RN, Fastmet and Circored are described and compared in terms of the quality of finished products, operational conditions and efficiency. The article presents recent statistics regarding the production capacity of DRI, comparing Europe with the rest of the world. Plans concerning the construction of DRI plants across Europe are summarised alongside other projects aimed to support the process of transition to green steel by providing environmentally friendly materials or increasing efficiency of already implemented technologies by recycling waste materials.</w:t>
      </w:r>
    </w:p>
    <w:p>
      <w:pPr/>
      <w:r>
        <w:rPr>
          <w:b/>
        </w:rPr>
        <w:t>POSSIBLE 2024:</w:t>
      </w:r>
      <w:r>
        <w:t xml:space="preserve"> Transforming Trade and Environment: Digital Trade's Impact on Carbon Emissions in the European Union — https://doi.org/10.1002/jid.3977</w:t>
      </w:r>
    </w:p>
    <w:p>
      <w:pPr/>
      <w:r>
        <w:rPr>
          <w:b/>
        </w:rPr>
        <w:t>Shared claim-specific concepts:</w:t>
      </w:r>
      <w:r>
        <w:t xml:space="preserve"> emissions, compared, reduction; EU scope visible. This is a provisional connection, not an outcome finding.</w:t>
      </w:r>
    </w:p>
    <w:p>
      <w:pPr>
        <w:pStyle w:val="SourceNote"/>
      </w:pPr>
      <w:r>
        <w:rPr>
          <w:b/>
        </w:rPr>
        <w:t>Available abstract (not full text):</w:t>
      </w:r>
      <w:r>
        <w:t xml:space="preserve"> ABSTRACT The rapid expansion of digital trade is reshaping global economies, offering promising opportunities to mitigate carbon emissions. This study investigates the impact of digital trade on carbon emissions across 27 European Union countries from 2009 to 2023, presenting new insights into the environmental benefits of digital trade. The empirical findings reveal that digital trade significantly reduces emissions by optimizing industrial structure, promoting technological innovation and enhancing human capital. The heterogeneity analysis shows that this reduction effect is more pronounced in Northern, Western and Central Europe, where digital infrastructure and regulatory support may be more robust, and it is also stronger in highly innovative countries compared to less innovative ones. These results underscore the potential of digital trade as a driver of sustainable economic growth, providing valuable insights for policymakers aiming to leverage digitalization to enhance environmental sustainability, align with climate targets and foster a more efficient, low‐carbon economy.</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pStyle w:val="Heading2"/>
      </w:pPr>
      <w:r>
        <w:t>740.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2023:</w:t>
      </w:r>
      <w:r>
        <w:t xml:space="preserve"> Farmers’ behavioural determinants of on-farm biodiversity management in Europe: a systematic review — https://doi.org/10.1007/s10460-023-10505-8</w:t>
      </w:r>
    </w:p>
    <w:p>
      <w:pPr/>
      <w:r>
        <w:rPr>
          <w:b/>
        </w:rPr>
        <w:t>Shared claim-specific concepts:</w:t>
      </w:r>
      <w:r>
        <w:t xml:space="preserve"> farmers, major, policies; EU scope visible. This is a provisional connection, not an outcome finding.</w:t>
      </w:r>
    </w:p>
    <w:p>
      <w:pPr>
        <w:pStyle w:val="SourceNote"/>
      </w:pPr>
      <w:r>
        <w:rPr>
          <w:b/>
        </w:rPr>
        <w:t>Available abstract (not full text):</w:t>
      </w:r>
      <w:r>
        <w:t xml:space="preserve"> Abstract Agricultural intensification and landscape homogenisation are major drivers of biodiversity loss in European agricultural landscapes. Improvements require changes in farming practices, but empirical evidence on farmers’ motivations underlying their on-farm biodiversity management remains fragmented. To date, there is no aggregated overview of behavioural determinants that influence European farmers’ decisions to implement biodiversity-friendly farming practices. This study aims to fill this knowledge gap by conducting a systematic literature review of 150 empirical studies published between 2000 and 2022. We identified 108 potential determinants of farmers’ behaviour, which were integrated into a multilevel framework. The results show that the farmers’ decisions are complex and often non-directional processes, shaped by numerous external (at a society, landscape, community, and farm level) and internal factors. These factors are embedded in regional and cultural contexts. However, the analysis of study sites indicates that the spatial coverage of scientific evidence on biodiversity-friendly farming measures is uneven across Europe. Given the diversity of local and socio-cultural conditions, there is a need for public policies, including the European Union’s Common Agricultural Policy, to address more specifically determinants encouraging biodiversity-friendly farm mana</w:t>
      </w:r>
    </w:p>
    <w:p>
      <w:pPr/>
      <w:r>
        <w:rPr>
          <w:b/>
        </w:rPr>
        <w:t>POSSIBLE 2023:</w:t>
      </w:r>
      <w:r>
        <w:t xml:space="preserve"> Hunter-gatherer admixture facilitated natural selection in Neolithic European farmers — https://doi.org/10.1016/j.cub.2023.02.049</w:t>
      </w:r>
    </w:p>
    <w:p>
      <w:pPr/>
      <w:r>
        <w:rPr>
          <w:b/>
        </w:rPr>
        <w:t>Shared claim-specific concepts:</w:t>
      </w:r>
      <w:r>
        <w:t xml:space="preserve"> farmers, major, environmental; EU scope visible. This is a provisional connection, not an outcome finding.</w:t>
      </w:r>
    </w:p>
    <w:p>
      <w:pPr>
        <w:pStyle w:val="SourceNote"/>
      </w:pPr>
      <w:r>
        <w:rPr>
          <w:b/>
        </w:rPr>
        <w:t>Available abstract (not full text):</w:t>
      </w:r>
      <w:r>
        <w:t xml:space="preserve"> Abstract Ancient DNA has revealed multiple episodes of admixture in human prehistory during geographic expansions associated with cultural innovations. One important example is the expansion of Neolithic agricultural groups out of the Near East into Europe, and their consequent admixture with Mesolithic hunter-gatherers. Ancient genomes from this period provide an opportunity to study the role of admixture in providing new genetic variation for selection to act upon, and also to identify genomic regions that resisted hunter-gatherer introgression and may thus contribute to agricultural adaptations. We used genome-wide DNA from 728 individuals spanning Mesolithic and Neolithic Europe to infer ancestry deviations in the genomes of admixed individuals, and to test for natural selection after admixture using a new method based on testing for deviations from a genome-wide null distribution. We find that the region around the pigmentation-associated gene SLC24A5 shows the greatest overrepresentation of Neolithic ancestry in the genome (|Z| = 3.45). In contrast, we find the greatest overrepresentation of Mesolithic local ancestry across the key immunity locus that is the Major Histocompatibility Complex (MHC; |Z| &gt; 4) which also shows allele frequency deviations indicative of a selective sweep following admixture (p =1×10 −29 ). This could reflect negative frequency dependent selectio</w:t>
      </w:r>
    </w:p>
    <w:p>
      <w:pPr/>
      <w:r>
        <w:rPr>
          <w:b/>
        </w:rPr>
        <w:t>POSSIBLE 2022:</w:t>
      </w:r>
      <w:r>
        <w:t xml:space="preserve"> WHAT AFFECTS THE FINANCIAL STRUCTURE OF FIRMS IN THE ICT INDUSTRY IN SELECTED EUROPEAN COUNTRIES — https://doi.org/10.25142/aak.2022.016</w:t>
      </w:r>
    </w:p>
    <w:p>
      <w:pPr/>
      <w:r>
        <w:rPr>
          <w:b/>
        </w:rPr>
        <w:t>Shared claim-specific concepts:</w:t>
      </w:r>
      <w:r>
        <w:t xml:space="preserve"> affect, industry, different; EU scope visible. This is a provisional connection, not an outcome finding.</w:t>
      </w:r>
    </w:p>
    <w:p>
      <w:pPr>
        <w:pStyle w:val="SourceNote"/>
      </w:pPr>
      <w:r>
        <w:rPr>
          <w:b/>
        </w:rPr>
        <w:t>Available abstract (not full text):</w:t>
      </w:r>
      <w:r>
        <w:t xml:space="preserve"> During its life cycle, a company needs different amounts of funds, which can come from different entities.Each company has a specific structure of funding sources with respect to geographical and industry affiliation.The size of the company also has an impact on the structure of these sources.There is a number of determinants that affects the financial structure which is why a universal recommendation cannot be found.Thanks to these facts, more and more research has been created for over half a century.However, it is not possible to focus on individual companies and so compare different industries and economies.This research expands knowledge in the industry of information and telecommunication technologies in the countries of the extended Visegrád Group (V4 plus Austria, Bulgaria, Romania, Slovenia).Medium and (very) large companies during the period 2010-2018 are analysed.The aim of this research is to determine whether profitability, liquidity, asset structure, GDP growth rate, inflation rate and reference interest rate affect the level of total, long-term and short-term debt.The Generalized Method of Moments was chosen to determine these impacts.The main conclusion is that without regard to the size, the level of debt is most affected by determinants that represent the external environment of companies with the level of the reference interest rate having the most significan</w:t>
      </w:r>
    </w:p>
    <w:p>
      <w:pPr/>
      <w:r>
        <w:rPr>
          <w:b/>
        </w:rPr>
        <w:t>POSSIBLE 2022:</w:t>
      </w:r>
      <w:r>
        <w:t xml:space="preserve"> Ship of Darkness: Jazz and/as Affect in the Global Cruise Industry — https://doi.org/10.5406/25784773.5.2.02</w:t>
      </w:r>
    </w:p>
    <w:p>
      <w:pPr/>
      <w:r>
        <w:rPr>
          <w:b/>
        </w:rPr>
        <w:t>Shared claim-specific concepts:</w:t>
      </w:r>
      <w:r>
        <w:t xml:space="preserve"> affect, industry, notably; EU scope not established. This is a provisional connection, not an outcome finding.</w:t>
      </w:r>
    </w:p>
    <w:p>
      <w:pPr>
        <w:pStyle w:val="SourceNote"/>
      </w:pPr>
      <w:r>
        <w:rPr>
          <w:b/>
        </w:rPr>
        <w:t>Available abstract (not full text):</w:t>
      </w:r>
      <w:r>
        <w:t xml:space="preserve"> This is an experimental story that dwells in the connections between academic jazz programs and the global cruise industry, the ideological and affective attachments people maintain between these two institutions in the twenty-first century, and what is at stake in their naming and contemplation.3 Using disruptively prosed rhythms and modular form, it attempts a worlding of everyday cruise life and the soundings, mobilities, and affective geographies of early-career musicians living at sea, profoundly unmoored from the places and networks in which jazz is typically thought to flourish.Narrating this story means disrupting the silence of jazz studies on a political economy that has implicated generations of university-trained musicians ever since the turn of the 1970s, which witnessed the coterminous rise of college jazz education in the United States and multinational, corporatized cruise tourism.4 From the former emerged a musical workforce particularly suited for the latter's burgeoning demand for entertainment: technically and stylistically versatile, trained to both improvise and sight-read, and otherwise poised to enter an increasingly precarious terrestrial gig economy, many of these hybrid musicians pay their dues—and their bills—not on the road, but in international waters.Studying the flow of bodies, sounds, and capital between jazz schools and cruise ships, writing th</w:t>
      </w:r>
    </w:p>
    <w:p>
      <w:pPr/>
      <w:r>
        <w:rPr>
          <w:b/>
        </w:rPr>
        <w:t>POSSIBLE 2022:</w:t>
      </w:r>
      <w:r>
        <w:t xml:space="preserve"> Typologies of European farmers: approaches, methods and research gaps — https://doi.org/10.1007/s10113-022-01899-y</w:t>
      </w:r>
    </w:p>
    <w:p>
      <w:pPr/>
      <w:r>
        <w:rPr>
          <w:b/>
        </w:rPr>
        <w:t>Shared claim-specific concepts:</w:t>
      </w:r>
      <w:r>
        <w:t xml:space="preserve"> farmers, different, environmental; EU scope visible. This is a provisional connection, not an outcome finding.</w:t>
      </w:r>
    </w:p>
    <w:p>
      <w:pPr>
        <w:pStyle w:val="SourceNote"/>
      </w:pPr>
      <w:r>
        <w:rPr>
          <w:b/>
        </w:rPr>
        <w:t>Available abstract (not full text):</w:t>
      </w:r>
      <w:r>
        <w:t xml:space="preserve"> Abstract Understanding farmers’ behaviour and their different responses to environmental change, institutional change and policy interventions is important to facilitate the understanding of the drivers of environmental degradation. Identification of behavioural types can be very useful in informing the design of targeted instruments to support transformation towards sustainable agriculture and facilitating the transferability of findings between contexts, while also pointing out limits to the generalization of behavioural patterns detected in individual studies. However, typologies of European farmers are quite scattered geographically, among contexts and disciplines. Here, we present results from a literature review of empirically derived European farmer typologies from 36 academic studies. We investigate the underlying methodologies for determining the types, the purposes of developing typologies and whether there are recurring farmer types across contexts and locations. Our results show that (i) the field is quite diverse in terms of purposes, methods and variables used to develop typologies; (ii) there is surprisingly little awareness of the broader literature; (iii) while there are recurring types, they are still diverse and difficult to compare across studies. We recommend a stronger embedding of new typologies in the existing literature and improvements in the transpare</w:t>
      </w:r>
    </w:p>
    <w:p>
      <w:pPr/>
      <w:r>
        <w:rPr>
          <w:b/>
        </w:rPr>
        <w:t>POSSIBLE 2022:</w:t>
      </w:r>
      <w:r>
        <w:t xml:space="preserve"> Finding the ecological farmer: A farmer typology to understand ecological practice adoption within Europe — https://doi.org/10.1016/j.crsust.2022.100125</w:t>
      </w:r>
    </w:p>
    <w:p>
      <w:pPr/>
      <w:r>
        <w:rPr>
          <w:b/>
        </w:rPr>
        <w:t>Shared claim-specific concepts:</w:t>
      </w:r>
      <w:r>
        <w:t xml:space="preserve"> industry, farmers, climate, policies, chain; EU scope visible. This is a provisional connection, not an outcome finding.</w:t>
      </w:r>
    </w:p>
    <w:p>
      <w:pPr>
        <w:pStyle w:val="SourceNote"/>
      </w:pPr>
      <w:r>
        <w:rPr>
          <w:b/>
        </w:rPr>
        <w:t>Available abstract (not full text):</w:t>
      </w:r>
      <w:r>
        <w:t xml:space="preserve">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pStyle w:val="Heading2"/>
      </w:pPr>
      <w:r>
        <w:t>741.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pStyle w:val="Heading2"/>
      </w:pPr>
      <w:r>
        <w:t>742.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2023:</w:t>
      </w:r>
      <w:r>
        <w:t xml:space="preserve"> Scenario Development Using Foresight Studies — https://doi.org/10.5281/zenodo.7944509</w:t>
      </w:r>
    </w:p>
    <w:p>
      <w:pPr/>
      <w:r>
        <w:rPr>
          <w:b/>
        </w:rPr>
        <w:t>Shared claim-specific concepts:</w:t>
      </w:r>
      <w:r>
        <w:t xml:space="preserve"> foresight, project, modelling, health, stakeholders, trends;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2023:</w:t>
      </w:r>
      <w:r>
        <w:t xml:space="preserve"> Foresight in public health: application and challenges — https://doi.org/10.1093/eurpub/ckad160.1000</w:t>
      </w:r>
    </w:p>
    <w:p>
      <w:pPr/>
      <w:r>
        <w:rPr>
          <w:b/>
        </w:rPr>
        <w:t>Shared claim-specific concepts:</w:t>
      </w:r>
      <w:r>
        <w:t xml:space="preserve"> foresight, project, health, discuss, stakeholders, trends;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for policy making to be better prepared for the future — https://doi.org/10.1093/eurpub/ckad160.236</w:t>
      </w:r>
    </w:p>
    <w:p>
      <w:pPr/>
      <w:r>
        <w:rPr>
          <w:b/>
        </w:rPr>
        <w:t>Shared claim-specific concepts:</w:t>
      </w:r>
      <w:r>
        <w:t xml:space="preserve"> foresight, health, discuss, stakeholders, trends; EU scope not established. This is a provisional connection, not an outcome finding.</w:t>
      </w:r>
    </w:p>
    <w:p>
      <w:pPr>
        <w:pStyle w:val="SourceNote"/>
      </w:pPr>
      <w:r>
        <w:rPr>
          <w:b/>
        </w:rPr>
        <w:t>Available abstract (not full text):</w:t>
      </w:r>
      <w:r>
        <w:t xml:space="preserve"> Abstract Background The COVID-19 pandemic showed that we were not prepared for unexpected and uncertain events. Foresight provides a process that explores the future to anticipate such events and be better prepared. However, in public health, foresight is underdeveloped and underused. It is necessary that policy makers and stakeholders realize the potential and benefits of including foresight into the policy cycle and advocate towards its implementation. Methods Foresight provides a systematic, participatory, and vision-building process that explores the future to anticipate trends and support present-day actions. It provides a participatory platform to discuss such trends and explore different scenarios to get insights into possible challenges and how to address them. Results Foresight studies can allow policy makers to discuss trends, build scenarios, and anticipate future challenges while also exploring desirable futures. We propose several recommendations to professionals and policy makers to include foresight into the policy cycle to promote sustainable and resilient health systems. Conclusions Foresight does not predict the future, it rather explores it through plausible scenarios that consider uncertainty. It provides an overview into possible future challenges to allow present-day policies that anticipate and address these challenges. Implementing foresight into the pol</w:t>
      </w:r>
    </w:p>
    <w:p>
      <w:pPr>
        <w:pStyle w:val="Heading2"/>
      </w:pPr>
      <w:r>
        <w:t>743.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r>
        <w:rPr>
          <w:b/>
        </w:rPr>
        <w:t>POSSIBLE 2022:</w:t>
      </w:r>
      <w:r>
        <w:t xml:space="preserve"> 7.L. Workshop: New roles and innovative skill-mix in nursing across Europe: trends and lessons for implementation — https://doi.org/10.1093/eurpub/ckac129.446</w:t>
      </w:r>
    </w:p>
    <w:p>
      <w:pPr/>
      <w:r>
        <w:rPr>
          <w:b/>
        </w:rPr>
        <w:t>Shared claim-specific concepts:</w:t>
      </w:r>
      <w:r>
        <w:t xml:space="preserve"> implementation, first, presented; EU scope visible. This is a provisional connection, not an outcome finding.</w:t>
      </w:r>
    </w:p>
    <w:p>
      <w:pPr>
        <w:pStyle w:val="SourceNote"/>
      </w:pPr>
      <w:r>
        <w:rPr>
          <w:b/>
        </w:rPr>
        <w:t>Available abstract (not full text):</w:t>
      </w:r>
      <w:r>
        <w:t xml:space="preserve"> Abstract Many countries in Europe are changing the roles and skill-mix of their nursing workforce. A sufficient and well-skilled nursing workforce has shown to be key for population health, most recently demonstrated during the Covid-19 pandemic. An increasing number of countries have introduced Master-level education for nurses to work in advanced practice nursing (APN) roles. These changes in the educational systems have implications on patients, clinical practice, teams and health systems. Moreover, many countries are re-orienting their health services from hospital to primary health care and prevention, driving new roles for nurses. The relevance of high-quality education and upskilling has been exemplified during the Covid-19 pandemic, where nurses had to quickly adapt to new treatment and caregiving situations in challenging work environments. Objectives of the workshop. This workshop will provide an overview of research and policy developments in Europe, drawing on recent research. First, an overview of innovative skill-mix changes in nursing will be presented and evidence on health outcomes, based on a study from the European Observatory on Health Systems and Policies. Second, research from Germany in five innovator hospitals will be presented, a country which is still at an early stage with integrating nurses in advanced roles. The panel discussion will address innovat</w:t>
      </w:r>
    </w:p>
    <w:p>
      <w:pPr/>
      <w:r>
        <w:rPr>
          <w:b/>
        </w:rPr>
        <w:t>POSSIBLE 2022:</w:t>
      </w:r>
      <w:r>
        <w:t xml:space="preserve"> Advancing Weather and Climate Forecasting for Our Changing World — https://doi.org/10.1175/bams-d-21-0262.1</w:t>
      </w:r>
    </w:p>
    <w:p>
      <w:pPr/>
      <w:r>
        <w:rPr>
          <w:b/>
        </w:rPr>
        <w:t>Shared claim-specific concepts:</w:t>
      </w:r>
      <w:r>
        <w:t xml:space="preserve"> weather, information; EU scope not established. This is a provisional connection, not an outcome finding.</w:t>
      </w:r>
    </w:p>
    <w:p>
      <w:pPr>
        <w:pStyle w:val="SourceNote"/>
      </w:pPr>
      <w:r>
        <w:rPr>
          <w:b/>
        </w:rPr>
        <w:t>Available abstract (not full text):</w:t>
      </w:r>
      <w:r>
        <w:t xml:space="preserve"> Abstract Our world is rapidly changing. Societies are facing an increase in the frequency and intensity of high-impact and extreme weather and climate events. These extremes together with exponential population growth and demographic shifts (e.g., urbanization, increase in coastal populations) are increasing the detrimental societal and economic impact of hazardous weather and climate events. Urbanization and our changing global economy have also increased the need for accurate projections of climate change and improved predictions of disruptive and potentially beneficial weather events on kilometer scales. Technological innovations are also leading to an evolving and growing role of the private sector in the weather and climate enterprise. This article discusses the challenges faced in accelerating advances in weather and climate forecasting and proposes a vision for key actions needed across the private, public, and academic sectors. Actions span (i) utilizing the new observational and computing ecosystems; (ii) strategies to advance Earth system models; (iii) ways to benefit from the growing role of artificial intelligence; (iv) practices to improve the communication of forecast information and decision support in our age of internet and social media; and (v) addressing the need to reduce the relatively large, detrimental impacts of weather and climate on all nations and esp</w:t>
      </w:r>
    </w:p>
    <w:p>
      <w:pPr/>
      <w:r>
        <w:rPr>
          <w:b/>
        </w:rPr>
        <w:t>POSSIBLE 2022:</w:t>
      </w:r>
      <w:r>
        <w:t xml:space="preserve"> Assessment of stochastic weather forecast of precipitation near European cities, based on analogs of circulation — https://doi.org/10.5194/gmd-15-4941-2022</w:t>
      </w:r>
    </w:p>
    <w:p>
      <w:pPr/>
      <w:r>
        <w:rPr>
          <w:b/>
        </w:rPr>
        <w:t>Shared claim-specific concepts:</w:t>
      </w:r>
      <w:r>
        <w:t xml:space="preserve"> weather, good; EU scope visible. This is a provisional connection, not an outcome finding.</w:t>
      </w:r>
    </w:p>
    <w:p>
      <w:pPr>
        <w:pStyle w:val="SourceNote"/>
      </w:pPr>
      <w:r>
        <w:rPr>
          <w:b/>
        </w:rPr>
        <w:t>Available abstract (not full text):</w:t>
      </w:r>
      <w:r>
        <w:t xml:space="preserve"> Abstract. In this study, we aim to assess the skill of a stochastic weather generator (SWG) to forecast precipitation in several cities of Western Europe. The SWG is based on random sampling of analogs of the geopotential height at 500 hPa. The SWG is evaluated for two reanalyses (NCEP and ERA5). We simulate 100-member ensemble forecasts on a daily time increment. We evaluate the performance of SWG with forecast skill scores and we compare it to ECMWF forecasts. Results show significant positive skill scores (continuous rank probability skill score and correlation) for lead times of 5 and 10 days for different areas in Europe. We found that the low predictability of our model is related to specific weather regimes, depending on the European region. Comparing SWG forecasts to ECMWF forecasts, we found that the SWG shows a good performance for 5 days. This performance varies from one region to another. This paper is a proof of concept for a stochastic regional ensemble precipitation forecast. Its parameters (e.g. region for analogs) must be tuned for each region in order to optimize its performance.</w:t>
      </w:r>
    </w:p>
    <w:p>
      <w:pPr/>
      <w:r>
        <w:rPr>
          <w:b/>
        </w:rPr>
        <w:t>POSSIBLE 2021:</w:t>
      </w:r>
      <w:r>
        <w:t xml:space="preserve"> First Draft of Crypto-Asset Regulation (MiCA) with the European Union and Potential Implementation — https://doi.org/10.4467/22996834flr.21.011.13979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This article focuses on the very first working draft of new crypto-asset regulation within the European Union. The primary aim of this article is to evaluate the newly defined institutes in the draft and confirm or disprove the hypothesis that this new system of crypto-assets may be implemented to the actual regulation of capital markets as well as payment system, in effect within the European Union. As mentioned above, hypothesis will count on an ideal adoption of the MiCA regulation into the existing legal framework of both, capital markets as well as payments regulation in the European Union, not interfering with existing laws or regulations. Within the first part of this article, synthesis will be used as well as compilation for the description of crypto-asset categories and of the issuers of crypto-assets or crypto-asset service providers. Subsequently, analysis will be applied for the specification of missing elements for the purpose of finding the right connection and implementation into the existing regulation of capital markets and payments industry.</w:t>
      </w:r>
    </w:p>
    <w:p>
      <w:pPr/>
      <w:r>
        <w:rPr>
          <w:b/>
        </w:rPr>
        <w:t>POSSIBLE 2021:</w:t>
      </w:r>
      <w:r>
        <w:t xml:space="preserve"> Implementation of the New European Bauhaus Principles as a Context for Teaching Sustainable Architecture — https://doi.org/10.3390/su131910715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Due to the presentation of the European Green Deal (EGD) on 11 December 2019, it is important to introduce a new context for the education of architects corresponding to the objectives set by the European Union. These include reducing greenhouse gas emissions, increasing the energy efficiency of buildings, designing buildings in accordance with the principles of the circular economy, using renewable energy, as well as promoting ecological food and protecting biodiversity. As part of the design course Environmentally Friendly Housing Architecture, inspired by, among others, the design of the New European Bauhaus and the former Bauhaus art school, both of which are compared in the first part of this article, we identify a number of new, assessed design indicators related to the achievement of the above objectives, in line with the trend of sustainable architecture. The indicators are divided into four main categories: energy, environment, indoor climate, and society, where, for example, the environmental category includes the following criteria: embodied energy (MJ/m2), embodied carbon footprint (CO2eq/m2), use of rainwater and gray water (% of demand), use of mains water (% of demand), local production of vegetables and fruit (% of demand). During the design process, changes were made to achieve better indicators, and the final designs were described using radar charts. The pape</w:t>
      </w:r>
    </w:p>
    <w:p>
      <w:pPr/>
      <w:r>
        <w:rPr>
          <w:b/>
        </w:rPr>
        <w:t>POSSIBLE 2021:</w:t>
      </w:r>
      <w:r>
        <w:t xml:space="preserve"> Implementation of circular economy on the basis of European experience — https://doi.org/10.23939/smeu2021.02.280</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Accelerated population growth, depletion of natural resources, excessive pollution of the environment, which threatens the existence of mankind, was a prerequisite for the emergence of the concept of circular economy and the principles of sustainable development, ie doing business without harm to the environment. The model of circular (circular) economy is aimed at energy saving, regenerative environmentally friendly consumption and production. The article presents the results of the study of the concept of circular economy and the benefits of its implementation based on the experience of the European Union - a global leader in this field. The main goals, priorities and measures of the EU in the implementation of the circular economy are revealed. The basic principles of the circular economy are highlighted, examples of successful use of its business models are given. The two most acute global problems that can be solved only by a closed-loop economy are identified, and forecasts of the results of its global use are given. Closed-loop economics is a concept of resource management that is rapidly gaining global popularity and is recognized in the scientific literature as one of the key drivers for achieving objectives of the Paris Agreement. 30 years have passed since the first mention of the "circularity" of the economy, however only after its official introduction in the EU it</w:t>
      </w:r>
    </w:p>
    <w:p>
      <w:pPr/>
      <w:r>
        <w:rPr>
          <w:b/>
        </w:rPr>
        <w:t>POSSIBLE 2021:</w:t>
      </w:r>
      <w:r>
        <w:t xml:space="preserve"> RURAL ECONOMY: DIRECTIONS OF NEW THEORIZATION AND IMPLEMENTATION OF BEST EUROPEAN FINANCIAL REGULATION PRACTICES — https://doi.org/10.18371/fcaptp.v5i40.245198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A Ukrainian intellectual-expert community is at the initial stage of forming a methodological basis of the rural economy ontogenesis that is determined, first of all, by the ongoing decentralization reform, a new role of the rural economy from the national perspective of a new (both coronavirus and post-COVID) economic reality in ensuring food sovereignty, economic recovery of the economy, in general, and rural territorial communities, in particular, with regard to new challenges associated with the ageing of the rural community, de-population, predominance of the rural employment in the rural area and financivization of relationships within the rural economic agents, ultimately creating a new normality of the operation and development of the rural economy. Taking into account that Ukraine has strategically outlined its aspiration for integrating into the European Community having successfully passed a forming phase of group dynamics (according to Bruce Tuckman), has moved to a conflict phase having enlarged its orthodox understanding to the absence of proper parity in the development of socioeconomic, financial-institutional processes inside the rural economy, having created the threats to its transition to comprehensive digitalization and «greening» of finances applied for it. In the European Union, this problematics has been studied and an analysis of searches of d</w:t>
      </w:r>
    </w:p>
    <w:p>
      <w:pPr>
        <w:pStyle w:val="Heading2"/>
      </w:pPr>
      <w:r>
        <w:t>744.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horizon, all, groups, different;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Hybrid AI-enhanced lightning flash prediction in the medium-range forecast horizon — https://doi.org/10.1038/s41467-024-44697-2</w:t>
      </w:r>
    </w:p>
    <w:p>
      <w:pPr/>
      <w:r>
        <w:rPr>
          <w:b/>
        </w:rPr>
        <w:t>Shared claim-specific concepts:</w:t>
      </w:r>
      <w:r>
        <w:t xml:space="preserve"> forecasts, horizon, obtained; EU scope visible. This is a provisional connection, not an outcome finding.</w:t>
      </w:r>
    </w:p>
    <w:p>
      <w:pPr>
        <w:pStyle w:val="SourceNote"/>
      </w:pPr>
      <w:r>
        <w:rPr>
          <w:b/>
        </w:rPr>
        <w:t>Available abstract (not full text):</w:t>
      </w:r>
      <w:r>
        <w:t xml:space="preserve"> Traditional fully-deterministic algorithms, which rely on physical equations and mathematical models, are the backbone of many scientific disciplines for decades. These algorithms are based on well-established principles and laws of physics, enabling a systematic and predictable approach to problem-solving. On the other hand, AI-based strategies emerge as a powerful tool for handling vast amounts of data and extracting patterns and relationships that might be challenging to identify through traditional algorithms. Here, we bridge these two realms by using AI to find an optimal mapping of meteorological features predicted two days ahead by the state-of-the-art numerical weather prediction model by the European Centre for Medium-range Weather Forecasts (ECMWF) into lightning flash occurrence. The prediction capability of the resulting AI-enhanced algorithm turns out to be significantly higher than that of the fully-deterministic algorithm employed in the ECMWF model. A remarkable Recall peak of about 95% within the 0-24 h forecast interval is obtained. This performance surpasses the 85% achieved by the ECMWF model at the same Precision of the AI algorithm.</w:t>
      </w:r>
    </w:p>
    <w:p>
      <w:pPr/>
      <w:r>
        <w:rPr>
          <w:b/>
        </w:rPr>
        <w:t>POSSIBLE 2023:</w:t>
      </w:r>
      <w:r>
        <w:t xml:space="preserve"> Transformers for Multi-Horizon Forecasting in an Industry 4.0 Use Case — https://doi.org/10.3390/s23073516</w:t>
      </w:r>
    </w:p>
    <w:p>
      <w:pPr/>
      <w:r>
        <w:rPr>
          <w:b/>
        </w:rPr>
        <w:t>Shared claim-specific concepts:</w:t>
      </w:r>
      <w:r>
        <w:t xml:space="preserve"> horizon, obtained, showed; EU scope not established. This is a provisional connection, not an outcome finding.</w:t>
      </w:r>
    </w:p>
    <w:p>
      <w:pPr>
        <w:pStyle w:val="SourceNote"/>
      </w:pPr>
      <w:r>
        <w:rPr>
          <w:b/>
        </w:rPr>
        <w:t>Available abstract (not full text):</w:t>
      </w:r>
      <w:r>
        <w:t xml:space="preserve"> Recently, a novel approach in the field of Industry 4.0 factory operations was proposed for a new generation of automated guided vehicles (AGVs) that are connected to a virtualized programmable logic controller (PLC) via a 5G multi-access edge-computing (MEC) platform to enable remote control. However, this approach faces a critical challenge as the 5G network may encounter communication disruptions that can lead to AGV deviations and, with this, potential safety risks and workplace issues. To mitigate this problem, several works have proposed the use of fixed-horizon forecasting techniques based on deep-learning models that can anticipate AGV trajectory deviations and take corrective maneuvers accordingly. However, these methods have limited prediction flexibility for the AGV operator and are not robust against network instability. To address this limitation, this study proposes a novel approach based on multi-horizon forecasting techniques to predict the deviation of remotely controlled AGVs. As its primary contribution, the work presents two new versions of the state-of-the-art transformer architecture that are well-suited to the multi-horizon prediction problem. We conduct a comprehensive comparison between the proposed models and traditional deep-learning models, such as the long short-term memory (LSTM) neural network, to evaluate the performance and capabilities of the p</w:t>
      </w:r>
    </w:p>
    <w:p>
      <w:pPr/>
      <w:r>
        <w:rPr>
          <w:b/>
        </w:rPr>
        <w:t>POSSIBLE 2021:</w:t>
      </w:r>
      <w:r>
        <w:t xml:space="preserve"> Machine learning for regional crop yield forecasting in Europe — https://doi.org/10.1016/j.fcr.2021.108377</w:t>
      </w:r>
    </w:p>
    <w:p>
      <w:pPr/>
      <w:r>
        <w:rPr>
          <w:b/>
        </w:rPr>
        <w:t>Shared claim-specific concepts:</w:t>
      </w:r>
      <w:r>
        <w:t xml:space="preserve"> forecasts, trend, ones; EU scope visible. This is a provisional connection, not an outcome finding.</w:t>
      </w:r>
    </w:p>
    <w:p>
      <w:pPr>
        <w:pStyle w:val="SourceNote"/>
      </w:pPr>
      <w:r>
        <w:rPr>
          <w:b/>
        </w:rPr>
        <w:t>Available abstract (not full text):</w:t>
      </w:r>
      <w:r>
        <w:t xml:space="preserve"> Crop yield forecasting at national level relies on predictors aggregated from smaller spatial units to larger ones according to harvested crop areas. Such crop areas come from land cover maps or reported statistics, both of which can have errors and uncertainties. Sub-national or regional crop yield forecasting minimizes the propagation of these errors to some extent. In addition, regional forecasts provide added value and insights to stakeholders on regional differences within a country, which would otherwise compensate each other at national level. We propose a crop yield forecasting approach for multiple spatial levels based on regional crop yield forecasts from machine learning. Machine learning, with its data-driven approach, can leverage larger data sizes and capture nonlinear relationships between predictors and yield at regional level. We designed a generic machine learning workflow to demonstrate the benefits of regional crop yield forecasting in Europe. To evaluate the quality and usefulness of regional forecasts, we predicted crop yields for 35 case studies, including nine countries that are major producers of six crops (soft wheat, spring barley, sunflower, grain maize, sugar beets and potatoes). Machine learning models at regional level had lower normalized root mean squared errors (NRMSE) and uncertainty than a linear trend model, with Wilcoxon p-values of 3e-7 an</w:t>
      </w:r>
    </w:p>
    <w:p>
      <w:pPr/>
      <w:r>
        <w:rPr>
          <w:b/>
        </w:rPr>
        <w:t>POSSIBLE 2020:</w:t>
      </w:r>
      <w:r>
        <w:t xml:space="preserve"> A Review of Electricity Demand Forecasting in Low and Middle Income Countries: The Demand Determinants and Horizons — https://doi.org/10.3390/su12155931</w:t>
      </w:r>
    </w:p>
    <w:p>
      <w:pPr/>
      <w:r>
        <w:rPr>
          <w:b/>
        </w:rPr>
        <w:t>Shared claim-specific concepts:</w:t>
      </w:r>
      <w:r>
        <w:t xml:space="preserve"> forecasts, increasing, different; EU scope not established. This is a provisional connection, not an outcome finding.</w:t>
      </w:r>
    </w:p>
    <w:p>
      <w:pPr>
        <w:pStyle w:val="SourceNote"/>
      </w:pPr>
      <w:r>
        <w:rPr>
          <w:b/>
        </w:rPr>
        <w:t>Available abstract (not full text):</w:t>
      </w:r>
      <w:r>
        <w:t xml:space="preserve"> With the globally increasing electricity demand, its related uncertainties are on the rise as well. Therefore, a deeper insight of load forecasting techniques for projecting future electricity demands becomes imperative for business entities and policy makers. The electricity demand is governed by a set of different variables or “electricity demand determinants”. These demand determinants depend on forecasting horizons (long term, medium term, and short term), the load aggregation level, climate, and socio-economic activities. In this paper, a review of different electricity demand forecasting methodologies is provided in the context of a group of low and middle income countries. The article presents a comprehensive literature review by tabulating the different demand determinants used in different countries and forecasting the trends and techniques used in these countries. A comparative review of these forecasting methodologies over different time horizons reveals that the time series modeling approach has been extensively used while forecasting for long and medium terms. For short term forecasts, artificial intelligence-based techniques remain prevalent in the literature. Furthermore, a comparative analysis of the demand determinants in these countries indicates a frequent use of determinants like the population, GDP, weather, and load data over different time horizons. Follo</w:t>
      </w:r>
    </w:p>
    <w:p>
      <w:pPr>
        <w:pStyle w:val="Heading2"/>
      </w:pPr>
      <w:r>
        <w:t>745.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r>
        <w:rPr>
          <w:b/>
        </w:rPr>
        <w:t>POSSIBLE 2024:</w:t>
      </w:r>
      <w:r>
        <w:t xml:space="preserve"> The Letta report: a set of proposals for revitalising the European economy — https://doi.org/10.53479/38193</w:t>
      </w:r>
    </w:p>
    <w:p>
      <w:pPr/>
      <w:r>
        <w:rPr>
          <w:b/>
        </w:rPr>
        <w:t>Shared claim-specific concepts:</w:t>
      </w:r>
      <w:r>
        <w:t xml:space="preserve"> however, legislative, proposals, number, set, union; EU scope visible. This is a provisional connection, not an outcome finding.</w:t>
      </w:r>
    </w:p>
    <w:p>
      <w:pPr>
        <w:pStyle w:val="SourceNote"/>
      </w:pPr>
      <w:r>
        <w:rPr>
          <w:b/>
        </w:rPr>
        <w:t>Available abstract (not full text):</w:t>
      </w:r>
      <w:r>
        <w:t xml:space="preserve"> Europe is facing a number of major challenges in the near future, including managing the climate transition, the effects of technological transformations and geopolitical changes. European and national authorities are aware that the tools currently in place are insufficient to address these challenges and that a determined reform drive is therefore needed. At the start of a new European institutional cycle, the set of proposals in the Letta report, aimed at completing the Single Market and adapting it to the new circumstances, constitute a major contribution to the European economic policy debate. The most important initiatives include the revitalisation of the capital markets union, the creation of a pan-European State aid scheme based on national contributions, the promulgation of a European code of commercial law as an alternative to the harmonisation of the 27 existing national systems, the incorporation into the Single Market of sectors that have so far been largely outside it (such as energy and telecommunications) or, in the legislative field, the prioritisation of the use of regulations, which are directly applicable in the Member States, over directives, which require transposition into the legal systems of each country. The report’s diagnosis is largely shared by the various national authorities, who also welcomed the main thrust of the proposals. However, it is not d</w:t>
      </w:r>
    </w:p>
    <w:p>
      <w:pPr/>
      <w:r>
        <w:rPr>
          <w:b/>
        </w:rPr>
        <w:t>POSSIBLE 2024:</w:t>
      </w:r>
      <w:r>
        <w:t xml:space="preserve"> Legislative measures to combat domestic violence: A comparison of European and Asian countries — https://doi.org/10.32518/sals4.2024.157</w:t>
      </w:r>
    </w:p>
    <w:p>
      <w:pPr/>
      <w:r>
        <w:rPr>
          <w:b/>
        </w:rPr>
        <w:t>Shared claim-specific concepts:</w:t>
      </w:r>
      <w:r>
        <w:t xml:space="preserve"> legislative, number, reduction; EU scope visible. This is a provisional connection, not an outcome finding.</w:t>
      </w:r>
    </w:p>
    <w:p>
      <w:pPr>
        <w:pStyle w:val="SourceNote"/>
      </w:pPr>
      <w:r>
        <w:rPr>
          <w:b/>
        </w:rPr>
        <w:t>Available abstract (not full text):</w:t>
      </w:r>
      <w:r>
        <w:t xml:space="preserve"> The purpose of this study was to determine the effectiveness of legislative initiatives to combat domestic violence in different cultural contexts. The study covered 10 countries: five European (Germany, France, the United Kingdom, Sweden, Spain) and five Asian (Japan, India, Turkey, Kazakhstan, Mongolia). The study included an analysis of the legislation of the respective countries, and an assessment of the effectiveness of innovative legal approaches. The study revealed substantial regional differences in the effectiveness of legislative measures. European countries have demonstrated a higher level of implementation of comprehensive protection mechanisms. The most effective were electronic monitoring of offenders in Sweden, which led to a significant reduction in the number of violations of restraining orders; the Telephone Grave Danger urgent response system in France, which provided rapid protection for high-risk victims; and specialised courts in Spain, which expedited the processing of domestic violence cases. In Asia, the greatest progress was seen in the implementation of rehabilitation programmes for perpetrators in Mongolia, which reduced recidivism rates, and the expansion of the legal definition of domestic violence in India to include economic and psychological violence. An analysis of expert assessments revealed that cultural barriers stay a considerable challenge</w:t>
      </w:r>
    </w:p>
    <w:p>
      <w:pPr/>
      <w:r>
        <w:rPr>
          <w:b/>
        </w:rPr>
        <w:t>POSSIBLE 2024:</w:t>
      </w:r>
      <w:r>
        <w:t xml:space="preserve"> Cultured meat in the European Union: Legislative context and food safety issues — https://doi.org/10.1016/j.crfs.2024.100722</w:t>
      </w:r>
    </w:p>
    <w:p>
      <w:pPr/>
      <w:r>
        <w:rPr>
          <w:b/>
        </w:rPr>
        <w:t>Shared claim-specific concepts:</w:t>
      </w:r>
      <w:r>
        <w:t xml:space="preserve"> however, legislative, goal, set, union; EU scope visible. This is a provisional connection, not an outcome finding.</w:t>
      </w:r>
    </w:p>
    <w:p>
      <w:pPr>
        <w:pStyle w:val="SourceNote"/>
      </w:pPr>
      <w:r>
        <w:rPr>
          <w:b/>
        </w:rPr>
        <w:t>Available abstract (not full text):</w:t>
      </w:r>
      <w:r>
        <w:t xml:space="preserve"> The current food system, which is responsible for about one third of all global gas emissions, is considered one of the main causes of resource depletion. For this reason, scientific research is investigating new alternatives capable of feeding an ever-growing population that is set to reach 9-11 billion by 2050. Among these, cell-based meat, also called cultured meat, is one possible solution. It is part of a larger branch of science called cellular agriculture, whose goal is to produce food from individual cells rather than whole organisms, tracing their molecular profile. To date, however, cultured meat aroused conflicting opinions. For this reason, the aim of this review was to take an in-depth look at the current European legislative framework, which reflects a 'precautionary approach' based on the assumption that these innovative foods require careful risk assessment to safeguard consumer health. In this context, the assessment of possible risks made it possible not only to identify the main critical points during each stage of the production chain (proliferation, differentiation, scaffolding, maturation and marketing), but also to identify solutions in accordance with the recommendations of the European Food Safety Authority (EFSA). Further, the main challenges related to organoleptic and nutritional properties have been reviewed.. Finally, possible future markets were s</w:t>
      </w:r>
    </w:p>
    <w:p>
      <w:pPr/>
      <w:r>
        <w:rPr>
          <w:b/>
        </w:rPr>
        <w:t>POSSIBLE 2023:</w:t>
      </w:r>
      <w:r>
        <w:t xml:space="preserve"> Workability via Platform: A Legislative Proposal and a Collective Movement for Socio-Labor Civil Integration — https://doi.org/10.24857/rgsa.v18n2-023</w:t>
      </w:r>
    </w:p>
    <w:p>
      <w:pPr/>
      <w:r>
        <w:rPr>
          <w:b/>
        </w:rPr>
        <w:t>Shared claim-specific concepts:</w:t>
      </w:r>
      <w:r>
        <w:t xml:space="preserve"> legislative, objective, union; EU scope not established. This is a provisional connection, not an outcome finding.</w:t>
      </w:r>
    </w:p>
    <w:p>
      <w:pPr>
        <w:pStyle w:val="SourceNote"/>
      </w:pPr>
      <w:r>
        <w:rPr>
          <w:b/>
        </w:rPr>
        <w:t>Available abstract (not full text):</w:t>
      </w:r>
      <w:r>
        <w:t xml:space="preserve"> Introduction: The legal integration of work via technological platforms (applications) in the Brazilian legal system. Contextualization/concept: Under the terms of articles 7 and 114 of the Constitution of the Federative Republic of Brazil of 1988, it is work and work relations that gain grammaticality and literality in the constitutional text, which inaugurate the concept of workability, when the tone of employment (industrial sector) would be giving way to work (services sector). Objective: The historical and normative broth induces a perspective of reflexivity in the midst of resisted change, which will impose on workers via the platform (as mostly urban workers) and labor institutions renewed forms of collective union political, legislative and organizational action, whether at a national or international level, to overcome obstacles that impede the effectiveness of constitutional labor standards. Methodology: The methodology follows comprehensive (Weberian) and extensive interpretative and constitutional historical analysis connected to excerpts from current reality, centered on the theoretical-normative method. Theoretical framework: For Weber (2000), legal norms have the function of disciplining and ordering actions and social relations, constituting maxims and, therefore, creating the conditions of administration and obedience of society's participants to the law. Concl</w:t>
      </w:r>
    </w:p>
    <w:p>
      <w:pPr/>
      <w:r>
        <w:rPr>
          <w:b/>
        </w:rPr>
        <w:t>POSSIBLE 2022:</w:t>
      </w:r>
      <w:r>
        <w:t xml:space="preserve"> Metrics, Explainability and the European AI Act Proposal — https://doi.org/10.3390/j5010010</w:t>
      </w:r>
    </w:p>
    <w:p>
      <w:pPr/>
      <w:r>
        <w:rPr>
          <w:b/>
        </w:rPr>
        <w:t>Shared claim-specific concepts:</w:t>
      </w:r>
      <w:r>
        <w:t xml:space="preserve"> expected, goal, set; EU scope visible. This is a provisional connection, not an outcome finding.</w:t>
      </w:r>
    </w:p>
    <w:p>
      <w:pPr>
        <w:pStyle w:val="SourceNote"/>
      </w:pPr>
      <w:r>
        <w:rPr>
          <w:b/>
        </w:rPr>
        <w:t>Available abstract (not full text):</w:t>
      </w:r>
      <w:r>
        <w:t xml:space="preserve"> On 21 April 2021, the European Commission proposed the first legal framework on Artificial Intelligence (AI) to address the risks posed by this emerging method of computation. The Commission proposed a Regulation known as the AI Act. The proposed AI Act considers not only machine learning, but expert systems and statistical models long in place. Under the proposed AI Act, new obligations are set to ensure transparency, lawfulness, and fairness. Their goal is to establish mechanisms to ensure quality at launch and throughout the whole life cycle of AI-based systems, thus ensuring legal certainty that encourages innovation and investments on AI systems while preserving fundamental rights and values. A standardisation process is ongoing: several entities (e.g., ISO) and scholars are discussing how to design systems that are compliant with the forthcoming Act, and explainability metrics play a significant role. Specifically, the AI Act sets some new minimum requirements of explicability (transparency and explainability) for a list of AI systems labelled as “high-risk” listed in Annex III. These requirements include a plethora of technical explanations capable of covering the right amount of information, in a meaningful way. This paper aims to investigate how such technical explanations can be deemed to meet the minimum requirements set by the law and expected by society. To answer </w:t>
      </w:r>
    </w:p>
    <w:p>
      <w:pPr/>
      <w:r>
        <w:rPr>
          <w:b/>
        </w:rPr>
        <w:t>POSSIBLE 2021:</w:t>
      </w:r>
      <w:r>
        <w:t xml:space="preserve"> Evaluating the Tax Veto in a Digital Age: Legislative Efficiency and National Sovereignty in the European Union — https://openalex.org/W3175327905</w:t>
      </w:r>
    </w:p>
    <w:p>
      <w:pPr/>
      <w:r>
        <w:rPr>
          <w:b/>
        </w:rPr>
        <w:t>Shared claim-specific concepts:</w:t>
      </w:r>
      <w:r>
        <w:t xml:space="preserve"> however, legislative, proposals, council, union; EU scope visible. This is a provisional connection, not an outcome finding.</w:t>
      </w:r>
    </w:p>
    <w:p>
      <w:pPr>
        <w:pStyle w:val="SourceNote"/>
      </w:pPr>
      <w:r>
        <w:rPr>
          <w:b/>
        </w:rPr>
        <w:t>Available abstract (not full text):</w:t>
      </w:r>
      <w:r>
        <w:t xml:space="preserve"> The total market capitalization of the six largest US-headquartered tech companies now tops $4.5 trillion; yet, much of the revenues from these largest tech companies legally escapes taxation every year. Recognizing the challenges of taxing the digital economy, the international community joined forces to reform the outdated global tax framework. In 2018, however, the United States (US) hesitated to commit to reform and international negotiations stalled. The European Commission (Commission) subsequently proposed an interim Digital Service Tax for the European Union (EU), in part, to incentivize stronger US involvement in negotiations. Because the European Council requires unanimity when voting on tax proposals, however, the proposal failed when three Member States exercised their tax veto. Defeated by veto, EU leaders could have pursued Enhanced Cooperation to revive the legislation. Instead, the Commission proposed permanent elimination of tax unanimity through the obscure and never-used Passerelle Clauses that allow legislators to utilize majority voting without amending any treaties. In doing so, the Commission signaled its desire for the European Union to emerge as a global tax leader, unencumbered by the need to obtain unanimity. However, the Commission’s proposal also raises serious EU state sovereignty concerns. This Note explores the costs and benefits of abandoning th</w:t>
      </w:r>
    </w:p>
    <w:p>
      <w:pPr>
        <w:pStyle w:val="Heading2"/>
      </w:pPr>
      <w:r>
        <w:t>746.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pStyle w:val="Heading2"/>
      </w:pPr>
      <w:r>
        <w:t>747.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2025:</w:t>
      </w:r>
      <w:r>
        <w:t xml:space="preserve"> Shariah-Integrated Early Warning Framework for Financial Distress in Indonesian Islamic Banks — https://doi.org/10.37641/jiakes.v13i4.3868</w:t>
      </w:r>
    </w:p>
    <w:p>
      <w:pPr/>
      <w:r>
        <w:rPr>
          <w:b/>
        </w:rPr>
        <w:t>Shared claim-specific concepts:</w:t>
      </w:r>
      <w:r>
        <w:t xml:space="preserve"> early, warning, system, proposed, factors; EU scope not established. This is a provisional connection, not an outcome finding.</w:t>
      </w:r>
    </w:p>
    <w:p>
      <w:pPr>
        <w:pStyle w:val="SourceNote"/>
      </w:pPr>
      <w:r>
        <w:rPr>
          <w:b/>
        </w:rPr>
        <w:t>Available abstract (not full text):</w:t>
      </w:r>
      <w:r>
        <w:t xml:space="preserve"> Indonesia’s Islamic banking sector has grown rapidly, driven by Shariah-compliant operations, but faces vulnerabilities from complex governance and regulatory demands. Ensuring financial stability requires effective predictive tools tailored to these unique operational and regulatory conditions. This study aims to develop a structural Early Warning System (EWS) to predict financial distress in Islamic banks, integrating macroeconomic indicators, bank-specific performance variables, and a Shariah Compliance Index, with Islamic corporate governance and risk management as mediators. Data from 14 Islamic commercial banks over 2015–2024 were analyzed using Partial Least Squares Structural Equation Modeling (PLS-SEM) via SmartPLS 4. The results show that internal bank factors and Shariah compliance significantly strengthen governance and risk management, which in turn reduces financial distress, while macroeconomic variables have no direct effect. The findings highlight the central role of internal governance and compliance in resilience. The proposed framework provides a unified, Shariah-aligned predictive system, enabling regulators, Shariah Supervisory Boards, and bank executives to implement evidence-based strategies. This study also lays the groundwork for a Shariah-based Financial Distress Index, enhancing the sector’s ability to manage operational and regulatory complexities e</w:t>
      </w:r>
    </w:p>
    <w:p>
      <w:pPr/>
      <w:r>
        <w:rPr>
          <w:b/>
        </w:rPr>
        <w:t>POSSIBLE 2025:</w:t>
      </w:r>
      <w:r>
        <w:t xml:space="preserve"> Early warning of regime switching in a complex financial system from a spillover network dynamic perspective — https://doi.org/10.1016/j.isci.2025.111924</w:t>
      </w:r>
    </w:p>
    <w:p>
      <w:pPr/>
      <w:r>
        <w:rPr>
          <w:b/>
        </w:rPr>
        <w:t>Shared claim-specific concepts:</w:t>
      </w:r>
      <w:r>
        <w:t xml:space="preserve"> early, warning, system, stock, selected; EU scope not established. This is a provisional connection, not an outcome finding.</w:t>
      </w:r>
    </w:p>
    <w:p>
      <w:pPr>
        <w:pStyle w:val="SourceNote"/>
      </w:pPr>
      <w:r>
        <w:rPr>
          <w:b/>
        </w:rPr>
        <w:t>Available abstract (not full text):</w:t>
      </w:r>
      <w:r>
        <w:t xml:space="preserve"> Early warning of regime switching in a complex financial system is a critical and challenging issue in risk management. Previous research has examined regime switching through analyzing the fluctuation features in a single point in time series; however, it has rarely examined the dynamic spillovers across multivariable time series. This paper develops an early warning model of regime switching that incorporates a spillover network model and a machine learning model. Typical energy prices and stock market indices are selected as the sample data. The key spillover networks can be detected according to the distribution of the network indicators. The early warning signals can be captured by six typical machine learning models, and the random forest model has better performance. The robustness of the model is also discussed. Our study enriches regime switching research and provides important early warning signals for policymakers and market investors.</w:t>
      </w:r>
    </w:p>
    <w:p>
      <w:pPr/>
      <w:r>
        <w:rPr>
          <w:b/>
        </w:rPr>
        <w:t>POSSIBLE 2023:</w:t>
      </w:r>
      <w:r>
        <w:t xml:space="preserve"> Real-Time High-Resolution Prediction of Orographic Rainfall for Early Warning of Landslides — https://doi.org/10.1007/978-3-031-16898-7_17</w:t>
      </w:r>
    </w:p>
    <w:p>
      <w:pPr/>
      <w:r>
        <w:rPr>
          <w:b/>
        </w:rPr>
        <w:t>Shared claim-specific concepts:</w:t>
      </w:r>
      <w:r>
        <w:t xml:space="preserve"> early, warning; EU scope not established. This is a provisional connection, not an outcome finding.</w:t>
      </w:r>
    </w:p>
    <w:p>
      <w:pPr>
        <w:pStyle w:val="SourceNote"/>
      </w:pPr>
      <w:r>
        <w:rPr>
          <w:b/>
        </w:rPr>
        <w:t>Available abstract (not full text):</w:t>
      </w:r>
      <w:r>
        <w:t xml:space="preserve"> Abstract Heavy rainfall often causes devastating landslides. Early warning based on reliable rainfall prediction can help reduce human and economic damages. This paper describes a recent development of reliable high-resolution prediction of orographic (topographic) rainfall using our next-generation numerical weather prediction model, the Multi-Scale Simulator for the Geoenvironment (MSSG). High-resolution computing is required for reliable rainfall prediction, and the MSSG can run with very high resolutions. Robust cloud microphysics is another key to realizing reliable predictions of orographic clouds, where the atmospheric boundary turbulence can affect. This paper clarifies that in-cloud turbulence can enhance cloud development. The recent cloud microphysics model that can consider turbulence enhancement is newly implemented in the MSSG. The emerging machine-learning technology is also coupled with the MSSG for reliable operational predictions. We show the recent development towards reliable predictions of orographic rainfall for realizing early warning of landslides.</w:t>
      </w:r>
    </w:p>
    <w:p>
      <w:pPr/>
      <w:r>
        <w:rPr>
          <w:b/>
        </w:rPr>
        <w:t>POSSIBLE 2023:</w:t>
      </w:r>
      <w:r>
        <w:t xml:space="preserve"> Volatility Spillovers and Contagion During Major Crises: An Early Warning Approach Based on a Deep Learning Model — https://doi.org/10.1007/s10614-023-10412-4</w:t>
      </w:r>
    </w:p>
    <w:p>
      <w:pPr/>
      <w:r>
        <w:rPr>
          <w:b/>
        </w:rPr>
        <w:t>Shared claim-specific concepts:</w:t>
      </w:r>
      <w:r>
        <w:t xml:space="preserve"> early, warning, system, asian, stock; EU scope not established. This is a provisional connection, not an outcome finding.</w:t>
      </w:r>
    </w:p>
    <w:p>
      <w:pPr>
        <w:pStyle w:val="SourceNote"/>
      </w:pPr>
      <w:r>
        <w:rPr>
          <w:b/>
        </w:rPr>
        <w:t>Available abstract (not full text):</w:t>
      </w:r>
      <w:r>
        <w:t xml:space="preserve"> Abstract This paper contributes to the ongoing debate on the nature and characteristics of the volatility transmission channels of major crash events in international stock markets between 03 July 1997 and 09 March 2021. Using dynamic conditional correlations (DCC) for conditional correlations and volatility clustering, GARCH-BEKK for the direction of transmission of disturbances, and the Diebold-Yilmaz spillover index for the level of volatility contagion, the paper finds that the climbs in external shock transmissions have long-lasting impacts in domestic markets due to the contagion effect during crisis periods. The findings also reveal that the heavier magnitude of financial stress is transmitted between Asian countries via the Hong Kong stock market. Additionally, the degree of volatility spillovers between advanced and emerging equity markets is smaller compared to the pure spillovers between advanced markets or emerging markets, offering a window of opportunity for international market participants in terms of portfolio diversification and risk management applications. Furthermore, the study introduces a novel early warning system created by integrating DCC correlations with a state-of-the-art deep learning model to predict the global financial crisis and COVID-19 crisis. The experimental analysis of long short-term memory network finds evidence of contagion risk by veri</w:t>
      </w:r>
    </w:p>
    <w:p>
      <w:pPr/>
      <w:r>
        <w:rPr>
          <w:b/>
        </w:rPr>
        <w:t>POSSIBLE 2022:</w:t>
      </w:r>
      <w:r>
        <w:t xml:space="preserve"> Early Warning System for the European Insurance Sector — https://doi.org/10.31577/ekoncas.2022.01.01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study proposes an Early Warning System model composed of macrofinancial and company-specific indicators that could help to anticipate a potential market distress in the European insurance sector.A distress is defined as periods in which insurance companies' equity prices crash and CDS spreads spike simultaneously.The model is estimated using a sample of 36 insurance companies that are listed.Based on a fixed-effects panel binomial logit specification, empirical evidence shows that economic overheating that could be manifested by high economic growth, inflation and interest rates have negative impact on insurance sector stability.At the company level, a drop in return on assets and price-to-book value or raising operating expenses increase the likelihood of distress occurrence.</w:t>
      </w:r>
    </w:p>
    <w:p>
      <w:pPr/>
      <w:r>
        <w:rPr>
          <w:b/>
        </w:rPr>
        <w:t>POSSIBLE 2022:</w:t>
      </w:r>
      <w:r>
        <w:t xml:space="preserve"> Early Warning Systems for Small Business: Insights from Across Europe — https://doi.org/10.1142/s0218495822500157</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In this paper we propose that a crisis can be avoided by taking countermeasures, which are informed by an Early Warning System. An Early Warning System can help lessen the impact of crisis episodes and provide a systematic approach to the response of small business owners to challenges in their business environment. Following a review of the literature, we undertook data collection in two stages. In stage one, focus groups were conducted with small business owners in four European countries. In stage two we worked with an expert panel to refine and develop a set of indicators for an Early Warning System. It is envisaged that the set of indicators will serve as the basis for further thought and empiricism. We argue that a delay in crisis recognition curtails the scope and time for corrective action.</w:t>
      </w:r>
    </w:p>
    <w:p>
      <w:pPr/>
      <w:r>
        <w:rPr>
          <w:b/>
        </w:rPr>
        <w:t>POSSIBLE 2022:</w:t>
      </w:r>
      <w:r>
        <w:t xml:space="preserve"> New psychoactive substances: 25 years of early warning and response in Europe. An update from the EU Early Warning System — https://doi.org/10.1016/j.toxac.2022.06.022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pStyle w:val="Heading2"/>
      </w:pPr>
      <w:r>
        <w:t>748.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r>
        <w:rPr>
          <w:b/>
        </w:rPr>
        <w:t>POSSIBLE 2025:</w:t>
      </w:r>
      <w:r>
        <w:t xml:space="preserve"> A Practical Example of How to Apply Constructivist Grounded Theory Methodology: Exploring Patient Experiences During Paramedic Led Healthcare — https://doi.org/10.1002/nur.22468</w:t>
      </w:r>
    </w:p>
    <w:p>
      <w:pPr/>
      <w:r>
        <w:rPr>
          <w:b/>
        </w:rPr>
        <w:t>Shared claim-specific concepts:</w:t>
      </w:r>
      <w:r>
        <w:t xml:space="preserve"> practical, application, methodology, individual, knowledge; EU scope not established. This is a provisional connection, not an outcome finding.</w:t>
      </w:r>
    </w:p>
    <w:p>
      <w:pPr>
        <w:pStyle w:val="SourceNote"/>
      </w:pPr>
      <w:r>
        <w:rPr>
          <w:b/>
        </w:rPr>
        <w:t>Available abstract (not full text):</w:t>
      </w:r>
      <w:r>
        <w:t xml:space="preserve"> Application of qualitative enquiry is necessary to improve the understanding of patient experience during paramedic-led healthcare. Grounded Theory (GT) is acknowledged as a rigorous qualitative methodology useful for exploring social processes present during healthcare, particularly when little existing knowledge or theory exists. Despite wide use of GT in other health disciplines there are few studies that have used this methodology to guide research in paramedicine. This may be due to GT methods appearing complex and disorientating for both novice and experienced researchers. This methodological article provides a practical example of how Kathy Charmaz's "constructivist" approach to grounded theory (GTc) was applied during research that explored how patients experience paramedic-led healthcare during non-conveyance situations. It explains the fundamental tenets required of GTc research and describes how they were employed during the example research. The article aims to demystify the GTc process and improve the rigour of qualitative GTc research in paramedicine and health disciplines. How to apply Constructivist Grounded Theory methodology is described by providing a practical example of research into patient experience. This article informs researchers how to maintain trustworthiness and credibility when applying GTc methodology. This article describes research that explore</w:t>
      </w:r>
    </w:p>
    <w:p>
      <w:pPr/>
      <w:r>
        <w:rPr>
          <w:b/>
        </w:rPr>
        <w:t>POSSIBLE 2025:</w:t>
      </w:r>
      <w:r>
        <w:t xml:space="preserve"> Case Studies and Practical Examples — https://doi.org/10.1201/9781003587545-7</w:t>
      </w:r>
    </w:p>
    <w:p>
      <w:pPr/>
      <w:r>
        <w:rPr>
          <w:b/>
        </w:rPr>
        <w:t>Shared claim-specific concepts:</w:t>
      </w:r>
      <w:r>
        <w:t xml:space="preserve"> examples, practical, application, technologies, field; EU scope not established. This is a provisional connection, not an outcome finding.</w:t>
      </w:r>
    </w:p>
    <w:p>
      <w:pPr>
        <w:pStyle w:val="SourceNote"/>
      </w:pPr>
      <w:r>
        <w:rPr>
          <w:b/>
        </w:rPr>
        <w:t>Available abstract (not full text):</w:t>
      </w:r>
      <w:r>
        <w:t xml:space="preserve"> This chapter explores the practical applications of Brain-Computer Interface (BCI) technologies through detailed case studies that illustrate the challenges and innovations within this dynamic field. Each case study provides a comprehensive analysis of specific BCI projects, from their conception and methodological frameworks to the practical challenges they address and the solutions they employ. These real-world examples span various applications, including assistive technologies for individuals with disabilities, cognitive monitoring, and interaction enhancements through EEG signal processing and classification. The case studies highlight the use of advanced signal processing techniques, machine learning models, and adaptive algorithms that improve the accuracy, usability, and personalization of BCI systems. By examining these specific instances of BCI application, the chapter sheds light on the broader implications of BCI technologies, their potential for future development, and their impact on both clinical and everyday settings. This exploration not only demonstrates the current capabilities of BCIs but also paves the way for future innovations, underlining the importance of interdisciplinary collaboration and ethical considerations in advancing BCI technologies.</w:t>
      </w:r>
    </w:p>
    <w:p>
      <w:pPr/>
      <w:r>
        <w:rPr>
          <w:b/>
        </w:rPr>
        <w:t>POSSIBLE 2024:</w:t>
      </w:r>
      <w:r>
        <w:t xml:space="preserve"> Design rules applied to silver nanoparticles synthesis: A practical example of machine learning application. — https://doi.org/10.1016/j.csbj.2024.02.010</w:t>
      </w:r>
    </w:p>
    <w:p>
      <w:pPr/>
      <w:r>
        <w:rPr>
          <w:b/>
        </w:rPr>
        <w:t>Shared claim-specific concepts:</w:t>
      </w:r>
      <w:r>
        <w:t xml:space="preserve"> practical, application, field; EU scope not established. This is a provisional connection, not an outcome finding.</w:t>
      </w:r>
    </w:p>
    <w:p>
      <w:pPr>
        <w:pStyle w:val="SourceNote"/>
      </w:pPr>
      <w:r>
        <w:rPr>
          <w:b/>
        </w:rPr>
        <w:t>Available abstract (not full text):</w:t>
      </w:r>
      <w:r>
        <w:t xml:space="preserve"> The synthesis of silver nanoparticles with controlled physicochemical properties is essential for governing their intended functionalities and safety profiles. However, synthesis process involves multiple parameters that could influence the resulting properties. This challenge could be addressed with the development of predictive models that forecast endpoints based on key synthesis parameters. In this study, we manually extracted synthesis-related data from the literature and leveraged various machine learning algorithms. Data extraction included parameters such as reactant concentrations, experimental conditions, as well as physicochemical properties. The antibacterial efficiencies and toxicological profiles of the synthesized nanoparticles were also extracted. In a second step, based on data completeness, we employed regression algorithms to establish relationships between synthesis parameters and desired endpoints and to build predictive models. The models for core size and antibacterial efficiency were trained and validated using a cross-validation approach. Finally, the features' impact was evaluated via Shapley values to provide insights into the contribution of features to the predictions. Factors such as synthesis duration, scale of synthesis and the choice of capping agents emerged as the most significant predictors. This study demonstrated the potential of machine le</w:t>
      </w:r>
    </w:p>
    <w:p>
      <w:pPr/>
      <w:r>
        <w:rPr>
          <w:b/>
        </w:rPr>
        <w:t>POSSIBLE 2023:</w:t>
      </w:r>
      <w:r>
        <w:t xml:space="preserve"> What Is Machine Learning, Artificial Neural Networks and Deep Learning?—Examples of Practical Applications in Medicine — https://doi.org/10.3390/diagnostics13152582</w:t>
      </w:r>
    </w:p>
    <w:p>
      <w:pPr/>
      <w:r>
        <w:rPr>
          <w:b/>
        </w:rPr>
        <w:t>Shared claim-specific concepts:</w:t>
      </w:r>
      <w:r>
        <w:t xml:space="preserve"> examples, practical, application, given; EU scope not established. This is a provisional connection, not an outcome finding.</w:t>
      </w:r>
    </w:p>
    <w:p>
      <w:pPr>
        <w:pStyle w:val="SourceNote"/>
      </w:pPr>
      <w:r>
        <w:rPr>
          <w:b/>
        </w:rPr>
        <w:t>Available abstract (not full text):</w:t>
      </w:r>
      <w:r>
        <w:t xml:space="preserve"> Machine learning (ML), artificial neural networks (ANNs), and deep learning (DL) are all topics that fall under the heading of artificial intelligence (AI) and have gained popularity in recent years. ML involves the application of algorithms to automate decision-making processes using models that have not been manually programmed but have been trained on data. ANNs that are a part of ML aim to simulate the structure and function of the human brain. DL, on the other hand, uses multiple layers of interconnected neurons. This enables the processing and analysis of large and complex databases. In medicine, these techniques are being introduced to improve the speed and efficiency of disease diagnosis and treatment. Each of the AI techniques presented in the paper is supported with an example of a possible medical application. Given the rapid development of technology, the use of AI in medicine shows promising results in the context of patient care. It is particularly important to keep a close eye on this issue and conduct further research in order to fully explore the potential of ML, ANNs, and DL, and bring further applications into clinical use in the future.</w:t>
      </w:r>
    </w:p>
    <w:p>
      <w:pPr>
        <w:pStyle w:val="Heading2"/>
      </w:pPr>
      <w:r>
        <w:t>749.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2023:</w:t>
      </w:r>
      <w:r>
        <w:t xml:space="preserve"> HANZE database of historical flood impacts in Europe, 1870-2020 — https://doi.org/10.5281/zenodo.8221453</w:t>
      </w:r>
    </w:p>
    <w:p>
      <w:pPr/>
      <w:r>
        <w:rPr>
          <w:b/>
        </w:rPr>
        <w:t>Shared claim-specific concepts:</w:t>
      </w:r>
      <w:r>
        <w:t xml:space="preserve"> historical, data, database, gross; EU scope visible. This is a provisional connection, not an outcome finding.</w:t>
      </w:r>
    </w:p>
    <w:p>
      <w:pPr>
        <w:pStyle w:val="SourceNote"/>
      </w:pPr>
      <w:r>
        <w:rPr>
          <w:b/>
        </w:rPr>
        <w:t>Available abstract (not full text):</w:t>
      </w:r>
      <w:r>
        <w:t xml:space="preserve"> The HANZE dataset covers riverine, pluvial, coastal and compound floods that have occurred in 42 European countries between 1870 and 2020. The data was collected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the database can be viewed, filtered and visualized online: https://naturalhazards.eu. The dataset is designed to be complimentary to HANZE-Exposure, a high-resolution model of historical exposure changes (such as population and asset value), and be easily usable in statistical and spatial analyses. The dataset contains the following file</w:t>
      </w:r>
    </w:p>
    <w:p>
      <w:pPr/>
      <w:r>
        <w:rPr>
          <w:b/>
        </w:rPr>
        <w:t>POSSIBLE 2023:</w:t>
      </w:r>
      <w:r>
        <w:t xml:space="preserve"> Predicting the Past: Imputation of Historical Data — https://doi.org/10.31234/osf.io/9gpwf</w:t>
      </w:r>
    </w:p>
    <w:p>
      <w:pPr/>
      <w:r>
        <w:rPr>
          <w:b/>
        </w:rPr>
        <w:t>Shared claim-specific concepts:</w:t>
      </w:r>
      <w:r>
        <w:t xml:space="preserve"> historical, data, database; EU scope not established. This is a provisional connection, not an outcome finding.</w:t>
      </w:r>
    </w:p>
    <w:p>
      <w:pPr>
        <w:pStyle w:val="SourceNote"/>
      </w:pPr>
      <w:r>
        <w:rPr>
          <w:b/>
        </w:rPr>
        <w:t>Available abstract (not full text):</w:t>
      </w:r>
      <w:r>
        <w:t xml:space="preserve"> Research using historical data is becoming more common across the social sciences. However, approaches using historical data suffer from a more acute missing data problem than approaches using contemporary data. Complete datasets are required to use many common statistical and machine learning techniques, the majority of which cannot handle missing data. One approach to handling missing data is to impute the missing values. Using the Database of Religious History (DRH), a large historical database, comprised of both quantitative and qualitative data, this research compares the accuracy and bias of 10 imputation methods. k-nearest neighbors (k-NN), missForest, Generalized low rank models (GLRM), Factorial analysis for mixed data (FAMD), DataWig, and five methods implemented in the R package mice (multiple imputation by chained equations). On average, a missForest approach had higher imputation accuracy and among the lowest bias compared to the other methods. The accuracy and bias of different methods implemented in mice were highly variable, highlighting the importance of researchers stating the precise method used for imputation, rather than general phrases such as ‘data were imputed using mice’.</w:t>
      </w:r>
    </w:p>
    <w:p>
      <w:pPr/>
      <w:r>
        <w:rPr>
          <w:b/>
        </w:rPr>
        <w:t>POSSIBLE 2023:</w:t>
      </w:r>
      <w:r>
        <w:t xml:space="preserve"> Normalized power priors always discount historical data — https://doi.org/10.1002/sta4.591</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Power priors are used for incorporating historical data in Bayesian analyses by taking the likelihood of the historical data raised to the power as the prior distribution for the model parameters. The power parameter is typically unknown and assigned a prior distribution, most commonly a beta distribution. Here, we give a novel theoretical result on the resulting marginal posterior distribution of in case of the normal and binomial model. Counterintuitively, when the current data perfectly mirror the historical data and the sample sizes from both data sets become arbitrarily large, the marginal posterior of does not converge to a point mass at but approaches a distribution that hardly differs from the prior. The result implies that a complete pooling of historical and current data is impossible if a power prior with beta prior for is used.</w:t>
      </w:r>
    </w:p>
    <w:p>
      <w:pPr/>
      <w:r>
        <w:rPr>
          <w:b/>
        </w:rPr>
        <w:t>POSSIBLE 2023:</w:t>
      </w:r>
      <w:r>
        <w:t xml:space="preserve"> Historical Population Database of Transylvania. — https://doi.org/10.2307/jj.6445824.16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The Historical Population Database of Transylvania (HPDT) is a research tool for population studies developed since 2014 at the Centre for Population Studies in Cluj-Napoca, financed by an SEE-Norway Grant. HPDT employs a source-oriented approach for recording data from the parish registers kept by the Transylvanian churches, focusing primarily on the main vital events such as births, marriages, and deaths. The data entry process was followed by the standardization of various information, such as names, occupations, locations and causes of death, thus allowing the initiation of a linkage process. The database has already been employed in a wide-ranging series of analyses conducted on datasets extracted from HPDT, which include infant and adult mortality, nuptiality and age at first marriage, social mobility, and the medicalization of childbirth. The wealth of information it includes will enable many more scientific investigations.</w:t>
      </w:r>
    </w:p>
    <w:p>
      <w:pPr/>
      <w:r>
        <w:rPr>
          <w:b/>
        </w:rPr>
        <w:t>POSSIBLE 2023:</w:t>
      </w:r>
      <w:r>
        <w:t xml:space="preserve"> Techno-economic analysis of underground hydrogen storage in Europe — https://doi.org/10.1016/j.isci.2023.108771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r>
        <w:rPr>
          <w:b/>
        </w:rPr>
        <w:t>POSSIBLE 2022:</w:t>
      </w:r>
      <w:r>
        <w:t xml:space="preserve"> Historical reconstruction of soil erosion in Europe — https://doi.org/10.2905/jrc.c2803r8</w:t>
      </w:r>
    </w:p>
    <w:p>
      <w:pPr/>
      <w:r>
        <w:rPr>
          <w:b/>
        </w:rPr>
        <w:t>Shared claim-specific concepts:</w:t>
      </w:r>
      <w:r>
        <w:t xml:space="preserve"> starting, historical, data; EU scope visible. This is a provisional connection, not an outcome finding.</w:t>
      </w:r>
    </w:p>
    <w:p>
      <w:pPr>
        <w:pStyle w:val="SourceNote"/>
      </w:pPr>
      <w:r>
        <w:rPr>
          <w:b/>
        </w:rPr>
        <w:t>Available abstract (not full text):</w:t>
      </w:r>
      <w:r>
        <w:t xml:space="preserve"> This dataset includes the past reconstruction of soil erosion rates in Europe (incuding UK, Switzerland and Western balkans). The data provided have are aggregated per decade starting from 1860. The soil erosion change is driven by changes in land use and rainfall erosivity. The simulations have been done using the CE-DYNAM model. We also make available the annual histrorical soil loss by water erosion rates (per year for the period 1860 - 2018). Advanced users may also download the monthly files (12 bands per file). The annual and monthly soil erosion reconstruction data (1860-2018) can be useful inputs for Earth System Models.</w:t>
      </w:r>
    </w:p>
    <w:p>
      <w:pPr/>
      <w:r>
        <w:rPr>
          <w:b/>
        </w:rPr>
        <w:t>POSSIBLE 2022:</w:t>
      </w:r>
      <w:r>
        <w:t xml:space="preserve"> Historical Spruce Abundance in Central Europe: A Combined Dendrochronological and Palynological Approach — https://doi.org/10.3389/fevo.2022.909453</w:t>
      </w:r>
    </w:p>
    <w:p>
      <w:pPr/>
      <w:r>
        <w:rPr>
          <w:b/>
        </w:rPr>
        <w:t>Shared claim-specific concepts:</w:t>
      </w:r>
      <w:r>
        <w:t xml:space="preserve"> starting, historical, data, consumption, varies; EU scope visible. This is a provisional connection, not an outcome finding.</w:t>
      </w:r>
    </w:p>
    <w:p>
      <w:pPr>
        <w:pStyle w:val="SourceNote"/>
      </w:pPr>
      <w:r>
        <w:rPr>
          <w:b/>
        </w:rPr>
        <w:t>Available abstract (not full text):</w:t>
      </w:r>
      <w:r>
        <w:t xml:space="preserve"> Spruce is the most cultivated tree species in modern forestry in Central Europe, since it has the ability to grow on many soil types with profitable biomass accumulation. However, even-aged and uniform spruce forests are affected by recurring droughts and associated biotic stressors leading to large-scale diebacks across Central Europe causing controversies among foresters and nature conservationists. We investigate the role of spruce in historical woodlands by using 15666 spruce timbers from historical buildings and on the basis of pollen-based land cover estimates using the REVEALS model from 157 pollen sites in southern Central Europe. Start and end dates of the spruce timber samples and their dendrological characteristics (age, growth rates and stem diameters) were used to obtain information on past forest structures. Tree rings and REVEALS estimates are combined at a spatial scale of 1° × 1° resolution, grouped in four sub-regions, and a temporal resolution of 100-year time windows starting from 1150 to 1850 CE. We found that spruce dominates the species assemblage of construction timber with almost 41% and that the harvest age varies little through time, whereas a declining trend in growth rates and stem diameters are observed toward times before modern forestry. Temporal and regional differences in spruce abundance and building activity were found highlighting periods of</w:t>
      </w:r>
    </w:p>
    <w:p>
      <w:pPr/>
      <w:r>
        <w:rPr>
          <w:b/>
        </w:rPr>
        <w:t>POSSIBLE 2022:</w:t>
      </w:r>
      <w:r>
        <w:t xml:space="preserve"> Historical Population Database of Transylvania. Sources, Particularities, Challenges, and Early Findings — https://doi.org/10.51964/hlcs12038</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The Historical Population Database of Transylvania (HPDT) is a research tool for population studies developed since 2014 at the Centre for Population Studies in Cluj-Napoca, financed by an SEE-Norway Grant. HPDT employs a source-oriented approach for recording data from the parish registers kept by the Transylvanian churches, focusing primarily on the main vital events such as births, marriages, and deaths. The data entry process was followed by the standardization of various information, such as names, occupations, locations and causes of death, thus allowing the initiation of a linkage process. The database has already been employed in a wide-ranging series of analyses conducted on datasets extracted from HPDT, which include infant and adult mortality, nuptiality and age at first marriage, social mobility, and the medicalization of childbirth. The wealth of information it includes will enable many more scientific investigations.</w:t>
      </w:r>
    </w:p>
    <w:p>
      <w:pPr>
        <w:pStyle w:val="Heading2"/>
      </w:pPr>
      <w:r>
        <w:t>750.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r>
        <w:rPr>
          <w:b/>
        </w:rPr>
        <w:t>POSSIBLE 2024:</w:t>
      </w:r>
      <w:r>
        <w:t xml:space="preserve"> CHARGED PARTICLES IN ATMOSPHERIC AIR: SIGNIFICANCE, PROPERTIES, AND IMPLICATIONS — https://openalex.org/W7219286878</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The study of charged particles, or ions, in atmospheric air is of paramount importance in contemporary atmospheric science. These charged particles play a crucial role in various atmospheric processes, influencing cloud formation, precipitation patterns, and even the propagation of lightning. Understanding their properties and interactions is essential for gaining insights into weather phenomena, climate change dynamics, and strategies for mitigating environmental impacts. Charged particles also have significant implications for human activities, technological systems, and public health, making it imperative to examine their effects comprehensively. Moreover, exploring the realm of charged particles in atmospheric air offers opportunities for scientific advancements, providing valuable insights into the Earth's electrical environment and its relationship with solar and cosmic radiation. This manuscript delves into the complexities of charged particles in atmospheric air, highlighting their significance in advancing atmospheric science, weather prediction, climate change mitigation, technological innovations, and public health preservation.</w:t>
      </w:r>
    </w:p>
    <w:p>
      <w:pPr/>
      <w:r>
        <w:rPr>
          <w:b/>
        </w:rPr>
        <w:t>POSSIBLE 2023:</w:t>
      </w:r>
      <w:r>
        <w:t xml:space="preserve"> The effects of climate change on mental health — https://doi.org/10.3238/arztebl.m2022.0403</w:t>
      </w:r>
    </w:p>
    <w:p>
      <w:pPr/>
      <w:r>
        <w:rPr>
          <w:b/>
        </w:rPr>
        <w:t>Shared claim-specific concepts:</w:t>
      </w:r>
      <w:r>
        <w:t xml:space="preserve"> climate, estimate, increase, not; EU scope not established. This is a provisional connection, not an outcome finding.</w:t>
      </w:r>
    </w:p>
    <w:p>
      <w:pPr>
        <w:pStyle w:val="SourceNote"/>
      </w:pPr>
      <w:r>
        <w:rPr>
          <w:b/>
        </w:rPr>
        <w:t>Available abstract (not full text):</w:t>
      </w:r>
      <w:r>
        <w:t xml:space="preserve"> BACKGROUND: All over the world, climate change is exerting negative and complex effects on human living conditions and health. In this narrative review, we summarize the current global evidence regarding the effects of climate change on mental health. METHODS: A systematic literature search concerning the direct effects of acute extreme weather events (floods, storms, fires) and chronic stresses (heat, drought) due to climate change, as well as the indirect effects of climate change (food insecurity, migration), on the diagnoses of mental disorders, psychological distress, and psychiatric emergency admissions was carried out in PubMed and PsychInfo, and supplemented by expert selection. 1017 studies were identified, and 128 were included. RESULTS: The heterogeneity of study methods does not permit any overall estimate of effect strength. The available evidence shows that traumatic experiences due to extreme weather events increase the risk of affective and anxiety disorders, especially the risk of post-traumatic stress disorder. Heat significantly increases the morbidity and mortality attributable to mental illness, as well as the frequency of psychiatric emergencies. Persistent stressors such as drought, food insecurity, and migration owing to climate change can also be major risk factors for mental illness. CONCLUSION: The consequences of climate change are stress factors for</w:t>
      </w:r>
    </w:p>
    <w:p>
      <w:pPr/>
      <w:r>
        <w:rPr>
          <w:b/>
        </w:rPr>
        <w:t>POSSIBLE 2023:</w:t>
      </w:r>
      <w:r>
        <w:t xml:space="preserve"> Effects of Climate Change and Drought Tolerance on Maize Growth — https://doi.org/10.3390/plants12203548</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Climate change is affecting all regions of the world with different climates, and the scale of damage is increasing due to the occurrence of various natural disasters. In particular, maize production is highly affected by abnormal climate events such as heat waves and droughts. Increasing temperatures can accelerate growth and shorten the growing season, potentially reducing productivity. Additionally, enhanced temperatures during the ripening period can accelerate the process, reducing crop yields. In addition, drought stress due to water deficit can greatly affect seedling formation, early plant growth, photosynthesis, reproductive growth, and yield, so proper water management is critical to maize growth. Maize, in particular, is tall and broad-leaved, so extreme drought stress at planting can cause leaves to curl and stunt growth. It is important to understand that severe drought can have a detrimental effect on the growth and reproduction of maize. In addition, high temperatures caused by drought stress can inhibit the induction of flowering in male flowers and cause factors that interfere with pollen development. It is therefore important to increase the productivity of all food crops, including maize, while maintaining them in the face of persistent drought caused by climate change. This requires a strategy to develop genetically modified crops and drought-tolerant maize </w:t>
      </w:r>
    </w:p>
    <w:p>
      <w:pPr/>
      <w:r>
        <w:rPr>
          <w:b/>
        </w:rPr>
        <w:t>POSSIBLE 2023:</w:t>
      </w:r>
      <w:r>
        <w:t xml:space="preserve"> The effects of climate change on the ecology of fishes — https://doi.org/10.1371/journal.pclm.0000258</w:t>
      </w:r>
    </w:p>
    <w:p>
      <w:pPr/>
      <w:r>
        <w:rPr>
          <w:b/>
        </w:rPr>
        <w:t>Shared claim-specific concepts:</w:t>
      </w:r>
      <w:r>
        <w:t xml:space="preserve"> climate, not; EU scope not established. This is a provisional connection, not an outcome finding.</w:t>
      </w:r>
    </w:p>
    <w:p>
      <w:pPr>
        <w:pStyle w:val="SourceNote"/>
      </w:pPr>
      <w:r>
        <w:rPr>
          <w:b/>
        </w:rPr>
        <w:t>Available abstract (not full text):</w:t>
      </w:r>
      <w:r>
        <w:t xml:space="preserve"> Ocean warming and acidification are set to reshuffle life on Earth and alter ecological processes that underpin the biodiversity, health, productivity, and resilience of ecosystems. Fishes contribute significantly to marine, estuarine, and freshwater species diversity and the functioning of marine ecosystems, and are not immune to climate change impacts. Whilst considerable effort has been placed on studying the effects of climate change on fishes, much emphasis has been placed on their (eco)physiology and at the organismal level. Fishes are affected by climate change through impacts at various levels of biological organisation and through a large variety of traits, making it difficult to make generalisations regarding fish responses to climate change. Here, we briefly review the current state of knowledge of climate change effects on fishes across a wide range of subfields of fish ecology and evaluate these effects at various scales of biological organisation (from genes to ecosystems). We argue that a more holistic synthesis of the various interconnected subfields of fish ecology and integration of responses at different levels of biological organisation are needed for a better understanding of how fishes and their populations and communities might respond or adapt to the multi-stressor effects of climate change. We postulate that studies using natural analogues of climate ch</w:t>
      </w:r>
    </w:p>
    <w:p>
      <w:pPr/>
      <w:r>
        <w:rPr>
          <w:b/>
        </w:rPr>
        <w:t>POSSIBLE 2023:</w:t>
      </w:r>
      <w:r>
        <w:t xml:space="preserve"> Climate change, airborne allergens, and three translational mitigation approaches — https://doi.org/10.1016/j.ebiom.2023.104478</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One of the important adverse impacts of climate change on human health is increases in allergic respiratory diseases such as allergic rhinitis and asthma. This impact is via the effects of increases in atmospheric carbon dioxide concentration and air temperature on sources of airborne allergens such as pollen and fungal spores. This review describes these effects and then explores three translational mitigation approaches that may lead to improved health outcomes, with recent examples and developments highlighted. Impacts have already been observed on the seasonality, production and atmospheric concentration, allergenicity, and geographic distribution of airborne allergens, and these are projected to continue into the future. A technological revolution is underway that has the potential to advance patient management by better avoiding associated increased exposures, including automated real-time airborne allergen monitoring, airborne allergen forecasting and modelling, and smartphone apps for mitigating the health impacts of airborne allergens.</w:t>
      </w:r>
    </w:p>
    <w:p>
      <w:pPr>
        <w:pStyle w:val="Heading2"/>
      </w:pPr>
      <w:r>
        <w:t>751.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additional, dependency, approach;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r>
        <w:rPr>
          <w:b/>
        </w:rPr>
        <w:t>POSSIBLE 2023:</w:t>
      </w:r>
      <w:r>
        <w:t xml:space="preserve"> Can sediments play a role in river flood risk mapping? Learning from selected European examples — https://doi.org/10.1186/s40677-023-00250-9</w:t>
      </w:r>
    </w:p>
    <w:p>
      <w:pPr/>
      <w:r>
        <w:rPr>
          <w:b/>
        </w:rPr>
        <w:t>Shared claim-specific concepts:</w:t>
      </w:r>
      <w:r>
        <w:t xml:space="preserve"> additional, show, approach, climate, perspective; EU scope visible. This is a provisional connection, not an outcome finding.</w:t>
      </w:r>
    </w:p>
    <w:p>
      <w:pPr>
        <w:pStyle w:val="SourceNote"/>
      </w:pPr>
      <w:r>
        <w:rPr>
          <w:b/>
        </w:rPr>
        <w:t>Available abstract (not full text):</w:t>
      </w:r>
      <w:r>
        <w:t xml:space="preserve"> Abstract Background Climate change and increasing anthropogenic pressure are two of the major drivers of increasing extreme events like droughts and floods. To deal with the increasing number of flooding events hitting Europe in the last few decades, around twenty years ago the European Commission started to develop ad-hoc legislation to reduce flood risk by mapping flood hazard and risk areas, such as the Directive 2007/60/EC on the Assessment and Management of Flood Risk. This Directive looks to identify regions where flood management strategies should be prioritized. Despite this holistic approach, flaws connected to the consideration of sediment transport and morphological changes in rivers exist, leading to potential underestimations of the impact of floods affecting active watercourses or areas subjected to frequent morphological changes. Results By discussing six examples related to European lowland and mountain watercourses affected by significant floods in the last 20 years, the present mini-review aims to provide additional evidence on the need for a rethinking of flood risk mapping, moving from a “clear water” perspective to a more integrated approach, where the interactions between all the fluvial components (water, sediment, biota, and humans) are adequately considered. Conclusions The examples reported here show the importance of considering sediment and wood in f</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approach, climate;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2023:</w:t>
      </w:r>
      <w:r>
        <w:t xml:space="preserve"> The role of shared mobility in reducing perceived private car dependency — https://doi.org/10.1016/j.trd.2023.104023</w:t>
      </w:r>
    </w:p>
    <w:p>
      <w:pPr/>
      <w:r>
        <w:rPr>
          <w:b/>
        </w:rPr>
        <w:t>Shared claim-specific concepts:</w:t>
      </w:r>
      <w:r>
        <w:t xml:space="preserve"> show, dependency, existing; EU scope not established. This is a provisional connection, not an outcome finding.</w:t>
      </w:r>
    </w:p>
    <w:p>
      <w:pPr>
        <w:pStyle w:val="SourceNote"/>
      </w:pPr>
      <w:r>
        <w:rPr>
          <w:b/>
        </w:rPr>
        <w:t>Available abstract (not full text):</w:t>
      </w:r>
      <w:r>
        <w:t xml:space="preserve"> Existing contributions have explored the effect of specific shared-mobility services on car ownership reduction, but there is still a lack of analysis regarding the impact of shared-mobility, understood as new mobility concept. To fill this gap, a survey gathering 15,666 responses from residents in the Region of Madrid was conducted. A Multilevel Ordered Logit explored the individual and spatial dimensions of the potential of shared mobility to reduce car ownership. The results show that frequent car users and individuals owning more cars are less likely to believe they could give them up, but the adoption of moped-sharing or carsharing moderates this effect. For those who do not own a car, shared-mobility seems to be effective reducing their perceived need to own one in the future. Finally, the potential reduction of car ownership is more evident in dense urban areas, but a considerable spatial heterogeneity is observed throughout the metropolitan area.</w:t>
      </w:r>
    </w:p>
    <w:p>
      <w:pPr/>
      <w:r>
        <w:rPr>
          <w:b/>
        </w:rPr>
        <w:t>POSSIBLE 2022:</w:t>
      </w:r>
      <w:r>
        <w:t xml:space="preserve"> Models for analysing the dependencies between indicators for bioeconomy in the European Union — https://doi.org/10.1080/1331677x.2021.1997623</w:t>
      </w:r>
    </w:p>
    <w:p>
      <w:pPr/>
      <w:r>
        <w:rPr>
          <w:b/>
        </w:rPr>
        <w:t>Shared claim-specific concepts:</w:t>
      </w:r>
      <w:r>
        <w:t xml:space="preserve"> dependency, higher; EU scope visible. This is a provisional connection, not an outcome finding.</w:t>
      </w:r>
    </w:p>
    <w:p>
      <w:pPr>
        <w:pStyle w:val="SourceNote"/>
      </w:pPr>
      <w:r>
        <w:rPr>
          <w:b/>
        </w:rPr>
        <w:t>Available abstract (not full text):</w:t>
      </w:r>
      <w:r>
        <w:t xml:space="preserve"> In the past decade, bioeconomy has become a main field of interest, especially in terms of innovation, as it was often considered a potential solution to several global sustainability issues, such as environmental challenges. Through the conversion of biomass into value-added products for a full reintegration of used renewable biological resources, this sector has played a significant role in the efforts to transfer from petroleum-based economies to bio-based economies. The present article has the objective of developing panel regression models for determining the dependency between some of the main indicators of the bioeconomy development and sustainability for the European Union in the period 2008–2013. One main interesting finding of the study emphasised that higher gas emissions from agriculture are associated positively with higher turnover in the bioeconomy, implying the fact that the development of the bioeconomy is surprisingly not necessarily associated with sustainability. The relevance of the present study lies in the novelty of the subject, as bioeconomy was mainly researched in terms of theoretical knowledge, but less in terms of statistical analysis. Thus, the article offers a comprehensive research regarding the connection of the bioeconomy quantifying indicators and other selected economic influence factors of the European Union.</w:t>
      </w:r>
    </w:p>
    <w:p>
      <w:pPr>
        <w:pStyle w:val="Heading2"/>
      </w:pPr>
      <w:r>
        <w:t>752.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2022:</w:t>
      </w:r>
      <w:r>
        <w:t xml:space="preserve"> Global economic costs and knowledge gaps of invasive gastropods — https://doi.org/10.1016/j.ecolind.2022.109614</w:t>
      </w:r>
    </w:p>
    <w:p>
      <w:pPr/>
      <w:r>
        <w:rPr>
          <w:b/>
        </w:rPr>
        <w:t>Shared claim-specific concepts:</w:t>
      </w:r>
      <w:r>
        <w:t xml:space="preserve"> knowledge, information; EU scope visible. This is a provisional connection, not an outcome finding.</w:t>
      </w:r>
    </w:p>
    <w:p>
      <w:pPr>
        <w:pStyle w:val="SourceNote"/>
      </w:pPr>
      <w:r>
        <w:rPr>
          <w:b/>
        </w:rPr>
        <w:t>Available abstract (not full text):</w:t>
      </w:r>
      <w:r>
        <w:t xml:space="preserve"> Invasive alien gastropods are a particularly pervasive taxonomic group worldwide, often causing substantial impacts on aquatic and terrestrial ecosystems. Yet, much remains unknown about this invasive group’s economic costs to human society. Here, we used the InvaCost database to evaluate the taxonomic, spatial, and temporal patterns of economic costs associated with invasive gastropods on the global scale. In total, 13 species of invasive gastropods caused a cumulative global cost of US$ 3.94 billion over the period 1966–2020, with a majority being attributed to aquatic species ($ 3.72 billion, 94.4 %, concentrated mostly in Asia) and only $ 0.22 billion (5.6 %, concentrated mostly in Europe) to terrestrial species. Among different regions, Asia (3.71 billion) reported the greatest costs, compared to far lower costs reported in Europe (214.50 million), North America (13.80 million), Oceania (2.69 million), South America (&lt;1 million) and Africa (&lt;1 million). The vast majority (94.2 %) of these costs were due to the family Ampullariidae and the genus Pomacea (apple snails) which were largely reported in Asia. Furthermore, 88.4 % of total gastropod-related costs resulted from direct resource damages and losses, being one order of magnitude higher than management related costs (9.0 %). A majority (81.5 %) of total gastropod costs was incurred by agriculture, and relatively little </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knowledge, key, information, policies, work, recent;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r>
        <w:rPr>
          <w:b/>
        </w:rPr>
        <w:t>POSSIBLE 2022:</w:t>
      </w:r>
      <w:r>
        <w:t xml:space="preserve"> Global economic costs of mammal invasions — https://doi.org/10.1016/j.scitotenv.2022.159479</w:t>
      </w:r>
    </w:p>
    <w:p>
      <w:pPr/>
      <w:r>
        <w:rPr>
          <w:b/>
        </w:rPr>
        <w:t>Shared claim-specific concepts:</w:t>
      </w:r>
      <w:r>
        <w:t xml:space="preserve"> knowledge, natural; EU scope visible. This is a provisional connection, not an outcome finding.</w:t>
      </w:r>
    </w:p>
    <w:p>
      <w:pPr>
        <w:pStyle w:val="SourceNote"/>
      </w:pPr>
      <w:r>
        <w:rPr>
          <w:b/>
        </w:rPr>
        <w:t>Available abstract (not full text):</w:t>
      </w:r>
      <w:r>
        <w:t xml:space="preserve"> Invasive alien mammals cause huge adverse ecological impact on human society and natural ecosystems. Although studies have estimated economic costs of mammal invasions at regional scales, there is lacking the large-scale comprehensive assessment of currency costs for this taxon. Here, we estimated the economic cost of invasive alien mammals on a global scale using the most comprehensive global database compiling economic costs of invasive species (InvaCost). From 1960 to 2021, mammal invasions caused costs (summing damage costs and management costs) of US$ 462.49 billion to the global economy, while the total amount of robust costs reached US$ 52.49 billion. The majority of the total economic costs corresponded to damage costs (90.27 %), while only 7.43 % were related to management cost. Economic costs showed an increasing trend over time. The distribution of costs was uneven among taxonomic groups and regions, with the global total cost highly biasing toward to 5 species (European rabbit, Domestic cat, Black rat, Wild boar and Coypu), and North America reporting much higher costs (60.78 % of total economic costs) than other regions. The total costs were borne by agriculture, environment, authorities stakeholders and other sectors. Geographic and taxonomic biases suggested that total economic costs caused by invasive alien mammals were underestimated. Integrated research effort</w:t>
      </w:r>
    </w:p>
    <w:p>
      <w:pPr/>
      <w:r>
        <w:rPr>
          <w:b/>
        </w:rPr>
        <w:t>POSSIBLE 2022:</w:t>
      </w:r>
      <w:r>
        <w:t xml:space="preserve"> Psychology of Climate Change — https://doi.org/10.1146/annurev-psych-032720-042905</w:t>
      </w:r>
    </w:p>
    <w:p>
      <w:pPr/>
      <w:r>
        <w:rPr>
          <w:b/>
        </w:rPr>
        <w:t>Shared claim-specific concepts:</w:t>
      </w:r>
      <w:r>
        <w:t xml:space="preserve"> climate, key; EU scope not established. This is a provisional connection, not an outcome finding.</w:t>
      </w:r>
    </w:p>
    <w:p>
      <w:pPr>
        <w:pStyle w:val="SourceNote"/>
      </w:pPr>
      <w:r>
        <w:rPr>
          <w:b/>
        </w:rPr>
        <w:t>Available abstract (not full text):</w:t>
      </w:r>
      <w:r>
        <w:t xml:space="preserve"> Human behavior plays a critical role in causing global climate change as well as in responding to it. In this article, I review important insights on the psychology of climate change. I first discuss factors that affect the likelihood that individuals engage in a wide range of climate actions. Next, I review the processes through which values affect climate actions and reflect on how to motivate climate actions among people who do not strongly care about nature, the environment, and climate change. Then I explain that even people who may be motivated to engage in climate actions may not do so when they face major barriers to act. This implies that to promote wide-scale climate actions, broader system changes are needed. I discuss relevant factors that affect public support for system changes that facilitate and enable climate action. Finally, I summarize key lessons learned and identify important questions for future research.</w:t>
      </w:r>
    </w:p>
    <w:p>
      <w:pPr/>
      <w:r>
        <w:rPr>
          <w:b/>
        </w:rPr>
        <w:t>POSSIBLE 2022:</w:t>
      </w:r>
      <w:r>
        <w:t xml:space="preserve"> Forest-based climate change mitigation and adaptation in Europe — https://doi.org/10.36333/fs14</w:t>
      </w:r>
    </w:p>
    <w:p>
      <w:pPr/>
      <w:r>
        <w:rPr>
          <w:b/>
        </w:rPr>
        <w:t>Shared claim-specific concepts:</w:t>
      </w:r>
      <w:r>
        <w:t xml:space="preserve"> natural, climate, adaptation, mitigation, case;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natural, climate, adaptation, mitigation,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pStyle w:val="Heading2"/>
      </w:pPr>
      <w:r>
        <w:t>753.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qualitative;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Logo as a Tool of European Union Countries’ Destination Branding — https://doi.org/10.4467/23540214zm.21.033.14576</w:t>
      </w:r>
    </w:p>
    <w:p>
      <w:pPr/>
      <w:r>
        <w:rPr>
          <w:b/>
        </w:rPr>
        <w:t>Shared claim-specific concepts:</w:t>
      </w:r>
      <w:r>
        <w:t xml:space="preserve"> tool, method; EU scope visible. This is a provisional connection, not an outcome finding.</w:t>
      </w:r>
    </w:p>
    <w:p>
      <w:pPr>
        <w:pStyle w:val="SourceNote"/>
      </w:pPr>
      <w:r>
        <w:rPr>
          <w:b/>
        </w:rPr>
        <w:t>Available abstract (not full text):</w:t>
      </w:r>
      <w:r>
        <w:t xml:space="preserve"> Developing a coherent and comprehensive brand of a country is of vital importance for a destination in the contemporary global world. There seems to be a recognizable gap in the literature regarding the application of visual signs practiced in country branding. The subject of the study: The research identifies the logos of the European Union countries used in place branding. The purpose of the study is the exploration of the logo content from the senders’ perspective, i.e., the structures and organizations responsible for the country branding. There are many reasons why logos are used in place branding practice. The authors decided to focus on the logo as a form of controlled and projected message communicated via media and ICT. Cognitive gap: The research conducted so far has focused on the reception of logos by the recipients. The presented research attempts to examine the visual message contained in logos from the senders’ perspective. Research methods and data collection techniques: The content analysis method was used to study the visual identity of the countries. The authors collected logos and scrutinised them using Beyrow and Vogt as well as Mollerup’s taxonomy. The results of the study illustrate how governmental institutions, which are responsible for country branding, portray countries using visual identity on the Internet, social media, and their own media.</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increase, present, set;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2020:</w:t>
      </w:r>
      <w:r>
        <w:t xml:space="preserve"> Professional Wargaming: A Flawed but Useful Tool — https://doi.org/10.1177/1046878120901852</w:t>
      </w:r>
    </w:p>
    <w:p>
      <w:pPr/>
      <w:r>
        <w:rPr>
          <w:b/>
        </w:rPr>
        <w:t>Shared claim-specific concepts:</w:t>
      </w:r>
      <w:r>
        <w:t xml:space="preserve"> useful, tool, planning, set, develop; EU scope not established. This is a provisional connection, not an outcome finding.</w:t>
      </w:r>
    </w:p>
    <w:p>
      <w:pPr>
        <w:pStyle w:val="SourceNote"/>
      </w:pPr>
      <w:r>
        <w:rPr>
          <w:b/>
        </w:rPr>
        <w:t>Available abstract (not full text):</w:t>
      </w:r>
      <w:r>
        <w:t xml:space="preserve"> Rationale for the Article. Professional wargames have long been an integral part of the tool set used by the military. The literature includes many examples of wargames that have been successful in terms of training, military education, procurement, operational analysis and planning for war. However, retrospective examination demonstrates that many of these professional wargames also had major errors in them and by implication current games about future confrontations are similarly flawed. Nevertheless, the academic evidence is clear that such games are still invaluable tools. Methodology. Ten years of research into the development of wargames undertaken by the History of Wargaming Project has analysed and made generally available more professional wargames than ever before. Retrospective examination of a sample of these declassified games, from the British War Office Rules (1896) to more recent games about the Ukraine, shows significant errors. Value. Demonstrating that professional games had errors in the past opens challenges the overconfidence in the predictive capacity of games. It also raises the possibility for future research to identify game design bias and to develop better games in the future. Understanding the value of better games, even with their inherent issues, raise the possibility of better preparing decision makers for the future. Notes. The words wargame and</w:t>
      </w:r>
    </w:p>
    <w:p>
      <w:pPr/>
      <w:r>
        <w:rPr>
          <w:b/>
        </w:rPr>
        <w:t>POSSIBLE 2019:</w:t>
      </w:r>
      <w:r>
        <w:t xml:space="preserve"> Market survey recently recognised as a persuasive tool to solve trademark disputes in China — https://doi.org/10.4324/9780429316395-6</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This chapter focuses on the decision concerning the trademark of the Chinese characters of the transliteration of Jordan, and especially the facts and legal issues surrounding market survey. China’s Trademark Law provides for the “prior right doctrine” as one of the grounds to refuse to grant trademark registration. In some jurisdictions, such as the United States and European Union, market surveys have been recognised as useful tools to deal with trademark disputes. Market surveys have been used to measure the major issues in trademark law: likelihood of confusion, generic terms, secondary meaning, deception, fame, and likelihood of dilution. The rights and interests stipulated under the laws shall be enjoyed by entities and protected against later trademark registration that might undermine those rights and interests. China’s Trademark Law provides that an application for trademark registration shall not infringe the prior right of another person.</w:t>
      </w:r>
    </w:p>
    <w:p>
      <w:pPr>
        <w:pStyle w:val="Heading2"/>
      </w:pPr>
      <w:r>
        <w:t>754.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r>
        <w:rPr>
          <w:b/>
        </w:rPr>
        <w:t>POSSIBLE 2022:</w:t>
      </w:r>
      <w:r>
        <w:t xml:space="preserve"> Ecosystem-based fisheries management increases catch and carbon sequestration through recovery of exploited stocks: The western Baltic Sea case study — https://doi.org/10.3389/fmars.2022.879998</w:t>
      </w:r>
    </w:p>
    <w:p>
      <w:pPr/>
      <w:r>
        <w:rPr>
          <w:b/>
        </w:rPr>
        <w:t>Shared claim-specific concepts:</w:t>
      </w:r>
      <w:r>
        <w:t xml:space="preserve"> bau, compared, increases; EU scope visible. This is a provisional connection, not an outcome finding.</w:t>
      </w:r>
    </w:p>
    <w:p>
      <w:pPr>
        <w:pStyle w:val="SourceNote"/>
      </w:pPr>
      <w:r>
        <w:rPr>
          <w:b/>
        </w:rPr>
        <w:t>Available abstract (not full text):</w:t>
      </w:r>
      <w:r>
        <w:t xml:space="preserve"> Legal requirement in Europe asks for Ecosystem-Based Fisheries Management (EBFM) in European seas, including consideration of trophic interactions and minimization of negative impacts of fishing on food webs and ecosystem functioning. This study presents the first mass-balanced ecosystem model focused on the western Baltic Sea (WBS). Results show that heavy fishing pressure exerted on the WBS has forced top predators such as harbour porpoise and cod to cover their dietary needs by shifting from forage fish to other prey or find food outside of the model area. The model was then developed to explore the dynamics of four future fishery scenarios: (1) business as usual (BAU), (2) maximum sustainable fishing (F = F MSY ), (3) half of F MSY , and (4) EBFM with F = 0.5 F MSY for forage fish and F = 0.8 F MSY for other fish. Simulations show that BAU would perpetuate low catches from depleted stocks with a high risk of extinction for harbour porpoise. In contrast, the EBFM scenario would allow the recovery of harbour porpoise, forage fish and cod with increases in catch of herring and cod. EBFM promotes ecosystem resilience to eutrophication and ocean warming, and through the rebuilding of commercial stocks increases by more than three times carbon sequestration compared to BAU. The model provides an interrelated assessment of trophic guilds in the WBS, as required by European law to </w:t>
      </w:r>
    </w:p>
    <w:p>
      <w:pPr/>
      <w:r>
        <w:rPr>
          <w:b/>
        </w:rPr>
        <w:t>POSSIBLE 2022:</w:t>
      </w:r>
      <w:r>
        <w:t xml:space="preserve"> European primary emissions of criteria pollutants and greenhouse gases in 2020 modulated by the COVID-19 pandemic disruptions — https://doi.org/10.5194/essd-14-2521-2022</w:t>
      </w:r>
    </w:p>
    <w:p>
      <w:pPr/>
      <w:r>
        <w:rPr>
          <w:b/>
        </w:rPr>
        <w:t>Shared claim-specific concepts:</w:t>
      </w:r>
      <w:r>
        <w:t xml:space="preserve"> business-as-usual, bau, average; EU scope visible. This is a provisional connection, not an outcome finding.</w:t>
      </w:r>
    </w:p>
    <w:p>
      <w:pPr>
        <w:pStyle w:val="SourceNote"/>
      </w:pPr>
      <w:r>
        <w:rPr>
          <w:b/>
        </w:rPr>
        <w:t>Available abstract (not full text):</w:t>
      </w:r>
      <w:r>
        <w:t xml:space="preserve"> Abstract. We present a European dataset of daily-, sector-, pollutant- and country-dependent emission adjustment factors associated to the COVID-19 mobility restrictions for the year 2020. The resulting dataset covers a total of nine emission sectors, including road transport, energy industry, manufacturing industry, residential and commercial combustion, aviation, shipping, off-road transport, use of solvents, and fugitive emissions from transportation and distribution of fossil fuels. The dataset was produced to be combined with the Copernicus CAMS-REG_v5.1 2020 business-as-usual (BAU) inventory, which provides high resolution (0.1 × 0.05 deg.) emission estimates for 2020 omitting the impact of the COVID-19 restrictions. The combination of both datasets allows quantifying spatially- and temporally-resolved reductions in primary emissions from both criteria pollutants (NOx, SO2, NMVOC, NH3, CO, PM10 and PM2.5) and greenhouse gases (CO2 fossil fuel, CO2 biofuel and CH4), as well as assessing the contribution of each emission sector and European country to the overall emission changes. Estimated overall emission changes in 2020 relative to BAU emissions were as follows: −10.5 % for NOx (−602 kt), −7.8 % (−260.2 Mt) for CO2 from fossil fuels, −4.7 % (−808.5 kt) for CO, −4.6 % (−80 kt) for SO2, −3.3 % (−19.1 Mt) for CO2 from biofuels, −3.0 % (−56.3 kt) for PM10, −2.5 % (−173.3 kt)</w:t>
      </w:r>
    </w:p>
    <w:p>
      <w:pPr/>
      <w:r>
        <w:rPr>
          <w:b/>
        </w:rPr>
        <w:t>POSSIBLE 2022:</w:t>
      </w:r>
      <w:r>
        <w:t xml:space="preserve"> A high-resolution dynamic probabilistic material flow analysis of seven plastic polymers; A case study of Norway — https://doi.org/10.1016/j.envint.2022.107693</w:t>
      </w:r>
    </w:p>
    <w:p>
      <w:pPr/>
      <w:r>
        <w:rPr>
          <w:b/>
        </w:rPr>
        <w:t>Shared claim-specific concepts:</w:t>
      </w:r>
      <w:r>
        <w:t xml:space="preserve"> business-as-usual, increase, seven; EU scope visible. This is a provisional connection, not an outcome finding.</w:t>
      </w:r>
    </w:p>
    <w:p>
      <w:pPr>
        <w:pStyle w:val="SourceNote"/>
      </w:pPr>
      <w:r>
        <w:rPr>
          <w:b/>
        </w:rPr>
        <w:t>Available abstract (not full text):</w:t>
      </w:r>
      <w:r>
        <w:t xml:space="preserve"> Plastic pollution has long been identified as one of the biggest challenges of the 21st century. To tackle this problem, governments are setting stringent recycling targets to keep plastics in a closed loop. Yet, knowledge of the stocks and flows of plastic has not been well integrated into policies. This study presents a dynamic probabilistic economy-wide material flow analysis (MFA) of seven plastic polymers (HDPE, LDPE, PP, PS, PVC, EPS, and PET) in Norway from 2000 to 2050. A total of 40 individual product categories aggregated into nine industrial sectors were examined. An estimated 620 ± 23 kt or 114 kg/capita of these seven plastic polymers was put on the Norwegian market in 2020. Packaging products contributed to the largest share of plastic put on the market (∼40%). The accumulated in-use stock in 2020 was about 3400 ± 56 kt with ∼60% remaining in buildings and construction sector. In 2020, about 460 ± 22 kt of plastic waste was generated in Norway, with half originating from packaging. Although ∼50% of all plastic waste is collected separately from the waste stream, only around 25% is sorted for recycling. Overall, ∼50% of plastic waste is incinerated, ∼15% exported, and ∼10% landfilled. Under a business-as-usual scenario, the plastic put on the market, in-use stock, and waste generation will increase by 65%, 140%, and 90%, respectively by 2050. The outcomes of this w</w:t>
      </w:r>
    </w:p>
    <w:p>
      <w:pPr>
        <w:pStyle w:val="Heading2"/>
      </w:pPr>
      <w:r>
        <w:t>755.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2023:</w:t>
      </w:r>
      <w:r>
        <w:t xml:space="preserve"> PAST AND PRESENT PERIOD OF PRESCHOOL EDUCATION SYSTEM — https://openalex.org/W7215196589</w:t>
      </w:r>
    </w:p>
    <w:p>
      <w:pPr/>
      <w:r>
        <w:rPr>
          <w:b/>
        </w:rPr>
        <w:t>Shared claim-specific concepts:</w:t>
      </w:r>
      <w:r>
        <w:t xml:space="preserve"> article, system, general, education, first, second; EU scope not established. This is a provisional connection, not an outcome finding.</w:t>
      </w:r>
    </w:p>
    <w:p>
      <w:pPr>
        <w:pStyle w:val="SourceNote"/>
      </w:pPr>
      <w:r>
        <w:rPr>
          <w:b/>
        </w:rPr>
        <w:t>Available abstract (not full text):</w:t>
      </w:r>
      <w:r>
        <w:t xml:space="preserve"> In this article, the third paragraph entitled "Past and Present of the Preschool Education System" provides general information about the topics discussed throughout the article. First, it illuminates the historical background of preschool education, explaining how it emerged in response to a changing social and economic landscape. Second, various approaches and theories that shaped the development of preschool education, such as Montessori, Froebel, and Reggio Emilia, are discussed.</w:t>
      </w:r>
    </w:p>
    <w:p>
      <w:pPr/>
      <w:r>
        <w:rPr>
          <w:b/>
        </w:rPr>
        <w:t>POSSIBLE 2023:</w:t>
      </w:r>
      <w:r>
        <w:t xml:space="preserve"> GENERAL PRINCIPLES OF LAW FORMED WITHIN THE INTERNATIONAL LEGAL SYSTEM — https://doi.org/10.1017/s0020589323000362</w:t>
      </w:r>
    </w:p>
    <w:p>
      <w:pPr/>
      <w:r>
        <w:rPr>
          <w:b/>
        </w:rPr>
        <w:t>Shared claim-specific concepts:</w:t>
      </w:r>
      <w:r>
        <w:t xml:space="preserve"> article, system, general, first; EU scope not established. This is a provisional connection, not an outcome finding.</w:t>
      </w:r>
    </w:p>
    <w:p>
      <w:pPr>
        <w:pStyle w:val="SourceNote"/>
      </w:pPr>
      <w:r>
        <w:rPr>
          <w:b/>
        </w:rPr>
        <w:t>Available abstract (not full text):</w:t>
      </w:r>
      <w:r>
        <w:t xml:space="preserve"> Abstract In the work of the International Law Commission (ILC) on ‘the general principles of law’ in Article 38(1)(c) of the Statute of the International Court of Justice, one question has given rise to an inordinate amount of controversy: does this category of principles include principles formed within the international legal system or does it embrace only principles derived from national legal systems? In the draft conclusions adopted on first reading in 2023, the ILC accepts the existence of general principles of law formed within the international legal system, but only in a very narrow manner. Prominent commentators have argued that such a narrow approach is correct. It has been contended, furthermore, that the category of general principles of law formed within the international legal system is an innovation of the ILC's, and one that lacks any real support in State practice. These views are based on assumptions to the effect that the traditional view concerning the meaning of Article 38(1)(c) was that it referred only to general principles of law derived from national legal systems. The present article takes issue with these assumptions. It seeks to prove, by an analysis of the position in 1920 when the Statute was drafted, of the practice of States, both before and after 1920, and the writings of leading commentators, that general principles of law formed within the in</w:t>
      </w:r>
    </w:p>
    <w:p>
      <w:pPr/>
      <w:r>
        <w:rPr>
          <w:b/>
        </w:rPr>
        <w:t>POSSIBLE 2022:</w:t>
      </w:r>
      <w:r>
        <w:t xml:space="preserve"> Dynamic Quantized Consensus of General Linear Multiagent Systems Under Denial-of-Service Attacks — https://doi.org/10.1109/tcns.2022.3140684</w:t>
      </w:r>
    </w:p>
    <w:p>
      <w:pPr/>
      <w:r>
        <w:rPr>
          <w:b/>
        </w:rPr>
        <w:t>Shared claim-specific concepts:</w:t>
      </w:r>
      <w:r>
        <w:t xml:space="preserve"> article, general, first, main; EU scope not established. This is a provisional connection, not an outcome finding.</w:t>
      </w:r>
    </w:p>
    <w:p>
      <w:pPr>
        <w:pStyle w:val="SourceNote"/>
      </w:pPr>
      <w:r>
        <w:rPr>
          <w:b/>
        </w:rPr>
        <w:t>Available abstract (not full text):</w:t>
      </w:r>
      <w:r>
        <w:t xml:space="preserve"> In this article, we study multiagent consensus problems under Denial-of-Service (DoS) attacks with data rate constraints. We first consider the leaderless consensus problem and after that we briefly present the analysis of leader–follower consensus. The dynamics of the agents take general forms modeled as homogeneous linear time-invariant systems. In our analysis, we derive lower bounds on the data rate for the multiagent systems to achieve leaderless and leader–follower consensus in the presence of DoS attacks, under which the issue of overflow of quantizer is prevented. The main contribution of the article is the characterization of the tradeoff between the tolerable DoS attack levels for leaderless and leader–follower consensus and the required data rates for the quantizers during the communication attempts among the agents. To mitigate the influence of DoS attacks, we employ dynamic quantization with zooming-in and zooming-out capabilities for avoiding quantizer saturation.</w:t>
      </w:r>
    </w:p>
    <w:p>
      <w:pPr/>
      <w:r>
        <w:rPr>
          <w:b/>
        </w:rPr>
        <w:t>POSSIBLE 2022:</w:t>
      </w:r>
      <w:r>
        <w:t xml:space="preserve"> System Stability of Learning-Based Linear Optimal Control With General Discounted Value Iteration — https://doi.org/10.1109/tnnls.2021.3137524</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For discounted optimal regulation design, the stability of the controlled system is affected by the discount factor. If an inappropriate discount factor is employed, the optimal control policy might be unstabilizing. Therefore, in this article, the effect of the discount factor on the stabilization of control strategies is discussed. We develop the system stability criterion and the selection rules of the discount factor with respect to the linear quadratic regulator problem under the general discounted value iteration algorithm. Based on the monotonicity of the value function sequence, the method to judge the stability of the controlled system is established during the iteration process. In addition, once some stability conditions are satisfied at a certain iteration step, all control policies after this iteration step are stabilizing. Furthermore, combined with the undiscounted optimal control problem, the practical rule of how to select an appropriate discount factor is constructed. Finally, several simulation examples with physical backgrounds are conducted to demonstrate the present theoretical results.</w:t>
      </w:r>
    </w:p>
    <w:p>
      <w:pPr/>
      <w:r>
        <w:rPr>
          <w:b/>
        </w:rPr>
        <w:t>POSSIBLE 2021:</w:t>
      </w:r>
      <w:r>
        <w:t xml:space="preserve"> REVIEW ARTICLE ON THE MITIGATION OF FOUR WAVE MIXING IN OPTICAL COMMUNICATION SYSTEM — https://doi.org/10.51459/futajeet.2021.15.1.266</w:t>
      </w:r>
    </w:p>
    <w:p>
      <w:pPr/>
      <w:r>
        <w:rPr>
          <w:b/>
        </w:rPr>
        <w:t>Shared claim-specific concepts:</w:t>
      </w:r>
      <w:r>
        <w:t xml:space="preserve"> article, four, system, main; EU scope not established. This is a provisional connection, not an outcome finding.</w:t>
      </w:r>
    </w:p>
    <w:p>
      <w:pPr>
        <w:pStyle w:val="SourceNote"/>
      </w:pPr>
      <w:r>
        <w:rPr>
          <w:b/>
        </w:rPr>
        <w:t>Available abstract (not full text):</w:t>
      </w:r>
      <w:r>
        <w:t xml:space="preserve"> The main challenge faced in today's telecommunication is the ever increasing demand for bandwidth and data rates. The desire to expand the capacity of fiber optic communication to accommodate this demand accelerated the development of high capacity Dense Wavelength Division Multiplexing (DWDM) transmission equipment. However, nonlinear impairments are the fundamental limiting mechanisms to the amount of data that can be transmitted in DWDM. In DWDM, Four Wave Mixing is the most critical of nonlinear effects in fibre optics communication. This effect limits the DWDM’s channel capacity. There are numerous researches on nonlinear impairments that show the intricacy of FWM phenomena in DWDM system. This article present review of the several measures which have been carried out by researchers to overcome nonlinear effects in DWDM. Such measures include Modulation Formats, Channel Spacing, Channel Shuffling Algorithm and Electro-Optic Phase Modulation. The review provides insight into the methods, parameters and approaches used by other researchers. This will pave way for can thus lead to significant improvement in the design of DWDM system.</w:t>
      </w:r>
    </w:p>
    <w:p>
      <w:pPr/>
      <w:r>
        <w:rPr>
          <w:b/>
        </w:rPr>
        <w:t>POSSIBLE 2021:</w:t>
      </w:r>
      <w:r>
        <w:t xml:space="preserve"> Cluster Consensus Control of Linear Multiagent Systems Under Directed Topology With General Partition — https://doi.org/10.1109/tac.2021.3069398</w:t>
      </w:r>
    </w:p>
    <w:p>
      <w:pPr/>
      <w:r>
        <w:rPr>
          <w:b/>
        </w:rPr>
        <w:t>Shared claim-specific concepts:</w:t>
      </w:r>
      <w:r>
        <w:t xml:space="preserve"> article, presented, system, general, first; EU scope not established. This is a provisional connection, not an outcome finding.</w:t>
      </w:r>
    </w:p>
    <w:p>
      <w:pPr>
        <w:pStyle w:val="SourceNote"/>
      </w:pPr>
      <w:r>
        <w:rPr>
          <w:b/>
        </w:rPr>
        <w:t>Available abstract (not full text):</w:t>
      </w:r>
      <w:r>
        <w:t xml:space="preserve"> This article investigates the cluster consensus control problem for general linear multiagent systems. The focus of this article is especially to solve the following problem: in what kinds of connection scenarios can agents achieve cluster consensus regardless of the coupling strength (CCRCS). Different from existing literature, this article extends the case to general partition graphs, including both acyclic and cyclic partition cases. New analysis methods are put forward. It is proved that, under some basic assumptions, the multiagent systems can achieve CCRCS if and only if the interaction topology satisfies the nonvicious circle condition, which is proposed for the first time. An algorithm is presented which can check whether a given interaction topology satisfies the nonvicious circle condition. The result can also be extended to heterogeneous cases that agents from different clusters possess nonidentical system dynamics.</w:t>
      </w:r>
    </w:p>
    <w:p>
      <w:pPr/>
      <w:r>
        <w:rPr>
          <w:b/>
        </w:rPr>
        <w:t>POSSIBLE 2021:</w:t>
      </w:r>
      <w:r>
        <w:t xml:space="preserve"> Towards "general purpose" brain-inspired computing system — https://doi.org/10.26599/tst.2021.9010010</w:t>
      </w:r>
    </w:p>
    <w:p>
      <w:pPr/>
      <w:r>
        <w:rPr>
          <w:b/>
        </w:rPr>
        <w:t>Shared claim-specific concepts:</w:t>
      </w:r>
      <w:r>
        <w:t xml:space="preserve"> article, presented, system, general, characteristics, background; EU scope not established. This is a provisional connection, not an outcome finding.</w:t>
      </w:r>
    </w:p>
    <w:p>
      <w:pPr>
        <w:pStyle w:val="SourceNote"/>
      </w:pPr>
      <w:r>
        <w:rPr>
          <w:b/>
        </w:rPr>
        <w:t>Available abstract (not full text):</w:t>
      </w:r>
      <w:r>
        <w:t xml:space="preserve"> Brain-inspired computing refers to computational models, methods, and systems, that are mainly inspired by the processing mode or structure of brain. A recent study proposed the concept of "neuromorphic completeness" and the corresponding system hierarchy, which is helpful to determine the capability boundary of brain-inspired computing system and to judge whether hardware and software of brain-inspired computing are compatible with each other. As a position paper, this article analyzes the existing brain-inspired chips' design characteristics and the current so-called "general purpose" application development frameworks for brain-inspired computing, as well as introduces the background and the potential of this proposal. Further, some key features of this concept are presented through the comparison with the Turing completeness and approximate computation, and the analyses of the relationship with "general-purpose" brain-inspired computing systems (it means that computing systems can support all computable applications). In the end, a promising technical approach to realize such computing systems is introduced, as well as the on-going research and the work foundation. We believe that this work is conducive to the design of extensible neuromorphic complete hardware-primitives and the corresponding chips. On this basis, it is expected to gradually realize "general purpose" brain</w:t>
      </w:r>
    </w:p>
    <w:p>
      <w:pPr/>
      <w:r>
        <w:rPr>
          <w:b/>
        </w:rPr>
        <w:t>POSSIBLE 2020:</w:t>
      </w:r>
      <w:r>
        <w:t xml:space="preserve"> Four approaches to anticipatory climate governance: Different conceptions of the future and implications for the present — https://doi.org/10.1002/wcc.673</w:t>
      </w:r>
    </w:p>
    <w:p>
      <w:pPr/>
      <w:r>
        <w:rPr>
          <w:b/>
        </w:rPr>
        <w:t>Shared claim-specific concepts:</w:t>
      </w:r>
      <w:r>
        <w:t xml:space="preserve"> article, four, system, each; EU scope not established. This is a provisional connection, not an outcome finding.</w:t>
      </w:r>
    </w:p>
    <w:p>
      <w:pPr>
        <w:pStyle w:val="SourceNote"/>
      </w:pPr>
      <w:r>
        <w:rPr>
          <w:b/>
        </w:rPr>
        <w:t>Available abstract (not full text):</w:t>
      </w:r>
      <w:r>
        <w:t xml:space="preserve"> Abstract In times of accelerating earth system transformations and their potentially disruptive societal consequences, imagining and governing the future is now a core challenge for sustainability research and practice. Much social science and sustainability science scholarship increasingly engages with the future. There is, however, a lack of scrutiny of how the future is envisioned in these literatures, and with what implications for governance in the present. This article analyses these two aspects, building on the concept of “anticipatory governance.” We understand anticipatory governance to broadly mean governing in the present to adapt to or shape uncertain futures. We review perspectives within public policy, futures studies, social–ecological systems, environmental policy and governance, transition studies, science and technology studies, and responsible research and innovation literatures. All these literatures engage explicitly or implicitly with the notion of anticipatory governance, yet from distinct ontological and epistemological starting points. Through our review, we identify four approaches to anticipatory governance that differ with regard to (a) their conceptions of and engagement with the future; (b) their implications for actions to be taken in the present; and (c) the ultimate end to be realized through anticipatory governance. We then map onto these four </w:t>
      </w:r>
    </w:p>
    <w:p>
      <w:pPr/>
      <w:r>
        <w:rPr>
          <w:b/>
        </w:rPr>
        <w:t>POSSIBLE 2020:</w:t>
      </w:r>
      <w:r>
        <w:t xml:space="preserve"> The evolution of the Offshore US-Dollar System: past, present and four possible futures — https://doi.org/10.1017/s1744137420000168</w:t>
      </w:r>
    </w:p>
    <w:p>
      <w:pPr/>
      <w:r>
        <w:rPr>
          <w:b/>
        </w:rPr>
        <w:t>Shared claim-specific concepts:</w:t>
      </w:r>
      <w:r>
        <w:t xml:space="preserve"> article, four, system; EU scope not established. This is a provisional connection, not an outcome finding.</w:t>
      </w:r>
    </w:p>
    <w:p>
      <w:pPr>
        <w:pStyle w:val="SourceNote"/>
      </w:pPr>
      <w:r>
        <w:rPr>
          <w:b/>
        </w:rPr>
        <w:t>Available abstract (not full text):</w:t>
      </w:r>
      <w:r>
        <w:t xml:space="preserve"> Abstract Little has contributed more to the emergence of today's world of financial globalization than the setup of the international monetary system. In its current shape, it has a hierarchical structure with the US-Dollar (USD) at the top and various other monetary areas forming a multilayered periphery to it. A key feature of the system is the creation of USD offshore – a feature that in the 1950s and 60s developed in co-evolution with the Bretton Woods System and in the 1970s replaced it. Since the 2007–9 Financial Crisis, this ‘Offshore US-Dollar System’ has been backstopped by the Federal Reserve's network of swap lines which are extended to other key central banks. This systemic evolution may continue in the decades to come, but other systemic arrangements are possible as well and have historical precedents. This article discusses four trajectories that would lead to different setups of the international monetary system by 2040, taking into account how its hierarchical structure and the role of offshore credit money creation may evolve. In addition to a continuation of USD hegemony, we present the emergence of competing monetary blocs, the formation of an international monetary federation and the disintegration into an international monetary anarchy.</w:t>
      </w:r>
    </w:p>
    <w:p>
      <w:pPr>
        <w:pStyle w:val="Heading2"/>
      </w:pPr>
      <w:r>
        <w:t>756.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2024:</w:t>
      </w:r>
      <w:r>
        <w:t xml:space="preserve"> Axiomatization of Non-Recursive Aggregates in First-Order Answer Set Programming — https://doi.org/10.1613/jair.1.15786</w:t>
      </w:r>
    </w:p>
    <w:p>
      <w:pPr/>
      <w:r>
        <w:rPr>
          <w:b/>
        </w:rPr>
        <w:t>Shared claim-specific concepts:</w:t>
      </w:r>
      <w:r>
        <w:t xml:space="preserve"> present, work, set, answer; EU scope not established. This is a provisional connection, not an outcome finding.</w:t>
      </w:r>
    </w:p>
    <w:p>
      <w:pPr>
        <w:pStyle w:val="SourceNote"/>
      </w:pPr>
      <w:r>
        <w:rPr>
          <w:b/>
        </w:rPr>
        <w:t>Available abstract (not full text):</w:t>
      </w:r>
      <w:r>
        <w:t xml:space="preserve"> This paper contributes to the development of theoretical foundations of answer set programming. Groundbreaking work on the SM operator by Ferraris, Lee, and Lifschitz proposed a definition/semantics for logic (answer set) programs based on a syntactic transformation similar to parallel circumscription. That definition radically differed from its predecessors by using classical (second-order) logic and avoiding reference to either grounding or fixpoints. Yet, the work lacked the formalization of crucial and commonly used answer set programming language constructs called aggregates. In this paper, we present a characterization of logic programs with aggregates based on a many-sorted generalization of the SM operator. This characterization introduces new function symbols for aggregate operations and aggregate elements, whose meaning can be fixed by adding appropriate axioms to the result of the SM transformation. We prove that our characterization coincides with the ASP-Core-2 semantics for logic programs and, if we allow non-positive recursion through aggregates, it coincides with the semantics of the answer set solver CLINGO.</w:t>
      </w:r>
    </w:p>
    <w:p>
      <w:pPr/>
      <w:r>
        <w:rPr>
          <w:b/>
        </w:rPr>
        <w:t>POSSIBLE 2024:</w:t>
      </w:r>
      <w:r>
        <w:t xml:space="preserve"> Higher-Order Model Checking of Effect-Handling Programs with Answer-Type Modification — https://doi.org/10.1145/3689805</w:t>
      </w:r>
    </w:p>
    <w:p>
      <w:pPr/>
      <w:r>
        <w:rPr>
          <w:b/>
        </w:rPr>
        <w:t>Shared claim-specific concepts:</w:t>
      </w:r>
      <w:r>
        <w:t xml:space="preserve"> work, implemented, approach; EU scope not established. This is a provisional connection, not an outcome finding.</w:t>
      </w:r>
    </w:p>
    <w:p>
      <w:pPr>
        <w:pStyle w:val="SourceNote"/>
      </w:pPr>
      <w:r>
        <w:rPr>
          <w:b/>
        </w:rPr>
        <w:t>Available abstract (not full text):</w:t>
      </w:r>
      <w:r>
        <w:t xml:space="preserve"> Since the seminal work by Ong, the model checking of higher-order programs—called higher-order model checking , or HOMC for short—has gained attention. It is also crucial for making HOMC applicable to real-world software to address programs involving computational effects. Recently, Dal Lago and Ghyselen considered an extension of HOMC to algebraic effect handlers , which enable programming the semantics of effects. They showed a negative result for HOMC with algebraic effect handlers—it is undecidable. In this work, we explore a restriction on programs with algebraic effect handlers which ensures the decidability of HOMC while allowing implementations of various effects. We identify the crux of the undecidability as the use of an unbounded number of algebraic effect handlers being active at the same time. To prevent it, we introduce answer-type modification (ATM), which can bound the number of algebraic effect handlers that can be active at the same time. We prove that ATM can ensure the decidability of HOMC and show that it accommodates a wide range of effects. To evaluate our approach, we implemented an automated verifier EffCaml based on the presented techniques and confirmed that the program examples discussed in this paper can be automatically verified.</w:t>
      </w:r>
    </w:p>
    <w:p>
      <w:pPr/>
      <w:r>
        <w:rPr>
          <w:b/>
        </w:rPr>
        <w:t>POSSIBLE 2023:</w:t>
      </w:r>
      <w:r>
        <w:t xml:space="preserve"> Utilizing Innovative Project Management Technologies to Set Virtual Work Boundaries — https://doi.org/10.21428/f1f23564.6aaf45b9</w:t>
      </w:r>
    </w:p>
    <w:p>
      <w:pPr/>
      <w:r>
        <w:rPr>
          <w:b/>
        </w:rPr>
        <w:t>Shared claim-specific concepts:</w:t>
      </w:r>
      <w:r>
        <w:t xml:space="preserve"> work, set, implemented, order, technologies; EU scope not established. This is a provisional connection, not an outcome finding.</w:t>
      </w:r>
    </w:p>
    <w:p>
      <w:pPr>
        <w:pStyle w:val="SourceNote"/>
      </w:pPr>
      <w:r>
        <w:rPr>
          <w:b/>
        </w:rPr>
        <w:t>Available abstract (not full text):</w:t>
      </w:r>
      <w:r>
        <w:t xml:space="preserve"> Utilizing Innovative Project Management Technologies to Set Virtual Work Boundaries 2The unpredictability of the COVID-19 pandemic presented research teams with the opportunity to optimize collaborative approaches to project management by integrating the productivity software necessary to navigate the sudden shift to remote work.While the shift from in-person to virtual work environments was rapid and disorienting, research teams were able to alleviate this transition by taking advantage of new technologies in project management.The Italian-Canadian Foodways project is an example of this: our project managers implemented a suite of innovative software to manage task delegation in a remote work environment.However, the increased surveillance also created the risk of blurring boundaries between the office and home, potentially threatening a healthy work-life balance.As Thareja (2016) explored, the virtual environment lent itself to various new opportunities for more comprehensive employee surveillance.Our project managers stringently adhered to three pillars to minimize work surveillance in the observation of work methods: planning, implementation, and monitoring.While the pandemic provided an opportunity to re-evaluate work methods, the case study of the Foodways project reveals that innovative technologies alone cannot provide effective project management; rather, technologies </w:t>
      </w:r>
    </w:p>
    <w:p>
      <w:pPr/>
      <w:r>
        <w:rPr>
          <w:b/>
        </w:rPr>
        <w:t>POSSIBLE 2022:</w:t>
      </w:r>
      <w:r>
        <w:t xml:space="preserve"> CMOS compatible manufacturing of a hybrid SET-FET circuit — https://doi.org/10.1088/1361-6641/ac9f61</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Abstract This study analyzes feasibility of complementary metal–oxide–semiconductor (CMOS)-compatible manufacturing of a hybrid single electron transistor–field effect transistor (SET-FET) circuit. The fundamental element towards an operating SET at room temperature is a vertical nanopillar (NP) with embedded Si nanodot generated by ion-beam irradiation. The integration process from NPs to contacted SETs is validated by structural characterization. Then, the monolithic fabrication of planar FETs integrated with vertical SETs is presented, and its compatibility with standard CMOS technology is demonstrated. The work includes process optimization, pillar integrity validation, electrical characterization and simulations taking into account parasitic effects. The FET fabrication process is adapted to meet the requirements of the pre-fabricated NPs. Overall, this work establishes the groundwork for the realization of a hybrid SET-FET circuit operating at room temperature.</w:t>
      </w:r>
    </w:p>
    <w:p>
      <w:pPr/>
      <w:r>
        <w:rPr>
          <w:b/>
        </w:rPr>
        <w:t>POSSIBLE 2022:</w:t>
      </w:r>
      <w:r>
        <w:t xml:space="preserve"> Question Answering For Toxicological Information Extraction — https://doi.org/10.4230/oasics.slate.2022.3</w:t>
      </w:r>
    </w:p>
    <w:p>
      <w:pPr/>
      <w:r>
        <w:rPr>
          <w:b/>
        </w:rPr>
        <w:t>Shared claim-specific concepts:</w:t>
      </w:r>
      <w:r>
        <w:t xml:space="preserve"> present, work, order, question, approach; EU scope not established. This is a provisional connection, not an outcome finding.</w:t>
      </w:r>
    </w:p>
    <w:p>
      <w:pPr>
        <w:pStyle w:val="SourceNote"/>
      </w:pPr>
      <w:r>
        <w:rPr>
          <w:b/>
        </w:rPr>
        <w:t>Available abstract (not full text):</w:t>
      </w:r>
      <w:r>
        <w:t xml:space="preserve"> Working with large amounts of text data has become hectic and time-consuming. In order to reduce human effort, costs, and make the process more efficient, companies and organizations resort to intelligent algorithms to automate and assist the manual work. This problem is also present in the field of toxicological analysis of chemical substances, where information needs to be searched from multiple documents. That said, we propose an approach that relies on Question Answering for acquiring information from unstructured data, in our case, English PDF documents containing information about physicochemical and toxicological properties of chemical substances. Experimental results confirm that our approach achieves promising results which can be applicable in the business scenario, especially if further revised by humans.</w:t>
      </w:r>
    </w:p>
    <w:p>
      <w:pPr/>
      <w:r>
        <w:rPr>
          <w:b/>
        </w:rPr>
        <w:t>POSSIBLE 2021:</w:t>
      </w:r>
      <w:r>
        <w:t xml:space="preserve"> Creativity in data work: case of developing training sets for machine learning — https://openalex.org/W3200956411</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Data reuse is seen as an important practice for realizing value from data.But, as scholars have repeatedly shown, the "cooked" character of data can present great challenges for data reuse.Yet, empirical research into how organizations can reuse data despite its "cooked" character is still underresearched.To address this gap, we followed five teams as they developed ML solutions for tackling complex, agricultural challenges.Our research finds that the development teams engage in creative data work which goes beyond mere preparation of data for training a machine learning model.In doing so, the team engaged in three data work practices: problematization, creative data work, and scrutinizing datasets.Our study shows that, in what seemingly appears as a merely technical and "janitorial" work, developers iteratively learn and interlace their knowledge of available data and a phenomenon in an effort to creatively produce a representation of that phenomenon in a form of a workable training set.</w:t>
      </w:r>
    </w:p>
    <w:p>
      <w:pPr/>
      <w:r>
        <w:rPr>
          <w:b/>
        </w:rPr>
        <w:t>POSSIBLE 2021:</w:t>
      </w:r>
      <w:r>
        <w:t xml:space="preserve"> The Relation of Work to Zeus' World Order in Hesiod's Works and Days — https://openalex.org/W7135665476</w:t>
      </w:r>
    </w:p>
    <w:p>
      <w:pPr/>
      <w:r>
        <w:rPr>
          <w:b/>
        </w:rPr>
        <w:t>Shared claim-specific concepts:</w:t>
      </w:r>
      <w:r>
        <w:t xml:space="preserve"> work, set, order, answer, question, next; EU scope not established. This is a provisional connection, not an outcome finding.</w:t>
      </w:r>
    </w:p>
    <w:p>
      <w:pPr>
        <w:pStyle w:val="SourceNote"/>
      </w:pPr>
      <w:r>
        <w:rPr>
          <w:b/>
        </w:rPr>
        <w:t>Available abstract (not full text):</w:t>
      </w:r>
      <w:r>
        <w:t xml:space="preserve"> (in English) The presented thesis is dealing with the ethics of work in the world as described by ancient Greek poet Hesiod in his famous didactic epos Works and Days. In the first part of the thesis (chapters 1 and 2), it is assumed that Hesiod's ethics are anchored in a particular situation, in which he, as a Boeotian farmer, found himself due to his dispute with his brother Perses. In the next part, firstly three major myths in the Works and Days are analyzed and the importance of work is set in a wider context of Hesiod's religious and ideological beliefs (chapter 3); subsequently our analysis is supplemented by a broader reflection of work, exertion, recreation, good and evil (chapter 4). In conclusion we finally try to answer the question of the place of work in the world order as determined by Zeus' will.</w:t>
      </w:r>
    </w:p>
    <w:p>
      <w:pPr>
        <w:pStyle w:val="Heading2"/>
      </w:pPr>
      <w:r>
        <w:t>757.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2022:</w:t>
      </w:r>
      <w:r>
        <w:t xml:space="preserve"> Methodological approaches to measuring quality of life — https://doi.org/10.1590/0101-31572022-3256</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Methodological approaches to measuring quality of life — https://doi.org/10.6084/m9.figshare.19965475</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Measuring human capital in South Africa across socioeconomic subgroups using a latent-variable approach — https://doi.org/10.1007/s11205-022-02973-y</w:t>
      </w:r>
    </w:p>
    <w:p>
      <w:pPr/>
      <w:r>
        <w:rPr>
          <w:b/>
        </w:rPr>
        <w:t>Shared claim-specific concepts:</w:t>
      </w:r>
      <w:r>
        <w:t xml:space="preserve"> approach, used, socioeconomic; EU scope not established. This is a provisional connection, not an outcome finding.</w:t>
      </w:r>
    </w:p>
    <w:p>
      <w:pPr>
        <w:pStyle w:val="SourceNote"/>
      </w:pPr>
      <w:r>
        <w:rPr>
          <w:b/>
        </w:rPr>
        <w:t>Available abstract (not full text):</w:t>
      </w:r>
      <w:r>
        <w:t xml:space="preserve"> Abstract Human capital is a complex concept to measure given it is an unobserved latent construct. Education is a fundamental dimension of human capital and thus an education-based approach is the one most widely used. However, the international literature recommends a latent-variable approach to measuring human capital. This study thus aims to measure human capital in South Africa, a country experiencing extreme earnings and education inequalities, using a latent-variable approach and the National Income Dynamic Study (NIDS) dataset. The findings are that parental education is associated with the largest amount of variance in (latent) human capital, while the health indicator captures the least variance. Furthermore, the (latent) human capital variable provides a valuable measure to profile the distribution of human capital by socioeconomic subgroups.</w:t>
      </w:r>
    </w:p>
    <w:p>
      <w:pPr/>
      <w:r>
        <w:rPr>
          <w:b/>
        </w:rPr>
        <w:t>POSSIBLE 2021:</w:t>
      </w:r>
      <w:r>
        <w:t xml:space="preserve"> A relative approach to the validation of surrogate measures of safety — https://doi.org/10.1016/j.aap.2021.106350</w:t>
      </w:r>
    </w:p>
    <w:p>
      <w:pPr/>
      <w:r>
        <w:rPr>
          <w:b/>
        </w:rPr>
        <w:t>Shared claim-specific concepts:</w:t>
      </w:r>
      <w:r>
        <w:t xml:space="preserve"> approach, used, measures; EU scope visible. This is a provisional connection, not an outcome finding.</w:t>
      </w:r>
    </w:p>
    <w:p>
      <w:pPr>
        <w:pStyle w:val="SourceNote"/>
      </w:pPr>
      <w:r>
        <w:rPr>
          <w:b/>
        </w:rPr>
        <w:t>Available abstract (not full text):</w:t>
      </w:r>
      <w:r>
        <w:t xml:space="preserve"> Surrogate measures of safety (SMoS) are meant to be an alternative/complement to crash data that enables a proactive approach to traffic safety. Validity is a fundamental property of SMoS that describes how well they reflect the quality of interest - traffic safety. However, typical validation studies are extremely resource demanding. Therefore, the aim of this study was to explore a relative approach to validity that uses fewer resources and does not rely on crash records from the observed locations. The core idea of a relative approach to the validation of SMoS is that while SMoS might not accurately estimate the expected number of crashes, they still work well for comparisons between different sites or between conditions at the same site. Based on this concept, we propose a method in which a ground truth based on literature can be used as a baseline that can then be compared to the safety analysis of an SMoS study. Using the proposed method, a case study of six intersections in northern Europe was conducted, focusing on bicycle infrastructure. The results indicate that the minimum time-to-collision indicator is in line with the ground truth, whereas the post-encroachment time indicator is not.</w:t>
      </w:r>
    </w:p>
    <w:p>
      <w:pPr/>
      <w:r>
        <w:rPr>
          <w:b/>
        </w:rPr>
        <w:t>POSSIBLE 2019:</w:t>
      </w:r>
      <w:r>
        <w:t xml:space="preserve"> One Approach to using Fuzzy Logic for the Establishing of Natural Gas Tariffs — https://openalex.org/W3012361343</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This paper introduces an attempt to establish natural gas tariffs based on experts’ fuzzy estimations</w:t>
        <w:br/>
        <w:br/>
        <w:t>on the example of Georgia. We consider the existent situation in tariffication processes. We discuss the</w:t>
        <w:br/>
        <w:br/>
        <w:t>necessity to use new approaches for implementation of these processes. We introduce a new approach for</w:t>
        <w:br/>
        <w:br/>
        <w:t>determination of natural gas tariffs based on fuzzy logic and its algorithm. At the end we show the example of</w:t>
        <w:br/>
        <w:br/>
        <w:t>practical application of the proposed method</w:t>
      </w:r>
    </w:p>
    <w:p>
      <w:pPr/>
      <w:r>
        <w:rPr>
          <w:b/>
        </w:rPr>
        <w:t>POSSIBLE 2019:</w:t>
      </w:r>
      <w:r>
        <w:t xml:space="preserve"> An approach for establishing correspondence between OpenStreetMap and reference datasets for land use and land cover mapping — https://doi.org/10.1111/tgis.12581</w:t>
      </w:r>
    </w:p>
    <w:p>
      <w:pPr/>
      <w:r>
        <w:rPr>
          <w:b/>
        </w:rPr>
        <w:t>Shared claim-specific concepts:</w:t>
      </w:r>
      <w:r>
        <w:t xml:space="preserve"> approach, used, establish, measures; EU scope not established. This is a provisional connection, not an outcome finding.</w:t>
      </w:r>
    </w:p>
    <w:p>
      <w:pPr>
        <w:pStyle w:val="SourceNote"/>
      </w:pPr>
      <w:r>
        <w:rPr>
          <w:b/>
        </w:rPr>
        <w:t>Available abstract (not full text):</w:t>
      </w:r>
      <w:r>
        <w:t xml:space="preserve"> Abstract OpenStreetMap (OSM) provides free source data for land use and land cover (LULC) mapping of many regions globally. Earlier work has used just manual and subjective approaches to establish correspondence between paired OSM and reference datasets, an essential step for LULC mapping. This study proposes an approach to establish correspondence via three steps: (1) convert line feature(s) into polygon feature(s); (2) merge multiple polygon feature(s) into a single layer; and (3) establish correspondence and reclassify OSM and/or reference datasets. Study areas in Sheffield, London, Rome, and Paris were used for testing, and two measures (overall accuracy, OA and kappa index) were used for evaluation. Experiments were designed to verify this approach, with each pair of OSM and reference datasets initially compared after reclassification. Correspondence from one study area was then applied to another for further validation. Results show that OA was between 70 and 90% and the kappa index varied between 0.6 and 0.8. Evaluation also indicates that the correspondence obtained from one study area is applicable to another, and we illustrate the effectiveness of this approach.</w:t>
      </w:r>
    </w:p>
    <w:p>
      <w:pPr/>
      <w:r>
        <w:rPr>
          <w:b/>
        </w:rPr>
        <w:t>POSSIBLE 2019:</w:t>
      </w:r>
      <w:r>
        <w:t xml:space="preserve"> A stochastic approach for measuring the uncertainty of claims reserves — https://doi.org/10.1590/1808-057x201907860</w:t>
      </w:r>
    </w:p>
    <w:p>
      <w:pPr/>
      <w:r>
        <w:rPr>
          <w:b/>
        </w:rPr>
        <w:t>Shared claim-specific concepts:</w:t>
      </w:r>
      <w:r>
        <w:t xml:space="preserve"> approach, measures, technical; EU scope not established. This is a provisional connection, not an outcome finding.</w:t>
      </w:r>
    </w:p>
    <w:p>
      <w:pPr>
        <w:pStyle w:val="SourceNote"/>
      </w:pPr>
      <w:r>
        <w:rPr>
          <w:b/>
        </w:rPr>
        <w:t>Available abstract (not full text):</w:t>
      </w:r>
      <w:r>
        <w:t xml:space="preserve"> ABSTRACT This paper aims to obtain metrics for quantifying the variability of technical provisions for claims by making use of deterministic and stochastic models. In short, everything that the traditional methods do not provide (measures of variability and capital insufficiency) are of fundamental importance for efficient actuarial management. The proposed methodology reveals the probability of insufficiency of the allocated capital to cover the commitments assumed by the insurer. In order to maintain resources to cover the indemnities payable to the insured, insurance companies include technical provisions in their balance sheets. Technical provisions are estimates and are therefore a source of fluctuations in the profit and loss statement of insurers, so understanding and protecting against these adverse variations is fundamental for efficient actuarial management. The stochastic approach enables internal models to be studied for solvency capital, which is a subject that lacks studies in the Brazilian market, and which is determined by a standard model pre-defined by the regulatory body. Stochastic modeling was proposed for Incurred But Not Reported Reserve using bootstrapping and, to validate this approach, the results were compared with the traditional approaches using real Motor Hull and Motor Third Part Liability data from a Brazilian insurance company. There are advanta</w:t>
      </w:r>
    </w:p>
    <w:p>
      <w:pPr>
        <w:pStyle w:val="Heading2"/>
      </w:pPr>
      <w:r>
        <w:t>758.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2024:</w:t>
      </w:r>
      <w:r>
        <w:t xml:space="preserve"> Assessing the feasibility of CO2 removal strategies in achieving climate-neutral power systems: Insights from biomass, CO2 capture, and direct air capture in Europe — https://doi.org/10.1016/j.adapen.2024.100166</w:t>
      </w:r>
    </w:p>
    <w:p>
      <w:pPr/>
      <w:r>
        <w:rPr>
          <w:b/>
        </w:rPr>
        <w:t>Shared claim-specific concepts:</w:t>
      </w:r>
      <w:r>
        <w:t xml:space="preserve"> role, achieve, co2; EU scope visible. This is a provisional connection, not an outcome finding.</w:t>
      </w:r>
    </w:p>
    <w:p>
      <w:pPr>
        <w:pStyle w:val="SourceNote"/>
      </w:pPr>
      <w:r>
        <w:rPr>
          <w:b/>
        </w:rPr>
        <w:t>Available abstract (not full text):</w:t>
      </w:r>
      <w:r>
        <w:t xml:space="preserve"> To achieve the European Union's goal of climate neutrality by 2050, negative emissions may be required to compensate for emissions exceeding allocated carbon budgets. Therefore, carbon removal technologies such as bioenergy with carbon capture (BECCS) and direct air capture (DAC) may need to play a pivotal role in the power system. To design carbon removal strategies, more insights are needed into the impact of sustainable biomass availability and the feasibility of carbon capture and storage (CCS), including the expensive and energy-intensive DAC on achieving net-zero and net-negative targets. Therefore, in this study the European power system in 2050 is modelled at an hourly resolution in the cost-minimization PLEXOS modelling platform. Three climate-neutral scenarios with targets of 0, -1, and -3.9 Mt CO2/year (which agree with varying levels of climate justice) are assessed for different biomass levels, and CCS availability. Findings under baseline assumptions reveal that in a climate-neutral power system with biomass and CCS options, it is cost-effective to complement variable renewable energy with a mix of combined cycle natural gas turbines (CCNGT) for flexibility and BECCS as base load to compensate for the CO2 emissions from natural gas and additional carbon removal in the net-negative scenarios. The role of these technologies becomes more prominent, with -3.9 GtCO2/ye</w:t>
      </w:r>
    </w:p>
    <w:p>
      <w:pPr/>
      <w:r>
        <w:rPr>
          <w:b/>
        </w:rPr>
        <w:t>POSSIBLE 2023:</w:t>
      </w:r>
      <w:r>
        <w:t xml:space="preserve"> The potential role of a hydrogen network in Europe — https://doi.org/10.1016/j.joule.2023.06.016</w:t>
      </w:r>
    </w:p>
    <w:p>
      <w:pPr/>
      <w:r>
        <w:rPr>
          <w:b/>
        </w:rPr>
        <w:t>Shared claim-specific concepts:</w:t>
      </w:r>
      <w:r>
        <w:t xml:space="preserve"> role, across, achieve; EU scope visible. This is a provisional connection, not an outcome finding.</w:t>
      </w:r>
    </w:p>
    <w:p>
      <w:pPr>
        <w:pStyle w:val="SourceNote"/>
      </w:pPr>
      <w:r>
        <w:rPr>
          <w:b/>
        </w:rPr>
        <w:t>Available abstract (not full text):</w:t>
      </w:r>
      <w:r>
        <w:t xml:space="preserve">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pPr/>
      <w:r>
        <w:rPr>
          <w:b/>
        </w:rPr>
        <w:t>POSSIBLE 2023:</w:t>
      </w:r>
      <w:r>
        <w:t xml:space="preserve"> Exploring pathways to 100% renewable energy in European industry — https://doi.org/10.1016/j.energy.2023.126687</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Organizational change and psychosomatic symptoms: Exploring pathways through working conditions and assessing the moderating role of social support among European workers — https://doi.org/10.1177/0143831x211069411</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Building on the Job Demands–Resources (JD–R) model, this article sets out to analyze the mechanisms through which organizational change can affect workers’ health. The author carries out a moderated mediation analysis drawing on data from the European Working Conditions Survey conducted in 2015 with more than 44,000 European workers in 35 countries. Emotional labor, work intensity and physical strain are included as mediators of the relationship between organizational change and health, assessed by the self-declaration of psychosomatic symptoms. The study tests for the moderating role of social support, assessed as supervisor support and colleague support. It is shown that emotional labor mediates the relationship between organizational change and health alongside other work demands, with slight variations in the mechanisms depending on whether the reorganization involves staff cuts. There is evidence that social support from the hierarchy moderates the health effects of job demands.</w:t>
      </w:r>
    </w:p>
    <w:p>
      <w:pPr>
        <w:pStyle w:val="Heading2"/>
      </w:pPr>
      <w:r>
        <w:t>759.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Updating global urbanization projections under the Shared Socioeconomic Pathways — https://doi.org/10.1038/s41597-022-01209-5</w:t>
      </w:r>
    </w:p>
    <w:p>
      <w:pPr/>
      <w:r>
        <w:rPr>
          <w:b/>
        </w:rPr>
        <w:t>Shared claim-specific concepts:</w:t>
      </w:r>
      <w:r>
        <w:t xml:space="preserve"> shared, socioeconomic, pathways, climate; EU scope not established. This is a provisional connection, not an outcome finding.</w:t>
      </w:r>
    </w:p>
    <w:p>
      <w:pPr>
        <w:pStyle w:val="SourceNote"/>
      </w:pPr>
      <w:r>
        <w:rPr>
          <w:b/>
        </w:rPr>
        <w:t>Available abstract (not full text):</w:t>
      </w:r>
      <w:r>
        <w:t xml:space="preserve"> Urbanization level is an important indicator of socioeconomic development, and projecting its dynamics is fundamental for studies related to global socioeconomic and climate change. This paper aims to update the projections of global urbanization from 2015 to 2100 under the Shared Socioeconomic Pathways by using the logistic fitting model and iteratively identifying reference countries. Based on historical urbanization level database from the World Urbanization Prospects, projected urbanization levels and uncertainties are provided for 204 countries and areas every five years. The 2010-2100 year-by-year projected urbanization levels and uncertainties based on the annual historical data from the World Bank (WB) for 188 of countries and areas are also provided. The projections based on the two datasets were compared and the latter were validated using the historical values of the WB for the years 2010-2018. The updated dataset of urbanization level is relevant for understanding future socioeconomic development, its implications for climate change and policy planning.</w:t>
      </w:r>
    </w:p>
    <w:p>
      <w:pPr/>
      <w:r>
        <w:rPr>
          <w:b/>
        </w:rPr>
        <w:t>POSSIBLE 2022:</w:t>
      </w:r>
      <w:r>
        <w:t xml:space="preserve"> Global gridded GDP data set consistent with the shared socioeconomic pathways — https://doi.org/10.1038/s41597-022-01300-x</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vulnerability, exposure and resilience of socioeconomic activities to future climate extremes call for high-resolution gridded GDP in climate change adaptation and mitigation research. While global socioeconomic projections are provided mainly at the national level, and downscaling approaches using nighttime light (NTL) images or gridded population data can increase the uncertainty due to limitations. Therefore, we adopt an NTL-population-based approach, which exhibits higher accuracy in socioeconomic disaggregation. Gross regional product of over 800 provinces, which covering over 60% of the global land surface and accounted for more than 80% of GDP in 2005, were used as input. We present a first set of comparable spatially explicit global gridded GDP projections with fine spatial resolutions of 30 arc-seconds and 0.25 arc-degrees for the historical period of 2005 and for 2030-2100 at 10-year intervals under the five SSPs, accounting for the two-child policy in China. This gridded GDP projection dataset can broaden the applicability of GDP data, the availability of which is necessary for socioeconomic and climate change research.</w:t>
      </w:r>
    </w:p>
    <w:p>
      <w:pPr/>
      <w:r>
        <w:rPr>
          <w:b/>
        </w:rPr>
        <w:t>POSSIBLE 2021:</w:t>
      </w:r>
      <w:r>
        <w:t xml:space="preserve"> Future cooling gap in shared socioeconomic pathways — https://doi.org/10.1088/1748-9326/ac2195</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The extent to which societies will globally be able to adapt to climate change is not well understood. Here we analyze socioeconomic dimensions of adaptive capacity of populations to deal with heat stress and find income, urbanization and income inequality to be important factors in explaining adaptation to heat stress with air conditioning (AC). Using the scenario framework of the Shared Socioeconomic Pathways (SSPs), we estimate the future cooling gap, which represents the difference between the population exposed to heat stress and the population able to protect against heat stress with AC. Depending on the scenario of socioeconomic development, total population affected by the cooling gap may vary between 2 billion and 5 billion people in 2050, with the scenario-dependent range widening further towards the end of the century. Our analysis shows vast regional inequalities in adaptive capacity for one of the most universal manifestations of climate change, underscoring the need to account for the different potential levels of adaptive capacity in assessments of climate change impacts.</w:t>
      </w:r>
    </w:p>
    <w:p>
      <w:pPr/>
      <w:r>
        <w:rPr>
          <w:b/>
        </w:rPr>
        <w:t>POSSIBLE 2021:</w:t>
      </w:r>
      <w:r>
        <w:t xml:space="preserve"> China's energy-related carbon emissions projections for the shared socioeconomic pathways — https://doi.org/10.1016/j.resconrec.2021.105456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Gridded GDP Projections Compatible With the Five SSPs (Shared Socioeconomic Pathways) — https://doi.org/10.3389/fbuil.2021.760306</w:t>
      </w:r>
    </w:p>
    <w:p>
      <w:pPr/>
      <w:r>
        <w:rPr>
          <w:b/>
        </w:rPr>
        <w:t>Shared claim-specific concepts:</w:t>
      </w:r>
      <w:r>
        <w:t xml:space="preserve"> shared, socioeconomic, pathways, ssps, climate; EU scope not established. This is a provisional connection, not an outcome finding.</w:t>
      </w:r>
    </w:p>
    <w:p>
      <w:pPr>
        <w:pStyle w:val="SourceNote"/>
      </w:pPr>
      <w:r>
        <w:rPr>
          <w:b/>
        </w:rPr>
        <w:t>Available abstract (not full text):</w:t>
      </w:r>
      <w:r>
        <w:t xml:space="preserve"> Historical and future spatially explicit population and gross domestic product (GDP) data are essential for the analysis of future climate risks. Unlike population projections that are generally available, GDP projections—particularly for scenarios compatible with shared socioeconomic pathways (SSPs)—are limited. Our objective is to perform a high-resolution and long-term GDP estimation under SSPs utilizing a wide variety of geographic auxiliary information. We estimated the GDP in a 1/12-degree grid scale. The estimation is done through downscaling of historical GDP data for 1850–2010 and SSP future scenario data for 2010–2100. In the downscaling, we first modeled the spatial and economic interactions among cities and projected different future urban growth patterns according to the SSPs. Subsequently, the projected patterns and other auxiliary geographic data were used to estimate the gridded GDP distributions. Finally, the GDP projections were visualized via three-dimensional mapping to enhance the clarity for multiple stakeholders. Our results suggest that the spatial pattern of urban and peri-urban GDP depends considerably on the SSPs; the GDP of the existing major cities grew rapidly under SSP1, moderately grew under SSP 2 and SSP4, slowly grew under SSP3, and dispersed growth under SSP5.</w:t>
      </w:r>
    </w:p>
    <w:p>
      <w:pPr>
        <w:pStyle w:val="Heading2"/>
      </w:pPr>
      <w:r>
        <w:t>760.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r>
        <w:rPr>
          <w:b/>
        </w:rPr>
        <w:t>POSSIBLE 2024:</w:t>
      </w:r>
      <w:r>
        <w:t xml:space="preserve"> Seasonal Trend Analysis of Major Air Pollutant (PM2:5 and PM10) Concentration in Visakhapatnam During 2020 – 2022: A Case Study — https://doi.org/10.17485/ijst/v17i3.2549</w:t>
      </w:r>
    </w:p>
    <w:p>
      <w:pPr/>
      <w:r>
        <w:rPr>
          <w:b/>
        </w:rPr>
        <w:t>Shared claim-specific concepts:</w:t>
      </w:r>
      <w:r>
        <w:t xml:space="preserve"> concentrations, pm2, decrease, range; EU scope not established. This is a provisional connection, not an outcome finding.</w:t>
      </w:r>
    </w:p>
    <w:p>
      <w:pPr>
        <w:pStyle w:val="SourceNote"/>
      </w:pPr>
      <w:r>
        <w:rPr>
          <w:b/>
        </w:rPr>
        <w:t>Available abstract (not full text):</w:t>
      </w:r>
      <w:r>
        <w:t xml:space="preserve"> Objective: The main objective of the present study is to analyze the seasonal variations of major particulate air pollutants (PM2.5 and PM10) from January 2020 to December 2022 in the industrially developed Visakhapatnam City and its comparison with previous existing studies from January 2018 - December 2020. Methods: The real-time daily mass concentrations of air pollutants in Visakhapatnam recorded by the Central Pollution Control Board (CPCB) are collected for the present study. The monthly average observations of pollutants such as PM2.5, PM10, and PM2.5/PM10 in each season are considered for the present study, and pollutants trends are studied from January 2020 - December 2022. The fine particles below 100μm (RSPM) and coarse particles &gt; 100μm (TSPM) are treated as primary pollutants and pollutant concentration is determined based on prevailing meteorological and topographic factors. In the present study, the pollutant intensity is analyzed using the Pearson correlation coefficient for various seasons. Similarly, statistical analysis is also implemented on particulate air pollutants (PM2.5 and PM10) from January 2020 to December 2022. Findings: From Table 1 PM2.5 levels fall within the range of 16 - 96 μg/m3 and the minimum PM2.5 level is in April 2020 and maximum in December 2020. According to AQI standards, moderate pollution indicates the fall of the PM10 levels within </w:t>
      </w:r>
    </w:p>
    <w:p>
      <w:pPr/>
      <w:r>
        <w:rPr>
          <w:b/>
        </w:rPr>
        <w:t>POSSIBLE 2024:</w:t>
      </w:r>
      <w:r>
        <w:t xml:space="preserve"> Trends in Air Pollution in Europe, 2000–2019 — https://doi.org/10.4209/aaqr.230237</w:t>
      </w:r>
    </w:p>
    <w:p>
      <w:pPr/>
      <w:r>
        <w:rPr>
          <w:b/>
        </w:rPr>
        <w:t>Shared claim-specific concepts:</w:t>
      </w:r>
      <w:r>
        <w:t xml:space="preserve"> concentrations, pm2, show, significant;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pm2, show, larger, not, significant, used;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761.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2023:</w:t>
      </w:r>
      <w:r>
        <w:t xml:space="preserve"> Spatial planning systems in Europe — https://doi.org/10.2298/gsgd2302177t</w:t>
      </w:r>
    </w:p>
    <w:p>
      <w:pPr/>
      <w:r>
        <w:rPr>
          <w:b/>
        </w:rPr>
        <w:t>Shared claim-specific concepts:</w:t>
      </w:r>
      <w:r>
        <w:t xml:space="preserve"> national, system; EU scope visible. This is a provisional connection, not an outcome finding.</w:t>
      </w:r>
    </w:p>
    <w:p>
      <w:pPr>
        <w:pStyle w:val="SourceNote"/>
      </w:pPr>
      <w:r>
        <w:rPr>
          <w:b/>
        </w:rPr>
        <w:t>Available abstract (not full text):</w:t>
      </w:r>
      <w:r>
        <w:t xml:space="preserve"> The paper aims to present the most significant classifications of spatial planning systems and territorial management in Europe. After the first attempts, from the end of the last century, at the beginning of the new millennium, extensive analyses of the spatial planning system were carried out through several ESPON projects. Their results were based on the dominance of one of four approaches: urbanism, land use, regional-economic or comprehensive integrated planning. Some countries have a combination of two or three approaches. The second research also refers to the development trends observed in the national systems of territorial management and spatial planning. Recent research include the classification of states according to the way of management, the level of integration of sectoral policies, the degree of adaptability in planning, as well as the degree of engagement of citizens in the planning process. Knowing the basic characteristics of the spatial planning system, as well as the classifications based on them, creates a clearer perspective of spatial planning as a socially important activity and makes it easier for every country to review and improve its planning practice.</w:t>
      </w:r>
    </w:p>
    <w:p>
      <w:pPr/>
      <w:r>
        <w:rPr>
          <w:b/>
        </w:rPr>
        <w:t>POSSIBLE 2022:</w:t>
      </w:r>
      <w:r>
        <w:t xml:space="preserve"> Understanding Public Support for European Protected Areas: A Review of the Literature and Proposing a New Approach for Policy Makers — https://doi.org/10.3390/land11050733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Cancer-related cognitive impairment in non-CNS cancer patients: Targeted review and future action plans in Europe — https://doi.org/10.1016/j.critrevonc.2022.103859</w:t>
      </w:r>
    </w:p>
    <w:p>
      <w:pPr/>
      <w:r>
        <w:rPr>
          <w:b/>
        </w:rPr>
        <w:t>Shared claim-specific concepts:</w:t>
      </w:r>
      <w:r>
        <w:t xml:space="preserve"> plans, system; EU scope visible. This is a provisional connection, not an outcome finding.</w:t>
      </w:r>
    </w:p>
    <w:p>
      <w:pPr>
        <w:pStyle w:val="SourceNote"/>
      </w:pPr>
      <w:r>
        <w:rPr>
          <w:b/>
        </w:rPr>
        <w:t>Available abstract (not full text):</w:t>
      </w:r>
      <w:r>
        <w:t xml:space="preserve"> Cancer-related cognitive impairment (CRCI) has increasingly been identified over the last two decades in non-CNS system cancer patients. Across Europe, researchers have contributed to this effort by developing preclinical models, exploring underlying mechanisms and assessing cognitive and quality of life changes. The ultimate goal is to develop interventions to treat patients experiencing CRCI. To do so, new challenges need to be addressed requiring the implementation of multidisciplinary research groups. In this consensus paper, we summarize the state of the art in the field of CRCI combined with the future challenges and action plans in Europe. These challenges include data sharing/pooling, standardization of assessments as well as assessing additional biomarkers and neuroimaging investigations, notably through translational studies. We conclude this position paper with specific actions for Europe based on shared scientific expert opinion and stakeholders involved in the Innovative Partnership for Action Against Cancer, with a particular focus on cognitive intervention programs.</w:t>
      </w:r>
    </w:p>
    <w:p>
      <w:pPr/>
      <w:r>
        <w:rPr>
          <w:b/>
        </w:rPr>
        <w:t>POSSIBLE 2021:</w:t>
      </w:r>
      <w:r>
        <w:t xml:space="preserve"> SCOPE 2021: a new scorecard for osteoporosis in Europe — https://doi.org/10.1007/s11657-020-00871-9</w:t>
      </w:r>
    </w:p>
    <w:p>
      <w:pPr/>
      <w:r>
        <w:rPr>
          <w:b/>
        </w:rPr>
        <w:t>Shared claim-specific concepts:</w:t>
      </w:r>
      <w:r>
        <w:t xml:space="preserve"> system, relation; EU scope visible. This is a provisional connection, not an outcome finding.</w:t>
      </w:r>
    </w:p>
    <w:p>
      <w:pPr>
        <w:pStyle w:val="SourceNote"/>
      </w:pPr>
      <w:r>
        <w:rPr>
          <w:b/>
        </w:rPr>
        <w:t>Available abstract (not full text):</w:t>
      </w:r>
      <w:r>
        <w:t xml:space="preserve"> This scorecard summarises key indicators of the burden of osteoporosis and its management in the 27 member states of the European Union, as well as the UK and Switzerland. The resulting scorecard elements, assembled on a single sheet, provide a unique overview of osteoporosis in Europe. INTRODUCTION: The scorecard for osteoporosis in Europe (SCOPE) is a project of the International Osteoporosis Foundation (IOF) that seeks to raise awareness of osteoporosis care in Europe. The aim of this project was to develop a scorecard and background documents to draw attention to gaps and inequalities in the provision of primary and secondary prevention of fractures due to osteoporosis. METHODS: The SCOPE panel reviewed the information available on osteoporosis and the resulting fractures for each of the 27 countries of the European Union plus the UK and Switzerland (termed EU27+2). The information obtained covered four domains: background information (e.g. the burden of osteoporosis and fractures), policy framework, service provision and service uptake, e.g. the proportion of men and women at high risk that do not receive treatment (the treatment gap). RESULTS: There was a marked difference in fracture risk among the EU27+2 countries. Of concern was the marked heterogeneity in the policy framework, service provision and service uptake for osteoporotic fracture that bore little relation to </w:t>
      </w:r>
    </w:p>
    <w:p>
      <w:pPr/>
      <w:r>
        <w:rPr>
          <w:b/>
        </w:rPr>
        <w:t>POSSIBLE 2021:</w:t>
      </w:r>
      <w:r>
        <w:t xml:space="preserve"> Building Mental Health and Psychosocial Support Capacity During a Pandemic: The Process of Adapting Problem Management Plus for Remote Training and Implementation During COVID-19 in New York City, Europe and East Africa — https://doi.org/10.4103/intv.intv_30_20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On March 11, 2020, COVID-19 was declared a pandemic by the World Health Organization. In response to the sudden rise in COVID-19-related mental health and psychosocial impacts, we embarked on a digital training (e-learning) and remote delivery adaptation for Problem Management Plus Training for Helpers (Remote PM+ Training) based in New York City, four European countries and six African countries. This paper provides an overview of the two Remote PM+ Trainings, including key adaptations and lessons learned across the contexts. Trainings were approximately 75 hours in duration, with a mix of group and individual work, in diverse contexts. Overall, remotely delivered PM+ training and intervention appear appropriate. There were a number of critical lessons learned that contributed to the efficacy of the trainings, such as technological support, digital literacy, preparation and flexibility among the trainers and the trainees. There is also a need for cultural and contextual adaptation towards the delivery of remote training and implementation of PM+. However, the outcomes from these two trainings indicate that PM+ may be adapted for remote (online) training and, if supported with additional studies, could build workforce capacity in contexts in which there is limited in-person access to mental health and psychosocial support services and staff.</w:t>
      </w:r>
    </w:p>
    <w:p>
      <w:pPr/>
      <w:r>
        <w:rPr>
          <w:b/>
        </w:rPr>
        <w:t>POSSIBLE 2020:</w:t>
      </w:r>
      <w:r>
        <w:t xml:space="preserve"> New guidance on the regulation of allergen products: key aspects and outcomes — https://doi.org/10.1097/aci.0000000000000687</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PURPOSE OF REVIEW: Key aspects and outcomes from the recently published guidance on the regulation of allergen products are summarized. RECENT FINDINGS: A new regulatory guideline has been published to enhance harmonized national approaches on the regulation of allergen products and thereby strengthen the availability of high-quality products across the European Union (EU). As the guideline was developed, critical aspects for allergen products regulation were identified and are discussed in the document, including recommendations on the regulatory procedures to be applied for diagnostics, allergen immunotherapy products and named-patient products. SUMMARY: The new guidance is expected to provide clarifications on and support harmonization of the regulation of allergen products in the EU.</w:t>
      </w:r>
    </w:p>
    <w:p>
      <w:pPr/>
      <w:r>
        <w:rPr>
          <w:b/>
        </w:rPr>
        <w:t>POSSIBLE 2019:</w:t>
      </w:r>
      <w:r>
        <w:t xml:space="preserve"> Renewable energy in the European Union: support policy and outcomes — https://doi.org/10.33531/farplss.2019.1.23</w:t>
      </w:r>
    </w:p>
    <w:p>
      <w:pPr/>
      <w:r>
        <w:rPr>
          <w:b/>
        </w:rPr>
        <w:t>Shared claim-specific concepts:</w:t>
      </w:r>
      <w:r>
        <w:t xml:space="preserve"> outcomes, support, energy; EU scope visible. This is a provisional connection, not an outcome finding.</w:t>
      </w:r>
    </w:p>
    <w:p>
      <w:pPr>
        <w:pStyle w:val="SourceNote"/>
      </w:pPr>
      <w:r>
        <w:rPr>
          <w:b/>
        </w:rPr>
        <w:t>Available abstract (not full text):</w:t>
      </w:r>
      <w:r>
        <w:t xml:space="preserve"> The article deals with the study of support schemes for renewable energy promotion in the European Union member states. The main strategic documents that declare short-term and long-term goals to increase the share of green energy in final energy consumption of the European Union are considered. The primary motivational mechanisms aimed at encouraging the production of energy from renewable energy sources, namely feed-in tariff models, feed-in premium model, and tradable green certificate scheme are analyzed. In addition, a number of secondary motivational tools such as tender systems, net metering, tax and customs privileges which are used in combination with the primary mechanisms for more effective promotion of renewable energy are described. The results of the influence of policy in renewable energy field on increasing the share of green energy in the total energy mixes of European Union member states are presented.</w:t>
      </w:r>
    </w:p>
    <w:p>
      <w:pPr/>
      <w:r>
        <w:rPr>
          <w:b/>
        </w:rPr>
        <w:t>POSSIBLE 2019:</w:t>
      </w:r>
      <w:r>
        <w:t xml:space="preserve"> The ‘New’ national development planning and global development goals: Processes and partnerships — https://doi.org/10.1016/j.worlddev.2019.03.013</w:t>
      </w:r>
    </w:p>
    <w:p>
      <w:pPr/>
      <w:r>
        <w:rPr>
          <w:b/>
        </w:rPr>
        <w:t>Shared claim-specific concepts:</w:t>
      </w:r>
      <w:r>
        <w:t xml:space="preserve"> national, plans; EU scope not established. This is a provisional connection, not an outcome finding.</w:t>
      </w:r>
    </w:p>
    <w:p>
      <w:pPr>
        <w:pStyle w:val="SourceNote"/>
      </w:pPr>
      <w:r>
        <w:rPr>
          <w:b/>
        </w:rPr>
        <w:t>Available abstract (not full text):</w:t>
      </w:r>
      <w:r>
        <w:t xml:space="preserve"> The number of countries with a national development plan has more than doubled, from about 62 in 2006 to 134 in 2018. More than 80 per cent of the global population now lives in a country with a national development plan of one form or another. This is a stunning recovery of a practice that had been discredited in the 1980s and 1990s as a relic of directed economies and state-led development. Several factors have fostered this re-emergence but from about 2015 the momentum for producing plans has accelerated, driven in part by a need to plan for the Sustainable Development Goals (SDGs). Based on an analysis of 107 national development plans, and drawing insights from 10 case study countries, this paper analyses ‘new’ national development planning and identifies the types and content of the plans, and their implications for the sustainable development agenda. The paper generates a typology of the new national plans, analyses their characteristics and explores the ways in which the new national development planning and the SDGs may interact. The study finds greater ownership and political control of the processes leading to plan production. It also finds that the plans vary in terms of the evidence used, the degree of internal consistency between different parts of the same plan, the process of developing the plan (inclusive or elite-driven), and the extent to which they are clear</w:t>
      </w:r>
    </w:p>
    <w:p>
      <w:pPr>
        <w:pStyle w:val="Heading2"/>
      </w:pPr>
      <w:r>
        <w:t>762.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2023:</w:t>
      </w:r>
      <w:r>
        <w:t xml:space="preserve"> Impact of Digital Transformation on the Spatial Organization of Nonfood Retail in a Russian City — https://doi.org/10.1134/s2079970523700910</w:t>
      </w:r>
    </w:p>
    <w:p>
      <w:pPr/>
      <w:r>
        <w:rPr>
          <w:b/>
        </w:rPr>
        <w:t>Shared claim-specific concepts:</w:t>
      </w:r>
      <w:r>
        <w:t xml:space="preserve"> nonfood, abstract; EU scope not established. This is a provisional connection, not an outcome finding.</w:t>
      </w:r>
    </w:p>
    <w:p>
      <w:pPr>
        <w:pStyle w:val="SourceNote"/>
      </w:pPr>
      <w:r>
        <w:rPr>
          <w:b/>
        </w:rPr>
        <w:t>Available abstract (not full text):</w:t>
      </w:r>
      <w:r>
        <w:t xml:space="preserve"> Abstract — The objective of this study is to reveal what has changed under the influence of digital transformation in the “physical” spatial structure of the retail/purchase process in connection with the emergence of a choice between online and offline “spaces,” or environments, as well as how e-commerce has changed the “physical” spatial principles of organizing nonfood retail in a Russian city with a case study of St. Petersburg. The principles of placement of new e-commerce facilities were analyzed by comparing various shopping models and spatiotemporal systems formed by them, including specific objects (warehouses-stores, warehouses-distributors, order pickup points and parcel terminals), features of interaction between retail actors and transport and logistics flows in the city. Two opposing trends in the placement of new types of retail facilities are described: towards the transfer of the trading function to non-trading premises and the transfer of the non-trading retail function to retail premises. They create spatial competition with traditional retail as well as a new hierarchical competition with office and warehouse business types. The trend towards retail infrastructure for durable goods to be within walking distance means the rollout of a new type of competition for locations: with FMCG sellers. The fact that in delivery the logistics of the “last mile” passes fr</w:t>
      </w:r>
    </w:p>
    <w:p>
      <w:pPr/>
      <w:r>
        <w:rPr>
          <w:b/>
        </w:rPr>
        <w:t>POSSIBLE 2022:</w:t>
      </w:r>
      <w:r>
        <w:t xml:space="preserve"> A review of product safety regulations in the European Union — https://doi.org/10.1365/s43439-022-00057-8</w:t>
      </w:r>
    </w:p>
    <w:p>
      <w:pPr/>
      <w:r>
        <w:rPr>
          <w:b/>
        </w:rPr>
        <w:t>Shared claim-specific concepts:</w:t>
      </w:r>
      <w:r>
        <w:t xml:space="preserve"> nonfood, technologies, union, based; EU scope visible. This is a provisional connection, not an outcome finding.</w:t>
      </w:r>
    </w:p>
    <w:p>
      <w:pPr>
        <w:pStyle w:val="SourceNote"/>
      </w:pPr>
      <w:r>
        <w:rPr>
          <w:b/>
        </w:rPr>
        <w:t>Available abstract (not full text):</w:t>
      </w:r>
      <w:r>
        <w:t xml:space="preserve"> Product safety has been a concern in Europe ever since the early 1960s. Despite the long and relatively stable historical lineage of product safety regulations, new technologies, changes in the world economy, and other major transformations have in recent years again brought product safety to the forefront of policy debates. As reforms are also underway, there is a motivation to review the complex safety policy framework in the European Union (EU). Thus, building on deliberative policy analysis and an interpretative literature review, this paper reviews the safety policy for nonfood consumer products in the EU. The review covers the historical background and the main laws, administration and enforcement, standardization and harmonization, laws enacted for specific products, notifications delivered by national safety authorities, recalls of dangerous products, and the liability of these. Based on the review and analysis of these themes and the associated literature, some current policy challenges are further discussed.</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show, present, renewable, fuel, union;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2022:</w:t>
      </w:r>
      <w:r>
        <w:t xml:space="preserve"> A Review on Supply Costs and Prices of Residual Biomass in Techno-Economic Models for Europe — https://doi.org/10.3390/su14127473</w:t>
      </w:r>
    </w:p>
    <w:p>
      <w:pPr/>
      <w:r>
        <w:rPr>
          <w:b/>
        </w:rPr>
        <w:t>Shared claim-specific concepts:</w:t>
      </w:r>
      <w:r>
        <w:t xml:space="preserve"> show, provided, based; EU scope visible. This is a provisional connection, not an outcome finding.</w:t>
      </w:r>
    </w:p>
    <w:p>
      <w:pPr>
        <w:pStyle w:val="SourceNote"/>
      </w:pPr>
      <w:r>
        <w:rPr>
          <w:b/>
        </w:rPr>
        <w:t>Available abstract (not full text):</w:t>
      </w:r>
      <w:r>
        <w:t xml:space="preserve"> This review paper aims to investigate the supply costs and prices for biogenic residues, wastes and by-products for Europe that are used as key economic parameters for techno-economic analyses in the relevant literature. The scope of the paper is to show: (i) which information on costs and prices is used in techno-economic models; (ii) which sources these monetary values are based on; and (iii) whether these values are able to be compared and classified. The methodology employed in this review paper is a systematic evaluation of the supply costs and prices for residual biomass used as the basis for techno-economic analyses in the literature. Three evaluation criteria (COST TYPE, TIME PERIOD and COST SCOPE) are used to operationalise the scope of the delivery, the time frame and the spatial resolution of the monetary values. The pricing and cost variables UNIT and BIOMASS are also studied. The results show that the supply costs and pricing differ in terms of the units used, the scope of the delivery and the spatial scale, making it difficult to compare individual studies or transfer the findings to other use cases. The costs and pricing examined range from 0.00 EUR/Mg (dm) for “bio-waste from private households” to a regional value of 1097.02 EUR/Mg (dm) for “woody biomass from vineyards”. They are rarely based on cost calculations or price analyses over a period of several year</w:t>
      </w:r>
    </w:p>
    <w:p>
      <w:pPr/>
      <w:r>
        <w:rPr>
          <w:b/>
        </w:rPr>
        <w:t>POSSIBLE 2021:</w:t>
      </w:r>
      <w:r>
        <w:t xml:space="preserve"> An integrated life cycle and water footprint assessment of nonfood crops based bioenergy production — https://doi.org/10.1038/s41598-021-83061-y</w:t>
      </w:r>
    </w:p>
    <w:p>
      <w:pPr/>
      <w:r>
        <w:rPr>
          <w:b/>
        </w:rPr>
        <w:t>Shared claim-specific concepts:</w:t>
      </w:r>
      <w:r>
        <w:t xml:space="preserve"> nonfood, technologies, based; EU scope not established. This is a provisional connection, not an outcome finding.</w:t>
      </w:r>
    </w:p>
    <w:p>
      <w:pPr>
        <w:pStyle w:val="SourceNote"/>
      </w:pPr>
      <w:r>
        <w:rPr>
          <w:b/>
        </w:rPr>
        <w:t>Available abstract (not full text):</w:t>
      </w:r>
      <w:r>
        <w:t xml:space="preserve"> Biomass gasification, especially distribution to power generation, is considered as a promising way to tackle global energy and environmental challenges. However, previous researches on integrated analysis of the greenhouse gases (GHG) abatement potentials associated with biomass electrification are sparse and few have taken the freshwater utilization into account within a coherent framework, though both energy and water scarcity are lying in the central concerns in China's environmental policy. This study employs a Life cycle assessment (LCA) model to analyse the actual performance combined with water footprint (WF) assessment methods. The inextricable trade-offs between three representative energy-producing technologies are explored based on three categories of non-food crops (maize, sorghum and hybrid pennisetum) cultivated in marginal arable land. WF results demonstrate that the Hybrid pennisetum system has the largest impact on the water resources whereas the other two technology options exhibit the characteristics of environmental sustainability. The large variances in contribution ratio between the four sub-processes in terms of total impacts are reflected by the LCA results. The Anaerobic Digestion process is found to be the main contributor whereas the Digestate management process is shown to be able to effectively mitigate the negative environmental impacts with an ab</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increase, present;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2021:</w:t>
      </w:r>
      <w:r>
        <w:t xml:space="preserve"> Mixing degree, stand density, and water supply can increase the overyielding of mixed versus monospecific stands in Central Europe — https://doi.org/10.1016/j.foreco.2021.119741</w:t>
      </w:r>
    </w:p>
    <w:p>
      <w:pPr/>
      <w:r>
        <w:rPr>
          <w:b/>
        </w:rPr>
        <w:t>Shared claim-specific concepts:</w:t>
      </w:r>
      <w:r>
        <w:t xml:space="preserve"> show, increase, based; EU scope visible. This is a provisional connection, not an outcome finding.</w:t>
      </w:r>
    </w:p>
    <w:p>
      <w:pPr>
        <w:pStyle w:val="SourceNote"/>
      </w:pPr>
      <w:r>
        <w:rPr>
          <w:b/>
        </w:rPr>
        <w:t>Available abstract (not full text):</w:t>
      </w:r>
      <w:r>
        <w:t xml:space="preserve"> Tree species mixtures can overyield monospecific stands and provide many other advantageous regulating and provisioning ecosystem services. So far, the effect of mixing on growth were mostly described at the individual tree level or cumulatively at the stand level. How overyielding emerges from the mixing pattern, how it is modulated by the current environmental conditions, and how overyielding develops with progressing stand age is largely unexplored. However, such knowledge might promote the silvicultural design of mixed stands. Here, we use 50 long-term experimental plots in Germany with repeated spatially explicit stand inventories. They cover monospecific and mixed species stands of Norway spruce (Picea abies [L.] Karst.) and European beech (Fagus sylvatica L.), sessile oak (Quercus petraea [Matt.] Liebl.) and European beech, and Scots pine (Pinus sylvestris L.) and European beech. The stands represent medium to very good site conditions, fully to moderately thinned 15–238 years-old stands with mixing patterns ranging from single-tree and group-mixture to monospecific stands. The main hypothesis is that mixing pattern, environmental conditions, and stand age modulate the stand growth and overyielding of mixed versus monospecific stands. Based on metrics of mixing the mixing pattern and indices of environmental conditions we show that mixed stands of European beech were on </w:t>
      </w:r>
    </w:p>
    <w:p>
      <w:pPr>
        <w:pStyle w:val="Heading2"/>
      </w:pPr>
      <w:r>
        <w:t>763.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2024:</w:t>
      </w:r>
      <w:r>
        <w:t xml:space="preserve"> Methodologies for the design of positive energy districts: A scoping literature review and a proposal for a new approach (PlanPED) — https://doi.org/10.1016/j.buildenv.2024.111667</w:t>
      </w:r>
    </w:p>
    <w:p>
      <w:pPr/>
      <w:r>
        <w:rPr>
          <w:b/>
        </w:rPr>
        <w:t>Shared claim-specific concepts:</w:t>
      </w:r>
      <w:r>
        <w:t xml:space="preserve"> design, approach, then; EU scope visible. This is a provisional connection, not an outcome finding.</w:t>
      </w:r>
    </w:p>
    <w:p>
      <w:pPr>
        <w:pStyle w:val="SourceNote"/>
      </w:pPr>
      <w:r>
        <w:rPr>
          <w:b/>
        </w:rPr>
        <w:t>Available abstract (not full text):</w:t>
      </w:r>
      <w:r>
        <w:t xml:space="preserve"> Cities can substantially contribute to European Green Deal targets by accelerating their transition towards smarter, more efficient, and renewable-based energy models. In that context, European cities need to increase their self-sufficiency and the resilience of their energy system especially through the promotion of district and neighbourhood scale energy projects such as positive energy districts (PEDs). Despite the increasing interest for PEDs experienced in the last years, their deployment is currently hindered by the absence of an energy planning culture and the lack of adequately skilled personnel in cities. Indeed, there is a strong need for practical tools and guidelines that support practitioners in the design and implementation of PEDs. In that context, the present paper introduces PlanPED, a framework for the conception of methodologies for PED planning, design, and implementation, to support municipalities in their energy transition. PlanPED aims at providing a multiple perspective approach based on the most important elements from existing methodologies. In that sense, the paper begins with an overview of the state of the art, leading to the identification of trends, gaps, and good practices of current research. Then, based on this analysis, the novel framework PlanPED is introduced. It consists of three interconnected workflows that, if followed, enables to know w</w:t>
      </w:r>
    </w:p>
    <w:p>
      <w:pPr/>
      <w:r>
        <w:rPr>
          <w:b/>
        </w:rPr>
        <w:t>POSSIBLE 2024:</w:t>
      </w:r>
      <w:r>
        <w:t xml:space="preserve"> A Methodology for Intercultural Design — https://doi.org/10.30682/diid8224j</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2023:</w:t>
      </w:r>
      <w:r>
        <w:t xml:space="preserve"> Design displacement for lifelines at fault crossings: the code-based approach for Europe — https://doi.org/10.1007/s10518-023-01813-9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Abstract The earthquake-resistant design of lifelines, such as pipelines, tunnels and bridges, is based on the reliable representation and estimation of the seismic loading. In the case of lifeline–fault crossings, the design fault displacement is typically derived from estimates based on fault dimensions via empirical fault scaling relations for a given “design” scenario event. This approach comes with an unknown level of safety because the fault productivity and the actual distribution of earthquake events are essentially disregarded. To overcome this challenge, a simplified approach is proposed by statistically analyzing the outcome of probabilistic fault displacement hazard analyses (PFDHAs). A selection of faults from the 2020 European Fault-Source Model is used to build the logic tree and to set the range of parameters considered in the PFDHAs. The methodology allows the (mostly conservative) approximation of the fault displacement corresponding to any given return period based on readily available data, namely fault productivity, fault mechanism, fault length, and lifeline crossing location on the fault. The proposed methodology has been proposed and adopted as an informative Annex in prEN 1998-4:2022.</w:t>
      </w:r>
    </w:p>
    <w:p>
      <w:pPr/>
      <w:r>
        <w:rPr>
          <w:b/>
        </w:rPr>
        <w:t>POSSIBLE 2023:</w:t>
      </w:r>
      <w:r>
        <w:t xml:space="preserve"> A Novel Integrated Design Methodology for Nature-Based Solutions and Soil and Water Bioengineering Interventions: The Tardio&amp;Mickovski Methodology — https://doi.org/10.3390/su15043044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 methodology for designing nature-based solutions (NBS) and soil and water bioengineering (SWB) works is proposed which includes the main particularities of this type of intervention. The dynamic nature of NBS/SWB works, their most important changes and possible critical scenarios are reflected in the proposed methodology. A clear and practical time framework for design checks is also defined. Existing structural design routines and plant root reinforcement models are integrated into the proposed time staged scheme. Likewise, the connections with the monitoring stage and the possibilities of continuous improvement are incorporated as an essential characteristic of the approach of this type of intervention. The proposed methodology is validated by means of a practical case study example embracing the whole service life of an SWB/NBS intervention. The obtained results are in good agreement with both the accumulated experience within the European SWB sector and the existing data collected in SWB monitoring works. The proposed methodology can be readily implemented in a wide range of nature restoration projects and works.</w:t>
      </w:r>
    </w:p>
    <w:p>
      <w:pPr/>
      <w:r>
        <w:rPr>
          <w:b/>
        </w:rPr>
        <w:t>POSSIBLE 2023:</w:t>
      </w:r>
      <w:r>
        <w:t xml:space="preserve"> Methodological approach for an Atlas of architectural design in built heritage: contributions of the School of Porto — https://doi.org/10.1108/jchmsd-08-2023-0131</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This research seeks to provide methodological bases for the identification, documentation and critical reflection of good practices of architectural design in built heritage. These are applied explicitly to the School of Porto architects, which express a high sense of pedagogy and community practice in this field. The methodological approach defines the selection criteria for a georeferenced inventory and the procedures for in-depth analysis of adaptive reuse strategies. Design/methodology/approach The works included in the inventory were selected according to geographical, chronological, typological, qualitative and quantitative criteria. The cases chosen for in-depth analysis have been studied along four thematic axes to dissect all the intervention processes (previous state, design/construction and final state). This approach is supported by a cross-analysis of different sources (oral, written, graphic) and using drawing as a fundamental research tool. Findings The research has collected and disseminated up to 150 works by 44 architects, providing a comprehensive portrait of heritage intervention by the School of Porto over the past decades. The selection of 22 buildings for in-depth documentation reveals a particular sensibility toward the cultural values through a case-by-case approach based in deep knowledge of the preexisting context and the introduction of conte</w:t>
      </w:r>
    </w:p>
    <w:p>
      <w:pPr/>
      <w:r>
        <w:rPr>
          <w:b/>
        </w:rPr>
        <w:t>POSSIBLE 2023:</w:t>
      </w:r>
      <w:r>
        <w:t xml:space="preserve"> Delphi Method — https://doi.org/10.54120/jost.0000014</w:t>
      </w:r>
    </w:p>
    <w:p>
      <w:pPr/>
      <w:r>
        <w:rPr>
          <w:b/>
        </w:rPr>
        <w:t>Shared claim-specific concepts:</w:t>
      </w:r>
      <w:r>
        <w:t xml:space="preserve"> approach, delphi, method, anonymous, experts; EU scope not established. This is a provisional connection, not an outcome finding.</w:t>
      </w:r>
    </w:p>
    <w:p>
      <w:pPr>
        <w:pStyle w:val="SourceNote"/>
      </w:pPr>
      <w:r>
        <w:rPr>
          <w:b/>
        </w:rPr>
        <w:t>Available abstract (not full text):</w:t>
      </w:r>
      <w:r>
        <w:t xml:space="preserve"> In this chapter the Delphi method, a dialectical and consensus seeking approach, is applied to management research in ambiguous and uncertain situations. The Delphi method is essentially a process in which responses from many rounds of questions are sent to a group of leaders or experts. This happens for several iterations, and the responses are anonymous and also aggregated prior to sharing in each round. Notably, the leaders/ experts alter their response to the same questions after each round - largely due to the responses they have seen from the larger group. In sum, this process is believed to eventually create consensus as to the correct response for each question.</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delphi, method, anonymous;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2022:</w:t>
      </w:r>
      <w:r>
        <w:t xml:space="preserve"> Co-Design of Augmented Reality Games for Learning with Teachers: A methodological approach — https://doi.org/10.21203/rs.3.rs-1988443/v1</w:t>
      </w:r>
    </w:p>
    <w:p>
      <w:pPr/>
      <w:r>
        <w:rPr>
          <w:b/>
        </w:rPr>
        <w:t>Shared claim-specific concepts:</w:t>
      </w:r>
      <w:r>
        <w:t xml:space="preserve"> design, approach, method, relevant; EU scope not established. This is a provisional connection, not an outcome finding.</w:t>
      </w:r>
    </w:p>
    <w:p>
      <w:pPr>
        <w:pStyle w:val="SourceNote"/>
      </w:pPr>
      <w:r>
        <w:rPr>
          <w:b/>
        </w:rPr>
        <w:t>Available abstract (not full text):</w:t>
      </w:r>
      <w:r>
        <w:t xml:space="preserve"> Abstract Augmented Reality Game-Based Learning (ARGBL) is becoming increasingly relevant in Technology-Enhanced Learning. Games with AR characteristics, or even AR applications structured with rules and game elements, are proving to be effective and successful learning experiences. There is a need to include teachers in the design, development and implementation process as to make it more effective. In this paper, two case studies where 6 teachers participated are shown in order to validate a methodological approach for the co-design of ARGBL. This is a co-design method that proposes a thorough, iterative process guided by design principles and mediated by dialogue between the stakeholders. Here, the process of co-design with teachers is analyzed and assessed using mixed-methods observations on the use of the produced ARGBL games with students on naturalistic environments. The validation process links the usefulness of the ensuing products with the use of the method and shows the benefits of using co-design methods to create ARGBL experiences.</w:t>
      </w:r>
    </w:p>
    <w:p>
      <w:pPr>
        <w:pStyle w:val="Heading2"/>
      </w:pPr>
      <w:r>
        <w:t>764.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policies, both, national;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also, important, deployment, renewable, energy;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Social Investment, Redistribution or Basic Income? Exploring the Association Between Automation Risk and Welfare State Attitudes in Europe — https://doi.org/10.1017/s0047279421000519</w:t>
      </w:r>
    </w:p>
    <w:p>
      <w:pPr/>
      <w:r>
        <w:rPr>
          <w:b/>
        </w:rPr>
        <w:t>Shared claim-specific concepts:</w:t>
      </w:r>
      <w:r>
        <w:t xml:space="preserve"> also, policies; EU scope visible. This is a provisional connection, not an outcome finding.</w:t>
      </w:r>
    </w:p>
    <w:p>
      <w:pPr>
        <w:pStyle w:val="SourceNote"/>
      </w:pPr>
      <w:r>
        <w:rPr>
          <w:b/>
        </w:rPr>
        <w:t>Available abstract (not full text):</w:t>
      </w:r>
      <w:r>
        <w:t xml:space="preserve"> Abstract Rapid technological change – the digitalization and automation of work – is challenging contemporary welfare states. Most of the existing research, however, focuses on its effect on labor market outcomes, such as employment or wage levels. In contrast, this paper studies the implications of technological change for welfare state attitudes and preferences. Compared to previous work on this topic, this paper adopts a much broader perspective regarding different kinds of social policy. Using data from the European Social Survey, we find that individual automation risk is positively associated with support for redistribution, but negatively with support for social investment policies (partly depending on the specific measure of automation risk that is used), while there is no statistically significant association with support for basic income. We also find a moderating effect of the overall size of the welfare state on the micro-level association between risk and preferences.</w:t>
      </w:r>
    </w:p>
    <w:p>
      <w:pPr/>
      <w:r>
        <w:rPr>
          <w:b/>
        </w:rPr>
        <w:t>POSSIBLE 2020:</w:t>
      </w:r>
      <w:r>
        <w:t xml:space="preserve"> Exploring Young Europeans’ Homeownership Opportunities — https://doi.org/10.13060/23362839.2020.7.1.506</w:t>
      </w:r>
    </w:p>
    <w:p>
      <w:pPr/>
      <w:r>
        <w:rPr>
          <w:b/>
        </w:rPr>
        <w:t>Shared claim-specific concepts:</w:t>
      </w:r>
      <w:r>
        <w:t xml:space="preserve"> also, explores, important, policies; EU scope visible. This is a provisional connection, not an outcome finding.</w:t>
      </w:r>
    </w:p>
    <w:p>
      <w:pPr>
        <w:pStyle w:val="SourceNote"/>
      </w:pPr>
      <w:r>
        <w:rPr>
          <w:b/>
        </w:rPr>
        <w:t>Available abstract (not full text):</w:t>
      </w:r>
      <w:r>
        <w:t xml:space="preserve"> Even before the 2008/9-crisis but certainly afterwards, trends in labour, housing and mortgage markets combined with welfare reform, making it more difficult for each new cohort of young Europeans (25-34) to complete the transition to ‘residential independence’, particularly to become a homeowner. This paper explores ‘trends in homeownership opportunities’, using data from EU-SILC (2005-2018). It takes a broader perspective by exploring trends in its social selectivity, as well as changes in the ‘attributes’ of homeownership over time. Young adults’ homeownership opportunities have declined almost everywhere in Europe, but to varying extents. Furthermore, a more socially selective group of young homeowners seems to be entering properties of lower quality in locations with fewer services. Deteriorating homeownership opportunities are strongly associated with mortgage lending restrictions, indicating that trends in housing and broader financial markets/policies are important explanatory factors. I also find indications that the transition to homeownership is being pushed beyond the commonly-used age-threshold of 34 years.</w:t>
      </w:r>
    </w:p>
    <w:p>
      <w:pPr>
        <w:pStyle w:val="Heading2"/>
      </w:pPr>
      <w:r>
        <w:t>765.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r>
        <w:rPr>
          <w:b/>
        </w:rPr>
        <w:t>POSSIBLE 2024:</w:t>
      </w:r>
      <w:r>
        <w:t xml:space="preserve"> A design methodology based approach for robotic gripper design — https://openalex.org/W4391710302</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Abstract Not Provided</w:t>
      </w:r>
    </w:p>
    <w:p>
      <w:pPr/>
      <w:r>
        <w:rPr>
          <w:b/>
        </w:rPr>
        <w:t>POSSIBLE 2024:</w:t>
      </w:r>
      <w:r>
        <w:t xml:space="preserve"> Exploring a Material-Focused Design Methodology: An Innovative Approach to Pressure Vessel Design — https://doi.org/10.3390/machines12010081</w:t>
      </w:r>
    </w:p>
    <w:p>
      <w:pPr/>
      <w:r>
        <w:rPr>
          <w:b/>
        </w:rPr>
        <w:t>Shared claim-specific concepts:</w:t>
      </w:r>
      <w:r>
        <w:t xml:space="preserve"> design, methodology, approach, based, industrial, methodologies; EU scope not established. This is a provisional connection, not an outcome finding.</w:t>
      </w:r>
    </w:p>
    <w:p>
      <w:pPr>
        <w:pStyle w:val="SourceNote"/>
      </w:pPr>
      <w:r>
        <w:rPr>
          <w:b/>
        </w:rPr>
        <w:t>Available abstract (not full text):</w:t>
      </w:r>
      <w:r>
        <w:t xml:space="preserve"> The design of components and elements comprising industrial machinery, as well as those that are part of an industrial system, has been carried out in recent years using various design methodologies. Currently, the products demanded by customers, as well as the needs of different companies, governments, and individuals, require considerations beyond traditional design, including multidisciplinary aspects such as sustainability, environmental friendliness, and circular economy. The design methodologies considered for this study are the quality function deployment (QFD) methodology, the theory of inventive problem-solving methodology, Ashby’s Materials Selection methodology, and the systematic approach methodology, which are currently the main design methodologies. These methodologies present some disadvantages, such as multidisciplinary requirements not being considered directly, the selection of materials based on standards is not well established, and obtaining technical requirements is ambiguous for the technical purposes of the design or manufacturing, and the designer’s experience in these examples is important to the design process and the development of the product. For these reasons, the traditional design methodologies are presented, next, a new design methodology is proposed and described, then a case study is performed in order to compare the proposed methodology with</w:t>
      </w:r>
    </w:p>
    <w:p>
      <w:pPr/>
      <w:r>
        <w:rPr>
          <w:b/>
        </w:rPr>
        <w:t>POSSIBLE 2024:</w:t>
      </w:r>
      <w:r>
        <w:t xml:space="preserve"> Methodology for Colour Selection with Semantic Content in Product Design — https://doi.org/10.1007/978-3-031-51623-8_64</w:t>
      </w:r>
    </w:p>
    <w:p>
      <w:pPr/>
      <w:r>
        <w:rPr>
          <w:b/>
        </w:rPr>
        <w:t>Shared claim-specific concepts:</w:t>
      </w:r>
      <w:r>
        <w:t xml:space="preserve"> design, methodology, content;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A Methodology for Intercultural Design — https://doi.org/10.30682/diid8224j</w:t>
      </w:r>
    </w:p>
    <w:p>
      <w:pPr/>
      <w:r>
        <w:rPr>
          <w:b/>
        </w:rPr>
        <w:t>Shared claim-specific concepts:</w:t>
      </w:r>
      <w:r>
        <w:t xml:space="preserve"> design, methodology, approach, national;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2024:</w:t>
      </w:r>
      <w:r>
        <w:t xml:space="preserve"> A territorial design toolbox for metropolitan public space — https://doi.org/10.4324/9781003408611-27</w:t>
      </w:r>
    </w:p>
    <w:p>
      <w:pPr/>
      <w:r>
        <w:rPr>
          <w:b/>
        </w:rPr>
        <w:t>Shared claim-specific concepts:</w:t>
      </w:r>
      <w:r>
        <w:t xml:space="preserve"> design, approach, content; EU scope not established. This is a provisional connection, not an outcome finding.</w:t>
      </w:r>
    </w:p>
    <w:p>
      <w:pPr>
        <w:pStyle w:val="SourceNote"/>
      </w:pPr>
      <w:r>
        <w:rPr>
          <w:b/>
        </w:rPr>
        <w:t>Available abstract (not full text):</w:t>
      </w:r>
      <w:r>
        <w:t xml:space="preserve"> This chapter synthesises the prospective and propositive content of MetroPublicNet&amp;s;s research. It is directly linked with the project&amp;s;s central hypothesis that a Metropolitan Public Space Network strategy could be seen as a politically and technically robust tool to address sustainable urban development challenges. For that, a methodological approach to imagine, discuss, and strategically envision such network is outlined as a territorial design toolbox. The chapter is concluded with a selection of forward-looking, design-oriented forays developed at part of MetroPublicNet&amp;s;s academic partnering in urban and landscape design studios, workshops, and curricular units.</w:t>
      </w:r>
    </w:p>
    <w:p>
      <w:pPr/>
      <w:r>
        <w:rPr>
          <w:b/>
        </w:rPr>
        <w:t>POSSIBLE 2023:</w:t>
      </w:r>
      <w:r>
        <w:t xml:space="preserve"> Smart factory mapping and design: methodological approaches — https://doi.org/10.1007/s11740-023-01193-8</w:t>
      </w:r>
    </w:p>
    <w:p>
      <w:pPr/>
      <w:r>
        <w:rPr>
          <w:b/>
        </w:rPr>
        <w:t>Shared claim-specific concepts:</w:t>
      </w:r>
      <w:r>
        <w:t xml:space="preserve"> design, approach, based; EU scope not established. This is a provisional connection, not an outcome finding.</w:t>
      </w:r>
    </w:p>
    <w:p>
      <w:pPr>
        <w:pStyle w:val="SourceNote"/>
      </w:pPr>
      <w:r>
        <w:rPr>
          <w:b/>
        </w:rPr>
        <w:t>Available abstract (not full text):</w:t>
      </w:r>
      <w:r>
        <w:t xml:space="preserve"> Abstract Several studies show a demand for further transfer of Industry 4.0 concepts and technologies into practice. This paper describes how companies can be supported methodologically to identify individual opportunities for optimization within their future smart factories. Existing methods are screened, recombined, and enhanced to create a sufficient demand-oriented approach, based on the lean value stream mapping and design. The final approach covers a mapping phase of the current state and a design phase of a future state. It follows the general principle of process optimization prior to digitalization. Being a highly visual method, it can be used to explain the needs and the motivation for the identified improvement initiatives to all involved parties, including non-IT-specialists. This paper also presents an exemplary result and several learnings from tests with three companies with discrete manufacturing processes.</w:t>
      </w:r>
    </w:p>
    <w:p>
      <w:pPr>
        <w:pStyle w:val="Heading2"/>
      </w:pPr>
      <w:r>
        <w:t>766. The Future of Rural Poland: the Main Trends and Possible Scenarios.</w:t>
      </w:r>
    </w:p>
    <w:p>
      <w:pPr>
        <w:pStyle w:val="SourceNote"/>
      </w:pPr>
      <w:r>
        <w:rPr>
          <w:b/>
        </w:rPr>
        <w:t>Original source (2018):</w:t>
      </w:r>
      <w:r>
        <w:t xml:space="preserve"> https://doi.org/10.1515/eec-2017-0004</w:t>
      </w:r>
    </w:p>
    <w:p>
      <w:pPr/>
      <w:r>
        <w:t>Original wording (abstract; indexed_source_text_not_full_document_verified):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Factors Explaining Employee Retention Challenges in European SMEs — https://doi.org/10.2478/picbe-2026-0175</w:t>
      </w:r>
    </w:p>
    <w:p>
      <w:pPr/>
      <w:r>
        <w:rPr>
          <w:b/>
        </w:rPr>
        <w:t>Shared claim-specific concepts:</w:t>
      </w:r>
      <w:r>
        <w:t xml:space="preserve"> abstract, objective, significant, factors; EU scope visible. This is a provisional connection, not an outcome finding.</w:t>
      </w:r>
    </w:p>
    <w:p>
      <w:pPr>
        <w:pStyle w:val="SourceNote"/>
      </w:pPr>
      <w:r>
        <w:rPr>
          <w:b/>
        </w:rPr>
        <w:t>Available abstract (not full text):</w:t>
      </w:r>
      <w:r>
        <w:t xml:space="preserve"> Abstract The purpose of this study is to identify the characteristics at the enterprise level associated with a higher probability of challenges in retaining skilled employees among European SMEs. This topic has been approached by numerous researchers, who have revealed the significant impact that training has on workforce retention. The data used is based on Flash Eurobarometer 529, and was collected in 2023, containing information about SMEs in the European Union. Data processing and analysis were performed in R Studio, with the final dataset including 7.924 responses. To achieve the study’s objective, descriptive statistics, the Chi-Square test, and Binomial Logistic Regression with 10-fold cross-validation were applied. The study includes SMEs in the European Union from different sectors, and the results showed that organizational characteristics such as region, size, and turnover, skill-related factors, and training-related challenges are good predictors of companies likely to face retention difficulties, regardless of whether the company operates in manufacturing, industry, services or retail. To evaluate the model obtained, specific metrics such as AUC (0.73), F1 score (0.71), and accuracy (0.67) were considered, and their values indicate moderate predictive performance, although the main objective of the research is to identify the factors that explain retention challen</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AI, robots and innovation in European SMEs — https://doi.org/10.1007/s11187-025-01017-2</w:t>
      </w:r>
    </w:p>
    <w:p>
      <w:pPr/>
      <w:r>
        <w:rPr>
          <w:b/>
        </w:rPr>
        <w:t>Shared claim-specific concepts:</w:t>
      </w:r>
      <w:r>
        <w:t xml:space="preserve"> abstract, significant, factors; EU scope visible. This is a provisional connection, not an outcome finding.</w:t>
      </w:r>
    </w:p>
    <w:p>
      <w:pPr>
        <w:pStyle w:val="SourceNote"/>
      </w:pPr>
      <w:r>
        <w:rPr>
          <w:b/>
        </w:rPr>
        <w:t>Available abstract (not full text):</w:t>
      </w:r>
      <w:r>
        <w:t xml:space="preserve"> Abstract There is increasing interest in the impact of advanced digital technologies on SMEs, but the determinants of their adoption and their association with multiple innovation outcomes remain unexplored. Based on the Flash Eurobarometer 486, this paper analyses how the adoption of artificial intelligence and robots is related to European SMEs carrying out product, process, organizational and marketing innovations. Our results establish scale-ups and start-ups as the most likely adopters of these technologies and the most innovative firms. Furthermore, internal characteristics, such as internationalization and firm size, and external factors, such as the availability of digital skills and infrastructure, are significant drivers of digitalization at the firm level. In a two-stage approach, we find that the adoption of artificial intelligence and robots is associated with all innovation types, although these technologies serve more specialised objectives in manufacturing rather than in service sectors. Our results confirm a significant variability in the adoption of artificial intelligence and robots, as well as heterogeneous associations with innovation outcomes.</w:t>
      </w:r>
    </w:p>
    <w:p>
      <w:pPr/>
      <w:r>
        <w:rPr>
          <w:b/>
        </w:rPr>
        <w:t>POSSIBLE 2024:</w:t>
      </w:r>
      <w:r>
        <w:t xml:space="preserve"> An Analysis Regarding the Ultimate Outcome of Abstracts Presented at the European Paediatric Surgeons' Association Congress — https://doi.org/10.1055/a-2447-8720</w:t>
      </w:r>
    </w:p>
    <w:p>
      <w:pPr/>
      <w:r>
        <w:rPr>
          <w:b/>
        </w:rPr>
        <w:t>Shared claim-specific concepts:</w:t>
      </w:r>
      <w:r>
        <w:t xml:space="preserve"> abstract, objective, significant; EU scope visible. This is a provisional connection, not an outcome finding.</w:t>
      </w:r>
    </w:p>
    <w:p>
      <w:pPr>
        <w:pStyle w:val="SourceNote"/>
      </w:pPr>
      <w:r>
        <w:rPr>
          <w:b/>
        </w:rPr>
        <w:t>Available abstract (not full text):</w:t>
      </w:r>
      <w:r>
        <w:t xml:space="preserve"> Abstract Introduction The objective of this study is to analyze the conversion rate of abstracts presented at the European Paediatric Surgeons' Association (EUPSA) congress into full-text publications and to conduct a thorough analysis of the attributes and quality of the papers published. Materials and Methods Abstract books including the years 2017 to 2022 were reviewed. Searches on PubMed and Google Scholar, utilizing keywords from the titles and the author names, were conducted to trace subsequent full-text publications. A categorical analysis detected variations and trends, with a significance threshold of p &lt; 0.05. Quantitative data were presented as means ± standard deviations, whereas categorical data were represented as counts (n) and percentages (%). Results A total of 2,139 abstracts were presented at the EUPSA annual meetings during five consecutive congresses. The average number of presented abstracts was 427.6 ± 20.4 per year from across 63 different countries. European countries contributed the majority (71%). The presentations included both oral (n = 817, 38.2%) and poster presentations (n = 1,322, 61.8%). They predominantly focused on clinical topics (90.6%). Single-center retrospective studies were the most common study design (43.7%). Out of all abstracts presented, 1,033 (48.3%) were published within an average time interval of 1.39 ± 1.19 years after presen</w:t>
      </w:r>
    </w:p>
    <w:p>
      <w:pPr/>
      <w:r>
        <w:rPr>
          <w:b/>
        </w:rPr>
        <w:t>POSSIBLE 2024:</w:t>
      </w:r>
      <w:r>
        <w:t xml:space="preserve"> Factors associated with vaccine hesitancy against COVID-19 among adults in Europe: a descriptive study analysis applying socio-ecological framework — https://doi.org/10.1186/s13104-024-06739-2</w:t>
      </w:r>
    </w:p>
    <w:p>
      <w:pPr/>
      <w:r>
        <w:rPr>
          <w:b/>
        </w:rPr>
        <w:t>Shared claim-specific concepts:</w:t>
      </w:r>
      <w:r>
        <w:t xml:space="preserve"> abstract, objective, significant, factors; EU scope visible. This is a provisional connection, not an outcome finding.</w:t>
      </w:r>
    </w:p>
    <w:p>
      <w:pPr>
        <w:pStyle w:val="SourceNote"/>
      </w:pPr>
      <w:r>
        <w:rPr>
          <w:b/>
        </w:rPr>
        <w:t>Available abstract (not full text):</w:t>
      </w:r>
      <w:r>
        <w:t xml:space="preserve"> Abstract Objective This study aimed to explore the factors associated with Covid-19 vaccine hesitancy in Europe among adults by using the Socio-Ecological Model. Results This cross-sectional study used secondary data collected from respondents residing in 27 EU countries at the time of May 2021. The outcome was vaccine hesitancy against Covid-19, and the total sample size of 23,606 was analysed by binary logistic regression, as well as McKelvey and Zavonoia’s R2. After adding each level of variables, the model found the significant and increased association with vaccine hesitancy in younger age groups (21-39 years and 40-60 years vs 65 years+), who left full-time education at a young age (16-19 years), those with manual jobs, those with children at home, individuals residing in small towns, and norms related to the vaccine. Together, the levels explained 49.4% of the variance associated with vaccine hesitancy, and the addition to each variable layer increased the variance. This highlights the need to consider broad factors at multiple levels to enhance vaccine acceptance and uptake.</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A systematic review of environmental factors related to WNV circulation in European and Mediterranean countries — https://doi.org/10.1016/j.onehlt.2022.100478</w:t>
      </w:r>
    </w:p>
    <w:p>
      <w:pPr/>
      <w:r>
        <w:rPr>
          <w:b/>
        </w:rPr>
        <w:t>Shared claim-specific concepts:</w:t>
      </w:r>
      <w:r>
        <w:t xml:space="preserve"> objective, significant, factors, not; EU scope visible. This is a provisional connection, not an outcome finding.</w:t>
      </w:r>
    </w:p>
    <w:p>
      <w:pPr>
        <w:pStyle w:val="SourceNote"/>
      </w:pPr>
      <w:r>
        <w:rPr>
          <w:b/>
        </w:rPr>
        <w:t>Available abstract (not full text):</w:t>
      </w:r>
      <w:r>
        <w:t xml:space="preserve"> Introduction/objective: spp. are the main vectors, and birds its main vertebrate hosts. It can occasionally infect mammals, including humans. Different environmental factors can influence its distribution and transmission through its effects on vector or host populations. Our objective was to determine environmental factors associated with changes in vector distribution and WNV transmission in Europe and MR. Material &amp; methods: Systematic peer review of articles published between 2000 and 2020. We selected studies on WNV, and its vectors carried out in Europe and MR. The search included terms referring to climatic and environmental factors. Results: spp. was studied in 26 papers (40%), humans in 19 papers (29%) and host animals (mainly horses) in 16 papers (25%), whereas bird reservoirs were addressed in 5 studies (8%). A significant positive relationship was observed between changes in temperature and precipitation patterns and the epidemiology of WNV, although contrasting results were found among studies. Other factors positively related to WNV dynamics were the normalized difference vegetation index (NDVI] and expansion of anthropized habitats. Conclusion: The epidemiology of WNV seems to be related to climatic factors that are changing globally due to ongoing climate change. Unfortunately, the complete zoonotic cycle was not analyzed in most papers, making it difficult to d</w:t>
      </w:r>
    </w:p>
    <w:p>
      <w:pPr/>
      <w:r>
        <w:rPr>
          <w:b/>
        </w:rPr>
        <w:t>POSSIBLE 2023:</w:t>
      </w:r>
      <w:r>
        <w:t xml:space="preserve"> Factors affecting prevalence of physical fuctional limitation among European population — https://openalex.org/W7135778226</w:t>
      </w:r>
    </w:p>
    <w:p>
      <w:pPr/>
      <w:r>
        <w:rPr>
          <w:b/>
        </w:rPr>
        <w:t>Shared claim-specific concepts:</w:t>
      </w:r>
      <w:r>
        <w:t xml:space="preserve"> abstract, objective, significant, factors; EU scope visible. This is a provisional connection, not an outcome finding.</w:t>
      </w:r>
    </w:p>
    <w:p>
      <w:pPr>
        <w:pStyle w:val="SourceNote"/>
      </w:pPr>
      <w:r>
        <w:rPr>
          <w:b/>
        </w:rPr>
        <w:t>Available abstract (not full text):</w:t>
      </w:r>
      <w:r>
        <w:t xml:space="preserve"> Factors affecting prevalence of physical fuctional limitation among European population Abstract Walking difficulties have a major impact on everyday life. Therefore, the main objective of this thesis was to find factors that influence the prevalence of walking limitations. It also dealt with the impact of walking limitations on quality of life and how the prevalence of these health problems varies across European populations. binary logistic regression, which was the main statistical method, involved respondents aged 25 years and older who participated in the EHIS study in 2019. All sociodemographic, lifestyle, and health factors examined appeared to be risk factors, except neck disorders, which became protective in the final model. No significant differences were found between the genders. It was also found that the most risky factors that influenced quality of life analyzed using self-rated health assessment and the appereance of depressive symptoms were confirmed walking limitations, together with pain and depressive symptoms. Based on age-standardized prevalence rates of walking limitations and healthy life years without walking limitations, Europe was found to be polarized into Western and Eastern countries, with populations in Eastern countries burdened by walking difficulties significantly more than...</w:t>
      </w:r>
    </w:p>
    <w:p>
      <w:pPr/>
      <w:r>
        <w:rPr>
          <w:b/>
        </w:rPr>
        <w:t>POSSIBLE 2023:</w:t>
      </w:r>
      <w:r>
        <w:t xml:space="preserve"> Financial Factors Explaining Value Migration: Evidence from Central Europe — https://doi.org/10.2478/ceej-2023-0008</w:t>
      </w:r>
    </w:p>
    <w:p>
      <w:pPr/>
      <w:r>
        <w:rPr>
          <w:b/>
        </w:rPr>
        <w:t>Shared claim-specific concepts:</w:t>
      </w:r>
      <w:r>
        <w:t xml:space="preserve"> abstract, objective, factors, not; EU scope visible. This is a provisional connection, not an outcome finding.</w:t>
      </w:r>
    </w:p>
    <w:p>
      <w:pPr>
        <w:pStyle w:val="SourceNote"/>
      </w:pPr>
      <w:r>
        <w:rPr>
          <w:b/>
        </w:rPr>
        <w:t>Available abstract (not full text):</w:t>
      </w:r>
      <w:r>
        <w:t xml:space="preserve"> Abstract The objective of this article is to identify the relationship between financial factors and value migration on a yearly basis. The data cover nonfinancial firms listed on exchanges in Central European (CE) countries from 2016 to 2020. To evaluate the migration of value between industries, the share in the industry migration balance was estimated. Next, averages in three industry terciles, set on the basis of the change in market value added, were calculated and compared using both parametric and nonparametric tests. It allowed us to analyse the economic and statistical significance of the value drivers in the value migration process. The value migration in the largest Central European industries intensified during the COVID-19 crisis. The largest sectors were not negatively affected by the pandemic. It seems that, at least for some industries, there was a positive relationship between the growth of market value and sales profitability, sales growth, and cash levels. The market value drivers did not significantly change in the first year of the pandemic. This study contributes to the recent empirical literature on value changes and fills the gaps in the current research for the Central European region, during the time of the macroeconomic crisis induced by the COVID-19 pandemic. The conclusions on the value migration factors may be useful for investors in their decision</w:t>
      </w:r>
    </w:p>
    <w:p>
      <w:pPr/>
      <w:r>
        <w:rPr>
          <w:b/>
        </w:rPr>
        <w:t>POSSIBLE 2022:</w:t>
      </w:r>
      <w:r>
        <w:t xml:space="preserve"> Significant increase in natural disturbance impacts on European forests since 1950 — https://doi.org/10.1111/gcb.16531</w:t>
      </w:r>
    </w:p>
    <w:p>
      <w:pPr/>
      <w:r>
        <w:rPr>
          <w:b/>
        </w:rPr>
        <w:t>Shared claim-specific concepts:</w:t>
      </w:r>
      <w:r>
        <w:t xml:space="preserve"> abstract, significant, decades, shifts; EU scope visible. This is a provisional connection, not an outcome finding.</w:t>
      </w:r>
    </w:p>
    <w:p>
      <w:pPr>
        <w:pStyle w:val="SourceNote"/>
      </w:pPr>
      <w:r>
        <w:rPr>
          <w:b/>
        </w:rPr>
        <w:t>Available abstract (not full text):</w:t>
      </w:r>
      <w:r>
        <w:t xml:space="preserve"> Abstract Over the last decades, the natural disturbance is increasingly putting pressure on European forests. Shifts in disturbance regimes may compromise forest functioning and the continuous provisioning of ecosystem services to society, including their climate change mitigation potential. Although forests are central to many European policies, we lack the long‐term empirical data needed for thoroughly understanding disturbance dynamics, modeling them, and developing adaptive management strategies. Here, we present a unique database of &gt;170,000 records of ground‐based natural disturbance observations in European forests from 1950 to 2019. Reported data confirm a significant increase in forest disturbance in 34 European countries, causing on an average of 43.8 million m 3 of disturbed timber volume per year over the 70‐year study period. This value is likely a conservative estimate due to under‐reporting, especially of small‐scale disturbances. We used machine learning techniques for assessing the magnitude of unreported disturbances, which are estimated to be between 8.6 and 18.3 million m 3 /year. In the last 20 years, disturbances on average accounted for 16% of the mean annual harvest in Europe. Wind was the most important disturbance agent over the study period (46% of total damage), followed by fire (24%) and bark beetles (17%). Bark beetle disturbance doubled its share </w:t>
      </w:r>
    </w:p>
    <w:p>
      <w:pPr/>
      <w:r>
        <w:rPr>
          <w:b/>
        </w:rPr>
        <w:t>POSSIBLE 2022:</w:t>
      </w:r>
      <w:r>
        <w:t xml:space="preserve"> Factors impacting university–industry collaboration in European countries — https://doi.org/10.1186/s13731-022-00226-3</w:t>
      </w:r>
    </w:p>
    <w:p>
      <w:pPr/>
      <w:r>
        <w:rPr>
          <w:b/>
        </w:rPr>
        <w:t>Shared claim-specific concepts:</w:t>
      </w:r>
      <w:r>
        <w:t xml:space="preserve"> abstract, significant, factors, not; EU scope visible. This is a provisional connection, not an outcome finding.</w:t>
      </w:r>
    </w:p>
    <w:p>
      <w:pPr>
        <w:pStyle w:val="SourceNote"/>
      </w:pPr>
      <w:r>
        <w:rPr>
          <w:b/>
        </w:rPr>
        <w:t>Available abstract (not full text):</w:t>
      </w:r>
      <w:r>
        <w:t xml:space="preserve"> Abstract This paper aims to examine the links between university-industry collaboration (UIC) predictors (inputs), and the results of UIC cooperation (outputs). The focus of the research is UIC within the European Union member states and the Western Balkan countries.The analysis was conducted using the partial least squares structural equation modeling (PLS-SEM). This method enabled examining the links between variables that are not directly observable. The authors used data for the period of three years, 2015–2018. The results prove that countries investing in UIC predictors (inputs) have better UIC performance (outputs). Based on the statistical analysis, the authors identified the investments in knowledge, networking, and research and development (R&amp;D), in general, as the most significant that impact UIC performance.</w:t>
      </w:r>
    </w:p>
    <w:p>
      <w:pPr>
        <w:pStyle w:val="Heading2"/>
      </w:pPr>
      <w:r>
        <w:t>767.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2024:</w:t>
      </w:r>
      <w:r>
        <w:t xml:space="preserve"> Biodiversity monitoring in Europe: User and policy needs — https://doi.org/10.1111/conl.13038</w:t>
      </w:r>
    </w:p>
    <w:p>
      <w:pPr/>
      <w:r>
        <w:rPr>
          <w:b/>
        </w:rPr>
        <w:t>Shared claim-specific concepts:</w:t>
      </w:r>
      <w:r>
        <w:t xml:space="preserve"> experts, engagement, challenges, four, identified; EU scope visible. This is a provisional connection, not an outcome finding.</w:t>
      </w:r>
    </w:p>
    <w:p>
      <w:pPr>
        <w:pStyle w:val="SourceNote"/>
      </w:pPr>
      <w:r>
        <w:rPr>
          <w:b/>
        </w:rPr>
        <w:t>Available abstract (not full text):</w:t>
      </w:r>
      <w:r>
        <w:t xml:space="preserve"> Abstract To achieve the goals of the 2030 Global Biodiversity Framework, the European Biodiversity Strategy, and the EU Green Deal, biodiversity monitoring is critical. Monitoring efforts in Europe, however, suffer from gaps and biases in taxonomy, spatial coverage, and temporal resolution, resulting in fragmented and disconnected data. To assess user and policy needs in biodiversity monitoring, we employed a four‐step user‐centered stakeholder engagement process with over 300 stakeholders including a public stakeholder workshop, online survey, interviews, and a meeting with experts from 18 EU member states, the European Commission, and the European Environment Agency. The stakeholders identified policy needs, current challenges, and potential solutions. Based on the policy and stakeholder assessment, we recommend establishing a European Biodiversity Observation Coordinating Centre to optimize existing observation efforts, harmonize data, and enhance our ability to predict and respond to key challenges related to biodiversity loss in Europe.</w:t>
      </w:r>
    </w:p>
    <w:p>
      <w:pPr/>
      <w:r>
        <w:rPr>
          <w:b/>
        </w:rPr>
        <w:t>POSSIBLE 2023:</w:t>
      </w:r>
      <w:r>
        <w:t xml:space="preserve"> Update on the clinical use of trabecular bone score (TBS) in the management of osteoporosis: results of an expert group meeting organized by the European Society for Clinical and Economic Aspects of Osteoporosis, Osteoarthritis and Musculoskeletal Diseases (ESCEO), and the International Osteoporosis Foundation (IOF) under the auspices of WHO Collaborating Center for Epidemiology of Musculoskeletal Health and Aging — https://doi.org/10.1007/s00198-023-06817-4</w:t>
      </w:r>
    </w:p>
    <w:p>
      <w:pPr/>
      <w:r>
        <w:rPr>
          <w:b/>
        </w:rPr>
        <w:t>Shared claim-specific concepts:</w:t>
      </w:r>
      <w:r>
        <w:t xml:space="preserve"> organized, strategies, four; EU scope visible. This is a provisional connection, not an outcome finding.</w:t>
      </w:r>
    </w:p>
    <w:p>
      <w:pPr>
        <w:pStyle w:val="SourceNote"/>
      </w:pPr>
      <w:r>
        <w:rPr>
          <w:b/>
        </w:rPr>
        <w:t>Available abstract (not full text):</w:t>
      </w:r>
      <w:r>
        <w:t xml:space="preserve"> PURPOSE: Trabecular bone score (TBS) is a grey-level textural measurement acquired from dual-energy X-ray absorptiometry lumbar spine images and is a validated index of bone microarchitecture. In 2015, a Working Group of the European Society on Clinical and Economic Aspects of Osteoporosis, Osteoarthritis and Musculoskeletal Diseases (ESCEO) published a review of the TBS literature, concluding that TBS predicts hip and major osteoporotic fracture, at least partly independent of bone mineral density (BMD) and clinical risk factors. It was also concluded that TBS is potentially amenable to change as a result of pharmacological therapy. Further evidence on the utility of TBS has since accumulated in both primary and secondary osteoporosis, and the introduction of FRAX and BMD T-score adjustment for TBS has accelerated adoption. This position paper therefore presents a review of the updated scientific literature and provides expert consensus statements and corresponding operational guidelines for the use of TBS. METHODS: An Expert Working Group was convened by the ESCEO and a systematic review of the evidence undertaken, with defined search strategies for four key topics with respect to the potential use of TBS: (1) fracture prediction in men and women; (2) initiating and monitoring treatment in postmenopausal osteoporosis; (3) fracture prediction in secondary osteoporosis; and (4)</w:t>
      </w:r>
    </w:p>
    <w:p>
      <w:pPr/>
      <w:r>
        <w:rPr>
          <w:b/>
        </w:rPr>
        <w:t>POSSIBLE 2023:</w:t>
      </w:r>
      <w:r>
        <w:t xml:space="preserve"> Stakeholder engagement and decarbonization pathways: Meeting the challenges of the COVID-19 pandemic — https://doi.org/10.3389/frsus.2022.1063719</w:t>
      </w:r>
    </w:p>
    <w:p>
      <w:pPr/>
      <w:r>
        <w:rPr>
          <w:b/>
        </w:rPr>
        <w:t>Shared claim-specific concepts:</w:t>
      </w:r>
      <w:r>
        <w:t xml:space="preserve"> organized, meetings, engagement, strategies, other, challenges; EU scope not established. This is a provisional connection, not an outcome finding.</w:t>
      </w:r>
    </w:p>
    <w:p>
      <w:pPr>
        <w:pStyle w:val="SourceNote"/>
      </w:pPr>
      <w:r>
        <w:rPr>
          <w:b/>
        </w:rPr>
        <w:t>Available abstract (not full text):</w:t>
      </w:r>
      <w:r>
        <w:t xml:space="preserve"> Climate change is an extremely complex challenge characterized by its systemic nature and deep uncertainties. Thus, finding solutions requires a continuing and constructive dialogue between the research community and a wide range of stakeholders from governments, non-governmental organizations, civil society, international organizations, industry, businesses and financial institutions. The ENGAGE project ( https://www.engage-climate.org/ ) is advancing knowledge co-production through an iterative process of stakeholder engagement with two main streams: (i) stakeholder co-design and assessment of global decarbonization pathways and (ii) stakeholder dialogues on national policies and pathways. Both the global and national stakeholder processes are designed to inform multiple project activities, including: conceptualization of feasibility and assessing the feasibility of decarbonization policies and strategies; decarbonization pathway development using integrated assessment models and considering both feasibility and equity; and assessment of the relative importance of climate change impacts vis-à-vis potential co-benefits. With the start of the COVID-19 pandemic 6 months after the beginning of the project, all of the stakeholder engagement activities had to be organized as online events. Between March 2020 and April 2022, 5 online workshops were organized, two at the global level</w:t>
      </w:r>
    </w:p>
    <w:p>
      <w:pPr/>
      <w:r>
        <w:rPr>
          <w:b/>
        </w:rPr>
        <w:t>POSSIBLE 2023:</w:t>
      </w:r>
      <w:r>
        <w:t xml:space="preserve"> The External Dimension of the European Migration and Asylum Policy: the EU's Organized Hypocrisy in Cooperation with Southern Neighbor Countries — https://doi.org/10.5281/zenodo.7688211</w:t>
      </w:r>
    </w:p>
    <w:p>
      <w:pPr/>
      <w:r>
        <w:rPr>
          <w:b/>
        </w:rPr>
        <w:t>Shared claim-specific concepts:</w:t>
      </w:r>
      <w:r>
        <w:t xml:space="preserve"> organized, between, identified; EU scope visible. This is a provisional connection, not an outcome finding.</w:t>
      </w:r>
    </w:p>
    <w:p>
      <w:pPr>
        <w:pStyle w:val="SourceNote"/>
      </w:pPr>
      <w:r>
        <w:rPr>
          <w:b/>
        </w:rPr>
        <w:t>Available abstract (not full text):</w:t>
      </w:r>
      <w:r>
        <w:t xml:space="preserve"> The European Union (EU) has reacted to the migration crises of the last decade with growing externalization of migration management to neighbor countries often accused of not respecting human rights and individual liberties. Focusing on EU cooperation with Southern Neighbor Countries (SNCs), this paper investigates the recent developments in the EU’s external migration policies, demonstrating the decoupling between EU discourses and policy instruments such as mobility partnerships, readmission and visa facilitation agreements, identified by the EU as strategic tools of the European migration and asylum policy (MAP). Five SNCs have been selected, Tunisia, Morocco, Egypt, Jordan and Lebanon, to assess the extent to which the EU is delegating to neighboring countries the management of irregular flows, placing international protection at risk instead of playing the role of humanitarian actor in accordance with the ideals and principles it defends, as claimed in EU documents. The research critically analyses the EU’s cooperation with SNCs concerning migration, as codified in association agreements, action plans and mobility partnerships, and explores the incompatibility between the European MAP instruments and international protection. MAP represents a clear mismatch between EU talk and action, outlining another case of organized hypocrisy.</w:t>
      </w:r>
    </w:p>
    <w:p>
      <w:pPr/>
      <w:r>
        <w:rPr>
          <w:b/>
        </w:rPr>
        <w:t>POSSIBLE 2021:</w:t>
      </w:r>
      <w:r>
        <w:t xml:space="preserve"> Barriers to ecological restoration in Europe: expert perspectives — https://doi.org/10.1111/rec.13346</w:t>
      </w:r>
    </w:p>
    <w:p>
      <w:pPr/>
      <w:r>
        <w:rPr>
          <w:b/>
        </w:rPr>
        <w:t>Shared claim-specific concepts:</w:t>
      </w:r>
      <w:r>
        <w:t xml:space="preserve"> experts, three, identified;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2019:</w:t>
      </w:r>
      <w:r>
        <w:t xml:space="preserve"> Determinants, consequences and potential solutions to poor adherence to anti-osteoporosis treatment: results of an expert group meeting organized by the European Society for Clinical and Economic Aspects of Osteoporosis, Osteoarthritis and Musculoskeletal Diseases (ESCEO) and the International Osteoporosis Foundation (IOF) — https://doi.org/10.1007/s00198-019-05104-5</w:t>
      </w:r>
    </w:p>
    <w:p>
      <w:pPr/>
      <w:r>
        <w:rPr>
          <w:b/>
        </w:rPr>
        <w:t>Shared claim-specific concepts:</w:t>
      </w:r>
      <w:r>
        <w:t xml:space="preserve"> organized, experts, each; EU scope visible. This is a provisional connection, not an outcome finding.</w:t>
      </w:r>
    </w:p>
    <w:p>
      <w:pPr>
        <w:pStyle w:val="SourceNote"/>
      </w:pPr>
      <w:r>
        <w:rPr>
          <w:b/>
        </w:rPr>
        <w:t>Available abstract (not full text):</w:t>
      </w:r>
      <w:r>
        <w:t xml:space="preserve"> Many patients at increased risk of fractures do not take their medication appropriately, resulting in a substantial decrease in the benefits of drug therapy. Improving medication adherence is urgently needed but remains laborious, given the numerous and multidimensional reasons for non-adherence, suggesting the need for measurement-guided, multifactorial and individualized solutions. INTRODUCTION: Poor adherence to medications is a major challenge in the treatment of osteoporosis. This paper aimed to provide an overview of the consequences, determinants and potential solutions to poor adherence and persistence to osteoporosis medication. METHODS: A working group was organized by the European Society on Clinical and Economic Aspects of Osteoporosis, Osteoarthritis and Musculoskeletal diseases (ESCEO) to review consequences, determinants and potential solutions to adherence and to make recommendations for practice and further research. A systematic literature review and a face-to-face experts meeting were undertaken. RESULTS: Medication non-adherence is associated with increased risk of fractures, leading to a substantial decrease in the clinical and economic benefits of drug therapy. Reasons for non-adherence are numerous and multidimensional for each patient, depending on the interplay of multiple factors, suggesting the need for multifactorial and individualized solutions. Few</w:t>
      </w:r>
    </w:p>
    <w:p>
      <w:pPr/>
      <w:r>
        <w:rPr>
          <w:b/>
        </w:rPr>
        <w:t>POSSIBLE 2019:</w:t>
      </w:r>
      <w:r>
        <w:t xml:space="preserve"> Brief Report on the 11th Meeting of the European Forum on Antiphospholipid Antibodies — https://doi.org/10.1007/s11926-019-0805-1</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The European Forum on Antiphospholipid Antibodies provides a multidisciplinary network of diverse experts with a common interest in antiphospholipid antibodies (aPL) and antiphospholipid syndrome (APS).Ten successful meetings have been organized since 1997 in different cities (Paris, Venice, Utrecht, London, Barcelona, Ljubljana, Marseille, Padua, Krakow, and Nancy), providing an excellent opportunity for European clinicians and scientists involved in the field of APS to meet and strengthen current and future collaborations.The 11th Meeting of the European Forum on Antiphospholipid Antibodies was held in the monumental Lambertus Church in Maastricht, The Netherlands, from September 25 to 26, 2018.The Forum brought together approximately 125 participants from 16 different countries, including the USA, Argentina, and Russia (Fig. 1).Participants with various scientific/medical backgrounds presented an update of their current research in the APS field and reached out to the European Forum for collaboration in new/ongoing projects.Lectures were not only innovative, but also followed by interesting discussions with the audience.This report summarizes the different scientific sessions of the meeting.The abstract book, as well as some of the presentations are available for educational purpose through the website https:// apsmaastricht.com.The current general coordinator of the Europea</w:t>
      </w:r>
    </w:p>
    <w:p>
      <w:pPr>
        <w:pStyle w:val="Heading2"/>
      </w:pPr>
      <w:r>
        <w:t>768.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r>
        <w:rPr>
          <w:b/>
        </w:rPr>
        <w:t>POSSIBLE 2022:</w:t>
      </w:r>
      <w:r>
        <w:t xml:space="preserve"> The evolving story of Borrelia burgdorferi sensu lato transmission in Europe — https://doi.org/10.1007/s00436-022-07445-3</w:t>
      </w:r>
    </w:p>
    <w:p>
      <w:pPr/>
      <w:r>
        <w:rPr>
          <w:b/>
        </w:rPr>
        <w:t>Shared claim-specific concepts:</w:t>
      </w:r>
      <w:r>
        <w:t xml:space="preserve"> several, northern, hemisphere; EU scope visible. This is a provisional connection, not an outcome finding.</w:t>
      </w:r>
    </w:p>
    <w:p>
      <w:pPr>
        <w:pStyle w:val="SourceNote"/>
      </w:pPr>
      <w:r>
        <w:rPr>
          <w:b/>
        </w:rPr>
        <w:t>Available abstract (not full text):</w:t>
      </w:r>
      <w:r>
        <w:t xml:space="preserve"> Beside mosquitoes, ticks are well-known vectors of different human pathogens. In the Northern Hemisphere, Lyme borreliosis (Eurasia, LB) or Lyme disease (North America, LD) is the most commonly occurring vector-borne infectious disease caused by bacteria of the genus Borrelia which are transmitted by hard ticks of the genus Ixodes. The reported incidence of LB in Europe is about 22.6 cases per 100,000 inhabitants annually with a broad range depending on the geographical area analyzed. However, the epidemiological data are largely incomplete, because LB is not notifiable in all European countries. Furthermore, not only differ reporting procedures between countries, there is also variation in case definitions and diagnostic procedures. Lyme borreliosis is caused by several species of the Borrelia (B.) burgdorferi sensu lato (s.l.) complex which are maintained in complex networks including ixodid ticks and different reservoir hosts. Vector and host influence each other and are affected by multiple factors including climate that have a major impact on their habitats and ecology. To classify factors that influence the risk of transmission of B. burgdorferi s.l. to their different vertebrate hosts as well as to humans, we briefly summarize the current knowledge about the pathogens including their astonishing ability to overcome various host immune responses, regarding the main vector</w:t>
      </w:r>
    </w:p>
    <w:p>
      <w:pPr/>
      <w:r>
        <w:rPr>
          <w:b/>
        </w:rPr>
        <w:t>POSSIBLE 2022:</w:t>
      </w:r>
      <w:r>
        <w:t xml:space="preserve"> Species Distribution Modeling Reveals Recent Shifts in Suitable Habitat for Six North American Cypripedium spp. (Orchidaceae) — https://doi.org/10.3390/d14090694</w:t>
      </w:r>
    </w:p>
    <w:p>
      <w:pPr/>
      <w:r>
        <w:rPr>
          <w:b/>
        </w:rPr>
        <w:t>Shared claim-specific concepts:</w:t>
      </w:r>
      <w:r>
        <w:t xml:space="preserve"> shifted, northwards, over; EU scope not established. This is a provisional connection, not an outcome finding.</w:t>
      </w:r>
    </w:p>
    <w:p>
      <w:pPr>
        <w:pStyle w:val="SourceNote"/>
      </w:pPr>
      <w:r>
        <w:rPr>
          <w:b/>
        </w:rPr>
        <w:t>Available abstract (not full text):</w:t>
      </w:r>
      <w:r>
        <w:t xml:space="preserve"> Accelerating climate change is expected to cause range shifts of numerous taxa worldwide. While climatic projections and predicted consequences typically focus on the future (2050 or later), a measurable change in climatic conditions has occurred over recent decades. We investigate whether recent climate change has caused measurable shifts in suitable habitat for six North American species in the highly threatened genus Cypripedium (Orchidaceae). We constructed species distribution models using a maximum entropy approach from species occurrence records, 19 bioclimatic variables, land cover data, and soil data for two decadal time intervals (1980–1989 and 2010–2019). Models were compared between time intervals to assess shifts in locality, size, fragmentation, and mean elevation of suitable habitat. For all six congeners, the centroids of suitable habitat shifted between time intervals, although the directionality varied. There was, however, consistency among species within geographic regions. Consistent with our expectations, the optimal habitat for most species shifted to a higher elevation and for western species it shifted northwards. However, the habitat for one northwestern species shifted southwards and the habitat for eastern species converged on the Great Lakes region from different directions. This work illustrates the somewhat idiosyncratic responses of congeneric spe</w:t>
      </w:r>
    </w:p>
    <w:p>
      <w:pPr/>
      <w:r>
        <w:rPr>
          <w:b/>
        </w:rPr>
        <w:t>POSSIBLE 2022:</w:t>
      </w:r>
      <w:r>
        <w:t xml:space="preserve"> Changes in limiting factors for forager population dynamics in Europe across the last glacial-interglacial transition — https://doi.org/10.1038/s41467-022-32750-x</w:t>
      </w:r>
    </w:p>
    <w:p>
      <w:pPr/>
      <w:r>
        <w:rPr>
          <w:b/>
        </w:rPr>
        <w:t>Shared claim-specific concepts:</w:t>
      </w:r>
      <w:r>
        <w:t xml:space="preserve"> shifted, over, parts; EU scope visible. This is a provisional connection, not an outcome finding.</w:t>
      </w:r>
    </w:p>
    <w:p>
      <w:pPr>
        <w:pStyle w:val="SourceNote"/>
      </w:pPr>
      <w:r>
        <w:rPr>
          <w:b/>
        </w:rPr>
        <w:t>Available abstract (not full text):</w:t>
      </w:r>
      <w:r>
        <w:t xml:space="preserve"> Population dynamics set the framework for human genetic and cultural evolution. For foragers, demographic and environmental changes correlate strongly, although the causal relations between different environmental variables and human responses through time and space likely varied. Building on the notion of limiting factors, namely that at any one time, the scarcest resource caps population size, we present a statistical approach to identify the dominant climatic constraints for hunter-gatherer population densities and then hindcast their changing dynamics in Europe for the period between 21,000 to 8000 years ago. Limiting factors shifted from temperature-related variables (effective temperature) during the Pleistocene to a regional mosaic of limiting factors in the Holocene dominated by temperature seasonality and annual precipitation. This spatiotemporal variation suggests that hunter-gatherers needed to overcome very different adaptive challenges in different parts of Europe and that these challenges varied over time. The signatures of these changing adaptations may be visible archaeologically. In addition, the spatial disaggregation of limiting factors from the Pleistocene to the Holocene coincided with and may partly explain the diversification of the cultural geography at this time.</w:t>
      </w:r>
    </w:p>
    <w:p>
      <w:pPr/>
      <w:r>
        <w:rPr>
          <w:b/>
        </w:rPr>
        <w:t>POSSIBLE 2021:</w:t>
      </w:r>
      <w:r>
        <w:t xml:space="preserve"> Extreme windstorms and sting jets in convection-permitting climate simulations over Europe — https://doi.org/10.1007/s00382-021-06011-4</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Extra-tropical windstorms are one of the costliest natural hazards affecting Europe, and windstorms that develop a sting-jet are extremely damaging. A sting-jet is a mesoscale core of very high wind speeds that occurs in Shapiro-Keyser type cyclones, and high-resolution models are required to adequately model sting-jets. Here, we develop a low-cost methodology to automatically detect sting jets, using the characteristic warm seclusion of Shapiro-Keyser cyclones and the slantwise descent of high wind speeds, within pan-European 2.2km convection-permitting climate model (CPM) simulations over Europe. The representation of wind gusts is improved with respect to ERA-Interim reanalysis data compared to observations; this is linked to better representation of cold conveyor belts and sting-jets in the CPM. Our analysis indicates that Shapiro-Keyser cyclones, and those that develop sting-jets, are the most damaging windstorms in present and future climates. The frequency of extreme windstorms is projected to increase by 2100 and a large contribution comes from sting-jet storms. Furthermore, extreme wind speeds and their future changes are underestimated in the GCM compared to the CPM. We conclude that the CPM adds value in the representation of extreme winds and surface wind gusts and can provide improved input for impact models compared to coarser resolution models.</w:t>
      </w:r>
    </w:p>
    <w:p>
      <w:pPr/>
      <w:r>
        <w:rPr>
          <w:b/>
        </w:rPr>
        <w:t>POSSIBLE 2021:</w:t>
      </w:r>
      <w:r>
        <w:t xml:space="preserve"> Experimental validation of an integrated modelling approach to neutron emission studies at JET — https://doi.org/10.1088/1741-4326/ac3021</w:t>
      </w:r>
    </w:p>
    <w:p>
      <w:pPr/>
      <w:r>
        <w:rPr>
          <w:b/>
        </w:rPr>
        <w:t>Shared claim-specific concepts:</w:t>
      </w:r>
      <w:r>
        <w:t xml:space="preserve"> jet, several, characteristics; EU scope not established. This is a provisional connection, not an outcome finding.</w:t>
      </w:r>
    </w:p>
    <w:p>
      <w:pPr>
        <w:pStyle w:val="SourceNote"/>
      </w:pPr>
      <w:r>
        <w:rPr>
          <w:b/>
        </w:rPr>
        <w:t>Available abstract (not full text):</w:t>
      </w:r>
      <w:r>
        <w:t xml:space="preserve"> An integrated modelling methodology for the calculation of realistic plasma neutron sources for the JET tokamak has been developed. The computational chain comprises TRANSP plasma transport and DRESS neutron spectrum calculations, and their coupling to the MCNP neutron transport code, bridging plasma physics and neutronics. In the paper we apply the developed methodology to the analysis of neutron emission properties of deuterium and helium plasmas at JET, and validate individual modelling steps against neutron diagnostic measurements. Two types of JET discharges are modelled—baseline-like and three-ion radio-frequency scenarios—due to their diversity in plasma heating, characteristics of the induced fast ion population, and the imprint of these on neutron emission properties. The neutron emission modelling results are quantitatively compared to the total neutron yield from fission chambers, neutron emissivity profiles from the neutron camera, neutron spectra from the time-of-flight spectrometer, and neutron activation measurements. The agreement between measured and calculated quantities is found to be satisfactory for all four diagnostic systems within the estimated experimental and computational uncertainties. Additionally, the effect of neutrons not originating from the dominating D(D, n) 3 He reactions is studied through modelling of triton burnup DT neutrons, and, in mixe</w:t>
      </w:r>
    </w:p>
    <w:p>
      <w:pPr/>
      <w:r>
        <w:rPr>
          <w:b/>
        </w:rPr>
        <w:t>POSSIBLE 2020:</w:t>
      </w:r>
      <w:r>
        <w:t xml:space="preserve"> Drivers of the Northern Extratropical Eddy‐Driven Jet Change in CMIP5 and CMIP6 Models — https://doi.org/10.1029/2019gl086695</w:t>
      </w:r>
    </w:p>
    <w:p>
      <w:pPr/>
      <w:r>
        <w:rPr>
          <w:b/>
        </w:rPr>
        <w:t>Shared claim-specific concepts:</w:t>
      </w:r>
      <w:r>
        <w:t xml:space="preserve"> jet, over, northern; EU scope visible. This is a provisional connection, not an outcome finding.</w:t>
      </w:r>
    </w:p>
    <w:p>
      <w:pPr>
        <w:pStyle w:val="SourceNote"/>
      </w:pPr>
      <w:r>
        <w:rPr>
          <w:b/>
        </w:rPr>
        <w:t>Available abstract (not full text):</w:t>
      </w:r>
      <w:r>
        <w:t xml:space="preserve"> Abstract The wintertime midlatitude atmospheric circulation is evaluated in CMIP6 models. The biases have been reduced since CMIP5 although the low‐level flow is still too zonal. CMIP5 and CMIP6 projections of 850 hPa zonal wind are then analyzed and are consistent under the RCP8.5 and the SSP5–8.5 scenarios, respectively. A poleward shift is identified in the Pacific, while a tripole structure is found in the North Atlantic: The zonal wind strengthens over Western Europe and decreases north and south. A multiple linear regression allows us to quantify the contribution of different drivers to the intermodel spread in zonal wind projections. It supports the importance of projected tropical warming and changes in the stratospheric vortex but also suggests a contribution of the asymmetry in the projected surface warming of the equatorial Pacific and of the present‐day biases in the eddy‐driven jet position. The North Atlantic warming hole plays a weaker role.</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2019:</w:t>
      </w:r>
      <w:r>
        <w:t xml:space="preserve"> Jet production in charged-current deep-inelastic scattering to third order in QCD — https://doi.org/10.1016/j.physletb.2019.03.003</w:t>
      </w:r>
    </w:p>
    <w:p>
      <w:pPr/>
      <w:r>
        <w:rPr>
          <w:b/>
        </w:rPr>
        <w:t>Shared claim-specific concepts:</w:t>
      </w:r>
      <w:r>
        <w:t xml:space="preserve"> third, jet; EU scope not established. This is a provisional connection, not an outcome finding.</w:t>
      </w:r>
    </w:p>
    <w:p>
      <w:pPr>
        <w:pStyle w:val="SourceNote"/>
      </w:pPr>
      <w:r>
        <w:rPr>
          <w:b/>
        </w:rPr>
        <w:t>Available abstract (not full text):</w:t>
      </w:r>
      <w:r>
        <w:t xml:space="preserve"> The production of jets in charged-current deep-inelastic scattering (CC DIS) probes simultaneously the strong and the electroweak sectors of the Standard Model ; its measurement provides important information on the quark flavour structure of the proton. We compute third-order ( N 3 LO ) perturbative QCD corrections to this process, fully differential in the jet and lepton kinematics. We observe a substantial reduction in the theory uncertainty, to sub-percent level throughout the relevant kinematical range, thus enabling precision phenomenology with jet observables.</w:t>
      </w:r>
    </w:p>
    <w:p>
      <w:pPr>
        <w:pStyle w:val="Heading2"/>
      </w:pPr>
      <w:r>
        <w:t>769.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r>
        <w:rPr>
          <w:b/>
        </w:rPr>
        <w:t>POSSIBLE 2022:</w:t>
      </w:r>
      <w:r>
        <w:t xml:space="preserve"> Increased Scabies Incidence at the Beginning of the 21st Century: What Do Reports from Europe and the World Show? — https://doi.org/10.3390/life12101598</w:t>
      </w:r>
    </w:p>
    <w:p>
      <w:pPr/>
      <w:r>
        <w:rPr>
          <w:b/>
        </w:rPr>
        <w:t>Shared claim-specific concepts:</w:t>
      </w:r>
      <w:r>
        <w:t xml:space="preserve"> increase, prevalence, every; EU scope visible. This is a provisional connection, not an outcome finding.</w:t>
      </w:r>
    </w:p>
    <w:p>
      <w:pPr>
        <w:pStyle w:val="SourceNote"/>
      </w:pPr>
      <w:r>
        <w:rPr>
          <w:b/>
        </w:rPr>
        <w:t>Available abstract (not full text):</w:t>
      </w:r>
      <w:r>
        <w:t xml:space="preserve"> Reports from various countries have described increasing numbers of scabies cases, especially in the past two decades. The epidemiological data for various world regions showed prevalence estimates ranging from 0.2% to 71%, with the highest prevalence in the Pacific region and Latin America. Therefore, geographically, scabies occurs more commonly in the developing world, tropical climates, and in areas with a lack of access to water. According to results from specific regions of the world, the greatest burdens from scabies were recorded for East Asia, Southeast Asia, Oceania, tropical Latin America, and South Asia. Among countries with the highest rates, the top 10 were Indonesia, China, Timor-Leste, Vanuatu, Fiji, Cambodia, Laos, Myanmar, Vietnam, and the Seychelles. From Europe, available data shows an increasing trend in scabies infestation, particularly evident among populations with associated contributing factors, such as those who travel frequently, refugees, asylum seekers, those who regularly lack drinking water and appropriate hygiene and are of a younger age, etc. This increase in observed cases in the last 10-20 years has been evidenced by research conducted in Germany, France, Norway, and Croatia, among other countries. In addition, increased scabies transmission was also recorded during the COVID-19 pandemic and may have been the result of increased sexual interco</w:t>
      </w:r>
    </w:p>
    <w:p>
      <w:pPr/>
      <w:r>
        <w:rPr>
          <w:b/>
        </w:rPr>
        <w:t>POSSIBLE 2021:</w:t>
      </w:r>
      <w:r>
        <w:t xml:space="preserve"> Childhood overweight and obesity in Europe: Changes from 2007 to 2017 — https://doi.org/10.1111/obr.13226</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The Childhood Obesity Surveillance Initiative (COSI) routinely measures height and weight of primary school children aged 6-9 years and calculates overweight and obesity prevalence within the World Health Organization (WHO) European Region using a standard methodology. This study examines the trends in the prevalence of overweight and obesity from the first round of COSI carried out in 2007/2008 to the latest of 2015/2017 in 11 European countries in which data were collected for at least three rounds. In total 303,155 children were measured. In general, the prevalence of overweight and obesity among boys and girls decreased in countries with high prevalence (Southern Europe) and remained stable or slightly increased in Northern European and Eastern European countries included in the analysis. Among boys, the highest decrease in overweight (including obesity) was observed in Portugal (from 40.5% in 2007/2008 to 28.4 in 2015/2017) and in Greece for obesity (from 30.5% in 2009/2010 to 21.7% in 2015/2017). Lithuania recorded the strongest increase in the proportion of boys with overweight (from 24.8% to 28.5%) and obesity (from 9.4% to 12.2%). The trends were similar for boys and girls in most countries. Several countries in Europe have successfully implemented policies and interventions to counteract the increase of overweight and obesity, but there is still much to be done.</w:t>
      </w:r>
    </w:p>
    <w:p>
      <w:pPr/>
      <w:r>
        <w:rPr>
          <w:b/>
        </w:rPr>
        <w:t>POSSIBLE 2021:</w:t>
      </w:r>
      <w:r>
        <w:t xml:space="preserve"> Gestational Diabetes Mellitus in Europe: A Systematic Review and Meta-Analysis of Prevalence Studies — https://doi.org/10.3389/fendo.2021.691033</w:t>
      </w:r>
    </w:p>
    <w:p>
      <w:pPr/>
      <w:r>
        <w:rPr>
          <w:b/>
        </w:rPr>
        <w:t>Shared claim-specific concepts:</w:t>
      </w:r>
      <w:r>
        <w:t xml:space="preserve"> prevalence, third, obese; EU scope visible. This is a provisional connection, not an outcome finding.</w:t>
      </w:r>
    </w:p>
    <w:p>
      <w:pPr>
        <w:pStyle w:val="SourceNote"/>
      </w:pPr>
      <w:r>
        <w:rPr>
          <w:b/>
        </w:rPr>
        <w:t>Available abstract (not full text):</w:t>
      </w:r>
      <w:r>
        <w:t xml:space="preserve"> Background Gestational Diabetes Mellitus (GDM) is defined as the type of hyperglycemia diagnosed for the first-time during pregnancy, presenting with intermediate glucose levels between normal levels for pregnancy and glucose levels diagnostic of diabetes in the non-pregnant state. We aimed to systematically review and meta-analyze studies of prevalence of GDM in European countries at regional and sub-regional levels, according to age, trimester, body weight, and GDM diagnostic criteria. Methods Systematic search was conducted in five databases to retrieve studies from 2014 to 2019 reporting the prevalence of GDM in Europe. Two authors have independently screened titles and abstracts and full text according to eligibility using Covidence software. A random-effects model was used to quantify weighted GDM prevalence estimates. The National Heart, Lung, and Blood Institute criteria was used to assess the risk of bias. Results From the searched databases, 133 research reports were deemed eligible and included in the meta-analysis. The research reports yielded 254 GDM-prevalence studies that tested 15,572,847 pregnant women between 2014 and 2019. The 133 research reports were from 24 countries in Northern Europe (44.4%), Southern Europe (27.1%), Western Europe (24.1%), and Eastern Europe (4.5%). The overall weighted GDM prevalence in the 24 European countries was estimated at 10.9% </w:t>
      </w:r>
    </w:p>
    <w:p>
      <w:pPr/>
      <w:r>
        <w:rPr>
          <w:b/>
        </w:rPr>
        <w:t>POSSIBLE 2020:</w:t>
      </w:r>
      <w:r>
        <w:t xml:space="preserve"> Obesity Prevalence in the Long-Term Future in 18 European Countries and in the USA — https://doi.org/10.1159/000511023</w:t>
      </w:r>
    </w:p>
    <w:p>
      <w:pPr/>
      <w:r>
        <w:rPr>
          <w:b/>
        </w:rPr>
        <w:t>Shared claim-specific concepts:</w:t>
      </w:r>
      <w:r>
        <w:t xml:space="preserve"> prevalence, obesity, expected; EU scope visible. This is a provisional connection, not an outcome finding.</w:t>
      </w:r>
    </w:p>
    <w:p>
      <w:pPr>
        <w:pStyle w:val="SourceNote"/>
      </w:pPr>
      <w:r>
        <w:rPr>
          <w:b/>
        </w:rPr>
        <w:t>Available abstract (not full text):</w:t>
      </w:r>
      <w:r>
        <w:t xml:space="preserve"> INTRODUCTION: Obesity constitutes a major public health problem in Europe, but how the obesity epidemic in European countries will evolve remains unknown. Most previous obesity projections considered the short-term future only, focused on single non-European countries, and projected ongoing increases foremost. We comparatively project obesity prevalence into the long-term future for 18 European countries and the USA. DATA: We used national age-specific (20-84 years) and sex-specific obesity prevalence estimates (1975-2016) from the NCD Risk Factor Collaboration (NCD-RisC) 2017 study, which are based on available measured height and weight data, supplemented with estimates from a Bayesian hierarchical model. METHODS: We projected age- and sex-specific obesity prevalence up to the year 2100 by integrating the notion of a wave-shaped obesity epidemic into conventional age-period projections. RESULTS: In 1990-2016, the increasing trends in obesity prevalence were decelerating. Obesity is expected to reach maximum levels between 2030 and 2052 among men, and between 2026 and 2054 among women. The maximum levels will likely be reached first in The Netherlands, USA, and UK, and last in Switzerland; and are expected to be highest in the USA and UK, and lowest in The Netherlands for men and Denmark for women. In 2060, obesity prevalence is expected to be lowest among Dutch men and highes</w:t>
      </w:r>
    </w:p>
    <w:p>
      <w:pPr/>
      <w:r>
        <w:rPr>
          <w:b/>
        </w:rPr>
        <w:t>POSSIBLE 2020:</w:t>
      </w:r>
      <w:r>
        <w:t xml:space="preserve"> Obesity ‑ a risk factor for increased COVID‑19 prevalence, severity and lethality (Review) — https://doi.org/10.3892/mmr.2020.11127</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Coronaviruses (CoVs), enveloped positive-sense RNA viruses, are a group of viruses that cause infections in the human respiratory tract, which can be characterized clinically from mild to fatal. The severe acute respiratory syndrome coronavirus 2 (SARS‑CoV‑2) is the virus responsible. The global spread of COVID‑19 can be described as the worst pandemic in humanity in the last century. To date, COVID‑19 has infected more than 3,000,000 people worldwide and killed more than 200,000 people. All age groups can be infected from the virus, but more serious symptoms that can possibly result in death are observed in older people and those with underlying medical conditions such as cardiovascular and pulmonary disease. Novel data report more severe symptoms and even a negative prognosis for the obese patients. A growing body of evidence connects obesity with COVID‑19 and a number of mechanisms from immune system activity attenuation to chronic inflammation are implicated. Lipid peroxidation creates reactive lipid aldehydes which in a patient with metabolic disorder and COVID‑19 will affect its prognosis. Finally, pregnancy‑associated obesity needs to be studied further in connection to COVID‑19 as this infection could pose high risk both to pregnant women and the fetus.</w:t>
      </w:r>
    </w:p>
    <w:p>
      <w:pPr>
        <w:pStyle w:val="Heading2"/>
      </w:pPr>
      <w:r>
        <w:t>770.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2019:</w:t>
      </w:r>
      <w:r>
        <w:t xml:space="preserve"> Course “European Identity Politics”. Academic year2018-2019. Didactic materials — https://openalex.org/W3044140315</w:t>
      </w:r>
    </w:p>
    <w:p>
      <w:pPr/>
      <w:r>
        <w:rPr>
          <w:b/>
        </w:rPr>
        <w:t>Shared claim-specific concepts:</w:t>
      </w:r>
      <w:r>
        <w:t xml:space="preserve"> academic, but, united; EU scope visible. This is a provisional connection, not an outcome finding.</w:t>
      </w:r>
    </w:p>
    <w:p>
      <w:pPr>
        <w:pStyle w:val="SourceNote"/>
      </w:pPr>
      <w:r>
        <w:rPr>
          <w:b/>
        </w:rPr>
        <w:t>Available abstract (not full text):</w:t>
      </w:r>
      <w:r>
        <w:t xml:space="preserve"> Contents Project “European Velues and Identity Studies” ................. 4 Course: “European Identity Politics” ................................... 6 Teachers ................................................................................... 10 Reading Texts: Avraham Rot Constructing Identity and Embracing Boredom in United Europe ............................................................................... 11 Juliette Chevée Constructing a European identity: yes, but how? .................. 25 The manifesto of European patriots Fight for Europe – or the wreckers will destroy it ............................................. 28 Francis Fukuyama Against Identity Politics ......................................................... 31 About Jean Monnet .............................................................. 56 About ERASMUS+ Jean Monnet Programme ................... 58</w:t>
      </w:r>
    </w:p>
    <w:p>
      <w:pPr>
        <w:pStyle w:val="Heading2"/>
      </w:pPr>
      <w:r>
        <w:t>771.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2025:</w:t>
      </w:r>
      <w:r>
        <w:t xml:space="preserve"> Beyond Automation: The Emergence of Agentic Urban AI — https://doi.org/10.3390/automation6030029</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Urban systems are transforming as artificial intelligence (AI) evolves from automation to Agentic Urban AI (AI systems with autonomous goal-setting and decision-making capabilities), which independently define and pursue urban objectives. This shift necessitates reassessing governance, planning, and ethics. Using a conceptual-methodological approach, this study integrates urban studies, AI ethics, and governance theory. Through a literature review and case studies of platforms like Alibaba’s City Brain and CityMind AI Agent, it identifies early agency indicators, such as strategic adaptation and goal re-prioritisation. A typology distinguishing automation, autonomy, and agency clarifies AI-driven urban decision-making. Three trajectories are proposed: fully autonomous Agentic AI, collaborative Hybrid Urban Agency, and constrained Non-Agentic AI to mitigate ethical risks. The findings highlight the need for participatory, transparent governance to ensure democratic accountability and social equity in cognitive urban ecosystems.</w:t>
      </w:r>
    </w:p>
    <w:p>
      <w:pPr/>
      <w:r>
        <w:rPr>
          <w:b/>
        </w:rPr>
        <w:t>POSSIBLE 2025:</w:t>
      </w:r>
      <w:r>
        <w:t xml:space="preserve"> The Evolution of Restoration Ideologies: The Emergence, Disappearance, and Revival of the Palatine Gate as an Urban Axis Node — https://doi.org/10.56397/saa.2025.04.01</w:t>
      </w:r>
    </w:p>
    <w:p>
      <w:pPr/>
      <w:r>
        <w:rPr>
          <w:b/>
        </w:rPr>
        <w:t>Shared claim-specific concepts:</w:t>
      </w:r>
      <w:r>
        <w:t xml:space="preserve"> emergence, urban, city, techniques, focuses; EU scope visible. This is a provisional connection, not an outcome finding.</w:t>
      </w:r>
    </w:p>
    <w:p>
      <w:pPr>
        <w:pStyle w:val="SourceNote"/>
      </w:pPr>
      <w:r>
        <w:rPr>
          <w:b/>
        </w:rPr>
        <w:t>Available abstract (not full text):</w:t>
      </w:r>
      <w:r>
        <w:t xml:space="preserve"> This paper focuses on the Porta Palatina in Turin, Italy, analyzing its emergence, disappearance, and revival as a node of the urban axis. Using this as a central thread, it explores the evolution of restoration ideologies in Italy. Constructed in the 1st century BCE, Porta Palatina served as a crucial gateway to the ancient Roman city of Turin, marking the starting point of Caesar’s Gallic Wars and the spread of Roman civilization. Over the course of Turin’s urban transformation, the role of Porta Palatina as a city axis shifted through three distinct phases: from being a military and political center in Roman times, to being abandoned during the Baroque period, and finally, to its revival and rediscovery in modern times. This study delves into the restoration journey of Porta Palatina, spanning from stylistic restoration in the mid-19th century to scientific restoration in the 20th century, and culminating in archaeological park design in the 21st century. It illustrates the transition of Italian restoration ideologies from Romanticism to modern scientific conservation. By examining restoration practices across different eras, this paper uncovers the interactions between restoration theory and culture, history, and technology. It emphasizes that restoration is not only an advancement in architectural techniques but also a respect for and preservation of historical culture. Th</w:t>
      </w:r>
    </w:p>
    <w:p>
      <w:pPr/>
      <w:r>
        <w:rPr>
          <w:b/>
        </w:rPr>
        <w:t>POSSIBLE 2024:</w:t>
      </w:r>
      <w:r>
        <w:t xml:space="preserve"> The City of Medan: the Emergence of an Urban Centre — https://doi.org/10.1163/9789004716186_004</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emergence of urban heat traps and human mobility in 20 US cities — https://doi.org/10.1038/s42949-024-00142-3</w:t>
      </w:r>
    </w:p>
    <w:p>
      <w:pPr/>
      <w:r>
        <w:rPr>
          <w:b/>
        </w:rPr>
        <w:t>Shared claim-specific concepts:</w:t>
      </w:r>
      <w:r>
        <w:t xml:space="preserve"> emergence, urban, small; EU scope not established. This is a provisional connection, not an outcome finding.</w:t>
      </w:r>
    </w:p>
    <w:p>
      <w:pPr>
        <w:pStyle w:val="SourceNote"/>
      </w:pPr>
      <w:r>
        <w:rPr>
          <w:b/>
        </w:rPr>
        <w:t>Available abstract (not full text):</w:t>
      </w:r>
      <w:r>
        <w:t xml:space="preserve"> Abstract Understanding the relationship between spatial structures of cities and environmental hazard exposures is essential for urban health and sustainability planning. However, a critical knowledge gap exists in terms of the extent to which socio-spatial networks shaped by human mobility exacerbate or alleviate urban heat exposures of populations in cities. In this study, we utilize location-based data to construct human mobility networks in twenty metropolitan areas in the U.S. The human mobility networks are analyzed in conjunction with the urban heat characteristics of spatial areas. We identify areas with high and low urban heat exposure and evaluate visitation patterns of populations residing in high and low urban heat areas to other spatial areas with similar and dissimilar urban heat exposure. The results reveal the presence of urban heat traps in the majority of the studied metropolitan areas, wherein populations residing in high-heat exposure areas primarily visited other high-heat exposure zones. Specifically, cities such as Los Angeles, Boston, and Chicago were particularly pronounced as urban heat traps. The results also show a small percentage of human mobility to produce urban heat escalation and heat escapes. The findings from this study provide a better understanding of urban heat exposure in cities based on patterns of human mobility. These findings contribu</w:t>
      </w:r>
    </w:p>
    <w:p>
      <w:pPr/>
      <w:r>
        <w:rPr>
          <w:b/>
        </w:rPr>
        <w:t>POSSIBLE 2024:</w:t>
      </w:r>
      <w:r>
        <w:t xml:space="preserve"> SOCIAL INNOVATION EMERGENCE IN A CONGOLESE URBAN TERRITORY WITH A PEASANT LIFESTYLETO A SMART CITY — https://doi.org/10.33564/ijeast.2024.v09i04.022</w:t>
      </w:r>
    </w:p>
    <w:p>
      <w:pPr/>
      <w:r>
        <w:rPr>
          <w:b/>
        </w:rPr>
        <w:t>Shared claim-specific concepts:</w:t>
      </w:r>
      <w:r>
        <w:t xml:space="preserve"> emergence, urban, city, local; EU scope not established. This is a provisional connection, not an outcome finding.</w:t>
      </w:r>
    </w:p>
    <w:p>
      <w:pPr>
        <w:pStyle w:val="SourceNote"/>
      </w:pPr>
      <w:r>
        <w:rPr>
          <w:b/>
        </w:rPr>
        <w:t>Available abstract (not full text):</w:t>
      </w:r>
      <w:r>
        <w:t xml:space="preserve"> The study deals with the local governance of an African city with a peasant lifestyle, likely to transition towards a smart, truly urban city. To resolve the problem of managing the still latent emergence of social innovation in southern countries, the study hypothesizes that these urban agglomerations will only be able to see their development come through social innovations, in the extent that the knowledge of the populations concerned is at the service of public power through participatory democracy. The study proposes the revision of the place reserved for the resident in the management of the city and a model of participatory democracy in a co-creation approach.</w:t>
      </w:r>
    </w:p>
    <w:p>
      <w:pPr>
        <w:pStyle w:val="Heading2"/>
      </w:pPr>
      <w:r>
        <w:t>772.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2025:</w:t>
      </w:r>
      <w:r>
        <w:t xml:space="preserve"> Analyzing Long-Term Trends in Air Temperature and Precipitation in Bel-Ksiri, Morocco (1980–2024) — https://doi.org/10.22194/jgias/25.1707</w:t>
      </w:r>
    </w:p>
    <w:p>
      <w:pPr/>
      <w:r>
        <w:rPr>
          <w:b/>
        </w:rPr>
        <w:t>Shared claim-specific concepts:</w:t>
      </w:r>
      <w:r>
        <w:t xml:space="preserve"> long-term, temperature, summer, precipitation; EU scope not established. This is a provisional connection, not an outcome finding.</w:t>
      </w:r>
    </w:p>
    <w:p>
      <w:pPr>
        <w:pStyle w:val="SourceNote"/>
      </w:pPr>
      <w:r>
        <w:rPr>
          <w:b/>
        </w:rPr>
        <w:t>Available abstract (not full text):</w:t>
      </w:r>
      <w:r>
        <w:t xml:space="preserve"> The study analyzes climate change in Bel-Ksiri. It provides an understanding of long-term trends (1980-2024) and changes between the last two standard twenty-year climate periods: 1980-2000 and 2001-2020.In this study, we determined the trend of the two variables studied using the Mann-Kendall test and calculated the difference and relative variations in temperature and precipitation. The Kolmogorov-Smirnov test (KS test) was used to compare the two climate periods studied (1980-2000 and 2001-2020). Data analysis was performed using the Python language. Climate trends from 1980 to 2024 reveal a marked warming, particularly in spring and summer, with an increase in daily temperature variations, exacerbating the risk of drought and impacting agriculture, water resources and health. The periods 1980-2000 and 2001-2020 show significant differences, notably an increase in maximum and minimum night-time temperatures, particularly during summer and spring. Analysis of climate indices, such as TX90p and TN90p, shows increases in temperature extremes, with notable rises in hot days and warm nights, underlining gradual warming. The TX30, TX35, TX37 and TX39 indices also show significant increases. Hot spells (WSDI) and cold spells (CSDI) have intensified, although some trends are not statistically significant. These results confirm a marked climate change, with significant impacts on eco</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temperature, txx, multi-model, projections;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Near-term Climate Prediction of Agricultural Thermal Conditions in East Asia — https://doi.org/10.1007/s00376-025-4471-0</w:t>
      </w:r>
    </w:p>
    <w:p>
      <w:pPr/>
      <w:r>
        <w:rPr>
          <w:b/>
        </w:rPr>
        <w:t>Shared claim-specific concepts:</w:t>
      </w:r>
      <w:r>
        <w:t xml:space="preserve"> temperature, about, end; EU scope not established. This is a provisional connection, not an outcome finding.</w:t>
      </w:r>
    </w:p>
    <w:p>
      <w:pPr>
        <w:pStyle w:val="SourceNote"/>
      </w:pPr>
      <w:r>
        <w:rPr>
          <w:b/>
        </w:rPr>
        <w:t>Available abstract (not full text):</w:t>
      </w:r>
      <w:r>
        <w:t xml:space="preserve"> Abstract Climate change poses significant risks to agriculture, particularly in East Asia, a major crop-producing region. This study evaluates the effectiveness of near-term climate predictions in forecasting agricultural thermal conditions in East Asia for up to five years. We compare temperature-based agroclimatic indicators from atmospheric reanalysis data with the first-year prediction of the Decadal Prediction System version 4 (DePreSys4), initialized annually from November 1960 to 2024. Our analysis reveals that first-year predictions accurately represent observed spatial climatological patterns, although trends in agroclimatic indicators based on daily maximum temperature are overestimated. High skill scores are observed in predicting the beginning of the growing season, frost-free days, agricultural hot days, and heat intensity in major cropping regions. However, the end of the growing season is less predictable due to longer lead times. Notably, five-year average predictions show higher skill than first-year predictions due to smoothed interannual variability. These improved climate predictions enable farmers and policymakers to make informed decisions about crop selection and agricultural infrastructure.</w:t>
      </w:r>
    </w:p>
    <w:p>
      <w:pPr/>
      <w:r>
        <w:rPr>
          <w:b/>
        </w:rPr>
        <w:t>POSSIBLE 2024:</w:t>
      </w:r>
      <w:r>
        <w:t xml:space="preserve"> Long-term daily water temperatures unveil escalating water warming and intensifying heatwaves in the Odra river Basin, Central Europe — https://doi.org/10.1016/j.gsf.2024.101916</w:t>
      </w:r>
    </w:p>
    <w:p>
      <w:pPr/>
      <w:r>
        <w:rPr>
          <w:b/>
        </w:rPr>
        <w:t>Shared claim-specific concepts:</w:t>
      </w:r>
      <w:r>
        <w:t xml:space="preserve"> long-term, temperature, central, ensemble, summer; EU scope visible. This is a provisional connection, not an outcome finding.</w:t>
      </w:r>
    </w:p>
    <w:p>
      <w:pPr>
        <w:pStyle w:val="SourceNote"/>
      </w:pPr>
      <w:r>
        <w:rPr>
          <w:b/>
        </w:rPr>
        <w:t>Available abstract (not full text):</w:t>
      </w:r>
      <w:r>
        <w:t xml:space="preserve"> Water temperature is a critical indicator and weathervane of aquatic ecosystems. However, the vast majority of rivers lack long-term continuous and complete water temperature datasets. In this study, ensemble models by combining NARX (nonlinear autoregressive network with exogenous inputs) and air2stream were used to reconstruct daily river water temperatures for 27 hydrological stations in the Odra River Basin, one of the largest river systems in Europe. For each hydrological station, both the NARX and air2stream models were calibrated and validated, and the better-performed model was selected to reconstruct daily river water temperatures from 1985 to 2022. The results showed that hybrid modeling by combining NARX and air2stream is promising for reconstructing daily river water temperatures. Based on the reconstructed dataset, annual and seasonal trends of water temperature and characteristics of river heatwaves were evaluated. The results indicated that annual river water temperatures showed a consistent warming trend over the past 40 years with an average warming rate of 0.315 °C/decade. Seasonal river water temperatures indicated that summer warms faster, followed by autumn and spring, and winter river water temperatures showed an insignificant warming trend. River heatwaves are increased in frequency, duration, and intensity in the Odra River Basin, and 6 out of 27 hydrolo</w:t>
      </w:r>
    </w:p>
    <w:p>
      <w:pPr/>
      <w:r>
        <w:rPr>
          <w:b/>
        </w:rPr>
        <w:t>POSSIBLE 2024:</w:t>
      </w:r>
      <w:r>
        <w:t xml:space="preserve"> Examining the Eastern European extreme summer temperatures of 2023 from a long-term perspective: the role of natural variability vs. anthropogenic factors — https://doi.org/10.5194/nhess-24-4683-2024</w:t>
      </w:r>
    </w:p>
    <w:p>
      <w:pPr/>
      <w:r>
        <w:rPr>
          <w:b/>
        </w:rPr>
        <w:t>Shared claim-specific concepts:</w:t>
      </w:r>
      <w:r>
        <w:t xml:space="preserve"> long-term, those, find, behavior, summer; EU scope visible. This is a provisional connection, not an outcome finding.</w:t>
      </w:r>
    </w:p>
    <w:p>
      <w:pPr>
        <w:pStyle w:val="SourceNote"/>
      </w:pPr>
      <w:r>
        <w:rPr>
          <w:b/>
        </w:rPr>
        <w:t>Available abstract (not full text):</w:t>
      </w:r>
      <w:r>
        <w:t xml:space="preserve"> Abstract. Amidst unprecedent rising global temperatures, this study investigates the historical context of heatwave (HW) events in Eastern Europe. The record-breaking 2023 summer, featuring a heatwave lasting for 19 days in the south-eastern part of Romania, extending up to Ukraine, necessitates a deeper understanding of past extreme events. Utilizing statistical methods on long-term station data spanning from 1885 to 2023, we aim to detect and analyze historical heatwaves, particularly focusing on events predating 1960. This extended timeframe allows for a more comprehensive assessment of noteworthy extremes compared to recent decades. Our analysis identifies two critical periods with increased heatwave frequency and intensity: 1920–1965 and 1980–2023, respectively, highlighting the most extreme events in August 1946, August 1952, July 2012, June 2019, and August 2023. Furthermore, reanalysis data shows that historical heatwaves, similar to the 2023 event, were associated with large-scale European heat extremes linked to high-pressure systems and they were accompanied by extreme drought, thus leading to compound extreme events. We find that while a clear trend emerges towards more frequent HWs from the 1980s onward, the analysis also uncovers substantial heatwave activity on daily timescales throughout the 1885–1960 period. Moreover, we highlight the intertwined impacts of cli</w:t>
      </w:r>
    </w:p>
    <w:p>
      <w:pPr/>
      <w:r>
        <w:rPr>
          <w:b/>
        </w:rPr>
        <w:t>POSSIBLE 2024:</w:t>
      </w:r>
      <w:r>
        <w:t xml:space="preserve"> Impact of Extreme Climate Indices on Vegetation Dynamics in the Qinghai–Tibet Plateau: A Comprehensive Analysis Utilizing Long-Term Dataset — https://doi.org/10.3390/ijgi13120457</w:t>
      </w:r>
    </w:p>
    <w:p>
      <w:pPr/>
      <w:r>
        <w:rPr>
          <w:b/>
        </w:rPr>
        <w:t>Shared claim-specific concepts:</w:t>
      </w:r>
      <w:r>
        <w:t xml:space="preserve"> long-term, temperature, txx, central, precipitation, distribution; EU scope not established. This is a provisional connection, not an outcome finding.</w:t>
      </w:r>
    </w:p>
    <w:p>
      <w:pPr>
        <w:pStyle w:val="SourceNote"/>
      </w:pPr>
      <w:r>
        <w:rPr>
          <w:b/>
        </w:rPr>
        <w:t>Available abstract (not full text):</w:t>
      </w:r>
      <w:r>
        <w:t xml:space="preserve"> The Qinghai–Tibet Plateau (QTP) is crucial for global climate regulation and ecological equilibrium. However, the phenomenon of global climate warming has increased the frequency of extreme weather events on the QTP, exerting substantial effects on both regional and global ecological systems. This study utilized long-term series NDVI and extreme climate indices to comprehensively evaluate the impact of extreme climatic changes on diverse vegetation types within the QTP. A variety of analytical methodologies, including trend analysis, a Mann–Kendall test, correlation analysis, and random forest importance ranking, were employed in this study. These methodologies were applied to investigate the distribution patterns and variation trends of diverse vegetation types and extreme climate indices. This comprehensive approach facilitated a detailed analysis of the responses of different vegetation types to interannual variability under extreme climatic conditions and enabled the assessment of the impact of extreme climate indices on these vegetation types. The findings have the following implications: (1) Except for forests, the annual NDVI for overall vegetation, meadows, steppes, deserts, and alpine vegetation in the QTP exhibits a significant upward trend (p &lt; 0.01). Notably, meadows and deserts demonstrate the highest growth rates at 0.007/10y, whereas the annual NDVI of forests is</w:t>
      </w:r>
    </w:p>
    <w:p>
      <w:pPr/>
      <w:r>
        <w:rPr>
          <w:b/>
        </w:rPr>
        <w:t>POSSIBLE 2023:</w:t>
      </w:r>
      <w:r>
        <w:t xml:space="preserve"> Mixtures of long-term exposure to ambient air pollution, built environment and temperature and stroke incidence across Europe — https://doi.org/10.1016/j.envint.2023.108136</w:t>
      </w:r>
    </w:p>
    <w:p>
      <w:pPr/>
      <w:r>
        <w:rPr>
          <w:b/>
        </w:rPr>
        <w:t>Shared claim-specific concepts:</w:t>
      </w:r>
      <w:r>
        <w:t xml:space="preserve"> long-term, temperature, lower, until, end; EU scope visible. This is a provisional connection, not an outcome finding.</w:t>
      </w:r>
    </w:p>
    <w:p>
      <w:pPr>
        <w:pStyle w:val="SourceNote"/>
      </w:pPr>
      <w:r>
        <w:rPr>
          <w:b/>
        </w:rPr>
        <w:t>Available abstract (not full text):</w:t>
      </w:r>
      <w:r>
        <w:t xml:space="preserve"> The complex interplay of multiple environmental factors and cardiovascular has scarcely been studied. Within the EXPANSE project, we evaluated the association between long-term exposure to multiple environmental indices and stroke incidence across Europe. Participants from three traditional adult cohorts (Germany, Netherlands and Sweden) and four administrative cohorts (Catalonia [region Spain], Rome [city-wide], Greece and Sweden [nationwide]) were followed until incident stroke, death, migration, loss of follow-up or study end. We estimated exposures at residential addresses from different exposure domains: air pollution (nitrogen dioxide (NO2), particulate matter &lt;2.5μm (PM2.5), black carbon (BC), ozone), built environment (green/blue spaces, impervious surfaces) and meteorology (seasonal mean and standard deviation of temperatures). Associations between environmental exposures and stroke were estimated in single and multiple-exposure Cox proportional hazard models, and Principal Component (PC) Analyses derived prototypes for specific exposures domains. We carried out random effects meta-analyses by cohort type. In over 15 million participants, increased levels of NO2 and BC were associated with increased higher stroke incidence in both cohort types. Increased Normalized Difference Vegetation Index (NDVI) was associated with a lower stroke incidence in both cohort types, whe</w:t>
      </w:r>
    </w:p>
    <w:p>
      <w:pPr/>
      <w:r>
        <w:rPr>
          <w:b/>
        </w:rPr>
        <w:t>POSSIBLE 2023:</w:t>
      </w:r>
      <w:r>
        <w:t xml:space="preserve"> The emergence of projected scaled patterns of extreme temperatures over Europe — https://doi.org/10.3389/feart.2023.1178461</w:t>
      </w:r>
    </w:p>
    <w:p>
      <w:pPr/>
      <w:r>
        <w:rPr>
          <w:b/>
        </w:rPr>
        <w:t>Shared claim-specific concepts:</w:t>
      </w:r>
      <w:r>
        <w:t xml:space="preserve"> temperature, txx, multi-model, ensemble; EU scope visible. This is a provisional connection, not an outcome finding.</w:t>
      </w:r>
    </w:p>
    <w:p>
      <w:pPr>
        <w:pStyle w:val="SourceNote"/>
      </w:pPr>
      <w:r>
        <w:rPr>
          <w:b/>
        </w:rPr>
        <w:t>Available abstract (not full text):</w:t>
      </w:r>
      <w:r>
        <w:t xml:space="preserve"> This work investigates the scalability of extreme temperatures over the European domain with global warming levels. We have used the EURO-CORDEX ensemble of regional model simulations at 0.11° resolution for daily minimum and maximum temperatures to analyze future changes in extreme weather daily events. Scaling with the annual mean global warming modeled by the driving GCM was applied to future extreme temperature indices changes. Regional changes in each index were scaled by corresponding global warming levels obtained from GCMs. This approach asserts that regional patterns of climate change and average global temperature change are linearly related. It can provide information regarding climate change for periods or emission scenarios when no simulations exist. According to the results, the annual minimum of the lowest temperature of the day (TNn) increases more than the annual maximum of the highest temperature of the day (TXx) for Europe. The multi-model mean of the changes in scaled patterns of extreme temperatures emerges early, around 2020, even before it becomes robust. Individual scaled patterns of TNn and TXx emerge from around 2040.</w:t>
      </w:r>
    </w:p>
    <w:p>
      <w:pPr/>
      <w:r>
        <w:rPr>
          <w:b/>
        </w:rPr>
        <w:t>POSSIBLE 2023:</w:t>
      </w:r>
      <w:r>
        <w:t xml:space="preserve"> Heat extremes in Western Europe increasing faster than simulated due to atmospheric circulation trends — https://doi.org/10.1038/s41467-023-42143-3</w:t>
      </w:r>
    </w:p>
    <w:p>
      <w:pPr/>
      <w:r>
        <w:rPr>
          <w:b/>
        </w:rPr>
        <w:t>Shared claim-specific concepts:</w:t>
      </w:r>
      <w:r>
        <w:t xml:space="preserve"> projections, summer; EU scope visible. This is a provisional connection, not an outcome finding.</w:t>
      </w:r>
    </w:p>
    <w:p>
      <w:pPr>
        <w:pStyle w:val="SourceNote"/>
      </w:pPr>
      <w:r>
        <w:rPr>
          <w:b/>
        </w:rPr>
        <w:t>Available abstract (not full text):</w:t>
      </w:r>
      <w:r>
        <w:t xml:space="preserve"> Abstract Over the last 70 years, extreme heat has been increasing at a disproportionate rate in Western Europe, compared to climate model simulations. This mismatch is not well understood. Here, we show that a substantial fraction (0.8 °C [0.2°−1.4 °C] of 3.4 °C per global warming degree) of the heat extremes trend is induced by atmospheric circulation changes, through more frequent southerly flows over Western Europe. In the 170 available simulations from 32 different models that we analyzed, including 3 large model ensembles, none have a circulation-induced heat trend as large as observed. This can be due to underestimated circulation response to external forcing, or to a systematic underestimation of low-frequency variability, or both. The former implies that future projections are too conservative, the latter that we are left with deep uncertainty regarding the pace of future summer heat in Europe. This calls for caution when interpreting climate projections of heat extremes over Western Europe, in view of adaptation to heat waves.</w:t>
      </w:r>
    </w:p>
    <w:p>
      <w:pPr>
        <w:pStyle w:val="Heading2"/>
      </w:pPr>
      <w:r>
        <w:t>773.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r>
        <w:rPr>
          <w:b/>
        </w:rPr>
        <w:t>POSSIBLE 2024:</w:t>
      </w:r>
      <w:r>
        <w:t xml:space="preserve"> Strategic flood impact mitigation in developing countries’ urban road networks: Application to Hanoi — https://doi.org/10.1016/j.ejor.2024.06.035</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Due to climate change, the frequency and scale of flood events worldwide are increasing dramatically. Flood impacts are especially acute in developing countries, where they often revert years of progress in sustainable development and poverty reduction. This paper introduces an optimization-based decision support tool for selecting cost-efficient flood mitigation investments in developing countries’ urban areas. The core of the tool is a scenario-based, multi-period, bi-objective Mixed Integer Linear Programming model which minimizes infrastructure damage and traffic congestion in urban road networks. The tool was developed in collaboration with Vietnamese stakeholders (e.g., local communities and government authorities), and integrates data and inputs from other disciplines, including social science, transport economics, climatology and hydrology. A metaheuristic, combining a Greedy Randomized Adaptive Search Procedure with a Variable Neighborhood Descent algorithm, is developed to solve large scale problem instances. An extensive computational campaign on randomly generated instances demonstrates the efficiency of the metaheuristic in solving realistic problems with hundreds of interdependent flood mitigation interventions. Finally, the applicability of the interdisciplinary approach is demonstrated on a real case study to generate a 20-year plan of mitigation investments for</w:t>
      </w:r>
    </w:p>
    <w:p>
      <w:pPr/>
      <w:r>
        <w:rPr>
          <w:b/>
        </w:rPr>
        <w:t>POSSIBLE 2024:</w:t>
      </w:r>
      <w:r>
        <w:t xml:space="preserve"> Experience Architecture: Developing an Interdisciplinary UX Undergraduate Degree — https://openalex.org/W7215275235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This program showcase discusses the creation of an undergraduate user experience program housed in the Arts and Humanities and shared between two programs: the Department of Art, Art History and Design and the Department of Writing, Rhetoric, and Cultures in the College of Arts and Letters at Michigan State University. The design of the program was grounded in three guiding questions: 1) How do we develop a UX degree that is rooted in Humanities at an R1 land-grant university? 2) How do we develop a curriculum that is interdisciplinary and upholds the values of the Humanities? 3) How can we remain agile and create space for curriculum revision that invites iteration in a way that does not chase industry, but produces graduates who can lead industry towards changes fostered by the work in the Humanities? In reflecting on these questions, the Experience Architecture (XA) Program was developed and deployed in the fall of 2013 and was revised in fall of 2020 to better situate the field under the umbrella of XA to filter conversations about human design thinking in and around a humanities centered approach to problem solving. We are humans building and designing systems for other humans, not ones and zeros building for other ones and zeros - our efforts should be grounded in the ethics, morals, and values of what it means to build, design, and care for humanities based systems, be t</w:t>
      </w:r>
    </w:p>
    <w:p>
      <w:pPr/>
      <w:r>
        <w:rPr>
          <w:b/>
        </w:rPr>
        <w:t>POSSIBLE 2024:</w:t>
      </w:r>
      <w:r>
        <w:t xml:space="preserve"> Interdisciplinary STEM education foundational concepts: Implementation for knowledge creation — https://doi.org/10.29333/ejmste/15471</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Interdisciplinary thinking is essential to understanding and solving real-life problems and requires multiple disciplinary viewpoints. Research into STEM education highlights that it promotes an interdisciplinary learning process integrating science, mathematics, engineering, and mathematics knowledge and skills. However, STEM definitions are varied, and implementation recommendations are scant, resulting in diversity in the development and implementation of the learning process. This study critically analyses the literature to determine the fundamental concepts of STEM education and STEM discipline integration. Our analysis discovers six key components of STEM education, encompassing the integration of discipline, utilization of multiple representations, engagement with realistic and relevant problems, application of the engineering design process, encouragement of active collaboration, and emphasis on student-centered learning approaches. Then, we transform these key components to a practical learning process. The STEM-DTaM (STEM with Design Thinking and Makerspace) learning model consists of seven steps. We then unfold how this proposed learning could facilitate interdisciplinary thinking construction.</w:t>
      </w:r>
    </w:p>
    <w:p>
      <w:pPr/>
      <w:r>
        <w:rPr>
          <w:b/>
        </w:rPr>
        <w:t>POSSIBLE 2024:</w:t>
      </w:r>
      <w:r>
        <w:t xml:space="preserve"> Developing Innovative Interdisciplinary Biomedical Engineering Programs in Nigeria: Lessons Learned — https://doi.org/10.18260/1-2--27241</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An interdisciplinary team comprising faculty from the medical school, business school and school of engineering at Northwestern University is in its third year of cultivating "locally grown" healthcare solutions in Nigeria through a grant provided by NIH's Fogarty International Center.Through a series of training sessions at multiple sites in multiple countries, faculty at the University of Lagos (UINLAG) and the University of Ibadan (UI) are gaining the expertise and developing the infrastructure necessary to identify, design, and commercialize solutions to their own healthcare issues.The specific aims of the grant are three-fold: 1) Establish new and strengthen existing training programs in biomedical engineering in sub-Saharan Africa; 2) Train biomedical engineers and medical doctors to evaluate newly developed HIV-related and other testing and therapeutic devices; 3) Train post graduates from business schools to scale-up development and launch new healthcare practices.In support of these specific aims we have created four distinct annual training sessions: 1) week-long annual planning meetings hosted by either UNILAG or UI and facilitated by the NU team; 2) ten-week long biomedical engineering training programs at the University of Cape Town (UCT) facilitated by UCT and NU faculty ; 3) participation in twoweek long Kellogg Field Studies in Africa; 4) four-week long mentorin</w:t>
      </w:r>
    </w:p>
    <w:p>
      <w:pPr/>
      <w:r>
        <w:rPr>
          <w:b/>
        </w:rPr>
        <w:t>POSSIBLE 2023:</w:t>
      </w:r>
      <w:r>
        <w:t xml:space="preserve"> The Belt and Road Initiative: An Integrative Subject for Interdisciplinary Studies about China — https://doi.org/10.65959/eaa.1810</w:t>
      </w:r>
    </w:p>
    <w:p>
      <w:pPr/>
      <w:r>
        <w:rPr>
          <w:b/>
        </w:rPr>
        <w:t>Shared claim-specific concepts:</w:t>
      </w:r>
      <w:r>
        <w:t xml:space="preserve"> interdisciplinary, road, allow; EU scope not established. This is a provisional connection, not an outcome finding.</w:t>
      </w:r>
    </w:p>
    <w:p>
      <w:pPr>
        <w:pStyle w:val="SourceNote"/>
      </w:pPr>
      <w:r>
        <w:rPr>
          <w:b/>
        </w:rPr>
        <w:t>Available abstract (not full text):</w:t>
      </w:r>
      <w:r>
        <w:t xml:space="preserve"> hina's economic transformation altered the global economy in unexpected ways.In 2000 when Bill Clinton encouraged Congress to support China's ascension to the World Trade Organization (WTO), his argument centered on the belief that once Chinese society saw the power and the benefits of capitalism, it would demand political and economic freedom, and the power of free markets would propel China to economic prosperity.Twenty-plus years later, China has discovered its own path to economic wellness, one that continues to support the Chinese Communist Party (CCP) with political power largely unquestioned.The economy is the second largest in the world and the largest under standards of purchasing power parity (the exchange rate that would translate renminbi to dollars and allow someone to buy the same basket of goods in either country).1 China's investment in its own infrastructure and the development of industry in technology, finance, and artificial intelligence make the country a daunting global competitor.Given China's rise and its explicit resolution to follow its own path, an understanding of China's economic transformation and global strategy is imperative for American students preparing for careers.The vast differences in culture and worldview of Chinese society suggest that simply applying the standard business transaction and replacing US dollars with Chinese renminbi is not</w:t>
      </w:r>
    </w:p>
    <w:p>
      <w:pPr/>
      <w:r>
        <w:rPr>
          <w:b/>
        </w:rPr>
        <w:t>POSSIBLE 2022:</w:t>
      </w:r>
      <w:r>
        <w:t xml:space="preserve"> Arctic roads and railways: social and environmental consequences of transport infrastructure in the circumpolar North — https://doi.org/10.1139/as-2021-0033</w:t>
      </w:r>
    </w:p>
    <w:p>
      <w:pPr/>
      <w:r>
        <w:rPr>
          <w:b/>
        </w:rPr>
        <w:t>Shared claim-specific concepts:</w:t>
      </w:r>
      <w:r>
        <w:t xml:space="preserve"> integrated, case; EU scope not established. This is a provisional connection, not an outcome finding.</w:t>
      </w:r>
    </w:p>
    <w:p>
      <w:pPr>
        <w:pStyle w:val="SourceNote"/>
      </w:pPr>
      <w:r>
        <w:rPr>
          <w:b/>
        </w:rPr>
        <w:t>Available abstract (not full text):</w:t>
      </w:r>
      <w:r>
        <w:t xml:space="preserve"> Land-based transport corridors and related infrastructure are increasingly extending into and across the Arctic in support of resource development and population growth, causing large-scale cumulative changes to northern socio-ecological systems. These changes include the increased mobility of people, goods and resources, and environmental impacts on landscapes and ecosystems as the human footprint reaches remote, unindustrialized regions. Arctic climate change is also generating new challenges for the construction and maintenance of these transport systems, requiring adaptive engineering solutions as well as community resilience. In this review article, we consider the complex entanglements between humans, the environment, and land transportation infrastructure in the North and illustrate these interrelations by way of seven case studies: the Baikal–Amur Mainline, Bovanenkovo Railway, Alaska–Canada Highway, Inuvik–Tuktoyatuk Highway, Alaska Railroad, Hudson Bay Railway, and proposed railways on Baffin Island, Canada. As new infrastructure is built and anticipated across the circumpolar North, there is an urgent need for an integrated socio-ecological approach to impact assessment. This would include full consideration of Indigenous knowledge and concerns, collaboration with local communities and user groups in assessment, planning and monitoring, and evaluation of alternative </w:t>
      </w:r>
    </w:p>
    <w:p>
      <w:pPr>
        <w:pStyle w:val="Heading2"/>
      </w:pPr>
      <w:r>
        <w:t>774.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2022:</w:t>
      </w:r>
      <w:r>
        <w:t xml:space="preserve"> Creation of new tools and their use for analytical-synthetic method of reading — https://openalex.org/W7135751639</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The aim of the diploma thesis is to create new tools for analytical-synthetic method of reading. In the theoretical part, I present mainly the analytical-synthetic method of reading, but also other alternative methods of reading that are used in schools today. I also analyze in detail the individual stages of the analytical-synthetic method of reading and possible evaluation or diagnostics of reading. Based on the literature, I present the benefits but also the problems that may occur in teaching analytical-synthetic method. I also present teaching aids that can be used in teaching, which support this method. For comparison with aids to teaching reading by the analytical-synthetic method, I present typical aids used in the practice of reading by the genetic method. In the practical part I describe the procedures of creating teaching aids and state the appropriate use of aids in practice. I verified the functionality and usability of the aids at the primary and kindergarten school in Božičany in the district of Karlovy Vary. I created a didactic commentary for each aid, which serves as a guide to a specific aid. I consider the overview of specific activities usable in practice to be the most practical and usable for other colleagues. Thanks to this part, my diploma thesis can serve other colleagues...</w:t>
      </w:r>
    </w:p>
    <w:p>
      <w:pPr/>
      <w:r>
        <w:rPr>
          <w:b/>
        </w:rPr>
        <w:t>POSSIBLE 2021:</w:t>
      </w:r>
      <w:r>
        <w:t xml:space="preserve"> Using the Systems Engineering Initiative for Patient Safety (SEIPS) model to describe the planning and management of the COVID-19 pandemic in Hong Kong — https://doi.org/10.1093/intqhc/mzab042</w:t>
      </w:r>
    </w:p>
    <w:p>
      <w:pPr/>
      <w:r>
        <w:rPr>
          <w:b/>
        </w:rPr>
        <w:t>Shared claim-specific concepts:</w:t>
      </w:r>
      <w:r>
        <w:t xml:space="preserve"> describe, use, planning, tool, five, private; EU scope not established. This is a provisional connection, not an outcome finding.</w:t>
      </w:r>
    </w:p>
    <w:p>
      <w:pPr>
        <w:pStyle w:val="SourceNote"/>
      </w:pPr>
      <w:r>
        <w:rPr>
          <w:b/>
        </w:rPr>
        <w:t>Available abstract (not full text):</w:t>
      </w:r>
      <w:r>
        <w:t xml:space="preserve"> The COVID-19 pandemic has had massive impact on healthcare systems highlighting that the relatively deficient medical facilities to cater the high patient load and the shortage of personal protective equipment (PPE) to ensure staff safety are the major problems to tackle [1, 2]. Hong Kong public hospitals faced the same challenges. It is crucial for the hospital management to formulate decisive strategies through a systems approach and take swift actions to handle these situations. The Systems Engineering Initiative for Patient Safety (SEIPS) model, consisted of five main domains namely organization, person, tasks, technologies and tools, and environment, is a renowned tool which adopts human factors principles and offers a comprehensive conceptual framework in facilitating hospital management to understand its own system [3, 4]. Evidence showed that this model had been successfully applied in handling the COVID-19 pandemic [5]. The aims of this article are to apply the SEIPS model to systematically describe the strategies and actions taken by the five public hospitals in the New Territories West Cluster (NTWC) of Hong Kong Hospital Authority and examine if the SEIPS model could support organizations in planning for and managing a pandemic. The strategies and actions taken in the NTWC since the COVID-19 pandemic in February 2020 are summarized in Table 1, and the key actions of</w:t>
      </w:r>
    </w:p>
    <w:p>
      <w:pPr/>
      <w:r>
        <w:rPr>
          <w:b/>
        </w:rPr>
        <w:t>POSSIBLE 2021:</w:t>
      </w:r>
      <w:r>
        <w:t xml:space="preserve"> Tools creation for procedural environments — https://openalex.org/W7113654776</w:t>
      </w:r>
    </w:p>
    <w:p>
      <w:pPr/>
      <w:r>
        <w:rPr>
          <w:b/>
        </w:rPr>
        <w:t>Shared claim-specific concepts:</w:t>
      </w:r>
      <w:r>
        <w:t xml:space="preserve"> describe, use, tool, creation; EU scope not established. This is a provisional connection, not an outcome finding.</w:t>
      </w:r>
    </w:p>
    <w:p>
      <w:pPr>
        <w:pStyle w:val="SourceNote"/>
      </w:pPr>
      <w:r>
        <w:rPr>
          <w:b/>
        </w:rPr>
        <w:t>Available abstract (not full text):</w:t>
      </w:r>
      <w:r>
        <w:t xml:space="preserve"> Industry exigencies on AAA video games productions are increasing, times are tightening and it becomes harder to plan a large project. Today procedural generation of content allows to make productions faster and more efficient by shortening the times of tedious processes like worlds creation. With this project we want to demonstrate and explain why big video game companies are focusing their efforts on creating tools for designers, how production times are substantially reduced and how these tools are developed. Specifically, we want to describe how Houdini, a software based on nodal systems, allows us to procedurally create impressive environments, models and tools through which generate thousands of high quality results by modifying a few parameters. Considering that a project of this magnitude may involve a great effort and innumerable resources of a big team, we will focus our efforts on reaching an initial basic prototype with the sufficient quality required by the market in the AAA video game industry on each of the produced tools. The results obtained were very satisfactory and fulfilled all the proposed objectives. We believe that our knowledge of Houdini, procedural tools and Unreal Engine has grown greatly and, moreover, as a fact, has been self-taught. We have also managed to get very close to what we chose as references to follow for the project, a very high-quality</w:t>
      </w:r>
    </w:p>
    <w:p>
      <w:pPr/>
      <w:r>
        <w:rPr>
          <w:b/>
        </w:rPr>
        <w:t>POSSIBLE 2020:</w:t>
      </w:r>
      <w:r>
        <w:t xml:space="preserve"> Reasoning versus Planning — https://doi.org/10.1002/9781119720348.ch5</w:t>
      </w:r>
    </w:p>
    <w:p>
      <w:pPr/>
      <w:r>
        <w:rPr>
          <w:b/>
        </w:rPr>
        <w:t>Shared claim-specific concepts:</w:t>
      </w:r>
      <w:r>
        <w:t xml:space="preserve"> use, planning, tool, versus; EU scope not established. This is a provisional connection, not an outcome finding.</w:t>
      </w:r>
    </w:p>
    <w:p>
      <w:pPr>
        <w:pStyle w:val="SourceNote"/>
      </w:pPr>
      <w:r>
        <w:rPr>
          <w:b/>
        </w:rPr>
        <w:t>Available abstract (not full text):</w:t>
      </w:r>
      <w:r>
        <w:t xml:space="preserve"> In this chapter, the author defends the theory that the ability to use and make tools and build constructions is based on technical-reasoning skills, useful for solving physical problems that humans generate themselves. He proposes a revised version of some of the theses supported by cognitive archaeologists, according to which the development of executive functions during our evolution would be the key to explaining complex Tool behaviors. The author describes three key processes concerning executive functions, namely flexibility, inhibition and updating. He also proposes a theoretical development on the contribution of technical reasoning and the potential role of executive functions. The theoretical development provides an alternative scenario where these schemas are not stored, but rather generated either totally (i.e. total planning) or partially (i.e. partial planning).</w:t>
      </w:r>
    </w:p>
    <w:p>
      <w:pPr/>
      <w:r>
        <w:rPr>
          <w:b/>
        </w:rPr>
        <w:t>POSSIBLE 2020:</w:t>
      </w:r>
      <w:r>
        <w:t xml:space="preserve"> Web 2.0 tools as framework for participation and co-creation — https://doi.org/10.24140/2020-sct-vol.4-2.5</w:t>
      </w:r>
    </w:p>
    <w:p>
      <w:pPr/>
      <w:r>
        <w:rPr>
          <w:b/>
        </w:rPr>
        <w:t>Shared claim-specific concepts:</w:t>
      </w:r>
      <w:r>
        <w:t xml:space="preserve"> use, planning, tool; EU scope visible. This is a provisional connection, not an outcome finding.</w:t>
      </w:r>
    </w:p>
    <w:p>
      <w:pPr>
        <w:pStyle w:val="SourceNote"/>
      </w:pPr>
      <w:r>
        <w:rPr>
          <w:b/>
        </w:rPr>
        <w:t>Available abstract (not full text):</w:t>
      </w:r>
      <w:r>
        <w:t xml:space="preserve"> Web 2.0 has brought a plethora of new tools (such as Twitter, Facebook, Instagram and others) and new functionalities, for instance, the ability to co-create web content.The question that is being asked is whether these applications and online tools can be used as an alternative to non-electronic tools for participation in spatial planning processes.The co-creation process that these tools enable is also participation.Participation in urban planning is an important part of space planning that we share with different users of planned space.The chapter shows how the theory of participation can be associated with participatory methods that are used in spatial planning.And how to use them when choosing and creating electronic Web 2.0 tools of.However, to make the use of electronic tools easier for non-professionals from the field of Information and Communication Technology (ICT), we have selected electronic tools designed for collaboration and participation to be integrated into a generative web framework.Various electronic tools are described in this chapter, with different ways of using in the processes of participation and co-creation.One tool that was developed for the needs of a certain European project from the field of integration of local initiatives in revitalizing urban public spaces of contemporary cities and could be used for other similar purposes will be described in </w:t>
      </w:r>
    </w:p>
    <w:p>
      <w:pPr/>
      <w:r>
        <w:rPr>
          <w:b/>
        </w:rPr>
        <w:t>POSSIBLE 2019:</w:t>
      </w:r>
      <w:r>
        <w:t xml:space="preserve"> The Planning in Life and Adapting to Novel Situations (PLANS): An Ecologically Valid Measure of Every-day Planning — https://openalex.org/W3034860865</w:t>
      </w:r>
    </w:p>
    <w:p>
      <w:pPr/>
      <w:r>
        <w:rPr>
          <w:b/>
        </w:rPr>
        <w:t>Shared claim-specific concepts:</w:t>
      </w:r>
      <w:r>
        <w:t xml:space="preserve"> use, planning, effective, capacity; EU scope not established. This is a provisional connection, not an outcome finding.</w:t>
      </w:r>
    </w:p>
    <w:p>
      <w:pPr>
        <w:pStyle w:val="SourceNote"/>
      </w:pPr>
      <w:r>
        <w:rPr>
          <w:b/>
        </w:rPr>
        <w:t>Available abstract (not full text):</w:t>
      </w:r>
      <w:r>
        <w:t xml:space="preserve"> Individuals with brain injuries often experience impairment in executive functioning, including the ability to plan. Planning dysfunction limits the capacity to complete functional planning tasks required for effective independent living and community functioning and is a frequent target of community rehabilitation intervention. Current planning measurement tools have limitations in their ecological validity, and are not sensitive to every-day planning. Research has shown that naturalistic simulated instruments have higher degrees of ecological validity than traditional testing options, and are more predictive of executive functioning limitations observed in real-world contexts. This dissertation project describes three research studies involved with the development and feasibility of a new naturalistic instrument: The Planning in Life and Adapting to Novel Situations (PLANS). The first study conducted a scoping literature review (n=22) and semi-structured interviews (n=8) with community rehabilitation clinicians to inform the context, tasks, and scoring of the PLANS. Second, an analysis of clinical data from the Community Multiple Errands Test (CoMET), by individuals with cognitive disabilities (n=55) was conducted to assess planning performance errors in community functioning. CoMET performance was significantly related to measures of logical reasoning, planning and verbal fl</w:t>
      </w:r>
    </w:p>
    <w:p>
      <w:pPr/>
      <w:r>
        <w:rPr>
          <w:b/>
        </w:rPr>
        <w:t>POSSIBLE 2019:</w:t>
      </w:r>
      <w:r>
        <w:t xml:space="preserve"> Acting and Planning Using Operational Models — https://doi.org/10.1609/aaai.v33i01.33017691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The most common representation formalisms for planning are descriptive models. They abstractly describe what the actions do and are tailored for efficiently computing the next state(s) in a state transition system. But acting requires operational models that describe how to do things, with rich control structures for closed-loop online decision-making. Using descriptive representations for planning and operational representations for acting can lead to problems with developing and verifying consistency of the different models.We define and implement an integrated acting-and-planning system in which both planning and acting use the same operational models, which are written in a general-purpose hierarchical task-oriented language offering rich control structures. The acting component is inspired by the well-known PRS system, except that instead of being purely reactive, it can get advice from the planner. Our planning algorithm, RAEplan, plans by doing Monte Carlo rollout simulations of the actor’s operational models. Our experiments show significant benefits in the efficiency of the acting and planning system.</w:t>
      </w:r>
    </w:p>
    <w:p>
      <w:pPr>
        <w:pStyle w:val="Heading2"/>
      </w:pPr>
      <w:r>
        <w:t>775.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r>
        <w:rPr>
          <w:b/>
        </w:rPr>
        <w:t>POSSIBLE 2020:</w:t>
      </w:r>
      <w:r>
        <w:t xml:space="preserve"> Potential for Early Forecast of Moroccan Wheat Yields Based on Climatic Drivers — https://doi.org/10.1029/2020gl087516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Wheat production plays an important role in Morocco. Current wheat forecast systems use weather and vegetation data during the crop growing phase, thus limiting the earliest possible release date to early spring. However, Morocco ' s wheat production is mostly rainfed and thus strongly tied to fluctuations in rainfall, which in turn depend on slowly evolving climate dynamics. This offers a source of predictability at longer time scales. Using physically guided causal discovery algorithms , we extract climate precursors for wheat yield variability from gridded fields of geopotential height and sea surface temperatures which show potential for accurate yield forecasts already in December, with around 50% explained variance in an out‐of‐sample cross validation. The detected interactions are physically meaningful and consistent with documented ocean‐atmosphere feedbacks. Reliable yield forecasts at such long lead times could provide farmers and policy makers with necessary information for early action and strategic adaptation measurements to support food security.</w:t>
      </w:r>
    </w:p>
    <w:p>
      <w:pPr/>
      <w:r>
        <w:rPr>
          <w:b/>
        </w:rPr>
        <w:t>POSSIBLE 2020:</w:t>
      </w:r>
      <w:r>
        <w:t xml:space="preserve"> In Search of a Job: Forecasting Employment Growth Using Google Trends — https://doi.org/10.1080/07350015.2020.1791133</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We show that Google search activity on relevant terms is a strong out-of-sample predictor for future employment growth in the United States over the period 2004–2019 at both short and long horizons. Starting from an initial search term “jobs,” we construct a large panel of 172 variables using Google’s own algorithms to find semantically related search queries. The best Google Trends model achieves an out-of-sample R2 between 29% and 62% at horizons spanning from one month to one year ahead, strongly outperforming benchmarks based on a single search query or a large set of macroeconomic, financial, and sentiment predictors. This strong predictability is due to heterogeneity in search terms and extends to industry-level and state-level employment growth using state-level specific search activity. Encompassing tests indicate that when the Google Trends panel is exploited using a nonlinear model, it fully encompasses the macroeconomic forecasts and provides significant information in excess of those.</w:t>
      </w:r>
    </w:p>
    <w:p>
      <w:pPr/>
      <w:r>
        <w:rPr>
          <w:b/>
        </w:rPr>
        <w:t>POSSIBLE 2020:</w:t>
      </w:r>
      <w:r>
        <w:t xml:space="preserve"> Forecasting COVID-19 — https://doi.org/10.3389/fphy.2020.00127</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The World Health Organization declared the coronavirus disease 2019 a pandemic on March 11th, pointing to the over 118,000 cases in over 110 countries and territories around the world at that time. At the time of writing this manuscript, the number of confirmed cases has been surging rapidly past the half-million mark, emphasizing the sustained risk of further global spread. Governments around the world are imposing various containment measures while the healthcare system is bracing itself for tsunamis of infected individuals that will seek treatment. It is therefore important to know what to expect in terms of the growth of the number of cases, and to understand what is needed to arrest the very worrying trends. To that effect, we here show forecasts obtained with a simple iteration method that needs only the daily values of confirmed cases as input. The method takes into account expected recoveries and deaths, and it determines maximally allowed daily growth rates that lead away from exponential increase toward stable and declining numbers. Forecasts show that daily growth rates should be kept at least below 5% if we wish to see plateaus any time soon—unfortunately far from reality in most countries to date. We provide an executable as well as the source code for a straightforward application of the method on data from other countries.</w:t>
      </w:r>
    </w:p>
    <w:p>
      <w:pPr/>
      <w:r>
        <w:rPr>
          <w:b/>
        </w:rPr>
        <w:t>POSSIBLE 2019:</w:t>
      </w:r>
      <w:r>
        <w:t xml:space="preserve"> Current and potential use of ensemble forecasts in operational TC forecasting: results from a global forecaster survey — https://doi.org/10.1016/j.tcrr.2019.10.005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order to understand the current and potential use of ensemble forecasts in operational tropical cyclone (TC) forecasting, a questionnaire on the use of dynamic ensembles was conducted at operational TC forecast centers across the world, in association with the World Meteorological Organisation (WMO) High-Impact Weather Project (HIWeather). The results of the survey are presented, and show that ensemble forecasts are used by nearly all respondents, particularly in TC track and genesis forecasting, with several examples of where ensemble forecasts have been pulled through successfully into the operational TC forecasting process. There is still, however, a notable difference between the high proportion of operational TC forecasters who use and value ensemble forecast information, and the slower pull-through into operational forecast warnings and products of the probabilistic guidance and uncertainty information that ensembles can provide. Those areas of research and development that would help TC forecasters to make increased use of ensemble forecast information in the future include improved access to ensemble forecast data, verification and visualizations, the development of hazard and impact-based products, an improvement in the skill of the ensembles (particularly for intensity and structure), and improved guidance on how to use ensembles and optimally combine forecasts fro</w:t>
      </w:r>
    </w:p>
    <w:p>
      <w:pPr/>
      <w:r>
        <w:rPr>
          <w:b/>
        </w:rPr>
        <w:t>POSSIBLE 2019:</w:t>
      </w:r>
      <w:r>
        <w:t xml:space="preserve"> The future of forecasting for renewable energy — https://doi.org/10.1002/wene.365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pStyle w:val="Heading2"/>
      </w:pPr>
      <w:r>
        <w:t>776.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r>
        <w:rPr>
          <w:b/>
        </w:rPr>
        <w:t>POSSIBLE 2022:</w:t>
      </w:r>
      <w:r>
        <w:t xml:space="preserve"> Incentives and constraints: a configurational account of European involvement in the anti-Daesh coalition — https://doi.org/10.1017/s1755773921000333</w:t>
      </w:r>
    </w:p>
    <w:p>
      <w:pPr/>
      <w:r>
        <w:rPr>
          <w:b/>
        </w:rPr>
        <w:t>Shared claim-specific concepts:</w:t>
      </w:r>
      <w:r>
        <w:t xml:space="preserve"> incentives, member, states, literature, legislative; EU scope visible. This is a provisional connection, not an outcome finding.</w:t>
      </w:r>
    </w:p>
    <w:p>
      <w:pPr>
        <w:pStyle w:val="SourceNote"/>
      </w:pPr>
      <w:r>
        <w:rPr>
          <w:b/>
        </w:rPr>
        <w:t>Available abstract (not full text):</w:t>
      </w:r>
      <w:r>
        <w:t xml:space="preserve"> Abstract In 2014, the USA initiated the formation of a multilateral military operation against Daesh in Syria and Iraq. Eventually, more than 70 states joined the anti-Daesh coalition. However, contributions to the military effort have been characterized by great variance, especially among EU member states. While some states took leading roles in the airstrikes, others provided training for Iraqi and Kurdish forces, and still others did not get involved beyond voicing their support for the policy. Against this backdrop, this article makes a two-fold contribution to the literature on military coalitions and security policy. Empirically, the article provides a mapping of the then 28 EU member states’ military engagement in the fight against Daesh in Syria and Iraq. Analytically, fuzzy-set Qualitative Comparative Analysis (fsQCA) is applied to account for the observed pattern of military involvement, using an integrative framework that combines international and domestic factors. The results demonstrate that multiple paths led towards EU military involvement in the anti-Daesh coalition. At the same time, international-level incentives, such as external threat and/or alliance value feature prominently in all three identified paths. The analysis further underscores the value of a configurational perspective, because neither an external threat nor alliance value are sufficient on the</w:t>
      </w:r>
    </w:p>
    <w:p>
      <w:pPr/>
      <w:r>
        <w:rPr>
          <w:b/>
        </w:rPr>
        <w:t>POSSIBLE 2021:</w:t>
      </w:r>
      <w:r>
        <w:t xml:space="preserve"> OPTIMAL INCENTIVES FOR ECONOMIC GROWTH IN CENTRAL EUROPEAN COUNTRIES: A MICRO APPROACH — https://doi.org/10.12775/cjfa.2021.009</w:t>
      </w:r>
    </w:p>
    <w:p>
      <w:pPr/>
      <w:r>
        <w:rPr>
          <w:b/>
        </w:rPr>
        <w:t>Shared claim-specific concepts:</w:t>
      </w:r>
      <w:r>
        <w:t xml:space="preserve"> incentives, view; EU scope visible. This is a provisional connection, not an outcome finding.</w:t>
      </w:r>
    </w:p>
    <w:p>
      <w:pPr>
        <w:pStyle w:val="SourceNote"/>
      </w:pPr>
      <w:r>
        <w:rPr>
          <w:b/>
        </w:rPr>
        <w:t>Available abstract (not full text):</w:t>
      </w:r>
      <w:r>
        <w:t xml:space="preserve"> Financial crisis of 2008 and the ongoing pandemic are continuing to have a negative impact on the economies of all countries even tough interest rates have been decreased significantly. This paper attempted to view the problem from a micro point of view to suggest more effective incentives for growth. The specific objective of the study is to determine and examine the effects of these incentives on economic growth in Central European countries.</w:t>
      </w:r>
    </w:p>
    <w:p>
      <w:pPr/>
      <w:r>
        <w:rPr>
          <w:b/>
        </w:rPr>
        <w:t>POSSIBLE 2021:</w:t>
      </w:r>
      <w:r>
        <w:t xml:space="preserve"> Encouraging the Development of New Antibiotics: Are Financial Incentives the Right Way Forward? A Systematic Review and Case Study — https://doi.org/10.2147/idr.s287792</w:t>
      </w:r>
    </w:p>
    <w:p>
      <w:pPr/>
      <w:r>
        <w:rPr>
          <w:b/>
        </w:rPr>
        <w:t>Shared claim-specific concepts:</w:t>
      </w:r>
      <w:r>
        <w:t xml:space="preserve"> right, incentives, literature; EU scope not established. This is a provisional connection, not an outcome finding.</w:t>
      </w:r>
    </w:p>
    <w:p>
      <w:pPr>
        <w:pStyle w:val="SourceNote"/>
      </w:pPr>
      <w:r>
        <w:rPr>
          <w:b/>
        </w:rPr>
        <w:t>Available abstract (not full text):</w:t>
      </w:r>
      <w:r>
        <w:t xml:space="preserve"> Antibiotic resistance is an urgent public health threat that has received substantial attention from the world's leading health agencies and national governmental bodies alike. However, despite increasing rates of antibiotic resistance, pharmaceutical companies are reluctant to develop new antibiotics due to scientific, regulatory, and financial barriers. Nonetheless, only a handful of countries have addressed this by implementing or proposing financial incentive models to promote antibiotic innovation. This study is comprised of a systematic review that aimed to understand which antibiotic incentive strategies are most recommended within the literature and subsequently analyzed these incentives to determine which are most likely to sustainably revitalize the antibiotic pipeline. Through a case study of Canada, we apply our incentive analysis to the Canadian landscape to provide decision-makers with a possible path forward. Based on our findings, we propose that Canada support the ongoing efforts of other countries by implementing a fully delinked subscription-based market entry reward. This paper seeks to spark action in Canada by shifting the national paradigm to one where antibiotic research and development is prioritized as a key element to addressing antibiotic resistance.</w:t>
      </w:r>
    </w:p>
    <w:p>
      <w:pPr/>
      <w:r>
        <w:rPr>
          <w:b/>
        </w:rPr>
        <w:t>POSSIBLE 2021:</w:t>
      </w:r>
      <w:r>
        <w:t xml:space="preserve"> Openness to Industry 4.0 and performance: The impact of barriers and incentives — https://doi.org/10.1016/j.techfore.2021.120756</w:t>
      </w:r>
    </w:p>
    <w:p>
      <w:pPr/>
      <w:r>
        <w:rPr>
          <w:b/>
        </w:rPr>
        <w:t>Shared claim-specific concepts:</w:t>
      </w:r>
      <w:r>
        <w:t xml:space="preserve"> incentives, literature; EU scope visible. This is a provisional connection, not an outcome finding.</w:t>
      </w:r>
    </w:p>
    <w:p>
      <w:pPr>
        <w:pStyle w:val="SourceNote"/>
      </w:pPr>
      <w:r>
        <w:rPr>
          <w:b/>
        </w:rPr>
        <w:t>Available abstract (not full text):</w:t>
      </w:r>
      <w:r>
        <w:t xml:space="preserve"> The impact of barriers and incentives on the relationship between openness to Industry 4.0 and performance have so far received little scholarly attention. As a result, this paper explores this relationship by employing a mixed methods approach. A qualitative analysis using in-depth interviews and multiple case studies identifies prominent barriers and incentives, whilst a quantitative analysis on a representative sample of 500 local manufacturing units in Piedmont (a region of Northern Italy) is undertaken via an OLS regression-based path analysis. The results of the parallel-serial multiple mediation model show that: (1) greater openness to Industry 4.0 is related to better performance; (2) greater openness to Industry 4.0 leads to a higher perception of barriers; (3) greater knowledge-related and economic and financial barriers improve performance, abstracting from the adoption of incentives; and (4) greater openness to Industry 4.0 drives the adoption of incentives. However, perceived economic and financial barriers are found not to drive firms to adopt more incentives. The study contributes to the Industry 4.0 literature by identifying previously unidentified strengths and weaknesses to barriers and incentives, and highlights the necessity of policies that reflect real firms’ needs.</w:t>
      </w:r>
    </w:p>
    <w:p>
      <w:pPr/>
      <w:r>
        <w:rPr>
          <w:b/>
        </w:rPr>
        <w:t>POSSIBLE 2021:</w:t>
      </w:r>
      <w:r>
        <w:t xml:space="preserve"> The EU press publishers’ right: where do Member States stand? — https://doi.org/10.1093/jiplp/jpab105</w:t>
      </w:r>
    </w:p>
    <w:p>
      <w:pPr/>
      <w:r>
        <w:rPr>
          <w:b/>
        </w:rPr>
        <w:t>Shared claim-specific concepts:</w:t>
      </w:r>
      <w:r>
        <w:t xml:space="preserve"> right, member, states, current, legislative, proposal; EU scope visible. This is a provisional connection, not an outcome finding.</w:t>
      </w:r>
    </w:p>
    <w:p>
      <w:pPr>
        <w:pStyle w:val="SourceNote"/>
      </w:pPr>
      <w:r>
        <w:rPr>
          <w:b/>
        </w:rPr>
        <w:t>Available abstract (not full text):</w:t>
      </w:r>
      <w:r>
        <w:t xml:space="preserve"> Ula Furgał is a postdoctoral researcher at the CREATe Centre, University of Glasgow. This article This article offers an opinion on the current state of the implementation of the press publishers’ right, a related right introduced by Directive 2019/790 on Copyright in the Digital Single Market. It outlines the ongoing policy discussions and decisions taken by Member States with regard to selected aspects of the press publishers’ right, including its scope, the appropriate share of revenues due to authors, and licensing mechanisms. It submits that the implementation of the press publishers’ right is unlikely to bring the news media vs digital platforms saga to an end, as not all uncertainties concerning the new right’s scope will be tackled; calls for further regulatory interventions are likely to follow. The tension between news media and digital platforms has been growing for years. Platforms capture an overwhelming majority of the digital advertising revenue, causing the business models of legacy news organizations to become unsustainable. While strongly objecting to platforms using their content for free, news organizations depend on platforms as a key source of referral traffic and a forum for reaching their audiences.1 The year 2021 has been an eventful year so far for those following the news media vs digital platforms saga. Australia has finally adopted its News Media Ba</w:t>
      </w:r>
    </w:p>
    <w:p>
      <w:pPr>
        <w:pStyle w:val="Heading2"/>
      </w:pPr>
      <w:r>
        <w:t>777.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2022:</w:t>
      </w:r>
      <w:r>
        <w:t xml:space="preserve"> Goals and benefits of digital transformation projects: Insights into project selection criteria — https://doi.org/10.4102/sajems.v25i1.4158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Background: Digital transformation (DT) is an increasingly relevant concept for businesses to remain competitive. As DT projects are disruptive to an organisation and are significantly different from traditional information technology projects, it is important to understand the value that specific DT projects will bring to an organisation before they are implemented, so that DT project portfolios can be optimally managed.Aim: This study aims to determine the key goals and benefits of DT projects, as well as the selection criteria for DT projects in South African businesses. The study also explores the most influential technologies for driving the implementation of DT projects.Setting: South Africa is an emerging economy. The study was performed in the initial phases of nationwide lockdown owing to COVID-19.Methods: Semi-structured interviews were conducted with 11 leaders from South African businesses of varying sizes, but all in significant local markets. Content analysis using CAQDAS was used to analyse the primary data, using both inductive and deductive coding methods.Results: South African businesses use a combination of financial and non-financial project selection criteria across four main goals and benefit categories: customer experience, operational efficiency, business culture, and traditional project evaluation. The fifth proposed goal (new business models) was not u</w:t>
      </w:r>
    </w:p>
    <w:p>
      <w:pPr/>
      <w:r>
        <w:rPr>
          <w:b/>
        </w:rPr>
        <w:t>POSSIBLE 2022:</w:t>
      </w:r>
      <w:r>
        <w:t xml:space="preserve"> Assessing the likelihood for transformational change at the Green Climate Fund: An analysis using self-reported project data — https://doi.org/10.1016/j.crm.2022.100398</w:t>
      </w:r>
    </w:p>
    <w:p>
      <w:pPr/>
      <w:r>
        <w:rPr>
          <w:b/>
        </w:rPr>
        <w:t>Shared claim-specific concepts:</w:t>
      </w:r>
      <w:r>
        <w:t xml:space="preserve"> four, transformational, project; EU scope not established. This is a provisional connection, not an outcome finding.</w:t>
      </w:r>
    </w:p>
    <w:p>
      <w:pPr>
        <w:pStyle w:val="SourceNote"/>
      </w:pPr>
      <w:r>
        <w:rPr>
          <w:b/>
        </w:rPr>
        <w:t>Available abstract (not full text):</w:t>
      </w:r>
      <w:r>
        <w:t xml:space="preserve"> Climate finance institutions have been tasked with effectively and efficiently allocating funds to spur the transition to low-carbon, climate-resilient economies. The Green Climate Fund (GCF) is expected to assist the most vulnerable adapt to and mitigate climate change because of its mandate to contribute to a paradigm shift. To understand if the GCF’s portfolio is on track to achieve this aim, we review the project documents of GCF investments through March 2020 (N = 125 projects). We examine attributes of these investments by applying a framework for potential transformational change, comprised of eight components. We use bivariate statistics and multivariate cluster analysis to examine the GCF’s project portfolio of mitigation, cross-cutting and adaptation projects. Bivariate tests find that adaptation projects show the greater intention to integrate policy change into national planning processes and that both adaptation and cross-cutting projects require a greater need for and expectation of behaviour change. Results from cluster analysis shows how adaptation projects dominate clusters with high and medium potential for transformational change (with 47% and 78% of projects, respectively). However, even the high potential cluster only displays the highest average scores for four of the eight components in our framework of transformational change. These findings present lear</w:t>
      </w:r>
    </w:p>
    <w:p>
      <w:pPr/>
      <w:r>
        <w:rPr>
          <w:b/>
        </w:rPr>
        <w:t>POSSIBLE 2021:</w:t>
      </w:r>
      <w:r>
        <w:t xml:space="preserve"> Why radical transformation is necessary for gender equality and a zero carbon European construction sector — https://doi.org/10.4324/9781003052821-12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is set in the context of European Union (EU) policy to reduce environment carbon emissions through the European Performance of Buildings Directive (EPBD), which – despite EU equality objectives – remains gender-blind and in accordance with ecological modernisation, technology-driven, and oriented to innovation. Difficulties in implementing the EPBD relate to vocational education and training (VET) and the labour process requirements for nearly zero energy building (NZEB). The reasons for the failure of VET and labour market policies and practices to improve the participation of women and what is needed to overcome barriers to their inclusion are highlighted. Combined, the requirements for the inclusion of women and a sustainable construction process, provide the pillars on which a transformed industry can be constructed. In examining local and organisational examples of where women have been successfully included and/or NZEB has been achieved, the ingredients are identified for developing an eco-equitable and socially useful construction sector and the coalition of actors involved – above all the public authorities, VET institutions, unions, women in construction, and environmental organisations.</w:t>
      </w:r>
    </w:p>
    <w:p>
      <w:pPr/>
      <w:r>
        <w:rPr>
          <w:b/>
        </w:rPr>
        <w:t>POSSIBLE 2020:</w:t>
      </w:r>
      <w:r>
        <w:t xml:space="preserve"> Fostering digital transformation of SMEs: a four levels approach — https://doi.org/10.1108/md-07-2019-0939</w:t>
      </w:r>
    </w:p>
    <w:p>
      <w:pPr/>
      <w:r>
        <w:rPr>
          <w:b/>
        </w:rPr>
        <w:t>Shared claim-specific concepts:</w:t>
      </w:r>
      <w:r>
        <w:t xml:space="preserve"> four, project, used; EU scope visible. This is a provisional connection, not an outcome finding.</w:t>
      </w:r>
    </w:p>
    <w:p>
      <w:pPr>
        <w:pStyle w:val="SourceNote"/>
      </w:pPr>
      <w:r>
        <w:rPr>
          <w:b/>
        </w:rPr>
        <w:t>Available abstract (not full text):</w:t>
      </w:r>
      <w:r>
        <w:t xml:space="preserve"> Purpose The purpose of this paper is to analyse how digital technologies trigger changes in the business process of manufacturing small and medium-sized enterprises (SMEs) in the Apulia Region (South Italy). As SMEs play an essential role in the process value creation of industries and countries, the article examines the enablers of Industry 4.0 in a regional contexts characterized by delay in research and development and innovation performances where the companies' competitiveness is based on limited knowledge and technological assets. Design/methodology/approach The case study of Smart District 4.0, an ongoing project aimed to promote the digitalization of SMEs operating in the Agri–Food, Clothing–Footwear and Mechanics–Mechatronics in the Apulia Region (South Italy) is analysed. The project has been financed by the Italian Ministry of Economic Development with the final aim to sustain the digital transformation of SMEs in South Italy. Findings The results introduce a four levels approach of engagement of SMEs in the adoption of digital technologies, namely, digital awareness, digital enquirement, digital collaboration and digital transformation. Furthermore, for each level of engagement the study describes and discusses some relevant variables that could be used by managers and entrepreneurs to assess the level of readiness for utilization of digital technologies and how to </w:t>
      </w:r>
    </w:p>
    <w:p>
      <w:pPr/>
      <w:r>
        <w:rPr>
          <w:b/>
        </w:rPr>
        <w:t>POSSIBLE 2019:</w:t>
      </w:r>
      <w:r>
        <w:t xml:space="preserve"> Continuous Transformation and Neo-Carbon Energy Scenarios — https://openalex.org/W2946377064</w:t>
      </w:r>
    </w:p>
    <w:p>
      <w:pPr/>
      <w:r>
        <w:rPr>
          <w:b/>
        </w:rPr>
        <w:t>Shared claim-specific concepts:</w:t>
      </w:r>
      <w:r>
        <w:t xml:space="preserve"> four, neo-carbon, energy, project, groups;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pStyle w:val="Heading2"/>
      </w:pPr>
      <w:r>
        <w:t>778.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r>
        <w:rPr>
          <w:b/>
        </w:rPr>
        <w:t>POSSIBLE 2020:</w:t>
      </w:r>
      <w:r>
        <w:t xml:space="preserve"> Virtual reality and modern tourism — https://doi.org/10.1108/jtf-01-2020-0004</w:t>
      </w:r>
    </w:p>
    <w:p>
      <w:pPr/>
      <w:r>
        <w:rPr>
          <w:b/>
        </w:rPr>
        <w:t>Shared claim-specific concepts:</w:t>
      </w:r>
      <w:r>
        <w:t xml:space="preserve"> purpose, analyze, tourism; EU scope not established. This is a provisional connection, not an outcome finding.</w:t>
      </w:r>
    </w:p>
    <w:p>
      <w:pPr>
        <w:pStyle w:val="SourceNote"/>
      </w:pPr>
      <w:r>
        <w:rPr>
          <w:b/>
        </w:rPr>
        <w:t>Available abstract (not full text):</w:t>
      </w:r>
      <w:r>
        <w:t xml:space="preserve"> Purpose The purpose of this paper is to provide an insight as to how recent trends in virtual reality (VR) have changed the way tourism and hospitality industry communicates their offerings and meets the tourists’ needs. Design/methodology/approach The approach is based on systematic literature review, where the relations between focal concepts are given to analyze potential future developments concerning VR. Findings The paper identifies and analyzes how VR technology affected tourism and hospitality industry through three main touch points – future tourism planning and management, technology-based marketing of tourism destinations and VR potential in changing consumer requirements. These concepts were analyzed to identify changing forces and suggest potential paradigm shifts that tourism and hospitality suppliers and marketers need to consider. These included realistic virtual travel replacements, the importance of interactive experiences and innovation in future tourism systems. Originality/value While there has been increasingly larger number of discussions on how tourists and tourism and hospitality industry have been using information and communication technology recently, there is little evidence of scholars and practitioners applying such methods. This paper used systematic literature review to illustrate means in which VR could be ingrained into tourism and hospitality</w:t>
      </w:r>
    </w:p>
    <w:p>
      <w:pPr/>
      <w:r>
        <w:rPr>
          <w:b/>
        </w:rPr>
        <w:t>POSSIBLE 2020:</w:t>
      </w:r>
      <w:r>
        <w:t xml:space="preserve"> Aspects of Digitalization and Related Impact on Green Tourism in European Countries — https://doi.org/10.3390/info11110507</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The digital world requires the implementation of new technologies and customer-driven business transformation. As the tourism sector may experience unanticipated ways of developing new technologies due to the current global health crisis, the standard travel experience could be changed. The main aim of this study was to analyze the influence of digitalization and tourists’ preferences in terms of accommodation and economic well-being implying sustainability. This paper applied a regression analysis and principal component analysis to achieve the above objective. Research exposed the fact that tourists’ preferences towards green destinations and ecological accommodation establishments, as well as Internet use in travel planning, may have a significant influence on the sustainability of tourism. This study identified behavioral models of 30 European countries from the sustainable tourism and digitalization perspective and made recommendations on economic and social policy measures to ensure the sustainable nature of tourism activity.</w:t>
      </w:r>
    </w:p>
    <w:p>
      <w:pPr/>
      <w:r>
        <w:rPr>
          <w:b/>
        </w:rPr>
        <w:t>POSSIBLE 2020:</w:t>
      </w:r>
      <w:r>
        <w:t xml:space="preserve"> Innovative Tools for Tourism and Cultural Tourism Impact Assessment — https://doi.org/10.3390/su12187470</w:t>
      </w:r>
    </w:p>
    <w:p>
      <w:pPr/>
      <w:r>
        <w:rPr>
          <w:b/>
        </w:rPr>
        <w:t>Shared claim-specific concepts:</w:t>
      </w:r>
      <w:r>
        <w:t xml:space="preserve"> real, tourism, economy; EU scope visible. This is a provisional connection, not an outcome finding.</w:t>
      </w:r>
    </w:p>
    <w:p>
      <w:pPr>
        <w:pStyle w:val="SourceNote"/>
      </w:pPr>
      <w:r>
        <w:rPr>
          <w:b/>
        </w:rPr>
        <w:t>Available abstract (not full text):</w:t>
      </w:r>
      <w:r>
        <w:t xml:space="preserve"> The importance of data and evidence has increased considerably in policy planning, implementation, and evaluation. There is unprecedented availability of open and big data, and there are rapid developments in intelligence gathering and the application of analytical tools. While cultural heritage holds many tangible and intangible values for local communities and society in general, there is a knowledge gap regarding suitable methods and data sources to measure the impacts and develop data-driven policies of cultural tourism. In the tourism sector, rapid developments are particularly taking place around novel uses of mobile positioning data, web scraping, and open application programming interface (API) data, data on sharing, and collaborative economy and passenger data. Based on feedback from 15 European cultural tourism regions, recommendations are developed regarding the use of innovative tools and data sources in tourism management. In terms of potential analytical depth, it is especially advisable to explore the use of mobile positioning data. Yet, there are considerable barriers, especially in terms of privacy protection and ethics, in using such data. User-generated big data from social media, web searches, and website visits constitute another promising data source as it is often publicly available in real time and has low usage barriers. Due to the emergence of new plat</w:t>
      </w:r>
    </w:p>
    <w:p>
      <w:pPr/>
      <w:r>
        <w:rPr>
          <w:b/>
        </w:rPr>
        <w:t>POSSIBLE 2018:</w:t>
      </w:r>
      <w:r>
        <w:t xml:space="preserve"> EUROPEAN TOURISM MANAGEMENT COMPETITIVENESS AND PECULIARITIES — https://doi.org/10.31410/tmt.2018.473</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The scope of this research paper is to analyze the tourism sector and the tourism competitiveness in the frame of European Union (EU-28). The methodology of the paper is classic based on comparative analysis between EU-28 countries, using the analysis, the comparisons and the synthesis of available information.The main source of the data used is Eurostat database.The methodology of the paper is based on the data collected from numerous official, and semi-official published reports, research journals, newspaper reports, research articles, websites and works of the individual scholars : The Travel &amp; Tourism Competitiveness Report 2017 from World Economic Forum, Travel &amp; Tourism Economic Impact 2018 from World Travel &amp; Tourism Council.Finally, the paper concludes and aims recommendation and solution for tourism management in order to increase the European tourism efficiency and competitiveness facing worldwide major challenges regarding resources scarcity, climate change and world security.</w:t>
      </w:r>
    </w:p>
    <w:p>
      <w:pPr>
        <w:pStyle w:val="Heading2"/>
      </w:pPr>
      <w:r>
        <w:t>779.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2024:</w:t>
      </w:r>
      <w:r>
        <w:t xml:space="preserve"> DECARBONIZING FREIGHT TRANSPORTATION IN BRAZIL: METHODOLOGIES, RESULTS AND PRACTICAL IMPLICATIONS — https://doi.org/10.26668/businessreview/2024.v9i10.4667</w:t>
      </w:r>
    </w:p>
    <w:p>
      <w:pPr/>
      <w:r>
        <w:rPr>
          <w:b/>
        </w:rPr>
        <w:t>Shared claim-specific concepts:</w:t>
      </w:r>
      <w:r>
        <w:t xml:space="preserve"> decarbonizing, transportation, ghg, emissions, two; EU scope not established. This is a provisional connection, not an outcome finding.</w:t>
      </w:r>
    </w:p>
    <w:p>
      <w:pPr>
        <w:pStyle w:val="SourceNote"/>
      </w:pPr>
      <w:r>
        <w:rPr>
          <w:b/>
        </w:rPr>
        <w:t>Available abstract (not full text):</w:t>
      </w:r>
      <w:r>
        <w:t xml:space="preserve"> Objective: The objective of this technological article is to present a practical tool for calculating CO2 emissions based on fuel consumption applied in a small road freight transport company. Theoretical Framework: There are 4 methods available in the literature for calculating CO2 emissions produced during cargo transport, which stand out for their applicability: (1) GHG Procol; (2) MNT; (3) DEFRA; and (4) GLEC. The authors (Leonardi &amp; Baumgartner, 2004; Lewis et al., 2016) have methodologies for calculating emissions from freight transport, which currently present significant variability in the approaches and databases recommended. The main methodologies in this area are based on two main foundations: (1) fuel-based methodologies; (2) activity-based methodologies. Method: The calculation methodology used is based on fuel consumption (bottom-up), which considered the characteristics of the target fleet, the number of vehicles and their technological phase, the actual intensity of fleet use in operation, and real fuel consumption. Results and Discussion: From this initial information, it was possible to obtain the volume of CO2 emissions specific to the fleet, considering vehicles using regular diesel and biodiesel (S10). The results indicated a fleet CO2 emission of 1,643 tons per year with the use of biodiesel (S10), representing a 10.5% reduction compared to the total CO2 e</w:t>
      </w:r>
    </w:p>
    <w:p>
      <w:pPr/>
      <w:r>
        <w:rPr>
          <w:b/>
        </w:rPr>
        <w:t>POSSIBLE 2024:</w:t>
      </w:r>
      <w:r>
        <w:t xml:space="preserve"> Decarbonization with induced technical change: Exploring the niche potential of hydrogen in heavy transportation — https://doi.org/10.1016/j.jclepro.2024.140743</w:t>
      </w:r>
    </w:p>
    <w:p>
      <w:pPr/>
      <w:r>
        <w:rPr>
          <w:b/>
        </w:rPr>
        <w:t>Shared claim-specific concepts:</w:t>
      </w:r>
      <w:r>
        <w:t xml:space="preserve"> transportation, sector, energy, one; EU scope visible. This is a provisional connection, not an outcome finding.</w:t>
      </w:r>
    </w:p>
    <w:p>
      <w:pPr>
        <w:pStyle w:val="SourceNote"/>
      </w:pPr>
      <w:r>
        <w:rPr>
          <w:b/>
        </w:rPr>
        <w:t>Available abstract (not full text):</w:t>
      </w:r>
      <w:r>
        <w:t xml:space="preserve"> Fuel cells and electric batteries are competing technologies for the energy transition in heavy transportation. We explore the conditions for the survival of a unique technology in the long term. Learning by doing suggests focusing on a single technology while differentiation and decreasing return to scale (cost convexity) favor diversification. Exogenous technical change also plays a role. The interaction between these factors is analyzed in a general model. It is proved that in absence of convexity and exogenous technical change, only one technology is used for the whole transition. We then apply this framework to analyze the competition between fuel-cell electric buses (FCEBs) and battery electric buses (BEB) in the European bus sector, considering both learning by doing and exogenous technical change. The model is calibrated and solved. It is shown that the existence of a niche for FCEBs critically depends on the speed at which cost reductions are achieved. The speed depends both on the size of the niche and the rate of learning by doing for FCEBs. Public policies to decentralize the socially optimal trajectory in terms of carbon tax and subsidies to learning by doing are derived.</w:t>
      </w:r>
    </w:p>
    <w:p>
      <w:pPr/>
      <w:r>
        <w:rPr>
          <w:b/>
        </w:rPr>
        <w:t>POSSIBLE 2024:</w:t>
      </w:r>
      <w:r>
        <w:t xml:space="preserve"> The Significance of Economic Complexity and Renewable Energy for Decarbonization in Eastern European Countries — https://doi.org/10.3390/en17215271</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Emerging states’ path to enhancing the welfare of their citizens has been strongly accompanied by environmental degradation; climate change effects often abrogate their economic results. This zero-sum game must change, and environmental concerns should be considered when the development of a country is discussed and assessed. In this sense, this study’s objective is to analyze the impact of economic complexity and renewable energy consumption in the presence of economic growth and urbanization in selected emerging European countries from 1995 to 2021. We used a multiple-methodologic approach to highlight the supportive effects of economic complexity and renewable energy consumption in mitigating carbon emissions. Furthermore, the effects of economic growth and urbanization were emphasized by applying the cointegration regression (CCR), fully modified OLS, and dynamic OLS (FMOLS–DOLS) approaches. Additionally, we used Driscoll–Kraay estimation regression to test the robustness of our results. The results reveal the beneficial role of renewable energy consumption and economic complexity in the decarbonization process of selected countries. Furthermore, the study highlighted the detrimental influence of urbanization and economic growth, which were feasible considering the emerging status of the countries included in the panel.</w:t>
      </w:r>
    </w:p>
    <w:p>
      <w:pPr>
        <w:pStyle w:val="Heading2"/>
      </w:pPr>
      <w:r>
        <w:t>780.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r>
        <w:rPr>
          <w:b/>
        </w:rPr>
        <w:t>POSSIBLE 2023:</w:t>
      </w:r>
      <w:r>
        <w:t xml:space="preserve"> Investigation into Factors Affecting Penetration Rate and Favorable Ground Types of Pipe Jacking — https://doi.org/10.2174/18748368-v17-2305300-2022-24</w:t>
      </w:r>
    </w:p>
    <w:p>
      <w:pPr/>
      <w:r>
        <w:rPr>
          <w:b/>
        </w:rPr>
        <w:t>Shared claim-specific concepts:</w:t>
      </w:r>
      <w:r>
        <w:t xml:space="preserve"> penetration, among, identify; EU scope not established. This is a provisional connection, not an outcome finding.</w:t>
      </w:r>
    </w:p>
    <w:p>
      <w:pPr>
        <w:pStyle w:val="SourceNote"/>
      </w:pPr>
      <w:r>
        <w:rPr>
          <w:b/>
        </w:rPr>
        <w:t>Available abstract (not full text):</w:t>
      </w:r>
      <w:r>
        <w:t xml:space="preserve"> Introduction: Improper assessment of the penetration rate (PR) of pipe jacking (PJ) may lead to serious schedule delays and cost overruns. In the current practice, PR is estimated on the basis of the experience of practitioners. This has resulted in predicted PR values that are not consistent with the actual ones. A guideline that can be used to reliably predict PR and account for the effects of the significantly controlling factors is not available. This negatively affects the estimated project time and cost. The problems stem from the many factors that affect PR such as the ground conditions, installation depth, machine type, operator experience, and pipe diameter. Little research has been made in this regard. So this research will focus on two main objectives; the first is to identify, categorize and rank the factors that affect PR, and the second is to investigate the common types of ground and PJ machines in Egypt and the Middle East to determine the favorable ground types for PJ machines. Methods: To determine the factors that affect the PR of PJ and their relative importance, interviews were made with 17 PJ experts in Egypt. Then, a questionnaire was sent to 149 PJ experts in Egypt and the Middle East. The obtained responses were analyzed and the relative importance of all factors was determined. Based on the interviews with experts and the questionnaire survey, the favo</w:t>
      </w:r>
    </w:p>
    <w:p>
      <w:pPr/>
      <w:r>
        <w:rPr>
          <w:b/>
        </w:rPr>
        <w:t>POSSIBLE 2022:</w:t>
      </w:r>
      <w:r>
        <w:t xml:space="preserve"> Impact of the Connected Vehicles Penetration Rate on the Speed Transition Matrices Accuracy — https://doi.org/10.1016/j.trpro.2022.09.029</w:t>
      </w:r>
    </w:p>
    <w:p>
      <w:pPr/>
      <w:r>
        <w:rPr>
          <w:b/>
        </w:rPr>
        <w:t>Shared claim-specific concepts:</w:t>
      </w:r>
      <w:r>
        <w:t xml:space="preserve"> penetration, between, vehicles, fully, estimate, traffic; EU scope not established. This is a provisional connection, not an outcome finding.</w:t>
      </w:r>
    </w:p>
    <w:p>
      <w:pPr>
        <w:pStyle w:val="SourceNote"/>
      </w:pPr>
      <w:r>
        <w:rPr>
          <w:b/>
        </w:rPr>
        <w:t>Available abstract (not full text):</w:t>
      </w:r>
      <w:r>
        <w:t xml:space="preserve"> The development of the Vehicle to Everything (V2X) communication technology can provide crucial data for traffic analysis on the microscopic level. Real-time data from Connected Vehicles (CVs) opens new research possibilities providing detailed insight into the actual traffic state. Speed Transition Matrices (STMs) can be used for this insight and can be created within a fully observable traffic environment. By introducing CVs into the traffic network, it is possible to obtain a partial observation of the traffic environment. This paper explores how the data collected from CVs can be used for the creation of STMs at an isolated intersection in a simulated environment. An emphasis is given on how the CVs penetration rate impacts the accuracy of the created STM. The results show that by increasing the CVs penetration rate, the STM estimate accuracy is also increased, although the relation between estimate accuracy and the penetration rate is not linear. Obtained results show that the error of STM estimation rapidly decreases in the lower CVs penetration rate range.</w:t>
      </w:r>
    </w:p>
    <w:p>
      <w:pPr/>
      <w:r>
        <w:rPr>
          <w:b/>
        </w:rPr>
        <w:t>POSSIBLE 2021:</w:t>
      </w:r>
      <w:r>
        <w:t xml:space="preserve"> The Broadband Penetration in Europe — https://doi.org/10.57017/jaes.v16.3(73).07</w:t>
      </w:r>
    </w:p>
    <w:p>
      <w:pPr/>
      <w:r>
        <w:rPr>
          <w:b/>
        </w:rPr>
        <w:t>Shared claim-specific concepts:</w:t>
      </w:r>
      <w:r>
        <w:t xml:space="preserve"> penetration, expected, different, estimate; EU scope visible. This is a provisional connection, not an outcome finding.</w:t>
      </w:r>
    </w:p>
    <w:p>
      <w:pPr>
        <w:pStyle w:val="SourceNote"/>
      </w:pPr>
      <w:r>
        <w:rPr>
          <w:b/>
        </w:rPr>
        <w:t>Available abstract (not full text):</w:t>
      </w:r>
      <w:r>
        <w:t xml:space="preserve"> In this article we estimate the determinants of broadband penetration in Europe. We use data from the European Innovation Scoreboard of the European Commission for 37 countries in the period 2010-2019. We apply Panel Data with Fixed Effects, Panel Data with Random Effects, WLS, OLS and Dynamic Panel. We found that the level of “Broadband Penetration” in Europe is positively associated to “Enterprises Providing ICT Training”, “Innovative Sales Share”, “Intellectual Assets”, “Knowledge-Intensive Service Exports”, “Turnover Share SMEs”, “Innovation Friendly Environment” and negatively associated with “Government procurement of advanced technology products”, “Sales Impact”, “Firm Investments”, “Opportunity-Driven Entrepreneurship”, “Most Cited Publications”, “Rule of Law”. In adjunct we perform a clusterization with k-Means algorithm optimized with the Silhouette Coefficient and we find the presence of three different clusters. Finally, we apply eight machine learning algorithms to predict the level of “Broadband Penetration” in Europe and we find that the Polynomial Regression algorithm is the best predictor and that the level of the variable is expected to increase of 10,4%.</w:t>
      </w:r>
    </w:p>
    <w:p>
      <w:pPr/>
      <w:r>
        <w:rPr>
          <w:b/>
        </w:rPr>
        <w:t>POSSIBLE 2021:</w:t>
      </w:r>
      <w:r>
        <w:t xml:space="preserve"> DEM study of particle scale and penetration rate on the installation mechanisms of screw piles in sand — https://doi.org/10.1016/j.compgeo.2021.104380</w:t>
      </w:r>
    </w:p>
    <w:p>
      <w:pPr/>
      <w:r>
        <w:rPr>
          <w:b/>
        </w:rPr>
        <w:t>Shared claim-specific concepts:</w:t>
      </w:r>
      <w:r>
        <w:t xml:space="preserve"> penetration, different, behaviour; EU scope not established. This is a provisional connection, not an outcome finding.</w:t>
      </w:r>
    </w:p>
    <w:p>
      <w:pPr>
        <w:pStyle w:val="SourceNote"/>
      </w:pPr>
      <w:r>
        <w:rPr>
          <w:b/>
        </w:rPr>
        <w:t>Available abstract (not full text):</w:t>
      </w:r>
      <w:r>
        <w:t xml:space="preserve"> Screw piles are efficient anchors to sustain large uplift loads and can be installed with low noise or vibration. Screw piles dimensions are currently increasing, renewing research interest to reduce the installation requirements (torque and crowd or vertical force). The Discrete Element Method (DEM) is an ideal technique to investigate the complex soil behaviour during screw pile installation. Different techniques such as particle upscaling or increase of pile penetration rate have been used to reduce the CPU time to more acceptable durations (e.g. few days or weeks). This paper investigates how such techniques can affect the accuracy of the results and change the installation mechanisms. Results show that maintaining a low particle scaling factor is essential to reproduce the correct mechanism at low pile advancement ratio (AR, defined as the vertical displacement per rotation divided by the helix pitch). The pile overflighting (AR ≤ 1) creates an upwards movement of particles, which in turn creates some tension in the pile. Smaller advancement ratios require smaller particles to accurately capture this effect. Results also show that the pile penetration rate must be maintained relatively low to avoid spurious inertial effects.</w:t>
      </w:r>
    </w:p>
    <w:p>
      <w:pPr/>
      <w:r>
        <w:rPr>
          <w:b/>
        </w:rPr>
        <w:t>POSSIBLE 2021:</w:t>
      </w:r>
      <w:r>
        <w:t xml:space="preserve"> Cosmetics Europe evaluation of 6 in silico skin penetration models — https://doi.org/10.1016/j.comtox.2021.100177</w:t>
      </w:r>
    </w:p>
    <w:p>
      <w:pPr/>
      <w:r>
        <w:rPr>
          <w:b/>
        </w:rPr>
        <w:t>Shared claim-specific concepts:</w:t>
      </w:r>
      <w:r>
        <w:t xml:space="preserve"> penetration, different, between; EU scope visible. This is a provisional connection, not an outcome finding.</w:t>
      </w:r>
    </w:p>
    <w:p>
      <w:pPr>
        <w:pStyle w:val="SourceNote"/>
      </w:pPr>
      <w:r>
        <w:rPr>
          <w:b/>
        </w:rPr>
        <w:t>Available abstract (not full text):</w:t>
      </w:r>
      <w:r>
        <w:t xml:space="preserve"> The ADME TF aims to develop in silico skin penetration models using in vitro human skin penetration data for 25 chemicals solubilized in wataer. Since there are widely differing opinions on different in silico models, we evaluated 3 open source (DermWin™, CDC and the University of Surrey models) and 3 commercial models (DSkin, SimCyp and TCAT). Simulation of cutaneous distribution used a finite dose exposure scenario. None of the models adequately predicted the amount of chemical that evaporated. This was important since the prediction of dermal delivery (DD) was improved when the evaporated amount was accounted for in the simulations. The ability to predict the amounts in skin layers varied between models, and the DD were generally over-predicted by 4 models and under-predicted by 1 model. Interestingly, measured partition and diffusion coefficients for the stratum corneum (SC) improved the DD prediction by one model from R2 = 0.23 to R2 = 0.57, while DD was predicted well by other models using QSAR values with higher R2 = 0.80. The effect of ethanol on DD was indicated by 5 of the models used, although they all over-predicted the DD. In conclusion, our evaluation highlighted important differences in 6 models and identified required improvement of in silico models.</w:t>
      </w:r>
    </w:p>
    <w:p>
      <w:pPr>
        <w:pStyle w:val="Heading2"/>
      </w:pPr>
      <w:r>
        <w:t>781.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ERA5-Land: a state-of-the-art global reanalysis dataset for land applications — https://doi.org/10.5194/essd-13-4349-2021</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Abstract. Framed within the Copernicus Climate Change Service of the European Commission, the European Centre for Medium-Range Weather Forecasts (ECMWF) is producing an enhanced global dataset for the land component of the 5th generation of European ReAnalysis (ERA5), hereafter named as ERA5-Land. Once completed, the period covered will span from 1950 to present, with continuous updates to support land monitoring applications. ERA5-Land describes the evolution of the water and energy cycles over land in a consistent manner over the production period, enabling the characterisation of trends and anomalies. This is achieved through global high resolution numerical integrations of the ECMWF land surface model driven by the downscaled meteorological forcing from the ERA5 climate reanalysis, including an elevation correction for the thermodynamic near-surface state. ERA5-Land shares with ERA5 most of the parametrizations that guarantees the use of the state-of-the-art land surface modeling applied to Numerical Weather Prediction (NWP) models. A main advantage of ERA5-Land compared to ERA5 and the older ERA-Interim is the horizontal resolution, which is enhanced globally to 9 km compared to 31 km (ERA5) or 80 km (ERA-Interim), whereas the temporal resolution is hourly as in ERA5. Evaluation against independent in situ observations and global model or satellite-based reference datasets</w:t>
      </w:r>
    </w:p>
    <w:p>
      <w:pPr/>
      <w:r>
        <w:rPr>
          <w:b/>
        </w:rPr>
        <w:t>POSSIBLE 2021:</w:t>
      </w:r>
      <w:r>
        <w:t xml:space="preserve"> A new European land systems representation accounting for landscape characteristics — https://doi.org/10.1007/s10980-021-01227-5</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Abstract Context While land use change is the main driver of biodiversity loss, most biodiversity assessments either ignore it or use a simple land cover representation. Land cover representations lack the representation of land use and landscape characteristics relevant to biodiversity modeling. Objectives We developed a comprehensive and high-resolution representation of European land systems on a 1-km2 grid integrating important land use and landscape characteristics. Methods Combining the recent data on land cover and land use intensities, we applied an expert-based hierarchical classification approach and identified land systems that are common in Europe and meaningful for studying biodiversity. We tested the benefits of using this map as compared to land cover information to predict the distribution of bird species having different vulnerability to landscape and land use change. Results Next to landscapes dominated by one land cover, mosaic landscapes cover 14.5% of European terrestrial surface. When using the land system map, species distribution models demonstrate substantially higher predictive ability (up to 19% higher) as compared to models based on land cover maps. Our map consistently contributes more to the spatial distribution of the tested species than the use of land cover data (3.9 to 39.1% higher). Conclusions A land systems classification including essential</w:t>
      </w:r>
    </w:p>
    <w:p>
      <w:pPr/>
      <w:r>
        <w:rPr>
          <w:b/>
        </w:rPr>
        <w:t>POSSIBLE 2021:</w:t>
      </w:r>
      <w:r>
        <w:t xml:space="preserve"> Sentinel-2 Time Series Analysis for Identification of Underutilized Land in Europe — https://doi.org/10.3390/rs13234920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Biomass and bioenergy play a central role in Europe’s Green Transition. Currently, biomass is representing half of the renewable energy sources used. While the role of renewables in the energy mix is undisputed, there have been many controversial discussions on the use of biomass for energy due to the “food versus fuel” debate. Using previously underutilized lands for bioenergy is one possibility to prevent this discussion. This study supports the attempts to increase biomass for bioenergy through the provision of improved methods to identify underutilized lands in Europe. We employ advanced analysis methods based on time series modelling using Sentinel-2 (S2) data from 2017 to 2019 in order to distinguish utilized from underutilized land in twelve study areas in different bio-geographical regions (BGR) across Europe. The calculated parameters of the computed model function combined with temporal statistics were used to train a random forest classifier (RF). The achieved overall accuracies (OA) per study area vary between 80.25 and 96.76%, with confidence intervals (CI) ranging between 1.77% and 6.28% at a 95% confidence level. All in all, nearly 500,000 ha of underutilized land potentially available for agricultural bioenergy production were identified in this study, with the greatest amount mapped in Eastern Europe.</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European Union Responses to the Covid-19 Pandemic: adaptability in times of Permanent Emergency — https://doi.org/10.1080/07036337.2020.1853120</w:t>
      </w:r>
    </w:p>
    <w:p>
      <w:pPr/>
      <w:r>
        <w:rPr>
          <w:b/>
        </w:rPr>
        <w:t>Shared claim-specific concepts:</w:t>
      </w:r>
      <w:r>
        <w:t xml:space="preserve"> permanent, across; EU scope visible. This is a provisional connection, not an outcome finding.</w:t>
      </w:r>
    </w:p>
    <w:p>
      <w:pPr>
        <w:pStyle w:val="SourceNote"/>
      </w:pPr>
      <w:r>
        <w:rPr>
          <w:b/>
        </w:rPr>
        <w:t>Available abstract (not full text):</w:t>
      </w:r>
      <w:r>
        <w:t xml:space="preserve"> Exploring the challenges of Covid-19 for the European Union (EU) during March-August 2020, this article argues that contrary to prior crises the EU has demonstrated a certain degree of adaptability to a ‘permanent’ emergency mode. This adaptability varies across policy areas under study. Inter-crisis learning has been higher in state aid and economic governance than in the area of Schengen. Discursive shifts co-exist and have been central to the areas of cybercrime, economic governance and climate change. Additionally, and despite the tensions, there are signs of renewed political commitment to the European project and an acceleration of decisions and initiatives that had been decided or discussed before the pandemic. Although de-politicization and politicization trends continue to co-exist, we observe politicization at the top with European elites perceiving the Covid-19 emergency as an existential threat for the EU. Finally, we argue that the EU’s adaptability and acceleration of prior trends do not necessarily involve a race that favor supranational tendencies.</w:t>
      </w:r>
    </w:p>
    <w:p>
      <w:pPr/>
      <w:r>
        <w:rPr>
          <w:b/>
        </w:rPr>
        <w:t>POSSIBLE 2020:</w:t>
      </w:r>
      <w:r>
        <w:t xml:space="preserve"> A classification of European agricultural land using an energy-based intensity indicator and detailed crop description — https://doi.org/10.1016/j.landurbplan.2020.103793</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With agricultural areas covering almost half of European land, proper management of agro-ecosystems is key to achieve the European Union’s environmental and climate objectives. This requires spatially explicit methods and indicators. We developed an approach for the classification of agricultural land by combining two main dimensions i) land cover, using detailed geo-spatialized census data covering 63 individual crops; ii) management intensity, measured as the anthropogenic energy required in the primary crop production. As a result we identified 10 main crop systems further classified into 30 ‘crop-management systems’ at a spatial resolution of 5 arcminutes. The resulting maps show the spatial patterns of agricultural management intensity across Europe, both in absolute terms (total energy input per hectare) and relative to the dominant crop system in the spatial unit of analysis. The use of multiple intensity dimensions provides new, more detailed insights on agricultural intensity by which areas that were previously classified as low-medium intensive - some permanent crops systems or irrigated arable land - appear now as highly intensive. An expert-based evaluation was carried out on the intensity maps and corroborated the obtained results. The generated maps can be used to support decision-making in designing more targeted, context-specific agricultural and territorial pol</w:t>
      </w:r>
    </w:p>
    <w:p>
      <w:pPr/>
      <w:r>
        <w:rPr>
          <w:b/>
        </w:rPr>
        <w:t>POSSIBLE 2019:</w:t>
      </w:r>
      <w:r>
        <w:t xml:space="preserve"> Developing stakeholder-driven scenarios on land sharing and land sparing – Insights from five European case studies — https://doi.org/10.1016/j.jenvman.2019.03.050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Empirical research on land sharing and land sparing has been criticized because preferences of local stakeholders, socio-economic aspects, a bundle of ecosystem services and the local context were only rarely integrated. Using storylines and scenarios is a common approach to include land use drivers and local contexts or to cope with the uncertainties of future developments. The objective of the presented research is to develop comparable participatory regional land use scenarios for the year 2030 reflecting land sharing, land sparing and more intermediate developments across five different European landscapes (Austria, Germany, Switzerland, The Netherlands and Spain). In order to ensure methodological consistency among the five case studies, a hierarchical multi-scale scenario approach was developed, which consisted of i) the selection of a common global storyline to frame a common sphere of uncertainty for all case studies, ii) the definition of three contrasting qualitative European storylines (representing developments for land sharing, land sparing and a balanced storyline), and iii) the development of three explorative case study-specific land use scenarios with regional stakeholders in workshops. Land use transition rules defined by stakeholders were used to generate three different spatially-explicit scenarios for each case study by means of high-resolution land use map</w:t>
      </w:r>
    </w:p>
    <w:p>
      <w:pPr>
        <w:pStyle w:val="Heading2"/>
      </w:pPr>
      <w:r>
        <w:t>782.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783.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2023:</w:t>
      </w:r>
      <w:r>
        <w:t xml:space="preserve"> LIFE STRATEGIES OF RUSSIAN AND EUROPEAN FEMALE STUDENTS: — https://doi.org/10.18316/rcd.v15i38.11034</w:t>
      </w:r>
    </w:p>
    <w:p>
      <w:pPr/>
      <w:r>
        <w:rPr>
          <w:b/>
        </w:rPr>
        <w:t>Shared claim-specific concepts:</w:t>
      </w:r>
      <w:r>
        <w:t xml:space="preserve"> female, life, men; EU scope visible. This is a provisional connection, not an outcome finding.</w:t>
      </w:r>
    </w:p>
    <w:p>
      <w:pPr>
        <w:pStyle w:val="SourceNote"/>
      </w:pPr>
      <w:r>
        <w:rPr>
          <w:b/>
        </w:rPr>
        <w:t>Available abstract (not full text):</w:t>
      </w:r>
      <w:r>
        <w:t xml:space="preserve"> Contemporary society provides people with various ways of personality development. Young people are most susceptible to changes that occur in economics, politics, and technology. Different types of life strategies are formed and realized by young women and men, and they eventually transform public consciousness in general. The article is devoted to the analysis of life strategies and scenarios of female students living in Russia and European countries. For this purpose, a series of in-depth interviews with girls was conducted, as well as a visual analysis of the accounts of young women on the social network Instagram. Today, the process of westernization is observable – the adoption of Western European structures, practices, and lifestyles by non-European societies and countries has become a significant cultural phenomenon. Thus, based on the data obtained, it is possible to define a life strategy as a system of ideas and guidelines of the individual, aimed at the conscious design of the future. It determines and directs the behavior of individuals, reflecting the idea of the future and life path. A life strategy includes not only orientations, but also ways to achieve and realize certain goals and expectations.</w:t>
      </w:r>
    </w:p>
    <w:p>
      <w:pPr/>
      <w:r>
        <w:rPr>
          <w:b/>
        </w:rPr>
        <w:t>POSSIBLE 2023:</w:t>
      </w:r>
      <w:r>
        <w:t xml:space="preserve"> Influence of Social Determinants of Health on the Quality of Life of Older Adults in Europe: A Sex Analysis — https://doi.org/10.21203/rs.3.rs-3401316/v1</w:t>
      </w:r>
    </w:p>
    <w:p>
      <w:pPr/>
      <w:r>
        <w:rPr>
          <w:b/>
        </w:rPr>
        <w:t>Shared claim-specific concepts:</w:t>
      </w:r>
      <w:r>
        <w:t xml:space="preserve"> female, life, over, men; EU scope visible. This is a provisional connection, not an outcome finding.</w:t>
      </w:r>
    </w:p>
    <w:p>
      <w:pPr>
        <w:pStyle w:val="SourceNote"/>
      </w:pPr>
      <w:r>
        <w:rPr>
          <w:b/>
        </w:rPr>
        <w:t>Available abstract (not full text):</w:t>
      </w:r>
      <w:r>
        <w:t xml:space="preserve"> Introduction: The global aging population poses challenges for society such as health inequalities among older persons and between genders. Objectives: To determine how Social Determinants of Health (SDH) influence the quality of life (QoL) of individuals over 50 years old in various European countries, taking a gender perspective in a longitudinal study. Materials and methods: Sample of 11,493 individuals from 13 European countries from Waves 5 (2013), 6 (2015), and 7 (2017) of the SHARE study. Instruments: CASP-12 (QoL), EURO-D (depression), SDH: gender, age, educational level, socioeconomic status, ethnicity, place of residence, and European region. Sociodemographic and clinical variables. Statistical analysis: Bivariate and multivariate mixed linear models. Results: The bivariate analysis showed higher economic hardship and lower education in women compared to men. The CASP-12 score was higher in men than in women. In the multivariate analysis, the variables associated with lower QoL scores among men and women from Wave 5 to Wave 7 were: (β:-0.196, 95% CI: -0.345; -0.047) vs (β:0.038, 95% CI: -0.122; 0.197); economic hardship; and the European region between South and North (β: 2.709, 95% CI: 2.403; 3.015) vs men (β: 2.224, 95% CI: 1.896; 2.551). Conclusions: The main SDH associated with poorer QoL were female gender, advanced age, economic hardship, educational level, and </w:t>
      </w:r>
    </w:p>
    <w:p>
      <w:pPr/>
      <w:r>
        <w:rPr>
          <w:b/>
        </w:rPr>
        <w:t>POSSIBLE 2023:</w:t>
      </w:r>
      <w:r>
        <w:t xml:space="preserve"> Gains in life expectancy from decreasing cardiovascular disease and cancer mortality – an analysis of 28 European countries 1995–2019 — https://doi.org/10.1007/s10654-023-01039-8</w:t>
      </w:r>
    </w:p>
    <w:p>
      <w:pPr/>
      <w:r>
        <w:rPr>
          <w:b/>
        </w:rPr>
        <w:t>Shared claim-specific concepts:</w:t>
      </w:r>
      <w:r>
        <w:t xml:space="preserve"> female, life, expectancy, over, men, country; EU scope visible. This is a provisional connection, not an outcome finding.</w:t>
      </w:r>
    </w:p>
    <w:p>
      <w:pPr>
        <w:pStyle w:val="SourceNote"/>
      </w:pPr>
      <w:r>
        <w:rPr>
          <w:b/>
        </w:rPr>
        <w:t>Available abstract (not full text):</w:t>
      </w:r>
      <w:r>
        <w:t xml:space="preserve"> BACKGROUND: Life expectancy (LE) is an indicator of societal progress among rapidly aging populations. In recent decades, the displacement of deaths from cardiovascular disease (CVD) and cancer have been key drivers in further extending LE on the continent, though improvements vary markedly by country, sex, and over time. This study provides a comparative overview of the age-specific contributions of CVD and cancer to increasing LE in the 27 European Union member states, plus the U.K. METHODS: Cause-by-age decompositions of national changes in LE were conducted for the years 1995-1999 and 2015-2019 based on the standard approach of multiple decrement life tables to quantify the relative impact over time. The contributions of CVD and cancer mortality changes to differences in LE were computed by sex and age for each of the 28 countries. We examine the difference between the member states before 2004 ("founding countries") and those which accessed the EU after 2004 ("A10 countries"). RESULTS: Among men, declines in CVD mortality in the founding countries of the EU were larger contributors to increasing LE over the last decades than malignant neoplasms: 2.26 years were gained by CVD declines versus 1.07 years for cancer, with 2.23 and 0.84 years gained in A10 countries, respectively. Among women in founding countries, 1.81 and 0.54 additional life years were attributable to CVD an</w:t>
      </w:r>
    </w:p>
    <w:p>
      <w:pPr/>
      <w:r>
        <w:rPr>
          <w:b/>
        </w:rPr>
        <w:t>POSSIBLE 2022:</w:t>
      </w:r>
      <w:r>
        <w:t xml:space="preserve"> Life expectancy changes since COVID-19 — https://doi.org/10.1038/s41562-022-01450-3</w:t>
      </w:r>
    </w:p>
    <w:p>
      <w:pPr/>
      <w:r>
        <w:rPr>
          <w:b/>
        </w:rPr>
        <w:t>Shared claim-specific concepts:</w:t>
      </w:r>
      <w:r>
        <w:t xml:space="preserve"> life, expectancy, over, chile; EU scope visible. This is a provisional connection, not an outcome finding.</w:t>
      </w:r>
    </w:p>
    <w:p>
      <w:pPr>
        <w:pStyle w:val="SourceNote"/>
      </w:pPr>
      <w:r>
        <w:rPr>
          <w:b/>
        </w:rPr>
        <w:t>Available abstract (not full text):</w:t>
      </w:r>
      <w:r>
        <w:t xml:space="preserve"> Abstract The COVID-19 pandemic triggered an unprecedented rise in mortality that translated into life expectancy losses around the world, with only a few exceptions. We estimate life expectancy changes in 29 countries since 2020, including most of Europe, the US and Chile, attribute them to mortality changes by age group, and compare them to historic life expectancy shocks. Our results show divergence in mortality impacts of the pandemic in 2021. While countries in Western Europe experienced bounce-backs from life expectancy losses of 2020, Eastern Europe and the US witnessed sustained and substantial life expectancy deficits. Life expectancy deficits among ages 60+ were strongly correlated with measures of vaccination uptake. In contrast to 2020, the age profile of excess mortality in 2021 was younger with those in under-80 age groups contributing more to life expectancy losses. However, even in 2021, registered COVID-19 deaths continued to account for most life expectancy losses. Research in context Evidence before this study The COVID-19 pandemic disrupted mortality trends around the world. Most high-income countries experienced life expectancy declines in 2020, and emerging evidence from low-to-middle income shows substantial losses in life expectancy with large regional variation. These analyses emphasise the impact of COVID-19 deaths and also highlight the effect of exces</w:t>
      </w:r>
    </w:p>
    <w:p>
      <w:pPr/>
      <w:r>
        <w:rPr>
          <w:b/>
        </w:rPr>
        <w:t>POSSIBLE 2022:</w:t>
      </w:r>
      <w:r>
        <w:t xml:space="preserve"> The Role of Parenthood for Life Satisfaction of Older Women and Men in Europe — https://doi.org/10.1007/s10902-022-00600-8</w:t>
      </w:r>
    </w:p>
    <w:p>
      <w:pPr/>
      <w:r>
        <w:rPr>
          <w:b/>
        </w:rPr>
        <w:t>Shared claim-specific concepts:</w:t>
      </w:r>
      <w:r>
        <w:t xml:space="preserve"> life, men, approach; EU scope visible. This is a provisional connection, not an outcome finding.</w:t>
      </w:r>
    </w:p>
    <w:p>
      <w:pPr>
        <w:pStyle w:val="SourceNote"/>
      </w:pPr>
      <w:r>
        <w:rPr>
          <w:b/>
        </w:rPr>
        <w:t>Available abstract (not full text):</w:t>
      </w:r>
      <w:r>
        <w:t xml:space="preserve"> Abstract Previous research has widely addressed the gap in well-being between parents and childless individuals. While cross-sectional studies have regularly reported lower levels of well-being for parents, recent longitudinal studies suggest a short-term positive effect with a back-to-baseline adaptation. Whether, why, and how parenthood may affect well-being in older age is, however, still largely unclear. In this paper, a holistic view of well-being developments across the process of aging is combined with a transition-centered, gender sensitive approach to analyze the effects of health decline on the self-reported life satisfaction of parents and childless individuals. Life satisfaction in older age is hypothesized to be influenced by the onset of and coping with health limitations, which themselves may differ by parental status and gender. Using group-specific growth curve analysis based on data from the Survey of Health, Ageing and Retirement in Europe (SHARE) and accounting for selection into parenthood, we demonstrate how the life satisfaction of men and women evolves in the later life depending on parental status. Results show that from age 50 onwards, parents’ life satisfaction develops somewhat less favorably compared to that of childless individuals, but this difference is not significant. However, fathers' health evolves more favorably while they react less negativ</w:t>
      </w:r>
    </w:p>
    <w:p>
      <w:pPr/>
      <w:r>
        <w:rPr>
          <w:b/>
        </w:rPr>
        <w:t>POSSIBLE 2021:</w:t>
      </w:r>
      <w:r>
        <w:t xml:space="preserve"> Inequality in life expectancies across Europe and the US — https://doi.org/10.1002/hec.4284</w:t>
      </w:r>
    </w:p>
    <w:p>
      <w:pPr/>
      <w:r>
        <w:rPr>
          <w:b/>
        </w:rPr>
        <w:t>Shared claim-specific concepts:</w:t>
      </w:r>
      <w:r>
        <w:t xml:space="preserve"> life, expectancy, advantage; EU scope visible. This is a provisional connection, not an outcome finding.</w:t>
      </w:r>
    </w:p>
    <w:p>
      <w:pPr>
        <w:pStyle w:val="SourceNote"/>
      </w:pPr>
      <w:r>
        <w:rPr>
          <w:b/>
        </w:rPr>
        <w:t>Available abstract (not full text):</w:t>
      </w:r>
      <w:r>
        <w:t xml:space="preserve"> We use harmonized household panel data from Europe and the US and a three-state survival model to provide comparable measurements of education and gender inequalities in total, healthy, and unhealthy life expectancies at age 50. Common across countries, the education advantage in total life expectancy is larger for males but the education advantage in (fewer) unhealthy years is larger for females. Counterfactual decompositions show that these results arise because the education advantage in conditional survival rates is relatively more important for males, while the education advantage in better health transitions is relatively more important for females. Across countries, the US stands out with the largest education gradient in healthy life expectancy.</w:t>
      </w:r>
    </w:p>
    <w:p>
      <w:pPr/>
      <w:r>
        <w:rPr>
          <w:b/>
        </w:rPr>
        <w:t>POSSIBLE 2021:</w:t>
      </w:r>
      <w:r>
        <w:t xml:space="preserve"> Quantifying impacts of the COVID-19 pandemic through life-expectancy losses: a population-level study of 29 countries — https://doi.org/10.1093/ije/dyab207</w:t>
      </w:r>
    </w:p>
    <w:p>
      <w:pPr/>
      <w:r>
        <w:rPr>
          <w:b/>
        </w:rPr>
        <w:t>Shared claim-specific concepts:</w:t>
      </w:r>
      <w:r>
        <w:t xml:space="preserve"> life, expectancy, chile; EU scope visible. This is a provisional connection, not an outcome finding.</w:t>
      </w:r>
    </w:p>
    <w:p>
      <w:pPr>
        <w:pStyle w:val="SourceNote"/>
      </w:pPr>
      <w:r>
        <w:rPr>
          <w:b/>
        </w:rPr>
        <w:t>Available abstract (not full text):</w:t>
      </w:r>
      <w:r>
        <w:t xml:space="preserve"> BACKGROUND: Variations in the age patterns and magnitudes of excess deaths, as well as differences in population sizes and age structures, make cross-national comparisons of the cumulative mortality impacts of the COVID-19 pandemic challenging. Life expectancy is a widely used indicator that provides a clear and cross-nationally comparable picture of the population-level impacts of the pandemic on mortality. METHODS: Life tables by sex were calculated for 29 countries, including most European countries, Chile and the USA, for 2015-2020. Life expectancy at birth and at age 60 years for 2020 were contextualized against recent trends between 2015 and 2019. Using decomposition techniques, we examined which specific age groups contributed to reductions in life expectancy in 2020 and to what extent reductions were attributable to official COVID-19 deaths. RESULTS: Life expectancy at birth declined from 2019 to 2020 in 27 out of 29 countries. Males in the USA and Lithuania experienced the largest losses in life expectancy at birth during 2020 (2.2 and 1.7 years, respectively), but reductions of more than an entire year were documented in 11 countries for males and 8 among females. Reductions were mostly attributable to increased mortality above age 60 years and to official COVID-19 deaths. CONCLUSIONS: The COVID-19 pandemic triggered significant mortality increases in 2020 of a magnit</w:t>
      </w:r>
    </w:p>
    <w:p>
      <w:pPr>
        <w:pStyle w:val="Heading2"/>
      </w:pPr>
      <w:r>
        <w:t>784.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2022:</w:t>
      </w:r>
      <w:r>
        <w:t xml:space="preserve"> Human–robot collaboration and machine learning: A systematic review of recent research — https://doi.org/10.1016/j.rcim.2022.102432</w:t>
      </w:r>
    </w:p>
    <w:p>
      <w:pPr/>
      <w:r>
        <w:rPr>
          <w:b/>
        </w:rPr>
        <w:t>Shared claim-specific concepts:</w:t>
      </w:r>
      <w:r>
        <w:t xml:space="preserve"> key, trends, different, human, life; EU scope not established. This is a provisional connection, not an outcome finding.</w:t>
      </w:r>
    </w:p>
    <w:p>
      <w:pPr>
        <w:pStyle w:val="SourceNote"/>
      </w:pPr>
      <w:r>
        <w:rPr>
          <w:b/>
        </w:rPr>
        <w:t>Available abstract (not full text):</w:t>
      </w:r>
      <w:r>
        <w:t xml:space="preserve"> Technological progress increasingly envisions the use of robots interacting with people in everyday life. Human–robot collaboration (HRC) is the approach that explores the interaction between a human and a robot, during the completion of a common objective, at the cognitive and physical level. In HRC works, a cognitive model is typically built, which collects inputs from the environment and from the user, elaborates and translates these into information that can be used by the robot itself. Machine learning is a recent approach to build the cognitive model and behavioural block, with high potential in HRC. Consequently, this paper proposes a thorough literature review of the use of machine learning techniques in the context of human–robot collaboration. 45 key papers were selected and analysed, and a clustering of works based on the type of collaborative tasks, evaluation metrics and cognitive variables modelled is proposed. Then, a deep analysis on different families of machine learning algorithms and their properties, along with the sensing modalities used, is carried out. Among the observations, it is outlined the importance of the machine learning algorithms to incorporate time dependencies. The salient features of these works are then cross-analysed to show trends in HRC and give guidelines for future works, comparing them with other aspects of HRC not appeared in the revi</w:t>
      </w:r>
    </w:p>
    <w:p>
      <w:pPr/>
      <w:r>
        <w:rPr>
          <w:b/>
        </w:rPr>
        <w:t>POSSIBLE 2022:</w:t>
      </w:r>
      <w:r>
        <w:t xml:space="preserve"> A RAPID REVIEW ON ROBOTIC (EXOSKELETON) TO EVALUATE BALANCED, STANDING AND WALKING — https://doi.org/10.47750/pnr.2022.13.s06.383</w:t>
      </w:r>
    </w:p>
    <w:p>
      <w:pPr/>
      <w:r>
        <w:rPr>
          <w:b/>
        </w:rPr>
        <w:t>Shared claim-specific concepts:</w:t>
      </w:r>
      <w:r>
        <w:t xml:space="preserve"> evaluate, key, human; EU scope not established. This is a provisional connection, not an outcome finding.</w:t>
      </w:r>
    </w:p>
    <w:p>
      <w:pPr>
        <w:pStyle w:val="SourceNote"/>
      </w:pPr>
      <w:r>
        <w:rPr>
          <w:b/>
        </w:rPr>
        <w:t>Available abstract (not full text):</w:t>
      </w:r>
      <w:r>
        <w:t xml:space="preserve"> Balance evaluation during standing and walking is efficient chiefly in people with neural compensations. Rehabilitation robots, on the other hand, might make evaluation processes easier and increase their clinical usefulness. We analysed the possible use of robotic instruments for such assessments based on this overview. The uniqueness and presumed key benefits of utilising robots for assessment include their capacity to assess severely afflicted patients by offering assistance-when-needed, as well as their ability to give constant perturbations while standing and walking while recording the patient's reactions. We classify robotic devices based on three factors that are significant to their potential application in balance assessment: 1) the device's interaction with the human body; 2) on what surface the individual stands or walks when using the gadget, and 3) To what extent the wearable devices are. Also, robotic support was easy to use with no undesirable effects of skin abrasions or soreness.</w:t>
      </w:r>
    </w:p>
    <w:p>
      <w:pPr/>
      <w:r>
        <w:rPr>
          <w:b/>
        </w:rPr>
        <w:t>POSSIBLE 2022:</w:t>
      </w:r>
      <w:r>
        <w:t xml:space="preserve"> Educational Robotics: Evaluating the Role of Computational Thinking in Attaining 21st Century Skills — https://doi.org/10.1515/edu-2022-0174</w:t>
      </w:r>
    </w:p>
    <w:p>
      <w:pPr/>
      <w:r>
        <w:rPr>
          <w:b/>
        </w:rPr>
        <w:t>Shared claim-specific concepts:</w:t>
      </w:r>
      <w:r>
        <w:t xml:space="preserve"> key, field, robotics; EU scope not established. This is a provisional connection, not an outcome finding.</w:t>
      </w:r>
    </w:p>
    <w:p>
      <w:pPr>
        <w:pStyle w:val="SourceNote"/>
      </w:pPr>
      <w:r>
        <w:rPr>
          <w:b/>
        </w:rPr>
        <w:t>Available abstract (not full text):</w:t>
      </w:r>
      <w:r>
        <w:t xml:space="preserve"> Abstract Educational Robotics (ER) has gained prominence in the literature on Computational Thinking (CT) because of its modularity, a feature that potentially facilitates the development of abstract thinking through complex robotic parts. The field of robotics encompasses the characteristics of technology, intelligence, embodiment, and interaction, and these characteristics can serve as means of instruction for CT. Essential 21st Century Skills include decomposition, pattern recognition, abstraction, and the use of algorithms; which are fundamental to effective problem-solving skills. Although CT is believed to be the key to developing 21st Century Skills, its role in doing so is significantly underexplored. This paper investigates the influence of CT ability on students’ efficacy in imbibing 21st Century Skills. The study implemented a qualitative case study design, in which students of an Indonesian vocationaleducation school were engaged in ER activities. CT skills and the associated 21st Century Skills were evaluated through several phases of observation and interviews. The findings reveal that CT paves the way for the development of 21st Century Skills. Analysing the development of CT can be a major way in which individuals are empowered to take full advantage of the developments brought about by rapid changes in technology.</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pStyle w:val="Heading2"/>
      </w:pPr>
      <w:r>
        <w:t>785.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2022:</w:t>
      </w:r>
      <w:r>
        <w:t xml:space="preserve"> Human–robot collaboration and machine learning: A systematic review of recent research — https://doi.org/10.1016/j.rcim.2022.102432</w:t>
      </w:r>
    </w:p>
    <w:p>
      <w:pPr/>
      <w:r>
        <w:rPr>
          <w:b/>
        </w:rPr>
        <w:t>Shared claim-specific concepts:</w:t>
      </w:r>
      <w:r>
        <w:t xml:space="preserve"> key, trends, different, human, life; EU scope not established. This is a provisional connection, not an outcome finding.</w:t>
      </w:r>
    </w:p>
    <w:p>
      <w:pPr>
        <w:pStyle w:val="SourceNote"/>
      </w:pPr>
      <w:r>
        <w:rPr>
          <w:b/>
        </w:rPr>
        <w:t>Available abstract (not full text):</w:t>
      </w:r>
      <w:r>
        <w:t xml:space="preserve"> Technological progress increasingly envisions the use of robots interacting with people in everyday life. Human–robot collaboration (HRC) is the approach that explores the interaction between a human and a robot, during the completion of a common objective, at the cognitive and physical level. In HRC works, a cognitive model is typically built, which collects inputs from the environment and from the user, elaborates and translates these into information that can be used by the robot itself. Machine learning is a recent approach to build the cognitive model and behavioural block, with high potential in HRC. Consequently, this paper proposes a thorough literature review of the use of machine learning techniques in the context of human–robot collaboration. 45 key papers were selected and analysed, and a clustering of works based on the type of collaborative tasks, evaluation metrics and cognitive variables modelled is proposed. Then, a deep analysis on different families of machine learning algorithms and their properties, along with the sensing modalities used, is carried out. Among the observations, it is outlined the importance of the machine learning algorithms to incorporate time dependencies. The salient features of these works are then cross-analysed to show trends in HRC and give guidelines for future works, comparing them with other aspects of HRC not appeared in the revi</w:t>
      </w:r>
    </w:p>
    <w:p>
      <w:pPr/>
      <w:r>
        <w:rPr>
          <w:b/>
        </w:rPr>
        <w:t>POSSIBLE 2022:</w:t>
      </w:r>
      <w:r>
        <w:t xml:space="preserve"> A RAPID REVIEW ON ROBOTIC (EXOSKELETON) TO EVALUATE BALANCED, STANDING AND WALKING — https://doi.org/10.47750/pnr.2022.13.s06.383</w:t>
      </w:r>
    </w:p>
    <w:p>
      <w:pPr/>
      <w:r>
        <w:rPr>
          <w:b/>
        </w:rPr>
        <w:t>Shared claim-specific concepts:</w:t>
      </w:r>
      <w:r>
        <w:t xml:space="preserve"> evaluate, key, human; EU scope not established. This is a provisional connection, not an outcome finding.</w:t>
      </w:r>
    </w:p>
    <w:p>
      <w:pPr>
        <w:pStyle w:val="SourceNote"/>
      </w:pPr>
      <w:r>
        <w:rPr>
          <w:b/>
        </w:rPr>
        <w:t>Available abstract (not full text):</w:t>
      </w:r>
      <w:r>
        <w:t xml:space="preserve"> Balance evaluation during standing and walking is efficient chiefly in people with neural compensations. Rehabilitation robots, on the other hand, might make evaluation processes easier and increase their clinical usefulness. We analysed the possible use of robotic instruments for such assessments based on this overview. The uniqueness and presumed key benefits of utilising robots for assessment include their capacity to assess severely afflicted patients by offering assistance-when-needed, as well as their ability to give constant perturbations while standing and walking while recording the patient's reactions. We classify robotic devices based on three factors that are significant to their potential application in balance assessment: 1) the device's interaction with the human body; 2) on what surface the individual stands or walks when using the gadget, and 3) To what extent the wearable devices are. Also, robotic support was easy to use with no undesirable effects of skin abrasions or soreness.</w:t>
      </w:r>
    </w:p>
    <w:p>
      <w:pPr/>
      <w:r>
        <w:rPr>
          <w:b/>
        </w:rPr>
        <w:t>POSSIBLE 2022:</w:t>
      </w:r>
      <w:r>
        <w:t xml:space="preserve"> Educational Robotics: Evaluating the Role of Computational Thinking in Attaining 21st Century Skills — https://doi.org/10.1515/edu-2022-0174</w:t>
      </w:r>
    </w:p>
    <w:p>
      <w:pPr/>
      <w:r>
        <w:rPr>
          <w:b/>
        </w:rPr>
        <w:t>Shared claim-specific concepts:</w:t>
      </w:r>
      <w:r>
        <w:t xml:space="preserve"> key, field, robotics; EU scope not established. This is a provisional connection, not an outcome finding.</w:t>
      </w:r>
    </w:p>
    <w:p>
      <w:pPr>
        <w:pStyle w:val="SourceNote"/>
      </w:pPr>
      <w:r>
        <w:rPr>
          <w:b/>
        </w:rPr>
        <w:t>Available abstract (not full text):</w:t>
      </w:r>
      <w:r>
        <w:t xml:space="preserve"> Abstract Educational Robotics (ER) has gained prominence in the literature on Computational Thinking (CT) because of its modularity, a feature that potentially facilitates the development of abstract thinking through complex robotic parts. The field of robotics encompasses the characteristics of technology, intelligence, embodiment, and interaction, and these characteristics can serve as means of instruction for CT. Essential 21st Century Skills include decomposition, pattern recognition, abstraction, and the use of algorithms; which are fundamental to effective problem-solving skills. Although CT is believed to be the key to developing 21st Century Skills, its role in doing so is significantly underexplored. This paper investigates the influence of CT ability on students’ efficacy in imbibing 21st Century Skills. The study implemented a qualitative case study design, in which students of an Indonesian vocationaleducation school were engaged in ER activities. CT skills and the associated 21st Century Skills were evaluated through several phases of observation and interviews. The findings reveal that CT paves the way for the development of 21st Century Skills. Analysing the development of CT can be a major way in which individuals are empowered to take full advantage of the developments brought about by rapid changes in technology.</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pStyle w:val="Heading2"/>
      </w:pPr>
      <w:r>
        <w:t>786.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r>
        <w:rPr>
          <w:b/>
        </w:rPr>
        <w:t>POSSIBLE 2021:</w:t>
      </w:r>
      <w:r>
        <w:t xml:space="preserve"> Ordering global governance complexes: The evolution of the governance complex for international civil aviation — https://doi.org/10.1007/s11558-020-09411-z</w:t>
      </w:r>
    </w:p>
    <w:p>
      <w:pPr/>
      <w:r>
        <w:rPr>
          <w:b/>
        </w:rPr>
        <w:t>Shared claim-specific concepts:</w:t>
      </w:r>
      <w:r>
        <w:t xml:space="preserve"> governance, complex, often, conflict; EU scope not established. This is a provisional connection, not an outcome finding.</w:t>
      </w:r>
    </w:p>
    <w:p>
      <w:pPr>
        <w:pStyle w:val="SourceNote"/>
      </w:pPr>
      <w:r>
        <w:rPr>
          <w:b/>
        </w:rPr>
        <w:t>Available abstract (not full text):</w:t>
      </w:r>
      <w:r>
        <w:t xml:space="preserve"> Many observers worry that growing numbers of international institutions with overlapping functions undermine governance effectiveness via duplication, inconsistency and conflict. Such pessimistic assessments may undervalue the mechanisms available to states and other political agents to reduce conflictual overlap and enhance inter-institutional synergy. Drawing on historical data I examine how states can mitigate conflict within Global Governance Complexes (GGCs) by dissolving or merging existing institutions or by re-configuring their mandates. I further explore how "order in complexity" can emerge through bottom-up processes of adaptation in lieu of state-led reform. My analysis supports three theoretical claims: (1) states frequently refashion governance complexes "top-down" in order to reduce conflictual overlap; (2) "top-down" restructuring and "bottom-up" adaptation present alternative mechanisms for ordering relations among component institutions of GGCs; (3) these twin mechanisms ensure that GGCs tend to (re)produce elements of order over time-albeit often temporarily. Rather than evolving towards ever-greater fragmentation and disorder, complex governance systems thus tend to fluctuate between greater or lesser integration and (dis)order.</w:t>
      </w:r>
    </w:p>
    <w:p>
      <w:pPr/>
      <w:r>
        <w:rPr>
          <w:b/>
        </w:rPr>
        <w:t>POSSIBLE 2021:</w:t>
      </w:r>
      <w:r>
        <w:t xml:space="preserve"> Offshore outsourcing of innovation by SMEs: a 4F perspective of governance — https://doi.org/10.1108/scm-09-2020-0486</w:t>
      </w:r>
    </w:p>
    <w:p>
      <w:pPr/>
      <w:r>
        <w:rPr>
          <w:b/>
        </w:rPr>
        <w:t>Shared claim-specific concepts:</w:t>
      </w:r>
      <w:r>
        <w:t xml:space="preserve"> governance, complex, offshore; EU scope visible. This is a provisional connection, not an outcome finding.</w:t>
      </w:r>
    </w:p>
    <w:p>
      <w:pPr>
        <w:pStyle w:val="SourceNote"/>
      </w:pPr>
      <w:r>
        <w:rPr>
          <w:b/>
        </w:rPr>
        <w:t>Available abstract (not full text):</w:t>
      </w:r>
      <w:r>
        <w:t xml:space="preserve"> Purpose This study aims to investigate how contract complexity and relational trust could impact offshore outsourcing innovation (OOI) performance of small and medium enterprises (SMEs). This study further examines the moderating effects of knowledge routines and joint actions on the relationships between contract complexity, as well as relational trust and OOI performance. Design/methodology/approach The empirical investigation extends transaction cost economics and the relational view of buyer-supplier dyads in the context of offshore outsourcing SMEs. To test the hypotheses, the authors collected and analysed survey data from 200 European manufacturing SMEs that have existing offshore supplier relationships. Findings The results suggest that both complex contracts and relational trust as governance structures positively affect SMEs’ OOI performance. Additionally, while both formal knowledge routines and joint actions help strengthen the relationship between complex contracts and OOI, they showed no significant moderating effect on the relationship between relational trust and OOI. Furthermore, based on the results, the authors also develop a governance framework covering four configurations – fit, firm, flexible and fragile (4F). Originality/value The 4F governance scenarios – fit, firm, flexible and fragile – introduced in this study emphasise the need for a combination of </w:t>
      </w:r>
    </w:p>
    <w:p>
      <w:pPr/>
      <w:r>
        <w:rPr>
          <w:b/>
        </w:rPr>
        <w:t>POSSIBLE 2020:</w:t>
      </w:r>
      <w:r>
        <w:t xml:space="preserve"> The Quality of Governance in Europe: A Guide for the Perplexed — https://openalex.org/W3128833016</w:t>
      </w:r>
    </w:p>
    <w:p>
      <w:pPr/>
      <w:r>
        <w:rPr>
          <w:b/>
        </w:rPr>
        <w:t>Shared claim-specific concepts:</w:t>
      </w:r>
      <w:r>
        <w:t xml:space="preserve"> observe, governance, complex; EU scope visible. This is a provisional connection, not an outcome finding.</w:t>
      </w:r>
    </w:p>
    <w:p>
      <w:pPr>
        <w:pStyle w:val="SourceNote"/>
      </w:pPr>
      <w:r>
        <w:rPr>
          <w:b/>
        </w:rPr>
        <w:t>Available abstract (not full text):</w:t>
      </w:r>
      <w:r>
        <w:t xml:space="preserve"> This paper investigates the quality of governance in the European geographical area for the period 1995–2019 employing the six World Governance Indicators (The World Bank, 2020): control of corruption, government effectiveness, political stability and absence of violence/terrorism, rule of law, regulatory quality, voice and accountability. With regard to EU membership, we partition countries into three blocks: Historical Members, Entrants, and Outsiders. We check systematic differences, static and dynamic, between the three blocks to verify whether EU membership makes a difference. Results highlight a complex scenario: while statically Historical Members outperform Entrants and Entrants outperform Outsiders on all six dimensions, dynamically we find club convergence in growth rates for all variables across the three blocks. Historical Members stand in a high equilibrium club, except for Greece. In a single case, we even observe absolute convergence for a low club of voice and accountability. Several Outsiders stand consistently either in the high or the low club, while Entrants vary widely in their performances. The remote determinants of governance’s quality are very difficult to identify because cultures, institutions and economies interact in complex and unexpected ways; moreover, natural experiments of EU memberships do not exist, so we cannot establish causal effects in th</w:t>
      </w:r>
    </w:p>
    <w:p>
      <w:pPr/>
      <w:r>
        <w:rPr>
          <w:b/>
        </w:rPr>
        <w:t>POSSIBLE 2019:</w:t>
      </w:r>
      <w:r>
        <w:t xml:space="preserve"> European Governance in Adult Education — https://doi.org/10.3384/rela.2000-7426.ojs844</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This article examines the working of complex intergovernmental policies that have brought about new opportunities and structures in European adult education since the 2008 global financial crisis. Drawing on political sociology, it restricts attention on the Renewed European Agenda for Adult Learning (2011), to examine its historical development, and how it bundles together various governance mechanisms, policy instruments, and social actors to govern the adult education policy domain through policy coordination. This points at regulatory politics as a distinctive quality of European governance in adult education. Then, through Social Network Analysis, it explores in depth one of its policy instrument (i.e., coordinated working groups/networks) and the form of network governance it creates. This analysis pinpoints at the comparative advantage of some organizations (i.e., the ministries of Latvia, Finland and Belgium), which partake in this form of network governance. This produces unpredictable contingency in EU policy coordination.</w:t>
      </w:r>
    </w:p>
    <w:p>
      <w:pPr/>
      <w:r>
        <w:rPr>
          <w:b/>
        </w:rPr>
        <w:t>POSSIBLE 2019:</w:t>
      </w:r>
      <w:r>
        <w:t xml:space="preserve"> The integrated offshore grid in Europe: Exploring challenges for regional energy governance — https://doi.org/10.1016/j.erss.2019.02.003</w:t>
      </w:r>
    </w:p>
    <w:p>
      <w:pPr/>
      <w:r>
        <w:rPr>
          <w:b/>
        </w:rPr>
        <w:t>Shared claim-specific concepts:</w:t>
      </w:r>
      <w:r>
        <w:t xml:space="preserve"> governance, offshore; EU scope visible. This is a provisional connection, not an outcome finding.</w:t>
      </w:r>
    </w:p>
    <w:p>
      <w:pPr>
        <w:pStyle w:val="SourceNote"/>
      </w:pPr>
      <w:r>
        <w:rPr>
          <w:b/>
        </w:rPr>
        <w:t>Available abstract (not full text):</w:t>
      </w:r>
      <w:r>
        <w:t xml:space="preserve"> The deployment of offshore wind and power transmission in the European North Sea is accelerating. Stakeholders advocate regional governance for the European grid expansion, which may evolve into a pan-European governance and is key to developing integrated, hybrid offshore projects. However, such projects are still scarce. We thus analyze the governance of the North Sea offshore grid expansion using the dimensions of level, implementation obligation, and implementation discretion. Our exploratory approach identifies five challenges. The challenges relate to 1) the interaction of the European and regional levels; 2) the interaction of the national and regional levels; 3) the participation of non-European Union countries; 4) the dependence of regional planning on national development plans, which consider national interests; and 5) the interaction of cost allocation and European financing for Projects of Common Interest. The recent Clean Energy Package proposal extensively reforms the regulation of the European power system. The Package is part of the Energy Union strategy and focuses on the energy and climate policies’ governance and the power system operation. Thus, regional governance of offshore expansion is largely unaltered, and our identified challenges remain unaddressed.</w:t>
      </w:r>
    </w:p>
    <w:p>
      <w:pPr/>
      <w:r>
        <w:rPr>
          <w:b/>
        </w:rPr>
        <w:t>POSSIBLE 2018:</w:t>
      </w:r>
      <w:r>
        <w:t xml:space="preserve"> Expansion planning of the North Sea offshore grid: Simulation of integrated governance constraints — https://doi.org/10.1016/j.eneco.2018.04.037</w:t>
      </w:r>
    </w:p>
    <w:p>
      <w:pPr/>
      <w:r>
        <w:rPr>
          <w:b/>
        </w:rPr>
        <w:t>Shared claim-specific concepts:</w:t>
      </w:r>
      <w:r>
        <w:t xml:space="preserve"> governance, offshore; EU scope visible. This is a provisional connection, not an outcome finding.</w:t>
      </w:r>
    </w:p>
    <w:p>
      <w:pPr>
        <w:pStyle w:val="SourceNote"/>
      </w:pPr>
      <w:r>
        <w:rPr>
          <w:b/>
        </w:rPr>
        <w:t>Available abstract (not full text):</w:t>
      </w:r>
      <w:r>
        <w:t xml:space="preserve"> The development of offshore transmission and wind power generation in the North Sea of Europe is advancing fast, but there are significant barriers to an integrated offshore grid in the region. This offshore grid is a multi-level, multi-actor system requiring a governance decision-making approach, but there is currently no proven governance framework for it, or for the expansion planning of the European power system in general. In addition, existing offshore expansion planning models do not endogenously include governance considerations, such as country vetoes to integrated lines. We develop a myopic Mixed-Integer Linear Programming model of offshore generation and transmission expansion planning to study the effect of integrated governance constraints. These constraints limit investments in integrated lines: non-conventional lines linking offshore wind farms to other countries or to other farms. Each constraint affects the system (including the main transmission corridors), transmission technologies and welfare distribution differently. We apply our model to a long-term case study of the 2030–2050 offshore expansion pathways using data from the e-Highway2050 project. Results confirm that the offshore grid is beneficial to society. Integrated governance constraints induce a modest loss of social welfare, but do not change significantly the existing welfare distribution asymmetr</w:t>
      </w:r>
    </w:p>
    <w:p>
      <w:pPr/>
      <w:r>
        <w:rPr>
          <w:b/>
        </w:rPr>
        <w:t>POSSIBLE 2018:</w:t>
      </w:r>
      <w:r>
        <w:t xml:space="preserve"> An overview of offshore wind energy resources in Europe under present and future climate — https://doi.org/10.1111/nyas.13924</w:t>
      </w:r>
    </w:p>
    <w:p>
      <w:pPr/>
      <w:r>
        <w:rPr>
          <w:b/>
        </w:rPr>
        <w:t>Shared claim-specific concepts:</w:t>
      </w:r>
      <w:r>
        <w:t xml:space="preserve"> offshore, conflict; EU scope visible. This is a provisional connection, not an outcome finding.</w:t>
      </w:r>
    </w:p>
    <w:p>
      <w:pPr>
        <w:pStyle w:val="SourceNote"/>
      </w:pPr>
      <w:r>
        <w:rPr>
          <w:b/>
        </w:rPr>
        <w:t>Available abstract (not full text):</w:t>
      </w:r>
      <w:r>
        <w:t xml:space="preserve"> Long-term sustainable development of European offshore wind energy requires knowledge of the best places for installing offshore wind farms. To achieve this, a good knowledge of wind resources is needed, as well as knowledge of international, European, and national regulations regarding conflict management, marine environment conservation, biodiversity protection, licensing processes, and support regimes. Such a multidisciplinary approach could help to identify areas where wind resources are abundant and where conflicts with other interests are scarce, support measures are greater, and licensing processes are streamlined. An overview of offshore wind power studies at present, and of their future projections for the 21st century, allows for determining the optimal European locations to install or maintain offshore wind farms. Only northern Europe, the northwest portion of the Iberian Peninsula, the Gulf of Lyon, the Strait of Gibraltar, and the northwest coast of Turkey show no change or increase in wind power, revealing these locations as the most suitable for installing and maintaining offshore wind farms in the future. The installation of wind farms is subject to restrictions established under international law, European law, and the domestic legal framework of each EU member state. Europe is moving toward streamlining of licensing procedures, reducing subsidies, and implemen</w:t>
      </w:r>
    </w:p>
    <w:p>
      <w:pPr>
        <w:pStyle w:val="Heading2"/>
      </w:pPr>
      <w:r>
        <w:t>787.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aimed, threat, forest, species, climate;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three, climate, circulation;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A probabilistic climate change assessment for Europe — https://doi.org/10.1002/joc.7604</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European and American chestnuts: An overview of the main threats and control efforts — https://doi.org/10.3389/fpls.2022.951844</w:t>
      </w:r>
    </w:p>
    <w:p>
      <w:pPr/>
      <w:r>
        <w:rPr>
          <w:b/>
        </w:rPr>
        <w:t>Shared claim-specific concepts:</w:t>
      </w:r>
      <w:r>
        <w:t xml:space="preserve"> level, tree, species, climate, developed; EU scope visible. This is a provisional connection, not an outcome finding.</w:t>
      </w:r>
    </w:p>
    <w:p>
      <w:pPr>
        <w:pStyle w:val="SourceNote"/>
      </w:pPr>
      <w:r>
        <w:rPr>
          <w:b/>
        </w:rPr>
        <w:t>Available abstract (not full text):</w:t>
      </w:r>
      <w:r>
        <w:t xml:space="preserve"> Chestnuts are multipurpose trees significant for the economy and wildlife. These trees are currently found around the globe, demonstrating their genetic adaptation to different environmental conditions. Several biotic and abiotic stresses have challenged these species, contributing to the decline of European chestnut production and the functional extinction of the American chestnut. Several efforts started over the last century to understand the cellular, molecular, and genetic interactions behind all chestnut biotic and abiotic interactions. Most efforts have been toward breeding for the primary diseases, chestnut blight and ink disease caused by the pathogens, Cryphonectria parasitica and Phytophthora cinnamomi , respectively. In Europe and North America, researchers have been using the Asian chestnut species, which co-evolved with the pathogens, to introgress resistance genes into the susceptible species. Breeding woody trees has several limitations which can be mostly related to the long life cycles of these species and the big genome landscapes. Consequently, it takes decades to improve traits of interest, such as resistance to pathogens. Currently, the availability of genome sequences and next-generation sequencing techniques may provide new tools to help overcome most of the problems tree breeding is still facing. This review summarizes European and American chestnut’s m</w:t>
      </w:r>
    </w:p>
    <w:p>
      <w:pPr/>
      <w:r>
        <w:rPr>
          <w:b/>
        </w:rPr>
        <w:t>POSSIBLE 2022:</w:t>
      </w:r>
      <w:r>
        <w:t xml:space="preserve"> European IoT Use in Homes: Opportunity or Threat to Households? — https://doi.org/10.3390/ijerph192114343</w:t>
      </w:r>
    </w:p>
    <w:p>
      <w:pPr/>
      <w:r>
        <w:rPr>
          <w:b/>
        </w:rPr>
        <w:t>Shared claim-specific concepts:</w:t>
      </w:r>
      <w:r>
        <w:t xml:space="preserve"> threat, level, three; EU scope visible. This is a provisional connection, not an outcome finding.</w:t>
      </w:r>
    </w:p>
    <w:p>
      <w:pPr>
        <w:pStyle w:val="SourceNote"/>
      </w:pPr>
      <w:r>
        <w:rPr>
          <w:b/>
        </w:rPr>
        <w:t>Available abstract (not full text):</w:t>
      </w:r>
      <w:r>
        <w:t xml:space="preserve"> The residential sector is characterized by new digital challenges. The Internet of Things (IoT) is a key-driver of innovation and operations management. This study aims to measure and assess IoT devices at the level of individuals, which are households, in European countries. For this scope, through the multi-criteria decision analysis (MCDA), we analyse data from Eurostat providing a mix of indicators allowing information to be aggregated at the level of individual Europeans and disaggregated by age group. The results highlight that only four countries (Netherlands, Denmark, Sweden and Malta) are classified as a high cluster in the examined scenarios. The 16-24 age group is the most involved in the uses of IoT devices, but the previous three northern European countries also show very high values for the 35-44 age group. IoT devices serve as a springboard for achieving a powerful propulsion toward technological innovation in the new business models, identifying opportunities and being a way to make many routine tasks more agile. Training programs and awareness campaigns are policy suggestions for the development of IoT devices favouring a cultural change on their use. However, there is an emerging need for studies that monitor environmental health impacts to prevent possible threats.</w:t>
      </w:r>
    </w:p>
    <w:p>
      <w:pPr>
        <w:pStyle w:val="Heading2"/>
      </w:pPr>
      <w:r>
        <w:t>788.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r>
        <w:rPr>
          <w:b/>
        </w:rPr>
        <w:t>POSSIBLE 2024:</w:t>
      </w:r>
      <w:r>
        <w:t xml:space="preserve"> Atmospheric circulation associated with 3D heat wave types in Middle Europe — https://doi.org/10.5194/ems2024-343</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Heat waves are phenomena associated with large negative impacts on society and environment. We evaluate links between atmospheric circulation and three-dimensional (3D) heat wave types in Middle Europe (one of the PRUDENCE regions) over 1979–2022. Heat waves are classified according to their 3D structure of positive temperature anomalies in ERA5 into near-surface (HWG), lower-tropospheric (HWL), higher-tropospheric (HWH), and omnipresent (HWO) types. The Jenkinson–Collison classification is used to identify circulation types (CTs) with increased frequency during the individual heat wave types, and their climatological characteristics (including mean temperature anomaly, precipitation, and Climatic Water Balance index defined as potential evapotranspiration minus precipitation) are studied in station-based E-OBS data. We show that the surface temperature anomalies are largest during HWG (+7.1 °C), while HWL are the driest heat wave type according to mean daily precipitation (0.4 mm). At the same time, HWG types show the driest conditions before HW onset. In all heat wave types there is a large increase in the frequency of southern CTs compared to the June–September climatology, but differences among the heat wave types are found for other CTs. In HWG, the most frequent CT is U (undefined), corresponding to little pronounced pressure pattern over Middle Europe with no clear role </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differences, atmospheric, circulation, different, historical, representative;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differences, atmospheric, circulation, different, concentration, forcing;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Trends in drought across Europe and their links to atmospheric circulation — https://doi.org/10.5194/egusphere-egu23-6124</w:t>
      </w:r>
    </w:p>
    <w:p>
      <w:pPr/>
      <w:r>
        <w:rPr>
          <w:b/>
        </w:rPr>
        <w:t>Shared claim-specific concepts:</w:t>
      </w:r>
      <w:r>
        <w:t xml:space="preserve"> atmospheric, circulation, sea, level, pressure, identified; EU scope visible. This is a provisional connection, not an outcome finding.</w:t>
      </w:r>
    </w:p>
    <w:p>
      <w:pPr>
        <w:pStyle w:val="SourceNote"/>
      </w:pPr>
      <w:r>
        <w:rPr>
          <w:b/>
        </w:rPr>
        <w:t>Available abstract (not full text):</w:t>
      </w:r>
      <w:r>
        <w:t xml:space="preserve"> We study trends in drought across the central latitude strip of Europe (defined as the region 47.5–52.5 °N and 2.5°W–32.5°E) during 1950–2019, and their links to atmospheric circulation. Drought characteristics are based on difference between potential evapotranspiration and precipitation in E–OBS data, and atmospheric circulation is characterized in terms of circulation types classified using daily sea level pressure patterns from the NCEP–NCAR reanalysis. Circulation types supporting drought in vegetation season (April–September) are identified, and we analyse changes in their occurrence since 1950, seasonal changes, and the connection with drought trends in individual European regions. We find that while in the early vegetation season, drought develops mainly in Central Europe, in the late vegetation season the most pronounced trends are shifted towards west. The circulation types supporting drought depend on regions and seasons, especially for directional types. The largest increase of the dry circulation types is observed in both seasons in Central Europe, and contributes to the pronounced drying.</w:t>
      </w:r>
    </w:p>
    <w:p>
      <w:pPr/>
      <w:r>
        <w:rPr>
          <w:b/>
        </w:rPr>
        <w:t>POSSIBLE 2023:</w:t>
      </w:r>
      <w:r>
        <w:t xml:space="preserve"> Links between major heat waves, drought, and atmospheric circulation in Central Europe — https://doi.org/10.5194/ems2023-430</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Heat waves and drought are phenomena associated with large negative impacts on society and the environment. Their common features include increasing frequency and intensity in recent decades in many regions of Europe, as well as the interconnectedness of the factors that contribute to their development. In this study, we compare the long-term changes in the characteristics of major heat waves and severe drought in Central Europe (during the vegetation period (April-September)), examine the temporal and causal relationships between the two phenomena, their spatial and temporal scales, and the connection with atmospheric circulation. Based on E-OBS (daily temperature and precipitation) data since 1950 for the vegetation period (April-September), drought is characterized by the difference between potential evapotranspiration and precipitation, while heat waves are defined as periods of large positive anomalies of daily temperatures from the mean annual cycle affecting a large area. Heat waves occurring in early/late vegetation period are referred as warm spells due to their lower absolute temperatures and possibly different circulation mechanisms. We use the Jenkinson classification of daily sea level pressure fields from the NCEP/NCAR reanalysis to describe the atmospheric circulation. Circulation types with significantly increased frequency during periods of major heat waves/war</w:t>
      </w:r>
    </w:p>
    <w:p>
      <w:pPr>
        <w:pStyle w:val="Heading2"/>
      </w:pPr>
      <w:r>
        <w:t>789.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2020:</w:t>
      </w:r>
      <w:r>
        <w:t xml:space="preserve"> Smart Roads: An Overview of What Future Mobility Will Look Like — https://doi.org/10.3390/infrastructures5120107</w:t>
      </w:r>
    </w:p>
    <w:p>
      <w:pPr/>
      <w:r>
        <w:rPr>
          <w:b/>
        </w:rPr>
        <w:t>Shared claim-specific concepts:</w:t>
      </w:r>
      <w:r>
        <w:t xml:space="preserve"> mobility, look, like; EU scope not established. This is a provisional connection, not an outcome finding.</w:t>
      </w:r>
    </w:p>
    <w:p>
      <w:pPr>
        <w:pStyle w:val="SourceNote"/>
      </w:pPr>
      <w:r>
        <w:rPr>
          <w:b/>
        </w:rPr>
        <w:t>Available abstract (not full text):</w:t>
      </w:r>
      <w:r>
        <w:t xml:space="preserve"> Transport engineering has recently undergone several significant changes and innovations, one of which is the appearance and spread of autonomous vehicles; with this technology becoming more common and ordinary by the day, it is now necessary to implement some systems and contexts to facilitate autonomous vehicle operations. Consequently, a different perspective is now arising when dealing with road infrastructures, aiming to simplify and improve efficiency and maintenance of the existing roads, increase the life cycle of newly built ones, and minimize the economic and financial impact at the same time. Roadway pavements are one of the primary factors affecting vehicle operations; over time, this distinctive aspect has gone through various mechanical and physical changes due to the adoption of new materials or design methods. Consequently, to the spread of autonomous vehicles, scientific research has begun to study and develop systems to make road pavements and platforms not exclusively aimed at bearing loads, but rather at considering them as a means of communication and information exchange, if not even as a source of energy. This new approach introduces the so-called “Smart Roads,” i.e., road infrastructures capable of communicating with vehicles and self-monitoring fundamental perspectives concerning driverless vehicles and the roadway platform life cycle. This paper examin</w:t>
      </w:r>
    </w:p>
    <w:p>
      <w:pPr/>
      <w:r>
        <w:rPr>
          <w:b/>
        </w:rPr>
        <w:t>POSSIBLE 2020:</w:t>
      </w:r>
      <w:r>
        <w:t xml:space="preserve"> Changing Mobility Lifestyle — https://doi.org/10.4018/ijepr.20210401.oa6</w:t>
      </w:r>
    </w:p>
    <w:p>
      <w:pPr/>
      <w:r>
        <w:rPr>
          <w:b/>
        </w:rPr>
        <w:t>Shared claim-specific concepts:</w:t>
      </w:r>
      <w:r>
        <w:t xml:space="preserve"> changing, mobility, service, about; EU scope not established. This is a provisional connection, not an outcome finding.</w:t>
      </w:r>
    </w:p>
    <w:p>
      <w:pPr>
        <w:pStyle w:val="SourceNote"/>
      </w:pPr>
      <w:r>
        <w:rPr>
          <w:b/>
        </w:rPr>
        <w:t>Available abstract (not full text):</w:t>
      </w:r>
      <w:r>
        <w:t xml:space="preserve"> The article is focused on a detailed micro-study describing changes in the behaviour of the authors in three months before and during the COVID-19 pandemic. The study is based on data from Google Location Service. Despite the fact it evaluates only three people and the study cannot be sufficiently representative, it is a unique example of possible data processing at such a level of accuracy. The most significant changes in the behaviour of authors before and during the COVID-19 quarantine are described and interpreted in detail. Another purpose of the article is to point out the possibilities of analytical processing of Google Location while being aware of personal data protection issues. The authors recognize that by visualizing the real motion data, one partially discloses their privacy, but one considers it very valuable to show how detailed data Google collects about the population and how such data can be used effectively.</w:t>
      </w:r>
    </w:p>
    <w:p>
      <w:pPr/>
      <w:r>
        <w:rPr>
          <w:b/>
        </w:rPr>
        <w:t>POSSIBLE 2020:</w:t>
      </w:r>
      <w:r>
        <w:t xml:space="preserve"> Millionaire mobility and the sale of citizenship — https://doi.org/10.1080/1369183x.2020.1758554</w:t>
      </w:r>
    </w:p>
    <w:p>
      <w:pPr/>
      <w:r>
        <w:rPr>
          <w:b/>
        </w:rPr>
        <w:t>Shared claim-specific concepts:</w:t>
      </w:r>
      <w:r>
        <w:t xml:space="preserve"> contrast, mobility; EU scope not established. This is a provisional connection, not an outcome finding.</w:t>
      </w:r>
    </w:p>
    <w:p>
      <w:pPr>
        <w:pStyle w:val="SourceNote"/>
      </w:pPr>
      <w:r>
        <w:rPr>
          <w:b/>
        </w:rPr>
        <w:t>Available abstract (not full text):</w:t>
      </w:r>
      <w:r>
        <w:t xml:space="preserve"> Why do wealthy people purchase citizenship in peripheral countries? This article investigates the demand for citizenship by investment programmes, which enable naturalisation based on a donation or financial investment. Extending research on long-distance naturalisation among the middle class and on residence by investment programmes, I examine the motives of the wealthy using citizenship by investment options. Based on over one hundred interviews with rich naturalisers and intermediaries in the citizenship industry, I find that mobility, both in the present and as a future hedge, is a strong driver, followed by business advantages. Often it is privileges in third countries – not the place granting the citizenship – that are sought. In contrast to middle-class strategic naturalisers, quality of life, education options, and job prospects were not important, though navigating geopolitical barriers and risks were. Many naturalisers were not compensating for the failures of their citizenship at birth, but manoeuvering within a world of state competition. Finally, some individuals inverted the citizenship hierarchy and downgraded from ‘first tier’ memberships when, after years of living abroad, their nationality became a liability. The conclusion elaborates on the duplex structure of intra-state and inter-state inequality that channels demand, and the implications for citizenship mo</w:t>
      </w:r>
    </w:p>
    <w:p>
      <w:pPr/>
      <w:r>
        <w:rPr>
          <w:b/>
        </w:rPr>
        <w:t>POSSIBLE 2020:</w:t>
      </w:r>
      <w:r>
        <w:t xml:space="preserve"> The Politics of Mobility: Study Abroad in an Era of Climate Change — https://openalex.org/W3029188850</w:t>
      </w:r>
    </w:p>
    <w:p>
      <w:pPr/>
      <w:r>
        <w:rPr>
          <w:b/>
        </w:rPr>
        <w:t>Shared claim-specific concepts:</w:t>
      </w:r>
      <w:r>
        <w:t xml:space="preserve"> mobility, types, travel, about, exist; EU scope not established. This is a provisional connection, not an outcome finding.</w:t>
      </w:r>
    </w:p>
    <w:p>
      <w:pPr>
        <w:pStyle w:val="SourceNote"/>
      </w:pPr>
      <w:r>
        <w:rPr>
          <w:b/>
        </w:rPr>
        <w:t>Available abstract (not full text):</w:t>
      </w:r>
      <w:r>
        <w:t xml:space="preserve"> This paper explores the fundamental tension between mobility and the environmental consequences of the transportation that allows for that movement, zeroing in on the paradox of studying abroad in order to learn about climate or environmental sciences. With this, I consider what makes students feel justified in participating in such programs, whether the perceived benefits of these experiences outweigh the environmental costs, and how these programs play into the larger discourse of sustainability and tourism. By framing travel —air travel in particular— as technology embedded with political and cultural ideals, I analyze how and why concepts of mobility influence student choices, as well as how these tensions are navigated by its participants. Through exploring the history and objectives of these types of travel-intensive programs in conjunction with the historical purposes of travel and study abroad, considering the climate impact of air travel, and relating concepts of “Academic Flying” to study abroad, I question why students feel entitled to the privilege of embarking on such an environmentally detrimental journey, and whether such programs should even exist. My research culminates in surveying over 200 School for International Training (SIT) and School for Field Studies (SFS) study abroad alumni about how the climate impact of their travel abroad impacted their decision t</w:t>
      </w:r>
    </w:p>
    <w:p>
      <w:pPr/>
      <w:r>
        <w:rPr>
          <w:b/>
        </w:rPr>
        <w:t>POSSIBLE 2020:</w:t>
      </w:r>
      <w:r>
        <w:t xml:space="preserve"> Changing environments — https://doi.org/10.4324/9781003041573-16</w:t>
      </w:r>
    </w:p>
    <w:p>
      <w:pPr/>
      <w:r>
        <w:rPr>
          <w:b/>
        </w:rPr>
        <w:t>Shared claim-specific concepts:</w:t>
      </w:r>
      <w:r>
        <w:t xml:space="preserve"> changing, mobility, look; EU scope not established. This is a provisional connection, not an outcome finding.</w:t>
      </w:r>
    </w:p>
    <w:p>
      <w:pPr>
        <w:pStyle w:val="SourceNote"/>
      </w:pPr>
      <w:r>
        <w:rPr>
          <w:b/>
        </w:rPr>
        <w:t>Available abstract (not full text):</w:t>
      </w:r>
      <w:r>
        <w:t xml:space="preserve"> This chapter begins Elements of (re)connection, learning and mobility are evident in the experiences of Murilo – the 15-year-old Brazilian boy whose reflections on solar irrigators and other technologies. It seeks to add complexity and to look otherwise (and elsewhere) at children’s changing environments, this does not mean that issues of (re)connection, learning and mobility are usurped by other issues. The chapter includes but extends beyond these kinds of concerns to prompt reflection upon what else matters in, and what else is constitutive of, the many ways in which childhoods–natures might relate. It highlights, this might mean unpicking assumptions that children are separate from and therefore ‘relate with’ the environment. The chapter explores how it might be possible to consider the complexity of environmental issues through the concept of the nexus. It looks at forms of action by children – contrasting forms of (globalised) protest with the apparently banal experimentation that took place at Murilo’s school.</w:t>
      </w:r>
    </w:p>
    <w:p>
      <w:pPr/>
      <w:r>
        <w:rPr>
          <w:b/>
        </w:rPr>
        <w:t>POSSIBLE 2019:</w:t>
      </w:r>
      <w:r>
        <w:t xml:space="preserve"> The Ability of Preschoolers to Use Ideas About Other’s Knowledge and the Ways of Changing It — https://doi.org/10.17759/cpse.2019080206</w:t>
      </w:r>
    </w:p>
    <w:p>
      <w:pPr/>
      <w:r>
        <w:rPr>
          <w:b/>
        </w:rPr>
        <w:t>Shared claim-specific concepts:</w:t>
      </w:r>
      <w:r>
        <w:t xml:space="preserve"> contrast, changing, ideas, thinking, about; EU scope not established. This is a provisional connection, not an outcome finding.</w:t>
      </w:r>
    </w:p>
    <w:p>
      <w:pPr>
        <w:pStyle w:val="SourceNote"/>
      </w:pPr>
      <w:r>
        <w:rPr>
          <w:b/>
        </w:rPr>
        <w:t>Available abstract (not full text):</w:t>
      </w:r>
      <w:r>
        <w:t xml:space="preserve"> The article deals with the problem of the ability to use ideas about other’s knowledge and the ways of changing it, the ability to de-center thinking in the process of communication in the example of understanding deception in typically developing preschoolers and preschoolers with mental retardation. The recognition of deception is considered as a cognitive function, taking into account the specific techniques of the implementation of the mental model. Empirical sample of research: 72 children of pre-school age from 5 to 6 years. Contrast samples show the specificity of the lack of social interaction tools based on the mental model. Analyzed that in a game with deceit, a child is required to use signs to anticipate events that made it known about the nascent action of another person. In children with mental retardation in a game with deceptive action, shown a situational mode of action without taking into account the model of a mental interaction partner due to the lack of ability to decentration. The data reflects the relationship between the cognitive level of development and the level of the mental model in the process of forming the basis of social cognition and social experience in the early stages of ontogenesis.</w:t>
      </w:r>
    </w:p>
    <w:p>
      <w:pPr/>
      <w:r>
        <w:rPr>
          <w:b/>
        </w:rPr>
        <w:t>POSSIBLE 2019:</w:t>
      </w:r>
      <w:r>
        <w:t xml:space="preserve"> Transformations: Change from Learning to Growth — https://doi.org/10.4324/9780429400803-14</w:t>
      </w:r>
    </w:p>
    <w:p>
      <w:pPr/>
      <w:r>
        <w:rPr>
          <w:b/>
        </w:rPr>
        <w:t>Shared claim-specific concepts:</w:t>
      </w:r>
      <w:r>
        <w:t xml:space="preserve"> contrast, ideas, practice; EU scope not established. This is a provisional connection, not an outcome finding.</w:t>
      </w:r>
    </w:p>
    <w:p>
      <w:pPr>
        <w:pStyle w:val="SourceNote"/>
      </w:pPr>
      <w:r>
        <w:rPr>
          <w:b/>
        </w:rPr>
        <w:t>Available abstract (not full text):</w:t>
      </w:r>
      <w:r>
        <w:t xml:space="preserve"> Wilfred Bion differentiates between different modes of transformation, in particular between “transference” and “transformations in hallucinosis”. There are very different views of Transformations and Wilfred Bion’s later works – very strong views. By contrast, “Transformation in hallucinosis” is evacuative rather than explorative, and rivalrous rather than in “intercourse” with the world. This chapter introduces two concepts: transformation and invariance. The theory of transformations and its development does not relate to the main body of psychoanalytic theory, but to the practice of psychoanalytic observation. Psychoanalytic theories, patient’s or analyst’s statements are representations of an emotional experience. Bion differentiates between the process of transformation and the end product. Although the transference has a “repetitive quality”, it contains a crucial element of enquiry and discovery. Sigmund Freud’s ideas on the superego changed and became increasingly complex in the development of new ideas.</w:t>
      </w:r>
    </w:p>
    <w:p>
      <w:pPr/>
      <w:r>
        <w:rPr>
          <w:b/>
        </w:rPr>
        <w:t>POSSIBLE 2018:</w:t>
      </w:r>
      <w:r>
        <w:t xml:space="preserve"> Arctic and Antarctic Sea Ice Change: Contrasts, Commonalities, and Causes — https://doi.org/10.1146/annurev-marine-010816-060610</w:t>
      </w:r>
    </w:p>
    <w:p>
      <w:pPr/>
      <w:r>
        <w:rPr>
          <w:b/>
        </w:rPr>
        <w:t>Shared claim-specific concepts:</w:t>
      </w:r>
      <w:r>
        <w:t xml:space="preserve"> contrast, largely, processes; EU scope not established. This is a provisional connection, not an outcome finding.</w:t>
      </w:r>
    </w:p>
    <w:p>
      <w:pPr>
        <w:pStyle w:val="SourceNote"/>
      </w:pPr>
      <w:r>
        <w:rPr>
          <w:b/>
        </w:rPr>
        <w:t>Available abstract (not full text):</w:t>
      </w:r>
      <w:r>
        <w:t xml:space="preserve"> Arctic sea ice has declined precipitously in both extent and thickness over the past four decades; by contrast, Antarctic sea ice has shown little overall change, but this masks large regional variability. Climate models have not captured these changes. But these differences do not represent a paradox. The processes governing, and impacts of, natural variability and human-induced changes differ markedly at the poles largely because of the ways in which differences in geography control the properties of and interactions among the atmosphere, ice, and ocean. The impact of natural variability on the ice cover is large at both poles, so modeled ice trends are not entirely inconsistent with contributions from both natural variability and anthropogenic forcing. Despite this concurrence, the coupling of natural climate variability, climate feedbacks, and sea ice is not well understood, and significant biases remain in model representations of the ice cover and the processes that drive it.</w:t>
      </w:r>
    </w:p>
    <w:p>
      <w:pPr>
        <w:pStyle w:val="Heading2"/>
      </w:pPr>
      <w:r>
        <w:t>790.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2024:</w:t>
      </w:r>
      <w:r>
        <w:t xml:space="preserve"> The Influence of Environmental, Social, and Governance Disclosure on Capital Structure: An Investigation of Leverage and WACC — https://doi.org/10.3390/jrfm17120570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This paper seeks to examine the extent to which environmental, social, and governance (ESG) disclosure affects capital structure and cost of capital for non-financial Fortune 500 firms. With a sample period from 2007 to 2022 and a system (Generalized Method of Moments) GMM estimation method, we investigate the linkage between ESG disclosure scores and both leverage and the weighted average cost of capital (WACC). Thus, we find that firms with stronger ESG performance have higher ESG disclosure and lower leverage ratios and WACC, highlighting that firms with good ESG outcomes have better equity financing facilities and are perceived to be less risky. We also find the moderation effect where the effects of ESG disclosure depend on the level of ESG disclosure. The empirical results thus show that the environmental and social factors have significant influences on leverage and WACC than the governance factors. Furthermore, we show that firm size affects these relationships in that larger firms are more affected by the variables. These findings extend the literature on ESG, and provide relevant information for corporate financial managers, investors, and policymakers about the financial effects of ESG disclosure. This paper therefore provides evidence of the relevance of ESG factors in decisions on capital structure and cost of capital especially for large firms.</w:t>
      </w:r>
    </w:p>
    <w:p>
      <w:pPr/>
      <w:r>
        <w:rPr>
          <w:b/>
        </w:rPr>
        <w:t>POSSIBLE 2024:</w:t>
      </w:r>
      <w:r>
        <w:t xml:space="preserve"> An analysis of the effect of employee tenure on WACC — https://doi.org/10.1080/01559982.2024.2352671</w:t>
      </w:r>
    </w:p>
    <w:p>
      <w:pPr/>
      <w:r>
        <w:rPr>
          <w:b/>
        </w:rPr>
        <w:t>Shared claim-specific concepts:</w:t>
      </w:r>
      <w:r>
        <w:t xml:space="preserve"> show, capital, wacc, based; EU scope not established. This is a provisional connection, not an outcome finding.</w:t>
      </w:r>
    </w:p>
    <w:p>
      <w:pPr>
        <w:pStyle w:val="SourceNote"/>
      </w:pPr>
      <w:r>
        <w:rPr>
          <w:b/>
        </w:rPr>
        <w:t>Available abstract (not full text):</w:t>
      </w:r>
      <w:r>
        <w:t xml:space="preserve"> No international accounting policy exists to mandate that firms must report employee/workforce-level human capital information on a structured basis. Thus, the link between employee/workforce human capital and firm risk is not demonstrated in the literature. South Korea is a rare instance where human capital information, such as employee tenure is disclosed on Annual Reports as a rule. Therefore, we invoke resource-based theory, a human resource policy assertion, and a business ethics/sustainability inference to show whether capital providers differentiate between firms that are able/unable to retain employees, thus adjusting WACC accordingly. Using OLS regression analysis, from 2011-2020, empirical results show that firms with the ability to retain employees enjoy economically significantly lower levels of WACC. The results infer that equity/debt providers associate workforce tenure and firm risk/returns expectations. Empirical results also show that capital providers are nuanced when impounding employment information into risk/return assessments, based on incrementally different associations for investment-grade/non-investment-grade firms. The study contributes to the literature by providing evidence that management should develop strategies to retain employees to enjoy economic advantages. Because structured employee/workforce human capital information is rare internationall</w:t>
      </w:r>
    </w:p>
    <w:p>
      <w:pPr/>
      <w:r>
        <w:rPr>
          <w:b/>
        </w:rPr>
        <w:t>POSSIBLE 2024:</w:t>
      </w:r>
      <w:r>
        <w:t xml:space="preserve"> The relationship between the application of corporate sustainability policy and the weighted average cost of capital: examples of European countries — https://doi.org/10.29119/1641-3466.2024.202.8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Purpose: This publication aims to verify whether Van Horne coefficient model affects company growth, as expressed by the WACC. Design/methodology/approach: The study was conducted on a group of nonfinancial companies listed on: the Warsaw Stock Exchange (WIG index), The Frankfurt Stock Exchange (DAX index), The Paris Stock Exchange (CAC index) and the Stockholm Stock Exchange (OMX Stockholm index) from 01/01/2000 - 31/12/2021. Van Horne's SGR model was used as an indicator of the sustainable growth of the firm. The analysis related to WACC and condition assessment of analysed companies is presented as OLS and panel models parameter estimations. The study was carried out using cross-sectional regression analysis and panel data. Several models were estimated using the OLS method, including different sets of independent variables. Findings: In the analysis, it was found that the VSGR coefficient has a negative impact on the WACC for companies from all the analysed markets, i.e. the better the implementation of the company's sustainable development policy measured by the VSGR index, the lower the WACC of the company may record. These results were also not confirmed in panel studies with fixed effects, which allows us to conclude that these relationships are very weak. Research limitations/implications: Further research should expand the analysis of firms by size and stage of develo</w:t>
      </w:r>
    </w:p>
    <w:p>
      <w:pPr/>
      <w:r>
        <w:rPr>
          <w:b/>
        </w:rPr>
        <w:t>POSSIBLE 2023:</w:t>
      </w:r>
      <w:r>
        <w:t xml:space="preserve"> A novel approach to calculate weighted average cost of capital (WACC) considering debt and firm's cash flow durations — https://doi.org/10.1002/mde.4042</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Abstract This paper presents a novel approach to calculate the weighted average cost of capital (WACC) but considering additional relevant variables to be applied to a specific cash flow, free cash flow to firm (FCFF), or capital cash flow (CCF), in order to value an asset. The analytical expressions deduced for this approach, one for each case, are based not only on the ratio debt to the value of the asset and the cost of debt and equity, as in the usual expression, but also includes the debt and firm's cash flow durations. The proposed novel approach to cost of capital has key advantages in comparison to the usual expression for WACC: It is an analytical expression that could be applied to whatever kind of debt or capital structure, not only perpetual debt or permanent capital structure. It is a single discount rate, and for its calculation, it is not necessary to recalculate financial factors involved, which makes easier its application. The additional financial variables involved, debt and firm's cash flow duration, allow to obtain better results for the right discount rate and for the value of an asset in the sense that the discount rate for the asset effectively will permit to reach the required level for the profitability for the investor and to cover the cost of debt.</w:t>
      </w:r>
    </w:p>
    <w:p>
      <w:pPr/>
      <w:r>
        <w:rPr>
          <w:b/>
        </w:rPr>
        <w:t>POSSIBLE 2023:</w:t>
      </w:r>
      <w:r>
        <w:t xml:space="preserve"> Application of WACC in Automobile Enterprises — https://doi.org/10.54254/2754-1169/40/20231997</w:t>
      </w:r>
    </w:p>
    <w:p>
      <w:pPr/>
      <w:r>
        <w:rPr>
          <w:b/>
        </w:rPr>
        <w:t>Shared claim-specific concepts:</w:t>
      </w:r>
      <w:r>
        <w:t xml:space="preserve"> wacc, energy, based, production; EU scope not established. This is a provisional connection, not an outcome finding.</w:t>
      </w:r>
    </w:p>
    <w:p>
      <w:pPr>
        <w:pStyle w:val="SourceNote"/>
      </w:pPr>
      <w:r>
        <w:rPr>
          <w:b/>
        </w:rPr>
        <w:t>Available abstract (not full text):</w:t>
      </w:r>
      <w:r>
        <w:t xml:space="preserve"> With the global promotion of energy conservation and emission reduction in recent years, some new energy vehicle enterprises are emerging in the market. To avoid potential risks in the new energy vehicle market with over-investment, the paper selects Tesla, BYD, and Toyota as examples, and uses CAPM and WACC to calculate and analyze the risks of three automobile enterprises based on the financial data in 2022. The result shows that Tesla owned the largest WACC and risks due to the calculation, and Toyota had the smallest WACC and risks. According to the analysis of data combined with the market situation of three companies, the author finds unique risks for each enterprise and provides a feasible direction for the development of three enterprises. It shows that the development of electric vehicles, guarantee of production, good product quality, and reasonable allocation of funds can help automobile enterprises avoid risks in the future.</w:t>
      </w:r>
    </w:p>
    <w:p>
      <w:pPr/>
      <w:r>
        <w:rPr>
          <w:b/>
        </w:rPr>
        <w:t>POSSIBLE 2022:</w:t>
      </w:r>
      <w:r>
        <w:t xml:space="preserve"> An Improved Spatiotemporal Weighted Mean Temperature Model over Europe Based on the Nonlinear Least Squares Estimation Method — https://doi.org/10.3390/rs14153609</w:t>
      </w:r>
    </w:p>
    <w:p>
      <w:pPr/>
      <w:r>
        <w:rPr>
          <w:b/>
        </w:rPr>
        <w:t>Shared claim-specific concepts:</w:t>
      </w:r>
      <w:r>
        <w:t xml:space="preserve"> weighted, average, based, respectively; EU scope visible. This is a provisional connection, not an outcome finding.</w:t>
      </w:r>
    </w:p>
    <w:p>
      <w:pPr>
        <w:pStyle w:val="SourceNote"/>
      </w:pPr>
      <w:r>
        <w:rPr>
          <w:b/>
        </w:rPr>
        <w:t>Available abstract (not full text):</w:t>
      </w:r>
      <w:r>
        <w:t xml:space="preserve"> Weighted average temperature (Tm) plays a crucial role in global navigation satellite system (GNSS) precipitable water vapor (PWV) retrieval. Aiming at the poor applicability of the existing Tm models in Europe, in the article, we used observations from 48 radiosonde stations over Europe from 2014 to 2020 to establish a weighted average temperature model in Europe (ETm) by the nonlinear least squares estimation method. The ETm model takes into account factors such as ground temperature, water vapor pressure, latitude, and their annual variation, semiannual variation and diurnal variation. Taking the Tm obtained from the radiosonde data by the integration method in 2021 as the reference value, the accuracy of the ETm model was evaluated and compared with the commonly used Bevis model, ETmPoly model, and GPT2w model. The results of the 48 modeled stations showed that the mean bias and root mean square (RMS) values of the ETm model were 0.06 and 2.85 K, respectively, which were 21.7%, 11.5%, and 31.8% higher than the Bevis, ETmPoly, and GPT2w-1 (1° × 1° resolution) models, respectively. In addition, the radiosonde data of 12 non-modeling stations over Europe in 2021 were selected to participate in the model accuracy validation. The mean bias and RMS values of the ETm model were –0.07 and 2.87 K, respectively. Compared with the Bevis, ETmPoly, and GPT2w-1 models, the accuracy (in t</w:t>
      </w:r>
    </w:p>
    <w:p>
      <w:pPr/>
      <w:r>
        <w:rPr>
          <w:b/>
        </w:rPr>
        <w:t>POSSIBLE 2022:</w:t>
      </w:r>
      <w:r>
        <w:t xml:space="preserve"> Political Imaginaries of the Weighted Average Cost of Capital: A Conceptual Analysis — https://doi.org/10.3384/vs.2001-5992.2021.8.2.5-36</w:t>
      </w:r>
    </w:p>
    <w:p>
      <w:pPr/>
      <w:r>
        <w:rPr>
          <w:b/>
        </w:rPr>
        <w:t>Shared claim-specific concepts:</w:t>
      </w:r>
      <w:r>
        <w:t xml:space="preserve"> weighted, average, capital, produced, minimum; EU scope not established. This is a provisional connection, not an outcome finding.</w:t>
      </w:r>
    </w:p>
    <w:p>
      <w:pPr>
        <w:pStyle w:val="SourceNote"/>
      </w:pPr>
      <w:r>
        <w:rPr>
          <w:b/>
        </w:rPr>
        <w:t>Available abstract (not full text):</w:t>
      </w:r>
      <w:r>
        <w:t xml:space="preserve"> This article analyzes the formulation of the “weighted average cost of capital” in the manuals of two of the most influential associations of financial analysts. It focuses on the use of the formula as the discount rate to determine the “fundamental value” of listed companies using the “discounted cash flows” method, a cornerstone of the definition of “shareholder value” used in the finance industry worldwide. It shows that the choice of variables and their mathematical relations in the formula mobilize multiple, partly independent and contradictory epistemologies and ontologies. This multiplicity is assembled along political imaginaries concerning the relation between particular notions of the maximizing investor, the efficient markets and the sovereign state. The figure of the investor is considered the only legitimate agent to claim the “free” cash flows of the company, the efficient markets are considered the source of truthful representation of value, and the state is supposed to guarantee both the fair play between investors and a minimum revenue for money owners, to be extracted from the rest of society through the tax system. The formula thus legitimizes and renders self-evident power relations that sustain the global inequalities produced by the finance industry.</w:t>
      </w:r>
    </w:p>
    <w:p>
      <w:pPr>
        <w:pStyle w:val="Heading2"/>
      </w:pPr>
      <w:r>
        <w:t>791.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Environmental Investments and Climate Change: How Environmental Protection Expenditure and Gross Domestic Product Affect Emissions in the European Union — https://doi.org/10.13044/j.sdewes.d12.0528</w:t>
      </w:r>
    </w:p>
    <w:p>
      <w:pPr/>
      <w:r>
        <w:rPr>
          <w:b/>
        </w:rPr>
        <w:t>Shared claim-specific concepts:</w:t>
      </w:r>
      <w:r>
        <w:t xml:space="preserve"> climate, affect, many, increased; EU scope visible. This is a provisional connection, not an outcome finding.</w:t>
      </w:r>
    </w:p>
    <w:p>
      <w:pPr>
        <w:pStyle w:val="SourceNote"/>
      </w:pPr>
      <w:r>
        <w:rPr>
          <w:b/>
        </w:rPr>
        <w:t>Available abstract (not full text):</w:t>
      </w:r>
      <w:r>
        <w:t xml:space="preserve"> This study analyses the relationships between economic development, environmental investments, and greenhouse gas emissions in the European Union for the period 2008-2022. Using correlation and regression analysis of data from Eurostat, the study assesses the impact of environmental protection expenditure and gross domestic product on greenhouse gas emissions. The results reveal a stable upward trend in environmental protection expenditure, especially in recent years, reflecting the European Union's growing commitment to sustainable development. At the same time, greenhouse gas emissions show an overall downward trend, with the sharpest decline between 2019 and 2020, likely due to the impact of the coronavirus disease pandemic. The correlation analysis confirms a significant inverse relationship between environmental investments and emissions, demonstrating the positive effect of "green" spending on reducing the carbon footprint. An important observation is that in many years, environmental expenditure grows at a faster rate than the European Union's gross domestic product, emphasizing the increased commitment to environmental issues even in conditions of economic growth. The regression analysis shows a strong relationship between the predictors (gross domestic product and environmental expenditure) and greenhouse gas emissions. Despite the expectation that economic growth woul</w:t>
      </w:r>
    </w:p>
    <w:p>
      <w:pPr/>
      <w:r>
        <w:rPr>
          <w:b/>
        </w:rPr>
        <w:t>POSSIBLE 2024:</w:t>
      </w:r>
      <w:r>
        <w:t xml:space="preserve"> Evaluating the expansion of African species into Europe driven by climate change — https://doi.org/10.1111/ddi.13840</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pStyle w:val="Heading2"/>
      </w:pPr>
      <w:r>
        <w:t>792.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2023:</w:t>
      </w:r>
      <w:r>
        <w:t xml:space="preserve"> Ionospheric irregularity reconstruction using multisource data fusion via deep learning — https://doi.org/10.5194/acp-23-13413-2023</w:t>
      </w:r>
    </w:p>
    <w:p>
      <w:pPr/>
      <w:r>
        <w:rPr>
          <w:b/>
        </w:rPr>
        <w:t>Shared claim-specific concepts:</w:t>
      </w:r>
      <w:r>
        <w:t xml:space="preserve"> data, fusion, used, observations; EU scope not established. This is a provisional connection, not an outcome finding.</w:t>
      </w:r>
    </w:p>
    <w:p>
      <w:pPr>
        <w:pStyle w:val="SourceNote"/>
      </w:pPr>
      <w:r>
        <w:rPr>
          <w:b/>
        </w:rPr>
        <w:t>Available abstract (not full text):</w:t>
      </w:r>
      <w:r>
        <w:t xml:space="preserve"> Abstract. The ionospheric sporadic E (Es) layer is the intense plasma irregularities between 80 and 130 km in altitude, which is generally unpredictable. Reconstructing the morphology of sporadic E layer is not only essential for understanding the nature of ionospheric irregularities and many other atmospheric coupling systems, but also useful to solve a broad range of demands for reliable radio communication of many sectors reliant on ionosphere-dependent decision-making. Despite the efforts of many empirical and theoretical models, a predictive algorithm with both high accuracy and high efficiency is still lacking. Here we introduce a new approach for Sporadic E Layer Forecast using Artificial Neural Networks (SELF-ANN). The prediction engine is trained by fusing observational data from multiple sources, including high-resolution ERA5 reanalysis dataset, COSMIC RO measurements, and integrated data from OMNI. The results show that the model can effectively reconstruct the morphology of the ionospheric E layer with intraseasonal variability by learning complex patterns. The model obtains good performance and generalization capability by applying multiple evaluation criteria. The random forest algorithm used for preliminary pro- cessing shows that local time, altitude, longitude, and latitude are significantly essential for forecasting the E-layer region. Extensive evaluations b</w:t>
      </w:r>
    </w:p>
    <w:p>
      <w:pPr/>
      <w:r>
        <w:rPr>
          <w:b/>
        </w:rPr>
        <w:t>POSSIBLE 2022:</w:t>
      </w:r>
      <w:r>
        <w:t xml:space="preserve"> The Determinants of Internet User Skills in Europe — https://doi.org/10.20944/preprints202205.0263.v1</w:t>
      </w:r>
    </w:p>
    <w:p>
      <w:pPr/>
      <w:r>
        <w:rPr>
          <w:b/>
        </w:rPr>
        <w:t>Shared claim-specific concepts:</w:t>
      </w:r>
      <w:r>
        <w:t xml:space="preserve"> best, obtained, data; EU scope visible. This is a provisional connection, not an outcome finding.</w:t>
      </w:r>
    </w:p>
    <w:p>
      <w:pPr>
        <w:pStyle w:val="SourceNote"/>
      </w:pPr>
      <w:r>
        <w:rPr>
          <w:b/>
        </w:rPr>
        <w:t>Available abstract (not full text):</w:t>
      </w:r>
      <w:r>
        <w:t xml:space="preserve"> The following article indicates the determinants of “Internet User Skills” among European countries based on the application of the database deriving from the DESI-Index. The data were analyzed using the following econometric models, namely: Panel Data with Fixed Effects, Panel Data with Random Effects, Pooled OLS, WLS, WLS corrected for heteroskedasticity. The Elbow method and the Silouette coefficient method were compared for the optimization of the number of clusters obtained by the k-Means algorithm. The result shows the presence of 5 clusters. A network analysis was carried out using the Euclidean distance with the result of identifying two network structures between some analyzed countries. subsequently a comparison was made between six different machine learning algorithms for the prediction of the future value of the variable of interest. The result shows that the best predictor algorithm is Gradient Boosted Tree Regression with an expected value of the predicted variable increasing by a value of 1.75%. Later a further comparison was made by comparing 6 algorithms with the increased data. The result shows that the best predictor is Simple Regression Tree. The interest variable is predicted to decrease by an amount equal to -6.099%. Statistical errors improve on average by 32.43% in the transition between the original data and the increased data.</w:t>
      </w:r>
    </w:p>
    <w:p>
      <w:pPr/>
      <w:r>
        <w:rPr>
          <w:b/>
        </w:rPr>
        <w:t>POSSIBLE 2022:</w:t>
      </w:r>
      <w:r>
        <w:t xml:space="preserve"> A Review of Multisensor Data Fusion Solutions in Smart Manufacturing: Systems and Trends — https://doi.org/10.3390/s22051734</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Manufacturing companies increasingly become "smarter" as a result of the Industry 4.0 revolution. Multiple sensors are used for industrial monitoring of machines and workers in order to detect events and consequently improve the manufacturing processes, lower the respective costs, and increase safety. Multisensor systems produce big amounts of heterogeneous data. Data fusion techniques address the issue of multimodality by combining data from different sources and improving the results of monitoring systems. The current paper presents a detailed review of state-of-the-art data fusion solutions, on data storage and indexing from various types of sensors, feature engineering, and multimodal data integration. The review aims to serve as a guide for the early stages of an analytic pipeline of manufacturing prognosis. The reviewed literature showed that in fusion and in preprocessing, the methods chosen to be applied in this sector are beyond the state-of-the-art. Existing weaknesses and gaps that lead to future research goals were also identified.</w:t>
      </w:r>
    </w:p>
    <w:p>
      <w:pPr/>
      <w:r>
        <w:rPr>
          <w:b/>
        </w:rPr>
        <w:t>POSSIBLE 2021:</w:t>
      </w:r>
      <w:r>
        <w:t xml:space="preserve"> Sensitivity of Skill Score Metric to Validate Lagrangian Simulations in Coastal Areas: Recommendations for Search and Rescue Applications — https://doi.org/10.3389/fmars.2021.630388</w:t>
      </w:r>
    </w:p>
    <w:p>
      <w:pPr/>
      <w:r>
        <w:rPr>
          <w:b/>
        </w:rPr>
        <w:t>Shared claim-specific concepts:</w:t>
      </w:r>
      <w:r>
        <w:t xml:space="preserve"> best, skill, obtained, used, observations; EU scope not established. This is a provisional connection, not an outcome finding.</w:t>
      </w:r>
    </w:p>
    <w:p>
      <w:pPr>
        <w:pStyle w:val="SourceNote"/>
      </w:pPr>
      <w:r>
        <w:rPr>
          <w:b/>
        </w:rPr>
        <w:t>Available abstract (not full text):</w:t>
      </w:r>
      <w:r>
        <w:t xml:space="preserve"> Search and rescue (SAR) modeling applications, mostly based on Lagrangian tracking particle algorithms, rely on the accuracy of met-ocean forecast models. Skill assessment methods are therefore required to evaluate the performance of ocean models in predicting particle trajectories. The Skill Score (SS), based on the Normalized Cumulative Lagrangian Separation (NCLS) distance between simulated and satellite-tracked drifter trajectories, is a commonly used metric. However, its applicability in coastal areas, where most of the SAR incidents occur, is difficult and sometimes unfeasible, because of the high variability that characterizes the coastal dynamics and the lack of drifter observations. In this study, we assess the performance of four models available in the Ibiza Channel (Western Mediterranean Sea) and evaluate the applicability of the SS in such coastal risk-prone regions seeking for a functional implementation in the context of SAR operations. We analyze the SS sensitivity to different forecast horizons and examine the best way to quantify the average model performance, to avoid biased conclusions. Our results show that the SS increases with forecast time in most cases. At short forecast times (i.e., 6 h), the SS exhibits a much higher variability due to the short trajectory lengths observed compared to the separation distance obtained at timescales not properly resolve</w:t>
      </w:r>
    </w:p>
    <w:p>
      <w:pPr/>
      <w:r>
        <w:rPr>
          <w:b/>
        </w:rPr>
        <w:t>POSSIBLE 2021:</w:t>
      </w:r>
      <w:r>
        <w:t xml:space="preserve"> Information Quality Assessment for Data Fusion Systems — https://doi.org/10.3390/data6060060</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This paper provides a comprehensive description of the current literature on data fusion, with an emphasis on Information Quality (IQ) and performance evaluation. This literature review highlights recent studies that reveal existing gaps, the need to find a synergy between data fusion and IQ, several research issues, and the challenges and pitfalls in this field. First, the main models, frameworks, architectures, algorithms, solutions, problems, and requirements are analyzed. Second, a general data fusion engineering process is presented to show how complex it is to design a framework for a specific application. Third, an IQ approach, as well as the different methodologies and frameworks used to assess IQ in information systems are addressed; in addition, data fusion systems are presented along with their related criteria. Furthermore, information on the context in data fusion systems and its IQ assessment are discussed. Subsequently, the issue of data fusion systems’ performance is reviewed. Finally, some key aspects and concluding remarks are outlined, and some future lines of work are gathered.</w:t>
      </w:r>
    </w:p>
    <w:p>
      <w:pPr/>
      <w:r>
        <w:rPr>
          <w:b/>
        </w:rPr>
        <w:t>POSSIBLE 2021:</w:t>
      </w:r>
      <w:r>
        <w:t xml:space="preserve"> Fusion of wildlife tracking and satellite geomagnetic data for the study of animal migration — https://doi.org/10.1186/s40462-021-00268-4</w:t>
      </w:r>
    </w:p>
    <w:p>
      <w:pPr/>
      <w:r>
        <w:rPr>
          <w:b/>
        </w:rPr>
        <w:t>Shared claim-specific concepts:</w:t>
      </w:r>
      <w:r>
        <w:t xml:space="preserve"> obtained, data, fusion, used, days; EU scope visible. This is a provisional connection, not an outcome finding.</w:t>
      </w:r>
    </w:p>
    <w:p>
      <w:pPr>
        <w:pStyle w:val="SourceNote"/>
      </w:pPr>
      <w:r>
        <w:rPr>
          <w:b/>
        </w:rPr>
        <w:t>Available abstract (not full text):</w:t>
      </w:r>
      <w:r>
        <w:t xml:space="preserve"> BACKGROUND: Migratory animals use information from the Earth's magnetic field on their journeys. Geomagnetic navigation has been observed across many taxa, but how animals use geomagnetic information to find their way is still relatively unknown. Most migration studies use a static representation of geomagnetic field and do not consider its temporal variation. However, short-term temporal perturbations may affect how animals respond - to understand this phenomenon, we need to obtain fine resolution accurate geomagnetic measurements at the location and time of the animal. Satellite geomagnetic measurements provide a potential to create such accurate measurements, yet have not been used yet for exploration of animal migration. METHODS: We develop a new tool for data fusion of satellite geomagnetic data (from the European Space Agency's Swarm constellation) with animal tracking data using a spatio-temporal interpolation approach. We assess accuracy of the fusion through a comparison with calibrated terrestrial measurements from the International Real-time Magnetic Observatory Network (INTERMAGNET). We fit a generalized linear model (GLM) to assess how the absolute error of annotated geomagnetic intensity varies with interpolation parameters and with the local geomagnetic disturbance. RESULTS: We find that the average absolute error of intensity is - 21.6 nT (95% CI [- 22.26555, - </w:t>
      </w:r>
    </w:p>
    <w:p>
      <w:pPr>
        <w:pStyle w:val="Heading2"/>
      </w:pPr>
      <w:r>
        <w:t>793.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r>
        <w:rPr>
          <w:b/>
        </w:rPr>
        <w:t>POSSIBLE 2024:</w:t>
      </w:r>
      <w:r>
        <w:t xml:space="preserve"> Sea Level Rise in Europe: Knowledge gaps identified through a participatory approach — https://doi.org/10.5194/sp-3-slre1-3-2024</w:t>
      </w:r>
    </w:p>
    <w:p>
      <w:pPr/>
      <w:r>
        <w:rPr>
          <w:b/>
        </w:rPr>
        <w:t>Shared claim-specific concepts:</w:t>
      </w:r>
      <w:r>
        <w:t xml:space="preserve"> participatory, approach, four, regional, users, understanding; EU scope visible. This is a provisional connection, not an outcome finding.</w:t>
      </w:r>
    </w:p>
    <w:p>
      <w:pPr>
        <w:pStyle w:val="SourceNote"/>
      </w:pPr>
      <w:r>
        <w:rPr>
          <w:b/>
        </w:rPr>
        <w:t>Available abstract (not full text):</w:t>
      </w:r>
      <w:r>
        <w:t xml:space="preserve"> Abstract. The Intergovernmental Panel on Climate Change (IPCC) plays a pivotal role in delivering information and knowledge on sea level rise (SLR), a global threat impacting coastlines worldwide. However, considerable disparities still persist in Europe in understanding and applying sea level science, evaluating its repercussions, and devising effective adaptation strategies. These are influenced by local factors such as diverse environments, socioeconomic conditions, policy contexts, and diversity in stakeholder involvement, producing in turn varying knowledge gaps and information needs across European sea basins. In this context, this paper presents the findings of a comprehensive scoping process carried out by the European Knowledge Hub on Sea Level Rise (KH-SLR) to define the outline of the first KH-SLR Assessment Report. It consists of the analysis of stakeholder responses to an online survey and insights shared during four regional workshops, aiming to pinpoint critical gaps in available information on SLR and its potential consequences in European basins, both from a scientific and policy perspective. The analysis was divided into three categories: i) SLR science and information, ii) SLR impacts, and iii) SLR adaptation policies and decision-making. Regarding SLR science and information, many respondents found that significant gaps exist in regional SLR projections and </w:t>
      </w:r>
    </w:p>
    <w:p>
      <w:pPr/>
      <w:r>
        <w:rPr>
          <w:b/>
        </w:rPr>
        <w:t>POSSIBLE 2024:</w:t>
      </w:r>
      <w:r>
        <w:t xml:space="preserve"> Participatory approaches to developing sustainable futures: a global perspective — https://openalex.org/W7214139289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This chapter provides a brief overview of the use of participatory processes for developing sustainable futures around the world, with a particular focus on the emergence of participatory methods in the late 1960s and early 1970s. It also reflects on the diversity of current participatory methods. The influences and perspectives of CoOPLAGE in the light of the global context are reflected on, including how its underlying methods stem from a cybernetic, complex systems and engaged political approach. The chapter concludes with potential evolutions and innovations of CoOPLAGE, such as opportunities for integration of emerging technologies and more creative envisioning methods</w:t>
      </w:r>
    </w:p>
    <w:p>
      <w:pPr/>
      <w:r>
        <w:rPr>
          <w:b/>
        </w:rPr>
        <w:t>POSSIBLE 2024:</w:t>
      </w:r>
      <w:r>
        <w:t xml:space="preserve"> Participatory Budgeting as an Inclusive Placemaking Driver: Different European and American Practices — https://doi.org/10.1163/9789004691919_005</w:t>
      </w:r>
    </w:p>
    <w:p>
      <w:pPr/>
      <w:r>
        <w:rPr>
          <w:b/>
        </w:rPr>
        <w:t>Shared claim-specific concepts:</w:t>
      </w:r>
      <w:r>
        <w:t xml:space="preserve"> participatory, four, understanding, considered; EU scope visible. This is a provisional connection, not an outcome finding.</w:t>
      </w:r>
    </w:p>
    <w:p>
      <w:pPr>
        <w:pStyle w:val="SourceNote"/>
      </w:pPr>
      <w:r>
        <w:rPr>
          <w:b/>
        </w:rPr>
        <w:t>Available abstract (not full text):</w:t>
      </w:r>
      <w:r>
        <w:t xml:space="preserve"> Participatory budgeting (PB) is a paradigm that empowers residents to directly decide how a portion of the public budget is spent.Specifically, residents deliberate over spending priorities and vote over how the budget should be allocated to different public projects.As such it is a mechanism of top-down transfer of decisions on the part of budgetary expenditure to citizens.In recent years, PB has become a central topic of discussion and an important field of innovation for those involved in local development, considered one of the most successful democratic innovations of the last 25 years.Participatory budgeting contributes significantly to participatory democracy, inclusiveness processes and placemaking, but some factors limit the scale of these aspects.However, a relatively simple idea -that "ordinary citizens" should have a direct say in public budgets that impact them -has travelled the world by the most unexpected routes and landed in unlikely sites.There is no precise model for PB programmes.While there are similar tenets and institutional mechanisms, PB programmes are structured in response to each city or state's particular political, social and economic environment.Therefore, it is necessary to consider to what extent PB strengthens the discussed processes, whether it allows reaching new, inactive groups of citizens and includes them in the decision-making process re</w:t>
      </w:r>
    </w:p>
    <w:p>
      <w:pPr/>
      <w:r>
        <w:rPr>
          <w:b/>
        </w:rPr>
        <w:t>POSSIBLE 2023:</w:t>
      </w:r>
      <w:r>
        <w:t xml:space="preserve"> Participatory curriculum development: The case of EUTOPIA , a European university alliance — https://doi.org/10.1002/curj.243</w:t>
      </w:r>
    </w:p>
    <w:p>
      <w:pPr/>
      <w:r>
        <w:rPr>
          <w:b/>
        </w:rPr>
        <w:t>Shared claim-specific concepts:</w:t>
      </w:r>
      <w:r>
        <w:t xml:space="preserve"> participatory, approach, involving; EU scope visible. This is a provisional connection, not an outcome finding.</w:t>
      </w:r>
    </w:p>
    <w:p>
      <w:pPr>
        <w:pStyle w:val="SourceNote"/>
      </w:pPr>
      <w:r>
        <w:rPr>
          <w:b/>
        </w:rPr>
        <w:t>Available abstract (not full text):</w:t>
      </w:r>
      <w:r>
        <w:t xml:space="preserve"> Abstract This paper reports on a model for participatory curriculum development that builds on a ‘connected learning communities’ (CLC) approach. We describe and analyse the trajectory of six CLC‐cases using a framework informed by Social Practice Theory (SPT). The activities we report on took place during the first pilot year (2020–2021) of a transnational University Alliance involving six European universities. Data were drawn from document analysis, direct observations and ongoing dialogue with students and staff involved in the CLCs. Our findings illustrate the affordances of building on existing practice for curriculum development in international contexts and point out the importance of well‐equipped collaborative environments that encourage critical analysis and active experimentation. We found that the CLC model and SPT framework are helpful contributions in the field of curriculum development and argue that connected curriculum‐making approaches help shape versatile environments that can effectively transform and enhance educational provisions, experiences and outcomes.</w:t>
      </w:r>
    </w:p>
    <w:p>
      <w:pPr>
        <w:pStyle w:val="Heading2"/>
      </w:pPr>
      <w:r>
        <w:t>794.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2024:</w:t>
      </w:r>
      <w:r>
        <w:t xml:space="preserve"> Positions of the Leading European Parties on the Eve of the European Parliament Elections 2024 — https://doi.org/10.31857/s0201708324030069</w:t>
      </w:r>
    </w:p>
    <w:p>
      <w:pPr/>
      <w:r>
        <w:rPr>
          <w:b/>
        </w:rPr>
        <w:t>Shared claim-specific concepts:</w:t>
      </w:r>
      <w:r>
        <w:t xml:space="preserve"> demonstrates, main, over, next, increasing, well; EU scope visible. This is a provisional connection, not an outcome finding.</w:t>
      </w:r>
    </w:p>
    <w:p>
      <w:pPr>
        <w:pStyle w:val="SourceNote"/>
      </w:pPr>
      <w:r>
        <w:rPr>
          <w:b/>
        </w:rPr>
        <w:t>Available abstract (not full text):</w:t>
      </w:r>
      <w:r>
        <w:t xml:space="preserve"> The article analyses the main trends in the transformation of the party and political system of the European Union on the eve of the next elections to the European Parliament in June 2024. The article examines the main events of recent years that had the main impact on the process of this transformation. New trends in the change of this system were noted, which included strengthening the popularity and influence of Eurosceptic parties, increasing internal tension concerning relations between old and new members of the European Union. The research demonstrates that following the results of the national parliamentary elections held over the past five years in almost all EU member states, the influence of the leading political parties, which for many years occupied dominant positions in the executive and representative authorities of these countries, has significantly decreased. The phenomenon of increasing representation of women in the bodies of the EU and its member states and its impact on their formation is considered. The influence of changes in the social structure of the European community and their impact on the electoral preferences of Europeans is analysed. The preelection positions of all leading European parties that currently have their factions in the European Parliament are presented, including their election manifestos and candidacies for the post of the President</w:t>
      </w:r>
    </w:p>
    <w:p>
      <w:pPr/>
      <w:r>
        <w:rPr>
          <w:b/>
        </w:rPr>
        <w:t>POSSIBLE 2024:</w:t>
      </w:r>
      <w:r>
        <w:t xml:space="preserve"> The Struggle over Law in Europe — https://doi.org/10.4324/9781003302094</w:t>
      </w:r>
    </w:p>
    <w:p>
      <w:pPr/>
      <w:r>
        <w:rPr>
          <w:b/>
        </w:rPr>
        <w:t>Shared claim-specific concepts:</w:t>
      </w:r>
      <w:r>
        <w:t xml:space="preserve"> over, next, well;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Feeding Next‐Generation Nanomedicines to Europe: Regulatory and Quality Challenges — https://doi.org/10.1002/adhm.202301956</w:t>
      </w:r>
    </w:p>
    <w:p>
      <w:pPr/>
      <w:r>
        <w:rPr>
          <w:b/>
        </w:rPr>
        <w:t>Shared claim-specific concepts:</w:t>
      </w:r>
      <w:r>
        <w:t xml:space="preserve"> over, next, scientific, innovation; EU scope visible. This is a provisional connection, not an outcome finding.</w:t>
      </w:r>
    </w:p>
    <w:p>
      <w:pPr>
        <w:pStyle w:val="SourceNote"/>
      </w:pPr>
      <w:r>
        <w:rPr>
          <w:b/>
        </w:rPr>
        <w:t>Available abstract (not full text):</w:t>
      </w:r>
      <w:r>
        <w:t xml:space="preserve"> New and innovative nanomedicines have been developed and marketed over the past half-century, revolutionizing the prognosis of many human diseases. Although a univocal regulatory definition is not yet available worldwide, the term "nanomedicines" generally identifies medicinal products that use nanotechnology in their design or production. Due to the intrinsic high structural complexity of these products, the scientific and regulatory communities are reflecting on how to revise the regulatory framework to provide a more appropriate benefit/risk balance to authorize them on the market, considering the impact of their peculiar physicochemical features in the evaluation of efficacy and safety patterns. Herein, a critical perspective is provided on the current open issues regarding regulatory qualification and physicochemical characterization of nanosystems considering the current European regulatory framework on nanomedicine products. Practicable paths for improving their quality assurance and predicting their fate in vivo are also argued. Strengthening the multilevel alliance among academic institutions, industrial stakeholders, and regulatory authorities seems strategic to support innovation by standard approaches (e.g., qualification, characterization, risk assessment), and to expand current knowledge, also benefiting from the new opportunities offered by artificial intelligenc</w:t>
      </w:r>
    </w:p>
    <w:p>
      <w:pPr/>
      <w:r>
        <w:rPr>
          <w:b/>
        </w:rPr>
        <w:t>POSSIBLE 2022:</w:t>
      </w:r>
      <w:r>
        <w:t xml:space="preserve"> Occupational Therapists and COVID-19 Pandemic: An Observational Survey in Europe — https://doi.org/10.15453/2168-6408.1923</w:t>
      </w:r>
    </w:p>
    <w:p>
      <w:pPr/>
      <w:r>
        <w:rPr>
          <w:b/>
        </w:rPr>
        <w:t>Shared claim-specific concepts:</w:t>
      </w:r>
      <w:r>
        <w:t xml:space="preserve"> main, occupational, professionals, well, health; EU scope visible. This is a provisional connection, not an outcome finding.</w:t>
      </w:r>
    </w:p>
    <w:p>
      <w:pPr>
        <w:pStyle w:val="SourceNote"/>
      </w:pPr>
      <w:r>
        <w:rPr>
          <w:b/>
        </w:rPr>
        <w:t>Available abstract (not full text):</w:t>
      </w:r>
      <w:r>
        <w:t xml:space="preserve"> Background: The COVID-19 pandemic has resulted in a health care emergency in Europe since the first wave in 2020. Several challenges have arisen for occupational therapists, as well as all the health care professionals. The aim of this study was to determine what occupational therapists have changed to adapt their therapeutic processes for this catastrophic situation. Method: An online survey was developed and sent in conjunction with the Council of Occupational Therapy for European Countries (COTEC) to European national associations of occupational therapists. Results: The study was based on a sample of 65 occupational therapists who worked with people with COVID-19. More than half of the occupational therapists (54.8%) had changed departments. The main needs patients expressed (n = 136) during hospitalization were to have social contacts (30.9%), and the main clinical complaints (n = 144) were motor impairment and fatigue (35.4%) and depression (25.7%). The most frequently reported goal (n = 141) was recovery of physical performance and fatigue management (32.6%). Among the emotions mentioned by occupational therapists, negative emotions (76%) were the most common. Conclusion: European occupational therapists demonstrated flexibility and resilience to deal with clinical and organizational challenges during the COVID-19 emergency.</w:t>
      </w:r>
    </w:p>
    <w:p>
      <w:pPr/>
      <w:r>
        <w:rPr>
          <w:b/>
        </w:rPr>
        <w:t>POSSIBLE 2022:</w:t>
      </w:r>
      <w:r>
        <w:t xml:space="preserve"> Occupational COPD —The most under‐recognized occupational lung disease? — https://doi.org/10.1111/resp.14272</w:t>
      </w:r>
    </w:p>
    <w:p>
      <w:pPr/>
      <w:r>
        <w:rPr>
          <w:b/>
        </w:rPr>
        <w:t>Shared claim-specific concepts:</w:t>
      </w:r>
      <w:r>
        <w:t xml:space="preserve"> main, occupational, health, providing; EU scope not established. This is a provisional connection, not an outcome finding.</w:t>
      </w:r>
    </w:p>
    <w:p>
      <w:pPr>
        <w:pStyle w:val="SourceNote"/>
      </w:pPr>
      <w:r>
        <w:rPr>
          <w:b/>
        </w:rPr>
        <w:t>Available abstract (not full text):</w:t>
      </w:r>
      <w:r>
        <w:t xml:space="preserve"> Chronic obstructive pulmonary disease (COPD) is caused by exposure to noxious particles and gases. Smoking is the main risk factor, but other factors are also associated with COPD. Occupational exposure to vapours, gases, dusts and fumes contributes to the development and progression of COPD, accounting for a population attributable fraction of 14%. Workplace pollutants, in particular inorganic dust, can initiate airway damage and inflammation, which are the hallmarks of COPD pathogenesis. Occupational COPD is still underdiagnosed, mainly due to the challenges of assessing the occupational component of the disease in clinical settings, especially if other risk factors are present. There is a need for specific education and training for clinicians, and research with a focus on evaluating the role of occupational exposure in causing COPD. Early diagnosis and identification of occupational causes is very important to prevent further decline in lung function and to reduce the health and socio-economic burden of COPD. Establishing details of the occupational history by general practitioners or respiratory physicians could help to define the occupational burden of COPD for individual patients, providing the first useful interventions (smoking cessation, best therapeutic management, etc.). Once patients are diagnosed with occupational COPD, there is a wide international variation in a</w:t>
      </w:r>
    </w:p>
    <w:p>
      <w:pPr/>
      <w:r>
        <w:rPr>
          <w:b/>
        </w:rPr>
        <w:t>POSSIBLE 2022:</w:t>
      </w:r>
      <w:r>
        <w:t xml:space="preserve"> European and American chestnuts: An overview of the main threats and control efforts — https://doi.org/10.3389/fpls.2022.951844</w:t>
      </w:r>
    </w:p>
    <w:p>
      <w:pPr/>
      <w:r>
        <w:rPr>
          <w:b/>
        </w:rPr>
        <w:t>Shared claim-specific concepts:</w:t>
      </w:r>
      <w:r>
        <w:t xml:space="preserve"> main, over, importance, significant; EU scope visible. This is a provisional connection, not an outcome finding.</w:t>
      </w:r>
    </w:p>
    <w:p>
      <w:pPr>
        <w:pStyle w:val="SourceNote"/>
      </w:pPr>
      <w:r>
        <w:rPr>
          <w:b/>
        </w:rPr>
        <w:t>Available abstract (not full text):</w:t>
      </w:r>
      <w:r>
        <w:t xml:space="preserve"> Chestnuts are multipurpose trees significant for the economy and wildlife. These trees are currently found around the globe, demonstrating their genetic adaptation to different environmental conditions. Several biotic and abiotic stresses have challenged these species, contributing to the decline of European chestnut production and the functional extinction of the American chestnut. Several efforts started over the last century to understand the cellular, molecular, and genetic interactions behind all chestnut biotic and abiotic interactions. Most efforts have been toward breeding for the primary diseases, chestnut blight and ink disease caused by the pathogens, Cryphonectria parasitica and Phytophthora cinnamomi , respectively. In Europe and North America, researchers have been using the Asian chestnut species, which co-evolved with the pathogens, to introgress resistance genes into the susceptible species. Breeding woody trees has several limitations which can be mostly related to the long life cycles of these species and the big genome landscapes. Consequently, it takes decades to improve traits of interest, such as resistance to pathogens. Currently, the availability of genome sequences and next-generation sequencing techniques may provide new tools to help overcome most of the problems tree breeding is still facing. This review summarizes European and American chestnut’s m</w:t>
      </w:r>
    </w:p>
    <w:p>
      <w:pPr/>
      <w:r>
        <w:rPr>
          <w:b/>
        </w:rPr>
        <w:t>POSSIBLE 2022:</w:t>
      </w:r>
      <w:r>
        <w:t xml:space="preserve"> Scenarios for vocational education and training in Europe in the 21st century — https://doi.org/10.1556/063.2021.00116</w:t>
      </w:r>
    </w:p>
    <w:p>
      <w:pPr/>
      <w:r>
        <w:rPr>
          <w:b/>
        </w:rPr>
        <w:t>Shared claim-specific concepts:</w:t>
      </w:r>
      <w:r>
        <w:t xml:space="preserve"> demonstrates, main, over, next; EU scope visible. This is a provisional connection, not an outcome finding.</w:t>
      </w:r>
    </w:p>
    <w:p>
      <w:pPr>
        <w:pStyle w:val="SourceNote"/>
      </w:pPr>
      <w:r>
        <w:rPr>
          <w:b/>
        </w:rPr>
        <w:t>Available abstract (not full text):</w:t>
      </w:r>
      <w:r>
        <w:t xml:space="preserve"> Abstract Building on the findings of Cedefop’s research project ‘The changing nature and role of VET in Europe’ (2015–18), this article outlines the development and transformation of European VET over the last two decades. Exploring change from epistemological-pedagogical, institutional and socio-economic perspectives, the research not only illustrates the stability and path dependence of national VET systems (and how this sustains overall VET-diversity in Europe), it also demonstrates how the combination of incremental change and major societal and economic shocks shift the orientation of VET. This mapping and analysis of the past is used to outline possible scenarios for the future of vocational education and training in Europe. Three main scenarios - pluralistic, distinctive and special-purpose VET - illustrate the different directions VET can take in the next two decades and the challenges and opportunities involved in this. The final part of the article discusses the potential use of the scenario-approach and how this is taken forward in Cedefop’s follow-up project on the Future of VET (2019–2022).</w:t>
      </w:r>
    </w:p>
    <w:p>
      <w:pPr/>
      <w:r>
        <w:rPr>
          <w:b/>
        </w:rPr>
        <w:t>POSSIBLE 2021:</w:t>
      </w:r>
      <w:r>
        <w:t xml:space="preserve"> Occupational Exposure to Diisocyanates in the European Union — https://doi.org/10.1093/annweh/wxab021</w:t>
      </w:r>
    </w:p>
    <w:p>
      <w:pPr/>
      <w:r>
        <w:rPr>
          <w:b/>
        </w:rPr>
        <w:t>Shared claim-specific concepts:</w:t>
      </w:r>
      <w:r>
        <w:t xml:space="preserve"> main, occupational, health; EU scope visible. This is a provisional connection, not an outcome finding.</w:t>
      </w:r>
    </w:p>
    <w:p>
      <w:pPr>
        <w:pStyle w:val="SourceNote"/>
      </w:pPr>
      <w:r>
        <w:rPr>
          <w:b/>
        </w:rPr>
        <w:t>Available abstract (not full text):</w:t>
      </w:r>
      <w:r>
        <w:t xml:space="preserve"> OBJECTIVES: Diisocyanates are a chemical group that are widely used at workplaces in many sectors. They are also potent skin- and respiratory sensitizers. Exposure to diisocyanates is a main cause of occupational asthma in the European Union. To reduce occupational exposure to diisocyanates and consequently the cases of diisocyanate-induced asthma, a restriction on diisocyanates was recently adopted under the REACH Regulation in the European Union. METHODS: A comprehensive evaluation of the data on occupational exposure to the most important diisocyanates at workplaces was made and is reported here. The diisocyanates considered are methylene diphenyl diisocyanate (MDI), toluene diisocyanate (TDI), and hexamethylene diisocyanate (HDI), accounting for more than 95% of the market volume in the EU. The exposure assessment is based on data from Chemical Safety Reports (CSRs) of REACH Registration Dossiers, workplace air monitoring data from Germany, from the UK Health and Safety Executive (HSE), and literature data relevant for the EU, and the USA. RESULTS: Occupational exposure to diisocyanates is particularly relevant in: (i) C.A.S.E. applications (Coatings, Adhesives, Sealants, Elastomers), (ii) production of polyurethanes (PUs) (e.g. slab-stock foam), (iii) handling of partly uncured PU products (e.g. cutting, demoulding, spray application of foam), and (iv) when diisocyanates/P</w:t>
      </w:r>
    </w:p>
    <w:p>
      <w:pPr>
        <w:pStyle w:val="Heading2"/>
      </w:pPr>
      <w:r>
        <w:t>795.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2024:</w:t>
      </w:r>
      <w:r>
        <w:t xml:space="preserve"> Optimal decarbonisation pathway for mining truck fleets — https://doi.org/10.1016/j.jai.2024.03.003</w:t>
      </w:r>
    </w:p>
    <w:p>
      <w:pPr/>
      <w:r>
        <w:rPr>
          <w:b/>
        </w:rPr>
        <w:t>Shared claim-specific concepts:</w:t>
      </w:r>
      <w:r>
        <w:t xml:space="preserve"> analyses, decarbonisation, case; EU scope not established. This is a provisional connection, not an outcome finding.</w:t>
      </w:r>
    </w:p>
    <w:p>
      <w:pPr>
        <w:pStyle w:val="SourceNote"/>
      </w:pPr>
      <w:r>
        <w:rPr>
          <w:b/>
        </w:rPr>
        <w:t>Available abstract (not full text):</w:t>
      </w:r>
      <w:r>
        <w:t xml:space="preserve"> The decarbonisation of fossil fuel powered mine truck fleets, which can contribute up to 80% of total emissions in open pit mines, is critical for the mining industry. This study investigates the optimal decarbonisation framework for mining truck fleets to determine the optimal decarbonisation pathway to minimise the life cycle costs during the planning period. Notably, our proposed framework incorporates power generation, negative carbon technologies, and carbon trading. Technical, financial, and environmental models of decarbonisation technologies are established, capturing regional variations and dynamic characteristics such as cost trends and carbon capture efficiency. The dynamic natures of these characteristics pose challenges for using the cost-effective analyses approach to find the optimal decarbonisation pathway. To address this, we introduce a mixed-integer programming optimisation based framework designed to optimise the decarbonisation pathway. A case study for the optimal decarbonisation pathway of truck fleets in a South African coal mine is conducted to illustrate the applicability of the proposed model. Results indicate that the optimal decarbonisation pathway is significantly influenced by factors such as land cost, annual budget, and carbon trading prices. The proposed method provides invaluable guidance for transitioning towards a cleaner and more sustainabl</w:t>
      </w:r>
    </w:p>
    <w:p>
      <w:pPr/>
      <w:r>
        <w:rPr>
          <w:b/>
        </w:rPr>
        <w:t>POSSIBLE 2024:</w:t>
      </w:r>
      <w:r>
        <w:t xml:space="preserve"> Accelerating Light-Duty Fleet Decarbonisation through Energy Efficiency Audits: Results and Methodology Assessment — https://doi.org/10.1051/e3sconf/202448702001</w:t>
      </w:r>
    </w:p>
    <w:p>
      <w:pPr/>
      <w:r>
        <w:rPr>
          <w:b/>
        </w:rPr>
        <w:t>Shared claim-specific concepts:</w:t>
      </w:r>
      <w:r>
        <w:t xml:space="preserve"> decarbonisation, fleet, mobility; EU scope visible. This is a provisional connection, not an outcome finding.</w:t>
      </w:r>
    </w:p>
    <w:p>
      <w:pPr>
        <w:pStyle w:val="SourceNote"/>
      </w:pPr>
      <w:r>
        <w:rPr>
          <w:b/>
        </w:rPr>
        <w:t>Available abstract (not full text):</w:t>
      </w:r>
      <w:r>
        <w:t xml:space="preserve"> The transport sector is responsible for 37% of the energy consumption in Portugal (70% of it due to road transportation), supplied almost completely by fossil fuels. Portugal must reduce these sector’s emissions by 98% to achieve carbon neutrality by 2050, thus making transportation a crucial sector for a successful decarbonisation of the economy. This scenario sparked action at ADENE – the Portuguese Energy Agency to create MOVE+, an auditing methodology that incentivises and guides a broad group of stakeholders to act on the decarbonisation of mobility, starting with light duty and freight fleets. It comprises a framework to rate fleets on energy efficiency which enables regular implementation and monitoring of decarbonisation measures in areas such as vehicle technology, telematics, driver training, tyre selection, and maintenance. This paper shows that the application of the MOVE+ methodology helped identify an electrification potential of 24% on average per fleet, according to the Best-in-Class (whereas the analysed sample shows 20% of electrification). A multiple linear regression model validates the correlation between MOVE+ obtained scores, in the evaluated dimensions, and the fleet’s specific CO2 emissions. The methodology also allows us to assess that Portugal is lagging to meet the carbon neutrality target for the transport sector by 2050. Such assessment allows us t</w:t>
      </w:r>
    </w:p>
    <w:p>
      <w:pPr/>
      <w:r>
        <w:rPr>
          <w:b/>
        </w:rPr>
        <w:t>POSSIBLE 2023:</w:t>
      </w:r>
      <w:r>
        <w:t xml:space="preserve"> “The impact of energy efficiency and decarbonisation policies on the European road transport sector” — https://doi.org/10.1016/j.tra.2023.103623</w:t>
      </w:r>
    </w:p>
    <w:p>
      <w:pPr/>
      <w:r>
        <w:rPr>
          <w:b/>
        </w:rPr>
        <w:t>Shared claim-specific concepts:</w:t>
      </w:r>
      <w:r>
        <w:t xml:space="preserve"> analyses, decarbonisation, passenger, fleet, vehicles; EU scope visible. This is a provisional connection, not an outcome finding.</w:t>
      </w:r>
    </w:p>
    <w:p>
      <w:pPr>
        <w:pStyle w:val="SourceNote"/>
      </w:pPr>
      <w:r>
        <w:rPr>
          <w:b/>
        </w:rPr>
        <w:t>Available abstract (not full text):</w:t>
      </w:r>
      <w:r>
        <w:t xml:space="preserve"> This paper analyses historical energy consumption trends of the EU road transport sector and examines the role of key determinants, such as economic and population growth, fuel prices, passenger and tonne-kilometres and vehicle fleet characteristics. In light of the EU 2030 and 2050 energy and climate targets, the paper assesses the energy efficiency and decarbonisation progress from 2000 to 2018. A detailed analysis is carried out using a balanced panel dataset from 1995 to 2018 and a test for causality between energy consumption and the selected explanatory variables. The results suggest that the declining trend of the normalised energy consumption of cars, trucks and light vehicles, which both dropped significantly in 2018 compared to 2000, can be related to energy efficiency and decarbonisation policies adopted by the EU and its Member States over the studied period. Decomposition analysis based on the Logarithmic Mean Divisia Index technique confirms the role of energy efficiency gains in curbing energy consumption of road transport, even with the strong upward force exerted by motorisation and population effects, especially in passenger transport. It also suggests that during the recession years (2008–2013), road transport consumption fell due to a sharp drop in the mileage but not in the motorisation effect, which continued to drive up consumption even in this period. De</w:t>
      </w:r>
    </w:p>
    <w:p>
      <w:pPr/>
      <w:r>
        <w:rPr>
          <w:b/>
        </w:rPr>
        <w:t>POSSIBLE 2023:</w:t>
      </w:r>
      <w:r>
        <w:t xml:space="preserve"> Rapid decarbonisation of Paris, Lyon and Marseille's power, transport and building sectors by coupling rooftop solar PV and electric vehicles — https://doi.org/10.1016/j.esd.2023.04.002</w:t>
      </w:r>
    </w:p>
    <w:p>
      <w:pPr/>
      <w:r>
        <w:rPr>
          <w:b/>
        </w:rPr>
        <w:t>Shared claim-specific concepts:</w:t>
      </w:r>
      <w:r>
        <w:t xml:space="preserve"> decarbonisation, electric, vehicles; EU scope not established. This is a provisional connection, not an outcome finding.</w:t>
      </w:r>
    </w:p>
    <w:p>
      <w:pPr>
        <w:pStyle w:val="SourceNote"/>
      </w:pPr>
      <w:r>
        <w:rPr>
          <w:b/>
        </w:rPr>
        <w:t>Available abstract (not full text):</w:t>
      </w:r>
      <w:r>
        <w:t xml:space="preserve"> Unavailable</w:t>
      </w:r>
    </w:p>
    <w:p>
      <w:pPr>
        <w:pStyle w:val="Heading2"/>
      </w:pPr>
      <w:r>
        <w:t>796.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2024:</w:t>
      </w:r>
      <w:r>
        <w:t xml:space="preserve"> Stronger Member States for a Stronger European Union — https://doi.org/10.62733/2024.2.143-161</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COMPARATIVE ANALYSIS OF TRANSFER PRICING LEGISLATION IN THE REGULATORY FRAMEWORK OF EU MEMBER STATES — https://doi.org/10.32782/2707-8019/2024-2-2</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The article carries out a comparative analysis and assessment of the adequacy of legal regulation of transfer pricing in the EU Member States. The necessity and importance of studying foreign experience in building and improving the legal framework for transfer pricing is substantiated. The authors determine that the relevance of transfer pricing and related issues both in terms of ensuring the proper functioning of the single market and eliminating base erosion and profit shifting is confirmed by the existence of a special advisory body under the European Commission - the Joint Transfer Pricing Forum (JTPF), which advises the European Commission on transfer pricing taxation. The article identifies the main aspects of transfer pricing regulation in the EU Member States with a view to a detailed analysis of the regulatory framework. The criteria of related parties in the EU transfer pricing legislation are studied. It is found that a common feature in the definition of related parties is the direct or indirect influence of one person on another. The author examines and compares the grounds for conducting an audit in the EU transfer pricing legislation and finds that in the vast majority of EU Member States there is a so-called "self-assessment" regime for companies, according to which the taxpayer must ensure compliance with the transfer pricing rules; the risk factors that are </w:t>
      </w:r>
    </w:p>
    <w:p>
      <w:pPr/>
      <w:r>
        <w:rPr>
          <w:b/>
        </w:rPr>
        <w:t>POSSIBLE 2024:</w:t>
      </w:r>
      <w:r>
        <w:t xml:space="preserve"> The genesis of pardon in Ukraine and the European Union Member States — https://doi.org/10.24144/2307-3322.2024.84.3.45</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This article is devoted to the historical and legal study of the origin and evolution of the institution of pardon in Ukraine and the European Union Member States. The author analyses the emergence of pardon in ancient Rome, its social and political role. The author points to the existence of three main forms of pardon in the Roman Empire: abolition, intercession and indulgence. The author emphasises the impact of the reception of Roman law and the growing role of the Roman Catholic Church on the establishment of the right of pardon as an element of the absolute power of the monarch in medieval Europe. Attention is drawn to the established tradition of pardoning convicted persons on the occasion of significant religious or state events. The author points out that the right to pardon is legally enshrined in the legislative collection ‘Siete Partidas’ in the Kingdom of Spain and to the modern subjects of pardon in the said State. The author analyses the evolution of the pardon procedure, in particular, with regard to the participation of not only the head of state, but also other subjects, including the Minister of Justice, in order to ensure a greater level of political neutrality. The features of pardon in medieval Italy, the transfer of this right from the city councils to the monarch along with the establishment of the seigniorial regime are highlighted. The author also descr</w:t>
      </w:r>
    </w:p>
    <w:p>
      <w:pPr/>
      <w:r>
        <w:rPr>
          <w:b/>
        </w:rPr>
        <w:t>POSSIBLE 2023:</w:t>
      </w:r>
      <w:r>
        <w:t xml:space="preserve"> Agents and Impacts of Interorganizational Transfers between the Council of Europe and the European Union in the Area of Cultural Policy — https://doi.org/10.4000/bssg.3433</w:t>
      </w:r>
    </w:p>
    <w:p>
      <w:pPr/>
      <w:r>
        <w:rPr>
          <w:b/>
        </w:rPr>
        <w:t>Shared claim-specific concepts:</w:t>
      </w:r>
      <w:r>
        <w:t xml:space="preserve"> transfer, other; EU scope visible. This is a provisional connection, not an outcome finding.</w:t>
      </w:r>
    </w:p>
    <w:p>
      <w:pPr>
        <w:pStyle w:val="SourceNote"/>
      </w:pPr>
      <w:r>
        <w:rPr>
          <w:b/>
        </w:rPr>
        <w:t>Available abstract (not full text):</w:t>
      </w:r>
      <w:r>
        <w:t xml:space="preserve"> This article analyses the transfer dynamics between the Council of Europe and the European Community/Union in the domain of cultural policy. The analysis is based on two case studies. One centres on audiovisual policy (1980s), and the other on the development of cultural programmes within the European Union in the wake of the Maastricht Treaty (1990s-2000s). In the 1980s, when relations between the Council of Europe and the European Community were only very weakly institutionalized, the circulation of norms between the two institutions was facilitated by informal exchanges on the margins of negotiations between senior officials mandated by their governments. In the 1990s and 2000s, although the circulation of norms and practices had been institutionalized through agreements, it was nevertheless the multipositioning of government delegates and the mobility of some high-level officials between the two organizations and between the institutional and cultural management spheres that opened up key channels for the transfer of norms and practices between the Council of Europe and the European Union.</w:t>
      </w:r>
    </w:p>
    <w:p>
      <w:pPr/>
      <w:r>
        <w:rPr>
          <w:b/>
        </w:rPr>
        <w:t>POSSIBLE 2022:</w:t>
      </w:r>
      <w:r>
        <w:t xml:space="preserve"> Dual vocational education and training and policy transfer in the European Union policy: the case of work-based learning and apprenticeships — https://doi.org/10.1080/2331186x.2022.2154496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 the search for solutions to national skill formation challenges, the central and northern Europeans models of good practices in dual vocational education and training (VET) permeated the imaginary of the southern countries. Particularly, the German dual VET system has been predominant in the discourse of policy-makers. This research analyses the role played by the European Union (EU) in the promotion of this model as the reference for the reforming Member States during the policy transfer stage of cross-national attraction. This paper develops a reflexive Thematic Analysis among the fundamental documentation related to VET resulting from the EU Governance Triangle. Its aim is to interpret the EU proposal for the reform of VET, with a focus on the characteristics which shape the way in which the training is developed. This Thematic Analysis reveals that the EU promotes a VET training model based in work-based learning as a pillar, preferably articulated in the form of apprenticeships. This, along with the general principles for the regulation of apprenticeships promoted by the EU, proves the agency role exercised by the EU in the dissemination of dual VET as a model of good practice.</w:t>
      </w:r>
    </w:p>
    <w:p>
      <w:pPr/>
      <w:r>
        <w:rPr>
          <w:b/>
        </w:rPr>
        <w:t>POSSIBLE 2021:</w:t>
      </w:r>
      <w:r>
        <w:t xml:space="preserve"> Policy transfer within the European Union and beyond: Europeanization in times of stability and crises — https://doi.org/10.4337/9781789905601.00026</w:t>
      </w:r>
    </w:p>
    <w:p>
      <w:pPr/>
      <w:r>
        <w:rPr>
          <w:b/>
        </w:rPr>
        <w:t>Shared claim-specific concepts:</w:t>
      </w:r>
      <w:r>
        <w:t xml:space="preserve"> then, transfer, member, states, policies; EU scope visible. This is a provisional connection, not an outcome finding.</w:t>
      </w:r>
    </w:p>
    <w:p>
      <w:pPr>
        <w:pStyle w:val="SourceNote"/>
      </w:pPr>
      <w:r>
        <w:rPr>
          <w:b/>
        </w:rPr>
        <w:t>Available abstract (not full text):</w:t>
      </w:r>
      <w:r>
        <w:t xml:space="preserve"> The European Union is a sui generis polity in which policy transfer shapes the relationship between supra-national institutions and domestic actors across different contexts. Scholars have defined this specific type of policy transfer as Europeanization. This chapter explores how this concept has been used to understand the effects of EU integration on the polity, policies and politics of EU member states, and how EU integration has extended to the field of foreign policy, then outside the EU, through enlargement and neighbourhood policies, to scrutinize the relations of the EU with the rest of the world. The chapter is organised as follows: the first section traces the origins of this concept, its definition and research designs. Empirical illustrations show that since the early 1990s, fast-forward integration has given rise to uneven forms of Europeanization within the EU and beyond. The chapter also examines how Europeanization has been challenged by resistance to integration and how recent crises have shaped not only EU integration, but also Europeanization processes.</w:t>
      </w:r>
    </w:p>
    <w:p>
      <w:pPr/>
      <w:r>
        <w:rPr>
          <w:b/>
        </w:rPr>
        <w:t>POSSIBLE 2021:</w:t>
      </w:r>
      <w:r>
        <w:t xml:space="preserve"> Community Sponsorship in Europe: Taking Stock, Policy Transfer and What the Future Might Hold — https://doi.org/10.3389/fhumd.2021.564084</w:t>
      </w:r>
    </w:p>
    <w:p>
      <w:pPr/>
      <w:r>
        <w:rPr>
          <w:b/>
        </w:rPr>
        <w:t>Shared claim-specific concepts:</w:t>
      </w:r>
      <w:r>
        <w:t xml:space="preserve"> transfer, states; EU scope visible. This is a provisional connection, not an outcome finding.</w:t>
      </w:r>
    </w:p>
    <w:p>
      <w:pPr>
        <w:pStyle w:val="SourceNote"/>
      </w:pPr>
      <w:r>
        <w:rPr>
          <w:b/>
        </w:rPr>
        <w:t>Available abstract (not full text):</w:t>
      </w:r>
      <w:r>
        <w:t xml:space="preserve"> This article explores the recent emergence of community sponsorship of refugees in Europe, an approach which shares responsibility between civil society and the state for the admission and/or integration of refugees. Originally a Canadian model developed to support the resettlement of Indochinese refugees, the model has gained momentum in Europe, with a number of states piloting or establishing community sponsorship schemes. This proliferation, while generally seen as positive for international protection of refugees, has led to conceptual confusion and a significant range of approaches under the “umbrella” concept of community sponsorship. As a result, community sponsorship today may be understood both as a form of resettlement and a complementary pathway to protection. While interest and momentum around community sponsorship is high, little work currently exists mapping and analysing how jurisdictions adopt the community sponsorship model. With reference to existing work on policy transfer, this contribution takes stock of community sponsorship models in Europe; analyses how community sponsorship may become a viable policy option in European states as a form of transnational policy transfer; and sets out a number of challenges for the future development of community sponsorship in Europe.</w:t>
      </w:r>
    </w:p>
    <w:p>
      <w:pPr>
        <w:pStyle w:val="Heading2"/>
      </w:pPr>
      <w:r>
        <w:t>797.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2023:</w:t>
      </w:r>
      <w:r>
        <w:t xml:space="preserve"> Climate policy must account for community-specific socio-economic, health, and biophysical conditions—evidence from coastal Alaska — https://doi.org/10.1007/s10113-023-02080-9</w:t>
      </w:r>
    </w:p>
    <w:p>
      <w:pPr/>
      <w:r>
        <w:rPr>
          <w:b/>
        </w:rPr>
        <w:t>Shared claim-specific concepts:</w:t>
      </w:r>
      <w:r>
        <w:t xml:space="preserve"> socio-economic, biophysical, management, factors, moderate; EU scope not established. This is a provisional connection, not an outcome finding.</w:t>
      </w:r>
    </w:p>
    <w:p>
      <w:pPr>
        <w:pStyle w:val="SourceNote"/>
      </w:pPr>
      <w:r>
        <w:rPr>
          <w:b/>
        </w:rPr>
        <w:t>Available abstract (not full text):</w:t>
      </w:r>
      <w:r>
        <w:t xml:space="preserve"> Abstract Climate warming, sea level rise, and extreme weather events are creating intensifying and more frequent hazards for human populations inhabiting the coast. In Alaska’s remote coastal communities, flooding and erosion are rapidly increasing due to the combined effect of sea level rise, more frequent storm surges, and increasingly powerful wave action from lack of sea ice. This paper presents survey results documenting socio-economic and psychological livelihood impacts and relocation preferences as reported by residents of a remote coastal Indigenous community. We quantified direct costs of lost or damaged private property, affected community infrastructure, and interruption of public services and found that the resulting financial hardship adds to existing economic challenges and climate stressors. Findings underline a community-level preoccupation with coastal climate threats that manifests primarily in intrusive and distressing thoughts of consequences from storms and other destructive climatic events. We highlight the need to monitor more broadly livelihood impacts to inform the design of innovative risk management tools to moderate financial hardship and strengthen community-driven action. We conclude that new policy responding to the needs of remote Indigenous communities affected by repetitive environmental disasters needs to account for a complex array of commun</w:t>
      </w:r>
    </w:p>
    <w:p>
      <w:pPr/>
      <w:r>
        <w:rPr>
          <w:b/>
        </w:rPr>
        <w:t>POSSIBLE 2023:</w:t>
      </w:r>
      <w:r>
        <w:t xml:space="preserve"> Integration matters: Combining socio-cultural and biophysical methods for mapping ecosystem service bundles — https://doi.org/10.1007/s13280-023-01830-7</w:t>
      </w:r>
    </w:p>
    <w:p>
      <w:pPr/>
      <w:r>
        <w:rPr>
          <w:b/>
        </w:rPr>
        <w:t>Shared claim-specific concepts:</w:t>
      </w:r>
      <w:r>
        <w:t xml:space="preserve"> biophysical, two, management, sustainable; EU scope visible. This is a provisional connection, not an outcome finding.</w:t>
      </w:r>
    </w:p>
    <w:p>
      <w:pPr>
        <w:pStyle w:val="SourceNote"/>
      </w:pPr>
      <w:r>
        <w:rPr>
          <w:b/>
        </w:rPr>
        <w:t>Available abstract (not full text):</w:t>
      </w:r>
      <w:r>
        <w:t xml:space="preserve"> Ecosystem services (ESs) play an important role in sustainable landscape management. People value ESs in diverse ways encompassing social and ecological domains and we need to bring these different values together. We used social-cultural and biophysical methods to map a diverse set of ESs at two spatial scales in a UNESCO Biosphere Reserve in Norway. The ESs bundled into three distinct social-ecological system archetypes which were similar in their distribution and relative ES values at both spatial scales. The bundles were also well matched to relative ESs values of the Biosphere Reserve zones (core, buffer, and transition) indicating that the bundles capture the social-ecological systems of the zones. We argue that it is important to consider the social-ecological context of the zones to provide sufficient knowledge to inform management. Our work has the capacity to contribute to sustainable land management that takes biocultural values into consideration.</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management, same, practices, sustainable;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2023:</w:t>
      </w:r>
      <w:r>
        <w:t xml:space="preserve"> Detecting the socio-economic drivers of confidence in government with eXplainable Artificial Intelligence — https://doi.org/10.1038/s41598-023-28020-5</w:t>
      </w:r>
    </w:p>
    <w:p>
      <w:pPr/>
      <w:r>
        <w:rPr>
          <w:b/>
        </w:rPr>
        <w:t>Shared claim-specific concepts:</w:t>
      </w:r>
      <w:r>
        <w:t xml:space="preserve"> socio-economic, drivers, two, quantitative, factors, positive; EU scope visible. This is a provisional connection, not an outcome finding.</w:t>
      </w:r>
    </w:p>
    <w:p>
      <w:pPr>
        <w:pStyle w:val="SourceNote"/>
      </w:pPr>
      <w:r>
        <w:rPr>
          <w:b/>
        </w:rPr>
        <w:t>Available abstract (not full text):</w:t>
      </w:r>
      <w:r>
        <w:t xml:space="preserve"> The European Quality of Government Index (EQI) measures the perceived level of government quality by European Union citizens, combining surveys on corruption, impartiality and quality of provided services. It is, thus, an index based on individual subjective evaluations. Understanding the most relevant objective factors affecting the EQI outcomes is important for both evaluators and policy makers, especially in view of the fact that perception of government integrity contributes to determine the level of civic engagement. In our research, we employ methods of Artificial Intelligence and complex systems physics to measure the impact on the perceived government quality of multifaceted variables, describing territorial development and citizen well-being, from an economic, social and environmental viewpoint. Our study, focused on a set of regions in European Union at a subnational scale, leads to identifying the territorial and demographic drivers of citizens' confidence in government institutions. In particular, we find that the 2021 EQI values are significantly related to two indicators: the first one is the difference between female and male labour participation rates, and the second one is a proxy of wealth and welfare such as the average number of rooms per inhabitant. This result corroborates the idea of a central role played by labour gender equity and housing policies in go</w:t>
      </w:r>
    </w:p>
    <w:p>
      <w:pPr/>
      <w:r>
        <w:rPr>
          <w:b/>
        </w:rPr>
        <w:t>POSSIBLE 2022:</w:t>
      </w:r>
      <w:r>
        <w:t xml:space="preserve"> Innovating European Long-Term Care Policies through the Socio-Economic Support of Families: A Lesson from Practices — https://doi.org/10.3390/su14074097</w:t>
      </w:r>
    </w:p>
    <w:p>
      <w:pPr/>
      <w:r>
        <w:rPr>
          <w:b/>
        </w:rPr>
        <w:t>Shared claim-specific concepts:</w:t>
      </w:r>
      <w:r>
        <w:t xml:space="preserve"> socio-economic, drivers, two, practices, sustainable; EU scope visible. This is a provisional connection, not an outcome finding.</w:t>
      </w:r>
    </w:p>
    <w:p>
      <w:pPr>
        <w:pStyle w:val="SourceNote"/>
      </w:pPr>
      <w:r>
        <w:rPr>
          <w:b/>
        </w:rPr>
        <w:t>Available abstract (not full text):</w:t>
      </w:r>
      <w:r>
        <w:t xml:space="preserve"> LTC and socio-economic deprivation of families are two relevant issues in international debate. The economic or time investment made by families in caregiving has an impact on the socio-economic status of family members in terms of economic means and social inclusion. This study analyzes the practices that are supported by home LTC, examining their characteristics, identifying their strengths, weaknesses, drivers, and barriers, as well as identifying social innovation aspects. The study provides a qualitative interpretative comparison of 22 practices from eight countries, representing the four LTC care models existing in Europe. Cross-studies aid in the development of sustainable policies. The study highlights the differences and similarities between selected practices. The results indicate the effectiveness of integrative and coordination strategies at the macro, meso, and micro levels for the development of supportive policies for family members with burdens of care. Nevertheless, the results underline the lack of a genuine focus on families’ socio-economic support for providing care. The partial support provided by compensatory cash benefits or unpaid care leave schemes partially addresses the difficulties of familial burden of care. The study recommends that fair economic compensation and social security benefits be incorporated into innovative and sustainable strategies fo</w:t>
      </w:r>
    </w:p>
    <w:p>
      <w:pPr/>
      <w:r>
        <w:rPr>
          <w:b/>
        </w:rPr>
        <w:t>POSSIBLE 2022:</w:t>
      </w:r>
      <w:r>
        <w:t xml:space="preserve"> Windstorm Impacts on Forest-Related Socio-Ecological Systems: An Analysis from a Socio-Economic and Institutional Perspective — https://doi.org/10.3390/f13060939</w:t>
      </w:r>
    </w:p>
    <w:p>
      <w:pPr/>
      <w:r>
        <w:rPr>
          <w:b/>
        </w:rPr>
        <w:t>Shared claim-specific concepts:</w:t>
      </w:r>
      <w:r>
        <w:t xml:space="preserve"> analyzed, socio-economic, drivers, positive, sustainable; EU scope visible. This is a provisional connection, not an outcome finding.</w:t>
      </w:r>
    </w:p>
    <w:p>
      <w:pPr>
        <w:pStyle w:val="SourceNote"/>
      </w:pPr>
      <w:r>
        <w:rPr>
          <w:b/>
        </w:rPr>
        <w:t>Available abstract (not full text):</w:t>
      </w:r>
      <w:r>
        <w:t xml:space="preserve"> Windstorms are considered among the most impacting natural events for European forests and related Socio-Ecological Systems (SES). Given that their intensity and frequency are increasing, an in-depth understanding of their impacts is crucial to mitigate risks and potential negative effects. However, so far, scientific research on windstorm impacts has mainly focused on environmental dimensions, while socio-economic and institutional ones are rarely taken into consideration. Our analysis aims at enriching the current scientific knowledge on windstorm impacts on forest SES by providing an overview of the state-of-the-art academic investigations on windstorm impacts on socio-economic and institutional dimensions. Overall, 46 papers were reviewed to identify the most recurrent post-windstorm dynamics and drivers that influence resilience and adaptation of socio-economic, institutional and related governance dimensions of European forest SES. Results show that the current scientific knowledge on socio-economic impacts of windstorms mainly concentrates on forest-related stakeholders and sectors, paying little attention to the broader social, cultural and institutional drivers that contribute to forest SES resilience. Further, cascade effects linking environmental, social and institutional dimensions are poorly analyzed. This restricted focus could lead to an incomplete understanding </w:t>
      </w:r>
    </w:p>
    <w:p>
      <w:pPr>
        <w:pStyle w:val="Heading2"/>
      </w:pPr>
      <w:r>
        <w:t>798.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Evaluation of Downscaled CMIP6 Performance for Rainfall and Wind Over the Maritime Continent — https://doi.org/10.1002/joc.70476</w:t>
      </w:r>
    </w:p>
    <w:p>
      <w:pPr/>
      <w:r>
        <w:rPr>
          <w:b/>
        </w:rPr>
        <w:t>Shared claim-specific concepts:</w:t>
      </w:r>
      <w:r>
        <w:t xml:space="preserve"> abstract, projections, over, continent, resolution, regional; EU scope visible. This is a provisional connection, not an outcome finding.</w:t>
      </w:r>
    </w:p>
    <w:p>
      <w:pPr>
        <w:pStyle w:val="SourceNote"/>
      </w:pPr>
      <w:r>
        <w:rPr>
          <w:b/>
        </w:rPr>
        <w:t>Available abstract (not full text):</w:t>
      </w:r>
      <w:r>
        <w:t xml:space="preserve"> ABSTRACT High‐resolution climate change projections over the Maritime Continent (MC) are increasingly critical to develop climate policies and adaptation planning at the regional level. However, modelling rainfall and wind over the MC still leads to substantial errors in capturing climate processes over the most complex land–atmosphere–ocean interaction. This study evaluated the performance of the 14 downscaled CMIP6 models from the NASA Earth Exchange Global Daily Downscaled Projections (NEX‐GDDP) at 0.25° resolution in simulating spatial and temporal variability of rainfall and wind over the MC. The simulated rainfall and wind speed over the period 1995–2014 are evaluated against meteorological station data and gridded datasets, including the Climate Hazards Group InfraRed Rainfall with Station data (CHIRPS) for rainfall and the European Centre for Medium‐Range Weather Forecasts Reanalysis 5 (ERA5) for wind speed. Results demonstrated that the models are capable of representing the regional characteristics of the annual and seasonal variation of rainfall and wind. Nevertheless, systematic biases remain consistently overestimated for rainfall when compared with observations (35%–94%) and slightly underestimated compared with CHIRPS (−4% to −5.6%). The model overestimated wind for both mean and extreme wind (i.e., 34%–120% for observations and 11%–48% for ERA5), except western </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2025:</w:t>
      </w:r>
      <w:r>
        <w:t xml:space="preserve"> Scenarios of Köppen-Trewartha climate types in Europe based on GCM-RCM combined projections — https://doi.org/10.1007/s00704-025-05806-3</w:t>
      </w:r>
    </w:p>
    <w:p>
      <w:pPr/>
      <w:r>
        <w:rPr>
          <w:b/>
        </w:rPr>
        <w:t>Shared claim-specific concepts:</w:t>
      </w:r>
      <w:r>
        <w:t xml:space="preserve"> abstract, projections, over, ensemble, regional, climate; EU scope visible. This is a provisional connection, not an outcome finding.</w:t>
      </w:r>
    </w:p>
    <w:p>
      <w:pPr>
        <w:pStyle w:val="SourceNote"/>
      </w:pPr>
      <w:r>
        <w:rPr>
          <w:b/>
        </w:rPr>
        <w:t>Available abstract (not full text):</w:t>
      </w:r>
      <w:r>
        <w:t xml:space="preserve"> Abstract Climate classifications represent a convenient tool for an integrated analysis of possible future climate changes. We employ the Köppen-Trewartha classification (KTC). While global climate models (GCMs) are the principal means of climate research on a planetary scale, regional climate models (RCMs) can provide information on finer scales. The hybrid method enables combining the advantages of both kinds of models while incorporating the whole ensemble of available GCMs, unlike RCM ensembles with limited number of driving GCMs. We assess projected changes in the distribution of KTC types over Europe based on three sets of projections: results of the hybrid method combining two sets of GCMs (CMIP6 and CMIP5) with the EURO-CORDEX RCMs, and the original EURO-CORDEX simulations driven by CMIP5. We look into changes in geographical distribution of KTC types throughout the 21st century under two socio-economic scenarios. We also investigate the boundary shifts between Europe’s most common types, D (temperate climate) and E (boreal climate). The continental Ec type and tundra type Ft are projected to shrink radically by the end of the 21st century. Oceanic Eo and continental Dc are also projected to decline, but not so dramatically. Oceanic temperate type Do, humid subtropical type Cf, and steppe climate BS are projected to expand. One of the most striking outcomes is the expan</w:t>
      </w:r>
    </w:p>
    <w:p>
      <w:pPr/>
      <w:r>
        <w:rPr>
          <w:b/>
        </w:rPr>
        <w:t>POSSIBLE 2025:</w:t>
      </w:r>
      <w:r>
        <w:t xml:space="preserve"> Forest Productivity Decreases in Response to Recent Changes in Vegetation Structure and Climate in the Latitudinal Extremes of the European Continent — https://doi.org/10.1111/geb.70011</w:t>
      </w:r>
    </w:p>
    <w:p>
      <w:pPr/>
      <w:r>
        <w:rPr>
          <w:b/>
        </w:rPr>
        <w:t>Shared claim-specific concepts:</w:t>
      </w:r>
      <w:r>
        <w:t xml:space="preserve"> abstract, precipitation, extremes, over, continent, climate; EU scope visible. This is a provisional connection, not an outcome finding.</w:t>
      </w:r>
    </w:p>
    <w:p>
      <w:pPr>
        <w:pStyle w:val="SourceNote"/>
      </w:pPr>
      <w:r>
        <w:rPr>
          <w:b/>
        </w:rPr>
        <w:t>Available abstract (not full text):</w:t>
      </w:r>
      <w:r>
        <w:t xml:space="preserve"> ABSTRACT Aim Climate change is driving increasingly frequent and intense extreme climatic events, pushing many forests worldwide beyond their physiological thresholds. Despite the major role played by forests in the global carbon cycle, climate change threatens the future potential for carbon sequestration in forests. Hence, studies of recent changes in stand productivity and the underlying drivers over large areas are critical to understand and assess the forest carbon sink. We aimed to describe recent changes in forest productivity in the latitudinal extremes of the European continent and the role of climate and climate change in driving these patterns. Location Latitudinal extremes of the European continent (Spain and Sweden). Time Period From 1980s to the present. Major Taxa Studied Trees. Methods We analysed data from &gt; 13,900 plots in Mediterranean, temperate and boreal regions using three consecutive surveys from the Spanish and Swedish National Forest Inventories (NFI). Generalised linear models were parameterised to assess how forest structure, climate and climatic anomalies (mean temperature, annual precipitation, drought, heatwaves) influenced forest productivity across two time periods. Results Despite increases in stand basal area, forest productivity declined over time. The effects of recent climate change intensified, with temperature anomalies increasingly and n</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Global warming significantly increases the risk of Pierce’s disease epidemics in European vineyards — https://doi.org/10.1038/s41598-024-59947-y</w:t>
      </w:r>
    </w:p>
    <w:p>
      <w:pPr/>
      <w:r>
        <w:rPr>
          <w:b/>
        </w:rPr>
        <w:t>Shared claim-specific concepts:</w:t>
      </w:r>
      <w:r>
        <w:t xml:space="preserve"> abstract, projections, over, continent, regional, climate; EU scope visible. This is a provisional connection, not an outcome finding.</w:t>
      </w:r>
    </w:p>
    <w:p>
      <w:pPr>
        <w:pStyle w:val="SourceNote"/>
      </w:pPr>
      <w:r>
        <w:rPr>
          <w:b/>
        </w:rPr>
        <w:t>Available abstract (not full text):</w:t>
      </w:r>
      <w:r>
        <w:t xml:space="preserve"> Abstract Pierce’s disease (PD) is a vector-borne disease caused by the bacteria Xylella fastidiosa, which affects grapevines in the Americas. Currently, vineyards in continental Europe, the world’s largest producer of quality wine, have not yet been affected by PD. However, climate change may alter this situation. Here we incorporate the latest regional climate change projections into a climate-driven epidemiological model to assess the risk of PD epidemics in Europe for different levels of global warming. We found a significant increase in risk above $$+\,2\,^{\circ }\hbox {C}$$ + 2 ∘ C in the main wine-producing regions of France, Italy and Portugal, in addition to a critical tipping point above $$+\,3\,^{\circ }\hbox {C}$$ + 3 ∘ C for the possible spread of PD beyond the Mediterranean. The model identifies decreasing risk trends in Spain, as well as contrasting patterns across the continent with different velocities of risk change and epidemic growth rates. Although there is some uncertainty in model projections over time, spatial patterns of risk are consistent across different climate models. Our study provides a comprehensive analysis of the future of PD at multiple spatial scales (country, Protected Designation of Origin and vineyard), revealing where, why and when PD could become a new threat to the European wine industry.</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2023:</w:t>
      </w:r>
      <w:r>
        <w:t xml:space="preserve"> Hyper-resolution PCR-GLOBWB: opportunities and challenges from refining model spatial resolution to 1 km over the European continent — https://doi.org/10.5194/hess-27-1383-2023</w:t>
      </w:r>
    </w:p>
    <w:p>
      <w:pPr/>
      <w:r>
        <w:rPr>
          <w:b/>
        </w:rPr>
        <w:t>Shared claim-specific concepts:</w:t>
      </w:r>
      <w:r>
        <w:t xml:space="preserve"> abstract, over, continent, resolution; EU scope visible. This is a provisional connection, not an outcome finding.</w:t>
      </w:r>
    </w:p>
    <w:p>
      <w:pPr>
        <w:pStyle w:val="SourceNote"/>
      </w:pPr>
      <w:r>
        <w:rPr>
          <w:b/>
        </w:rPr>
        <w:t>Available abstract (not full text):</w:t>
      </w:r>
      <w:r>
        <w:t xml:space="preserve"> Abstract. The quest for hydrological hyper-resolution modelling is already on-going for more than a decade. While global hydrological models (GHMs) have seen a reduction in grid size, thus far they never have been consistently applied at hyper-resolution (&lt;= 1km) at the large scale. Here, we present the first application of the GHM PCR-GLOBWB at 1 km over Europe. We thoroughly evaluated simulated discharge, evaporation, soil moisture, and terrestrial water storage anomalies, and subsequently compared results with the ‘established’ 10 km and 50 km resolutions of PCR-GLOBWB. Subsequently, we could assess the added value of this first hyper-resolution version of PCR-GLOBWB as well as understand model and data requirements for future improvements. We found that for most variables epistemic uncertainty is still large. Merely for simulated discharge we can confidently state that model output at hyper-resolution improves over coarser resolutions. This first large-scale hyper-resolution modelling attempt shows that applying a GHM consistently is by now feasible with improved data availability and computer power. Also, simulated discharge improves due to better representation of the river network at 1 km. However, currently available observations are not yet widely available at hyper-resolution or lack sufficiently long timeseries, which makes it difficult to assess the performance of t</w:t>
      </w:r>
    </w:p>
    <w:p>
      <w:pPr>
        <w:pStyle w:val="Heading2"/>
      </w:pPr>
      <w:r>
        <w:t>799.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r>
        <w:rPr>
          <w:b/>
        </w:rPr>
        <w:t>POSSIBLE 2023:</w:t>
      </w:r>
      <w:r>
        <w:t xml:space="preserve"> Carbon footprint of low-energy buildings in the United Kingdom: Effects of mitigating technological pathways and decarbonization strategies — https://doi.org/10.1016/j.scitotenv.2023.163490</w:t>
      </w:r>
    </w:p>
    <w:p>
      <w:pPr/>
      <w:r>
        <w:rPr>
          <w:b/>
        </w:rPr>
        <w:t>Shared claim-specific concepts:</w:t>
      </w:r>
      <w:r>
        <w:t xml:space="preserve"> united, kingdom, greenhouse, gas, emissions, baseline; EU scope not established. This is a provisional connection, not an outcome finding.</w:t>
      </w:r>
    </w:p>
    <w:p>
      <w:pPr>
        <w:pStyle w:val="SourceNote"/>
      </w:pPr>
      <w:r>
        <w:rPr>
          <w:b/>
        </w:rPr>
        <w:t>Available abstract (not full text):</w:t>
      </w:r>
      <w:r>
        <w:t xml:space="preserve"> There is a limited comprehensive analysis of the effectiveness of adopted carbon mitigation strategies for buildings over their life cycle, that are concerned with temporal perspectives of emissions. Accordingly, this paper explores a life cycle assessment (LCA) to address the concerns regarding mitigating the carbon footprint of a UK timber-frame low-energy dwelling. In particular, it aims to investigate the potential greenhouse gas (GHG) emission reduction in terms of three different heating and ventilation options, and to analyze the influence of decarbonization of electricity production as well as the technological progress of the waste treatment of timber on the building's environmental performance. Thus, the whole life‑carbon of the building case studies was evaluated for a total of eight investigated prospective scenarios, and they were compared to the LCA results of the baseline scenario, where the existing technology and context remained constant over time. Results show that using a compact heat pump would lead to a significant whole life-cycle emission reduction of the dwelling, by 19 %; while GHG emission savings can be reinforced if the assessed systems are employed simultaneously with grid decarbonization, exhibiting a 25 %-60 % reduction compared to the baseline scenario. Moreover, technological changes in the waste treatments of timber products could substantiall</w:t>
      </w:r>
    </w:p>
    <w:p>
      <w:pPr/>
      <w:r>
        <w:rPr>
          <w:b/>
        </w:rPr>
        <w:t>POSSIBLE 2023:</w:t>
      </w:r>
      <w:r>
        <w:t xml:space="preserve"> Determinants of public preferences on low-carbon energy sources: Evidence from the United Kingdom — https://doi.org/10.1016/j.energy.2023.128704</w:t>
      </w:r>
    </w:p>
    <w:p>
      <w:pPr/>
      <w:r>
        <w:rPr>
          <w:b/>
        </w:rPr>
        <w:t>Shared claim-specific concepts:</w:t>
      </w:r>
      <w:r>
        <w:t xml:space="preserve"> united, kingdom, low-carbon;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The United Kingdom — https://doi.org/10.1093/oso/9780192855534.003.0006</w:t>
      </w:r>
    </w:p>
    <w:p>
      <w:pPr/>
      <w:r>
        <w:rPr>
          <w:b/>
        </w:rPr>
        <w:t>Shared claim-specific concepts:</w:t>
      </w:r>
      <w:r>
        <w:t xml:space="preserve"> united, kingdom, itself, provided, within; EU scope visible. This is a provisional connection, not an outcome finding.</w:t>
      </w:r>
    </w:p>
    <w:p>
      <w:pPr>
        <w:pStyle w:val="SourceNote"/>
      </w:pPr>
      <w:r>
        <w:rPr>
          <w:b/>
        </w:rPr>
        <w:t>Available abstract (not full text):</w:t>
      </w:r>
      <w:r>
        <w:t xml:space="preserve"> Abstract This chapter examines the British policy towards the North Atlantic Alliance. The United Kingdom has always been unambiguous in its position on NATO. London helped to establish the Alliance in 1949 and ever since has striven to be its most important European ally. In consequence, the United Kingdom has provided a significant material contribution to NATO missions and command and sees itself as at the forefront of debates on NATO strategy and purpose. With rare exception (the case of Scottish nationalism), NATO membership is beyond question in domestic politics—and the Alliance has never obtained the same controversial status as the European Union. UK foreign and defence policies retain pretensions towards global influence, evidenced in the 2021 Integrated Review of Security, Defence, Development and Foreign Policy. High standing within NATO is one means by which that influence is to be exercised. The United Kingdom has also traditionally seen NATO as an essential bridge in its relationship with the United States, and this is even more so after Brexit. For London, transatlanticism is key to the Alliance, but this has, at times, created tensions with Paris and occasionally with Berlin. Overall, the chapter portrays the United Kingdom as being amongst NATO’s most stalwart and reliable allies and predicts that this is likely to remain so for the foreseeable future.</w:t>
      </w:r>
    </w:p>
    <w:p>
      <w:pPr/>
      <w:r>
        <w:rPr>
          <w:b/>
        </w:rPr>
        <w:t>POSSIBLE 2022:</w:t>
      </w:r>
      <w:r>
        <w:t xml:space="preserve"> Can nuclear energy technology budgets pave the way for a transition toward low‐carbon economy: Insights from the United Kingdom — https://doi.org/10.1002/sd.2383</w:t>
      </w:r>
    </w:p>
    <w:p>
      <w:pPr/>
      <w:r>
        <w:rPr>
          <w:b/>
        </w:rPr>
        <w:t>Shared claim-specific concepts:</w:t>
      </w:r>
      <w:r>
        <w:t xml:space="preserve"> united, kingdom, transition, economy; EU scope not established. This is a provisional connection, not an outcome finding.</w:t>
      </w:r>
    </w:p>
    <w:p>
      <w:pPr>
        <w:pStyle w:val="SourceNote"/>
      </w:pPr>
      <w:r>
        <w:rPr>
          <w:b/>
        </w:rPr>
        <w:t>Available abstract (not full text):</w:t>
      </w:r>
      <w:r>
        <w:t xml:space="preserve"> Abstract The energy resources of the economies play a critical role in reaching the 2030 and 2050 decarbonization targets. In this respect, research and development budgets for nuclear energy (NRD), which constitutes one‐fifth of the current energy resources in the United Kingdom, can be a step in the transition to a low‐carbon economy. However, the current literature neglects the impact of NRD on environmental quality for the United Kingdom. Thus, this paper explores the impact of NRD on CO2 in the United Kingdom by controlling income, trade openness, and financial development from 1974 to 2020 with a non‐linear autoregressive distributed lag (NARDL) approach. Empirical findings confirm the asymmetrical relationship between NRD and CO2. In this context, while positive changes in NRD reduce environmental degradation, negative changes in NRD hinder environmental sustainability. Another finding is that the environmental Kuznets curve (EKC) hypothesis is valid. Furthermore, the results show that while economic growth and trade openness reduce environmental quality, financial development contributes to environmental quality. Considering these findings, financial deepening activities should continue in the United Kingdom. More resources should be allocated to nuclear energy research and development budgets in the transition to a low‐carbon economy.</w:t>
      </w:r>
    </w:p>
    <w:p>
      <w:pPr/>
      <w:r>
        <w:rPr>
          <w:b/>
        </w:rPr>
        <w:t>POSSIBLE 2022:</w:t>
      </w:r>
      <w:r>
        <w:t xml:space="preserve"> Energy requirements and carbon emissions for a low-carbon energy transition — https://doi.org/10.1038/s41467-022-33976-5</w:t>
      </w:r>
    </w:p>
    <w:p>
      <w:pPr/>
      <w:r>
        <w:rPr>
          <w:b/>
        </w:rPr>
        <w:t>Shared claim-specific concepts:</w:t>
      </w:r>
      <w:r>
        <w:t xml:space="preserve"> itself, transition, low-carbon, society, emissions; EU scope not established. This is a provisional connection, not an outcome finding.</w:t>
      </w:r>
    </w:p>
    <w:p>
      <w:pPr>
        <w:pStyle w:val="SourceNote"/>
      </w:pPr>
      <w:r>
        <w:rPr>
          <w:b/>
        </w:rPr>
        <w:t>Available abstract (not full text):</w:t>
      </w:r>
      <w:r>
        <w:t xml:space="preserve">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800. Regulating the Use of Bisphenol A in Baby and Children's Products in the European Union: Current Developments and Scenarios for the Regulatory Future</w:t>
      </w:r>
    </w:p>
    <w:p>
      <w:pPr>
        <w:pStyle w:val="SourceNote"/>
      </w:pPr>
      <w:r>
        <w:rPr>
          <w:b/>
        </w:rPr>
        <w:t>Original source (2017):</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Enhancing the use of exposure science across EU chemical policies as part of the European Exposure Science Strategy 2020–2030 — https://doi.org/10.1038/s41370-021-00388-4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BACKGROUND: A scientific framework on exposure science will boost the multiuse of exposure knowledge across EU chemicals-related policies and improve risk assessment, risk management and communication across EU safety, security and sustainability domains. OBJECTIVE: To stimulate public and private actors to align and strengthen the cross-policy adoption of exposure assessment data, methods and tools across EU legislation. METHODS: By mapping and analysing the EU regulatory landscape making use of exposure information, policy and research challenges and key areas of action are identified and translated into opportunities enhancing policy and scientific efficiency. RESULTS: Identified key areas of actions are to develop a common scientific exposure assessment framework, supported by baseline acceptance criteria and a shared knowledge base enhancing exchangeability and acceptability of exposure knowledge within and across EU chemicals-related policies. Furthermore, such framework will improve communication and management across EU chemical safety, security and sustainability policies comprising sourcing, manufacturing and global trade of goods and waste management. In support of building such a common framework and its effective use in policy and industry, exposure science innovation needs to be better embedded along the whole policymaking cycle, and be integrated into companies' </w:t>
      </w:r>
    </w:p>
    <w:p>
      <w:pPr/>
      <w:r>
        <w:rPr>
          <w:b/>
        </w:rPr>
        <w:t>POSSIBLE 2021:</w:t>
      </w:r>
      <w:r>
        <w:t xml:space="preserve"> Establishing the Tolerability to Turkeys of Nonanoic Acid at Practical Levels of Use as a Feed Flavoring — https://doi.org/10.4236/ojas.2021.113030</w:t>
      </w:r>
    </w:p>
    <w:p>
      <w:pPr/>
      <w:r>
        <w:rPr>
          <w:b/>
        </w:rPr>
        <w:t>Shared claim-specific concepts:</w:t>
      </w:r>
      <w:r>
        <w:t xml:space="preserve"> daily, intake, levels, use; EU scope not established. This is a provisional connection, not an outcome finding.</w:t>
      </w:r>
    </w:p>
    <w:p>
      <w:pPr>
        <w:pStyle w:val="SourceNote"/>
      </w:pPr>
      <w:r>
        <w:rPr>
          <w:b/>
        </w:rPr>
        <w:t>Available abstract (not full text):</w:t>
      </w:r>
      <w:r>
        <w:t xml:space="preserve"> Objective: Nonanoic acid (NA) is one of a series of straight-chain aliphatic alcohols, aldehydes, acids and their derivatives with a well-documented history of use as a synthetic flavoring in human food. As part of a safety evaluation of NA for use as a flavoring in animal feed, an experiment was conducted to evaluate the ability of turkeys to tolerate NA at levels relevant to practical feeding practices. Materials and Methods: A total of 594-day-old BUT Premium turkeys (300 males and 294 females) were allocated at random to 40 floor pens containing either 15 males or 13 to 15 females. Poults were fed one of 4 treatment diets in crumble (0 to 14 days) or pellet (15 to 59 days) form containing 0 (control), 100, 300 or 1000 mg NA/kg complete feed for 59 days. General health and performance were monitored for the duration of the study. At days 57 and 59 of age, blood samples were taken and birds were sacrificed and necropsied for histopathological examination of the digestive tract. Significant differences were considered at P ≤ 0.05 and near-significant trends at P ≤ 0.10. Results: NA had no effect on mortality (Pχ2 = 0.54), average daily feed intake (ADFI) (P = 0.11), average daily gain (ADG) (P = 0.12) or feed conversion ratio (FCR) (P = 0.45) in poults over the 56-day feeding period. No treatment-related effects on blood parameters or tissue pathology were observed. Conclusion</w:t>
      </w:r>
    </w:p>
    <w:p>
      <w:pPr>
        <w:pStyle w:val="Heading2"/>
      </w:pPr>
      <w:r>
        <w:t>801.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Reticular Chemistry for Highly Porous Metal–Organic Frameworks: The Chemistry and Applications — https://doi.org/10.1021/acs.accounts.1c00707</w:t>
      </w:r>
    </w:p>
    <w:p>
      <w:pPr/>
      <w:r>
        <w:rPr>
          <w:b/>
        </w:rPr>
        <w:t>Shared claim-specific concepts:</w:t>
      </w:r>
      <w:r>
        <w:t xml:space="preserve"> four, chemistry, developed, design, two, account; EU scope not established. This is a provisional connection, not an outcome finding.</w:t>
      </w:r>
    </w:p>
    <w:p>
      <w:pPr>
        <w:pStyle w:val="SourceNote"/>
      </w:pPr>
      <w:r>
        <w:rPr>
          <w:b/>
        </w:rPr>
        <w:t>Available abstract (not full text):</w:t>
      </w:r>
      <w:r>
        <w:t xml:space="preserve"> Conspectus Current global crises related to clean energy and the environment entail the development of materials that are capable of addressing these challenges. Metal–organic frameworks (MOFs), a class of functional materials assembled from metal-containing nodes and organic ligands via coordination bonds, have been successfully developed for various applications, including catalysis, toxic chemical removal, and gas storage and separation, as a result of their highly tailorable nature and precisely engineered pore structures. In particular, the exceptionally high surface areas and porosities of MOFs are two of their most attractive characteristics and place them among the best porous materials for the storage of clean energy gases, such as hydrogen and methane. Reticular chemistry stands out as a prominent approach to the design of MOFs as this strategy allows for the rational top-down design of frameworks guided by topological nets to afford extended framework structures with precise architectural arrangements at the molecular level. Bridging the gap between reticular chemistry design strategies and highly porous MOFs can facilitate the development of next-generation high-performance materials through state-of-the-art chemical design. In this Account, we summarize our group’s efforts over the past few years toward the synthesis and applications of highly porous MOFs inspired </w:t>
      </w:r>
    </w:p>
    <w:p>
      <w:pPr/>
      <w:r>
        <w:rPr>
          <w:b/>
        </w:rPr>
        <w:t>POSSIBLE 2022:</w:t>
      </w:r>
      <w:r>
        <w:t xml:space="preserve"> Police Training in Practice: Organization and Delivery According to European Law Enforcement Agencies — https://doi.org/10.3389/fpsyg.2021.798067</w:t>
      </w:r>
    </w:p>
    <w:p>
      <w:pPr/>
      <w:r>
        <w:rPr>
          <w:b/>
        </w:rPr>
        <w:t>Shared claim-specific concepts:</w:t>
      </w:r>
      <w:r>
        <w:t xml:space="preserve"> training, practice, two; EU scope visible. This is a provisional connection, not an outcome finding.</w:t>
      </w:r>
    </w:p>
    <w:p>
      <w:pPr>
        <w:pStyle w:val="SourceNote"/>
      </w:pPr>
      <w:r>
        <w:rPr>
          <w:b/>
        </w:rPr>
        <w:t>Available abstract (not full text):</w:t>
      </w:r>
      <w:r>
        <w:t xml:space="preserve"> Police training plays a crucial role in the development of police officers. Because the training of police officers combines various educational components and is governed by organizational guidelines, police training is a complex, multifaceted topic. The current study investigates training at six European law enforcement agencies and aims to identify strengths and challenges of current training organization and practice. We interviewed a total of 16 police instructors and seven police coordinators with conceptual training tasks. A thematic analysis (Braun and Clarke, 2006; Terry et al., 2017) was conducted and results organized in the two main themes evident across all six law enforcement agencies: organization of training and delivery of training. Results show that governmental structures and police executive boards are seen as the primary authorities that define the training framework in which police instructors operate. These administrative structures regulate distant and immediate resources, such as available training time, training facilities, equipment, and personnel. Within the confines of available resources and predetermined training frameworks, results indicate that police instructors thoroughly enjoy teaching, creating supportive and motivating learning environments, and applying their personal learning perspectives to training. Nonetheless, police instructors are c</w:t>
      </w:r>
    </w:p>
    <w:p>
      <w:pPr/>
      <w:r>
        <w:rPr>
          <w:b/>
        </w:rPr>
        <w:t>POSSIBLE 2021:</w:t>
      </w:r>
      <w:r>
        <w:t xml:space="preserve"> The cybersecurity labour shortage in Europe: Moving to a new concept for education and training — https://doi.org/10.1016/j.techsoc.2021.101769</w:t>
      </w:r>
    </w:p>
    <w:p>
      <w:pPr/>
      <w:r>
        <w:rPr>
          <w:b/>
        </w:rPr>
        <w:t>Shared claim-specific concepts:</w:t>
      </w:r>
      <w:r>
        <w:t xml:space="preserve"> training, taken, proposed, courses; EU scope visible. This is a provisional connection, not an outcome finding.</w:t>
      </w:r>
    </w:p>
    <w:p>
      <w:pPr>
        <w:pStyle w:val="SourceNote"/>
      </w:pPr>
      <w:r>
        <w:rPr>
          <w:b/>
        </w:rPr>
        <w:t>Available abstract (not full text):</w:t>
      </w:r>
      <w:r>
        <w:t xml:space="preserve"> Recruiting, retaining and maintaining sufficient numbers of cybersecurity professionals in the workplace is a constant battle, not only for the technical side of cybersecurity, but also for the overlooked area of non-technical, managerial-related jobs in the cyber sector. This paper addresses the lack of cybersecurity skills in the European labour force market and the actions taken to improve the education in cybersecurity for meeting the identified needs. The paper analyses what kind of topics are missing within the cybersecurity curricula of the high-level educational institutions in Europe and in the courses provided by the cybersecurity trainers on the market. The findings are based on the data collected by the surveys carried out by the European competence centres on cybersecurity and the European CyberSecurity organization. These findings show that there are missing topics in the context of higher education cybersecurity programmes and within the private courses offered on the market. The problem of common programme accreditation of European higher education institutes (HEI) and the competence certifications for different work profiles in the area of cybersecurity are briefly presented and discussed as well. The actions undertaken to improve the education in both sectors are presented and the emerging educational landscape is proposed based on our findings. Recommendation</w:t>
      </w:r>
    </w:p>
    <w:p>
      <w:pPr/>
      <w:r>
        <w:rPr>
          <w:b/>
        </w:rPr>
        <w:t>POSSIBLE 2021:</w:t>
      </w:r>
      <w:r>
        <w:t xml:space="preserve"> The Current Perceptions of Practicing Audiologists Regarding the State of Teleaudiology Education and Training — https://openalex.org/W3159985972</w:t>
      </w:r>
    </w:p>
    <w:p>
      <w:pPr/>
      <w:r>
        <w:rPr>
          <w:b/>
        </w:rPr>
        <w:t>Shared claim-specific concepts:</w:t>
      </w:r>
      <w:r>
        <w:t xml:space="preserve"> regarding, training, practice, developed, courses; EU scope not established. This is a provisional connection, not an outcome finding.</w:t>
      </w:r>
    </w:p>
    <w:p>
      <w:pPr>
        <w:pStyle w:val="SourceNote"/>
      </w:pPr>
      <w:r>
        <w:rPr>
          <w:b/>
        </w:rPr>
        <w:t>Available abstract (not full text):</w:t>
      </w:r>
      <w:r>
        <w:t xml:space="preserve"> Telemedicine is the practice of providing medical care remotely, when the patient and the clinician are not meeting face to face (Krumm &amp; Syms, 2012). The practice of telemedicine in audiology is teleaudiology. The purpose of the current study was to determine the current perceptions and experiences audiologists have about teleaudiology practices, education, and training. A 16-question survey was developed using Qualtrics and distributed to audiologists via various social media groups for audiologists online and it consisted of 16 questions. There were 352 respondents. Overall, a large percentage of audiologists do perform teleaudiology services, and most reported their training for teleaudiology was on the job or through workshops. The vast majority of participants (93%) reported that they felt there was a need for teleaudiology education and training, while only about 30% of respondents reported there was adequate teleaudiology education and training in their area. Results were further analyzed for the entire group as well as by various demographic factors such as years of experience, practice setting, etc. to see if those factors influenced responses. The results were highly consistent across subgroups such that the factors did not appear to influence the overall perceptions or practices of participants. The respondents had a chance to make additional comments at the end of </w:t>
      </w:r>
    </w:p>
    <w:p>
      <w:pPr/>
      <w:r>
        <w:rPr>
          <w:b/>
        </w:rPr>
        <w:t>POSSIBLE 2020:</w:t>
      </w:r>
      <w:r>
        <w:t xml:space="preserve"> European Stakeholder Learnings Regarding Biosimilars: Part II—Improving Biosimilar Use in Clinical Practice — https://doi.org/10.1007/s40259-020-00440-z</w:t>
      </w:r>
    </w:p>
    <w:p>
      <w:pPr/>
      <w:r>
        <w:rPr>
          <w:b/>
        </w:rPr>
        <w:t>Shared claim-specific concepts:</w:t>
      </w:r>
      <w:r>
        <w:t xml:space="preserve"> regarding, practice, proposed; EU scope visible. This is a provisional connection, not an outcome finding.</w:t>
      </w:r>
    </w:p>
    <w:p>
      <w:pPr>
        <w:pStyle w:val="SourceNote"/>
      </w:pPr>
      <w:r>
        <w:rPr>
          <w:b/>
        </w:rPr>
        <w:t>Available abstract (not full text):</w:t>
      </w:r>
      <w:r>
        <w:t xml:space="preserve"> BACKGROUND: Despite the benefits biosimilars offer in terms of cost savings and patient access, healthcare professionals and patients have been reluctant to use them. Next to insufficient understanding of and trust in biosimilars, healthcare professionals and patients have questions about switching and the nocebo effect when using biosimilars in clinical practice. In addition, clear motivation to use biosimilars may be lacking among these stakeholders. OBJECTIVE: This study aims to provide recommendations on how to improve biosimilar use on both a clinical and a practical level based on insights from healthcare professionals (physicians, hospital pharmacists, nurses), patients (or their representatives), and regulators across Europe. METHODS: We conducted 44 semi-structured interviews with experts from five stakeholder groups across Europe: physicians, hospital pharmacists, nurses, regulators, and patients/representatives. Interviews were transcribed ad verbatim and transcripts analysed according to the thematic framework method. RESULTS: Based on the insights and considerations of the experts interviewed, we identified a number of recommendations to improve the use of biosimilars in clinical practice. Regarding switch implementation, the experts voiced support for the following actions: (1) disseminate evidence from and experience with (multiple) switching; (2) provide clear, </w:t>
      </w:r>
    </w:p>
    <w:p>
      <w:pPr/>
      <w:r>
        <w:rPr>
          <w:b/>
        </w:rPr>
        <w:t>POSSIBLE 2020:</w:t>
      </w:r>
      <w:r>
        <w:t xml:space="preserve"> Vestibular rehabilitation in Europe: a survey of clinical and research practice — https://doi.org/10.1007/s00415-020-10228-4</w:t>
      </w:r>
    </w:p>
    <w:p>
      <w:pPr/>
      <w:r>
        <w:rPr>
          <w:b/>
        </w:rPr>
        <w:t>Shared claim-specific concepts:</w:t>
      </w:r>
      <w:r>
        <w:t xml:space="preserve"> four, regarding, training, practice, taken, trained; EU scope visible. This is a provisional connection, not an outcome finding.</w:t>
      </w:r>
    </w:p>
    <w:p>
      <w:pPr>
        <w:pStyle w:val="SourceNote"/>
      </w:pPr>
      <w:r>
        <w:rPr>
          <w:b/>
        </w:rPr>
        <w:t>Available abstract (not full text):</w:t>
      </w:r>
      <w:r>
        <w:t xml:space="preserve"> Vestibular rehabilitation (VR) is practiced across Europe but little in this area has been quantified. The aim of this study was to investigate current VR assessment, treatment, education, and research practices. This was an online, cross-sectional survey with 39 VR specific questions and four sections: demographics, current practice, education, and research. The survey was disseminated through the Dizzynet network to individual therapists through country-specific VR special interest groups. Results were analysed descriptively. A thematic approach was taken to analyse open questions. A total of 471 individuals (median age 41, range 23 - 68 years, 73.4% women), predominately physiotherapists (89.4%) from 20 European countries responded to the survey. They had worked for a median of 4 years (range &lt; 1 - 35) in VR. The majority (58.7%) worked in hospital in-patient or out-patient settings and 21.4% in dedicated VR services. Most respondents specialized in neurology, care of the elderly (geriatrics), or otorhinolaryngology. VR was reported as hard/very hard to access by 48%, with the main barriers to access identified as lack of knowledge of health care professionals (particularly family physicians), lack of trained therapists, and lack of local services. Most respondents reported to know and treat benign paroxysmal positional vertigo (BPPV 87.5%), unilateral vestibular hypofunctio</w:t>
      </w:r>
    </w:p>
    <w:p>
      <w:pPr>
        <w:pStyle w:val="Heading2"/>
      </w:pPr>
      <w:r>
        <w:t>802.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2021:</w:t>
      </w:r>
      <w:r>
        <w:t xml:space="preserve"> The relationship between cultural tightness–looseness and COVID-19 cases and deaths: a global analysis — https://doi.org/10.1016/s2542-5196(20)30301-6</w:t>
      </w:r>
    </w:p>
    <w:p>
      <w:pPr/>
      <w:r>
        <w:rPr>
          <w:b/>
        </w:rPr>
        <w:t>Shared claim-specific concepts:</w:t>
      </w:r>
      <w:r>
        <w:t xml:space="preserve"> tight, countries, million, help; EU scope not established. This is a provisional connection, not an outcome finding.</w:t>
      </w:r>
    </w:p>
    <w:p>
      <w:pPr>
        <w:pStyle w:val="SourceNote"/>
      </w:pPr>
      <w:r>
        <w:rPr>
          <w:b/>
        </w:rPr>
        <w:t>Available abstract (not full text):</w:t>
      </w:r>
      <w:r>
        <w:t xml:space="preserve"> BACKGROUND: The COVID-19 pandemic is a global health crisis, yet certain countries have had far more success in limiting COVID-19 cases and deaths. We suggest that collective threats require a tremendous amount of coordination, and that strict adherence to social norms is a key mechanism that enables groups to do so. Here we examine how the strength of social norms-or cultural tightness-looseness-was associated with countries' success in limiting cases and deaths by October, 2020. We expected that tight cultures, which have strict norms and punishments for deviance, would have fewer cases and deaths per million as compared with loose cultures, which have weaker norms and are more permissive. METHODS: We estimated the relationship between cultural tightness-looseness and COVID-19 case and mortality rates as of Oct 16, 2020, using ordinary least squares regression. We fit a series of stepwise models to capture whether cultural tightness-looseness explained variation in case and death rates controlling for under-reporting, demographics, geopolitical factors, other cultural dimensions, and climate. FINDINGS: The results indicated that, compared with nations with high levels of cultural tightness, nations with high levels of cultural looseness are estimated to have had 4·99 times the number of cases (7132 per million vs 1428 per million, respectively) and 8·71 times the number of de</w:t>
      </w:r>
    </w:p>
    <w:p>
      <w:pPr/>
      <w:r>
        <w:rPr>
          <w:b/>
        </w:rPr>
        <w:t>POSSIBLE 2020:</w:t>
      </w:r>
      <w:r>
        <w:t xml:space="preserve"> Interdependence and cooperation in daily life. — https://doi.org/10.1037/pspi0000253</w:t>
      </w:r>
    </w:p>
    <w:p>
      <w:pPr/>
      <w:r>
        <w:rPr>
          <w:b/>
        </w:rPr>
        <w:t>Shared claim-specific concepts:</w:t>
      </w:r>
      <w:r>
        <w:t xml:space="preserve"> cooperation, affected, over; EU scope not established. This is a provisional connection, not an outcome finding.</w:t>
      </w:r>
    </w:p>
    <w:p>
      <w:pPr>
        <w:pStyle w:val="SourceNote"/>
      </w:pPr>
      <w:r>
        <w:rPr>
          <w:b/>
        </w:rPr>
        <w:t>Available abstract (not full text):</w:t>
      </w:r>
      <w:r>
        <w:t xml:space="preserve"> Philosophers and scientists have long debated the nature of human social interactions and the prevalence of mutual dependence, conflict of interests, and power asymmetry in social situations. Yet, there is surprisingly little empirical work documenting the patterns of interdependence that people experience in daily life. We use experience sampling to study how people think about three dimensions of interdependence in daily life and how these dimensions relate to cooperation. In Study 1, 139 romantic couples (n = 278) reported on situations experienced with their partner (k = 6,766); in Study 2, individuals (n = 284) reported on situations experienced with any other person (k = 7,248), over the course of one week. Across both samples, we found that most social interactions were perceived as containing moderate mutual dependence, equal power, and corresponding interests. When couples reported on the same situation (Study 1), they largely agreed on their experienced interdependence and cooperation, suggesting that their reports reflect an underlying shared reality. In daily interactions across both samples, higher mutual dependence and lower conflict of interests were associated with more cooperation, whereas relative power was not directly related to cooperation. These associations replicated in laboratory experiments (Study 2). In daily life, high mutual dependence and high rela</w:t>
      </w:r>
    </w:p>
    <w:p>
      <w:pPr/>
      <w:r>
        <w:rPr>
          <w:b/>
        </w:rPr>
        <w:t>POSSIBLE 2020:</w:t>
      </w:r>
      <w:r>
        <w:t xml:space="preserve"> Migrant women’s experiences of pregnancy, childbirth and maternity care in European countries: A systematic review — https://doi.org/10.1371/journal.pone.0228378</w:t>
      </w:r>
    </w:p>
    <w:p>
      <w:pPr/>
      <w:r>
        <w:rPr>
          <w:b/>
        </w:rPr>
        <w:t>Shared claim-specific concepts:</w:t>
      </w:r>
      <w:r>
        <w:t xml:space="preserve"> need, countries, strategy, migrants; EU scope visible. This is a provisional connection, not an outcome finding.</w:t>
      </w:r>
    </w:p>
    <w:p>
      <w:pPr>
        <w:pStyle w:val="SourceNote"/>
      </w:pPr>
      <w:r>
        <w:rPr>
          <w:b/>
        </w:rPr>
        <w:t>Available abstract (not full text):</w:t>
      </w:r>
      <w:r>
        <w:t xml:space="preserve"> BACKGROUND: Across Europe there are increasing numbers of migrant women who are of childbearing age. Migrant women are at risk of poorer pregnancy outcomes. Models of maternity care need to be designed to meet the needs of all women in society to ensure equitable access to services and to address health inequalities. OBJECTIVE: To provide up-to-date systematic evidence on migrant women's experiences of pregnancy, childbirth and maternity care in their destination European country. SEARCH STRATEGY: CINAHL, MEDLINE, PubMed, PsycINFO and Scopus were searched for peer-reviewed articles published between 2007 and 2017. SELECTION CRITERIA: Qualitative and mixed-methods studies with a relevant qualitative component were considered for inclusion if they explored any aspect of migrant women's experiences of maternity care in Europe. DATA COLLECTION AND ANALYSIS: Qualitative data were extracted and analysed using thematic synthesis. RESULTS: The search identified 7472 articles, of which 51 were eligible and included. Studies were conducted in 14 European countries and focused on women described as migrants, refugees or asylum seekers. Four overarching themes emerged: 'Finding the way-the experience of navigating the system in a new place', 'We don't understand each other', 'The way you treat me matters', and 'My needs go beyond being pregnant'. CONCLUSIONS: Migrant women need culturally-</w:t>
      </w:r>
    </w:p>
    <w:p>
      <w:pPr/>
      <w:r>
        <w:rPr>
          <w:b/>
        </w:rPr>
        <w:t>POSSIBLE 2020:</w:t>
      </w:r>
      <w:r>
        <w:t xml:space="preserve"> The development of cycling in European countries since 1990 — https://doi.org/10.18757/ejtir.2021.21.2.5411</w:t>
      </w:r>
    </w:p>
    <w:p>
      <w:pPr/>
      <w:r>
        <w:rPr>
          <w:b/>
        </w:rPr>
        <w:t>Shared claim-specific concepts:</w:t>
      </w:r>
      <w:r>
        <w:t xml:space="preserve"> countries, over;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Productivity Growth and Value Chains in Four European Countries — https://doi.org/10.2139/ssrn.3545283</w:t>
      </w:r>
    </w:p>
    <w:p>
      <w:pPr/>
      <w:r>
        <w:rPr>
          <w:b/>
        </w:rPr>
        <w:t>Shared claim-specific concepts:</w:t>
      </w:r>
      <w:r>
        <w:t xml:space="preserve"> countries, affected, over; EU scope visible. This is a provisional connection, not an outcome finding.</w:t>
      </w:r>
    </w:p>
    <w:p>
      <w:pPr>
        <w:pStyle w:val="SourceNote"/>
      </w:pPr>
      <w:r>
        <w:rPr>
          <w:b/>
        </w:rPr>
        <w:t>Available abstract (not full text):</w:t>
      </w:r>
      <w:r>
        <w:t xml:space="preserve"> Advanced economies have been witnessing a pronounced slowdown of productivity growth since the global financial crisis that is accompanied in recent years by a withdrawal from trade integration processes. We study the determinants of productivity slowdown over the past two decades in four closely integrated European countries, Austria, Denmark, Germany and the Netherlands, based on firm-level data. Participation in global value chains appears to have affected productivity positively, including through its effect on TFP when facilitated by higher investment in intangible assets, a proxy for firm innovation. Other contributors to productivity growth in firms are workforce aging, access to finance, and skills mismatches.</w:t>
      </w:r>
    </w:p>
    <w:p>
      <w:pPr/>
      <w:r>
        <w:rPr>
          <w:b/>
        </w:rPr>
        <w:t>POSSIBLE 2019:</w:t>
      </w:r>
      <w:r>
        <w:t xml:space="preserve"> Legal Problems and Decisions in the Cooperation between National Ombudsmen in South – East Europe — https://openalex.org/W7131993177</w:t>
      </w:r>
    </w:p>
    <w:p>
      <w:pPr/>
      <w:r>
        <w:rPr>
          <w:b/>
        </w:rPr>
        <w:t>Shared claim-specific concepts:</w:t>
      </w:r>
      <w:r>
        <w:t xml:space="preserve"> need, tight, cooperation, countries, urgent; EU scope visible. This is a provisional connection, not an outcome finding.</w:t>
      </w:r>
    </w:p>
    <w:p>
      <w:pPr>
        <w:pStyle w:val="SourceNote"/>
      </w:pPr>
      <w:r>
        <w:rPr>
          <w:b/>
        </w:rPr>
        <w:t>Available abstract (not full text):</w:t>
      </w:r>
      <w:r>
        <w:t xml:space="preserve"> Abstract: The ombudsman institution is traditionally linked to the concept of human rights protection. In addition to this general notion, for the countries from South–Eastern Europe the ombudsman is a body related to the process of transition to rule of law and democratic values. In these countries the ombudsman has also the specific task of maintaining the social and ethnic peace and security. The ombudsman institutions in this region have also a beneficial effect on the process of accession to the EU and adherence to the principles of the Council of Europe as the human rights protection is in the heart of these organisations. The cooperation among ombudsmen in South–Eastern Europe is of crucial importance for the successful achievement of their tasks, especially in the context of challenging human rights issues with trans-border connotations. However the lack of a common model for the ombudsmen institutions, the difference in the mandate and functions and even the diverse title of these bodies, proves to be a serious hindrance to efficient collaboration and hence to the efficient protection of human rights at regional level. This is why the existence of international and European standards for the ombudsmen institutions from South-Eastern Europe is important in view of the need to bring them closer to each other but also closer to the successful model of a human rights prote</w:t>
      </w:r>
    </w:p>
    <w:p>
      <w:pPr>
        <w:pStyle w:val="Heading2"/>
      </w:pPr>
      <w:r>
        <w:t>803.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2023:</w:t>
      </w:r>
      <w:r>
        <w:t xml:space="preserve"> Democracy and Nuclear Power in the Czech Republic — https://doi.org/10.4324/9781003421368-17</w:t>
      </w:r>
    </w:p>
    <w:p>
      <w:pPr/>
      <w:r>
        <w:rPr>
          <w:b/>
        </w:rPr>
        <w:t>Shared claim-specific concepts:</w:t>
      </w:r>
      <w:r>
        <w:t xml:space="preserve"> nuclear, power, experience; EU scope visible. This is a provisional connection, not an outcome finding.</w:t>
      </w:r>
    </w:p>
    <w:p>
      <w:pPr>
        <w:pStyle w:val="SourceNote"/>
      </w:pPr>
      <w:r>
        <w:rPr>
          <w:b/>
        </w:rPr>
        <w:t>Available abstract (not full text):</w:t>
      </w:r>
      <w:r>
        <w:t xml:space="preserve"> This chapter explores the construction of the one-thousand megawatt Temelin nuclear power plant in the Czech Republic. The Czech Republic is in the first group of candidates in central and eastern Europe to join both the European Union and the North Atlantic Treaty Organization. The Czech experience with nuclear power is a test case that will affect the viability and future marketability of nuclear power in central and eastern Europe. Nuclear power advocates saw the opportunity and accepted the challenge. The former Soviet Union, with compliance or agreement from the states of central and eastern Europe, had planned dozens of nuclear power plants for the region. The most widely used definition of sustainable development is “development that meets the needs of the present without compromising the ability of future generations to meet their own needs”. Under communism, environmentalists were labeled right wing because they were accused of trying to destroy socialist dreams by imposing costly demands on the government.</w:t>
      </w:r>
    </w:p>
    <w:p>
      <w:pPr/>
      <w:r>
        <w:rPr>
          <w:b/>
        </w:rPr>
        <w:t>POSSIBLE 2023:</w:t>
      </w:r>
      <w:r>
        <w:t xml:space="preserve"> Historical diffusion of nuclear, wind and solar power in different national contexts: implications for climate mitigation pathways — https://doi.org/10.1088/1748-9326/acf47a</w:t>
      </w:r>
    </w:p>
    <w:p>
      <w:pPr/>
      <w:r>
        <w:rPr>
          <w:b/>
        </w:rPr>
        <w:t>Shared claim-specific concepts:</w:t>
      </w:r>
      <w:r>
        <w:t xml:space="preserve"> nuclear, power, climate, electricity; EU scope visible. This is a provisional connection, not an outcome finding.</w:t>
      </w:r>
    </w:p>
    <w:p>
      <w:pPr>
        <w:pStyle w:val="SourceNote"/>
      </w:pPr>
      <w:r>
        <w:rPr>
          <w:b/>
        </w:rPr>
        <w:t>Available abstract (not full text):</w:t>
      </w:r>
      <w:r>
        <w:t xml:space="preserve"> Abstract Climate change mitigation requires rapid expansion of low-carbon electricity but there is a disagreement on whether available technologies such as renewables and nuclear power can be scaled up sufficiently fast. Here we analyze the diffusion of nuclear (from the 1960s), as well as wind and solar (from the 1980–90s) power. We show that all these technologies have been adopted in most large economies except major energy exporters, but solar and wind have diffused across countries faster and wider than nuclear. After the initial adoption, the maximum annual growth for nuclear power has been 2.6% of national electricity supply (IQR 1.3%–6%), for wind − 1.1% (0.6%–1.7%), and for solar − 0.8% (0.5%–1.3%). The fastest growth of nuclear power occurred in Western Europe in the 1980s, a response by industrialized democracies to the energy supply crises of the 1970s. The European Union (EU), currently experiencing a similar energy supply shock, is planning to expand wind and solar at similarly fast rates. This illustrates that national contexts can impact the speed of technology diffusion at least as much as technology characteristics like cost, granularity, and complexity. In the Intergovernmental Panel on Climate Change mitigation pathways, renewables grow much faster than nuclear due to their lower projected costs, though empirical evidence does not show that the cost is the s</w:t>
      </w:r>
    </w:p>
    <w:p>
      <w:pPr/>
      <w:r>
        <w:rPr>
          <w:b/>
        </w:rPr>
        <w:t>POSSIBLE 2023:</w:t>
      </w:r>
      <w:r>
        <w:t xml:space="preserve"> The Economy of the Countries of the World is Experiencing the Need for Nuclear Power Plants — https://openalex.org/W7219353948</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This scientific article examines the sources on the need for nuclear power plants in the economies of the countries of the world. The existing nuclear power plants in the countries of the world, their capacity, the disadvantages and advantages of nuclear power plants, the role of nuclear power plants in the production of electricity, differences in the prices of electricity generated by them, the possibilities of achieving economic and social goals of low-cost sustainable development in the production of electricity using nuclear power are analyzed.</w:t>
      </w:r>
    </w:p>
    <w:p>
      <w:pPr/>
      <w:r>
        <w:rPr>
          <w:b/>
        </w:rPr>
        <w:t>POSSIBLE 2023:</w:t>
      </w:r>
      <w:r>
        <w:t xml:space="preserve"> Nuclear Power in the Sustainable Energy Transition — https://doi.org/10.46254/au02.20230243</w:t>
      </w:r>
    </w:p>
    <w:p>
      <w:pPr/>
      <w:r>
        <w:rPr>
          <w:b/>
        </w:rPr>
        <w:t>Shared claim-specific concepts:</w:t>
      </w:r>
      <w:r>
        <w:t xml:space="preserve"> nuclear, power, generation, climate, electricity, conditions; EU scope not established. This is a provisional connection, not an outcome finding.</w:t>
      </w:r>
    </w:p>
    <w:p>
      <w:pPr>
        <w:pStyle w:val="SourceNote"/>
      </w:pPr>
      <w:r>
        <w:rPr>
          <w:b/>
        </w:rPr>
        <w:t>Available abstract (not full text):</w:t>
      </w:r>
      <w:r>
        <w:t xml:space="preserve"> The economic viability of a power plant is dependent on the cost of the electricity generated which is influenced by a wide range of factors and inputs from the inception to end of economic life. The Levelized cost of energy or electricity (LCOE) is a model used to estimate the cost of electricity before the powerplant is constructed. The cost of building a nuclear power plant and any financing cost is the most important contributing factor to the cost of from nuclear power plants. Although modern nuclear power plants are generally large and expensive, their long project lifetime effectively reduces the cost of nuclear power can still be relatively low. Nuclear energy has generally been regarded by public opinion as a harmful energy resource. The growing concerns over global climate change and greenhouse gas emissions have changed this belief and nuclear is now considered a reputable green power source that can generate significant amounts of energy with low carbon emissions. Nuclear energy is currently a mature low-GHG emission energy resource that is ideal for use as baseload power. However, the share in global electricity generation has been declining globally but its share of global electricity generation has been declining since the year 1993 because of various barriers and risks. The life cycle GHG emissions from nuclear power are less than traditional fossil sources but </w:t>
      </w:r>
    </w:p>
    <w:p>
      <w:pPr/>
      <w:r>
        <w:rPr>
          <w:b/>
        </w:rPr>
        <w:t>POSSIBLE 2023:</w:t>
      </w:r>
      <w:r>
        <w:t xml:space="preserve"> Navigating Net Zero: The Crucial Role of Nuclear Power and Innovations — https://doi.org/10.63620/mkssjer.2023.1018</w:t>
      </w:r>
    </w:p>
    <w:p>
      <w:pPr/>
      <w:r>
        <w:rPr>
          <w:b/>
        </w:rPr>
        <w:t>Shared claim-specific concepts:</w:t>
      </w:r>
      <w:r>
        <w:t xml:space="preserve"> nuclear, power, generation, reactors, climate, article; EU scope not established. This is a provisional connection, not an outcome finding.</w:t>
      </w:r>
    </w:p>
    <w:p>
      <w:pPr>
        <w:pStyle w:val="SourceNote"/>
      </w:pPr>
      <w:r>
        <w:rPr>
          <w:b/>
        </w:rPr>
        <w:t>Available abstract (not full text):</w:t>
      </w:r>
      <w:r>
        <w:t xml:space="preserve"> This article explores the dynamic intersection of nuclear power, innovative technologies, and the pursuit of a net-zero future. Grounded in the imperative to address climate change, the discussion traverses the concept of net zero, emphasizing the pivotal role of nuclear energy in achieving carbon neutrality. The narrative unfolds through an examination of Small Modular Reactors (SMRs) and Generation IV reactors, showcasing their transformative potential in reshaping the energy landscape. While SMRs offer scalability and adaptability, Generation IV reactors introduce innovative designs to enhance safety, efficiency, and sustainability. The article navigates through the challenges and considerations inherent in this transformative journey, addressing financial barriers, regulatory complexities, and public perceptions. It underscores the critical importance of international collaboration, ethical nuclear waste management, and non-proliferation measures. As the world grapples with the urgency of decarbonization, the conclusion paints a visionary picture of nuclear power and innovations converging to sculpt a sustainable, net-zero future—a future where clean, reliable energy becomes a reality through the collaborative efforts of governments, industry leaders, and the global community.</w:t>
      </w:r>
    </w:p>
    <w:p>
      <w:pPr/>
      <w:r>
        <w:rPr>
          <w:b/>
        </w:rPr>
        <w:t>POSSIBLE 2022:</w:t>
      </w:r>
      <w:r>
        <w:t xml:space="preserve"> European energy transition: Decomposing the performance of nuclear power — https://doi.org/10.1016/j.energy.2022.123244</w:t>
      </w:r>
    </w:p>
    <w:p>
      <w:pPr/>
      <w:r>
        <w:rPr>
          <w:b/>
        </w:rPr>
        <w:t>Shared claim-specific concepts:</w:t>
      </w:r>
      <w:r>
        <w:t xml:space="preserve"> nuclear, power, generation, electricity; EU scope visible. This is a provisional connection, not an outcome finding.</w:t>
      </w:r>
    </w:p>
    <w:p>
      <w:pPr>
        <w:pStyle w:val="SourceNote"/>
      </w:pPr>
      <w:r>
        <w:rPr>
          <w:b/>
        </w:rPr>
        <w:t>Available abstract (not full text):</w:t>
      </w:r>
      <w:r>
        <w:t xml:space="preserve"> The quest for safe energy in the EU has increasingly led to a policy of zero nuclear power and a shift towards renewable sources. The phasing out of nuclear power is being carefully undertaken, so as not create negative externalities, even though not all countries are ready to make this move, and despite the valuable role nuclear energy can play in backing up intermittent renewables. This paper examines the transition towards carbon-free electrification through the interactions between the various electricity sources, using the Harmonised Index of Consumer Prices and carbon dioxide emissions in countries with nuclear power generation in the European Union and Switzerland. Monthly data, from January 2014 to December 2018 was analysed by means of an Autoregressive Distributed Lag model using the Driscoll and Kraay estimator with fixed effects. This approach allowed the electricity generation processes of the selected countries to be analysed, as well as the long- and short-run impacts. Our findings suggest that nuclear energy can be effective in accommodating renewable electricity into these systems, whereas using fossil generation to back up renewable sources leads to higher prices for consumers.</w:t>
      </w:r>
    </w:p>
    <w:p>
      <w:pPr/>
      <w:r>
        <w:rPr>
          <w:b/>
        </w:rPr>
        <w:t>POSSIBLE 2022:</w:t>
      </w:r>
      <w:r>
        <w:t xml:space="preserve"> Nuclear Power as a Response to the Climate Crisis: Focusing on the Development and Cooperation of the Nuclear Industry in Russia and France — https://doi.org/10.19170/eebs.2022.46.2.163</w:t>
      </w:r>
    </w:p>
    <w:p>
      <w:pPr/>
      <w:r>
        <w:rPr>
          <w:b/>
        </w:rPr>
        <w:t>Shared claim-specific concepts:</w:t>
      </w:r>
      <w:r>
        <w:t xml:space="preserve"> nuclear, power, experience, generation, climate, analyzes; EU scope visible. This is a provisional connection, not an outcome finding.</w:t>
      </w:r>
    </w:p>
    <w:p>
      <w:pPr>
        <w:pStyle w:val="SourceNote"/>
      </w:pPr>
      <w:r>
        <w:rPr>
          <w:b/>
        </w:rPr>
        <w:t>Available abstract (not full text):</w:t>
      </w:r>
      <w:r>
        <w:t xml:space="preserve"> Concerns about global climate change such as ‘global warming’ and ‘greenhouse effects’ have evolved into a desperate expression “climate crisis” in today. Accordingly, the UN adopted the ‘Paris Agreement’ in 2015, and calling for all countries to implement concrete action plans and practices to realize the goal of the ‘Net Zero’(Carbon Neutral 2050). This is the reason why the voices claiming the usefulness of nuclear power generation or the inevitability of nuclear power generation are increasing at home and abroad in recent years. The European Union classified nuclear power plants as a green taxonomy, and the United States is reconsidering its interest in nuclear power plants. Korea has been pursuing a policy to phase out nuclear power for the past five years, but the new government is foreshadowing a policy shift to actively utilize nuclear power. This study examines the nuclear industry, which is attracting attention again as a way to cope with the climate crisis and meet realistic energy demand, through the cases of Russia and France. As of 2022, Russia is evaluated as a country with the world's best capabilities and competitiveness in the nuclear sector. The EU's nuclear powerhouse France has developed a nuclear industry as a driving force for its energy security and economic development. Furthermore, the two countries are highly trusted and boast the highest competitiven</w:t>
      </w:r>
    </w:p>
    <w:p>
      <w:pPr/>
      <w:r>
        <w:rPr>
          <w:b/>
        </w:rPr>
        <w:t>POSSIBLE 2022:</w:t>
      </w:r>
      <w:r>
        <w:t xml:space="preserve"> The Economics of Nuclear Power — https://doi.org/10.22439/csei.pb.015</w:t>
      </w:r>
    </w:p>
    <w:p>
      <w:pPr/>
      <w:r>
        <w:rPr>
          <w:b/>
        </w:rPr>
        <w:t>Shared claim-specific concepts:</w:t>
      </w:r>
      <w:r>
        <w:t xml:space="preserve"> nuclear, power, technological, electricity; EU scope not established. This is a provisional connection, not an outcome finding.</w:t>
      </w:r>
    </w:p>
    <w:p>
      <w:pPr>
        <w:pStyle w:val="SourceNote"/>
      </w:pPr>
      <w:r>
        <w:rPr>
          <w:b/>
        </w:rPr>
        <w:t>Available abstract (not full text):</w:t>
      </w:r>
      <w:r>
        <w:t xml:space="preserve"> The levelized costs of electricity from renewables have decreased by up to 90% in the past decade. During the same period, the cost of nuclear power has increased by more than a third. This led to a domination of renewables in new investments worldwide. Even when factoring in integration costs of renewables and new nuclear technologies, building new nuclear power remains multiple times more expensive than new solar or wind projects. Given the financial, project, and technological risks, the role of nuclear in the energy transition should be questioned.</w:t>
      </w:r>
    </w:p>
    <w:p>
      <w:pPr>
        <w:pStyle w:val="Heading2"/>
      </w:pPr>
      <w:r>
        <w:t>804.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2023:</w:t>
      </w:r>
      <w:r>
        <w:t xml:space="preserve"> Integrating the 17 SDGs into the European Green Deal, through Strategic and Financial Approaches — https://doi.org/10.21203/rs.3.rs-2697240/v1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The European Green Deal (EGD) is the growth strategy for Europe, covering multiple domains, and aiming to an equitable, carbon neutral European Union by 2050. The UN Agenda 2030, with its 17 Sustainable Development Goals (SDGs) set the bases for a global sustainability transition. However, the integration of the SDGs into the EGD is an overlooked issue in the literature, although it is particularly important, given Europe’s slow progress to achieve the sustainability targets. In this paper, 22 central policies and strategies published during 2020–21 to support the EGD's implementation are assessed on how they align with Agenda’s 2030 aspirations, using novel text-mining methodologies: one human-based and one machine-learning-based. The results outline an alignment of EGD policies to the main SDGs themes relevant to Food, Land, Oceans, Energy, but also a strong indication that the progress towards sustainability passes through "Peace, Justice, and Strong Institutions" (SDG16) and international "Partnerships for the Goals" (SDG17). We further explain the underlying policy mechanisms of the established ‘necessary transformations’ to build a sustainable Europe, along with the relevance of valuing the natural capital and integrating it into future investment and financial decisions.</w:t>
      </w:r>
    </w:p>
    <w:p>
      <w:pPr/>
      <w:r>
        <w:rPr>
          <w:b/>
        </w:rPr>
        <w:t>POSSIBLE 2022:</w:t>
      </w:r>
      <w:r>
        <w:t xml:space="preserve"> Measuring Progress towards Sustainability in the European Union within the 2030 Agenda Framework — https://doi.org/10.3390/math10122095</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The adoption of the 2030 Agenda and its 17 Sustainable Development Goals (SDGs) revived the challenge to efficiently address economic prosperity, environmental quality and social welfare goals. To fulfill such purposes, policymakers need to measure and monitor the global progress made by countries towards the achievement of the SDGs. Composite indicators have frequently been used for sustainability performance assessment in a range of areas related to Sustainable Development and recently some attempts have been made to analyze trends within the 2030 Agenda framework. The objective of this study is to propose a novel composite indicator approach to assess sustainability performance and evaluate whether progress is being made towards the SDGs. Some distinguishing features of the proposed approach involve the computation of weights for the indicators and the use of geometric average at the overall aggregation stage. The approach is applied to the evaluation of the SDGs in EU27 during the period 2010–2020 using the Eurostat SDG dataset. The results obtained suggest that all 27 Member States have progressed favorably, albeit not to the same extent, and differences between countries seem to be decreasing over the years.</w:t>
      </w:r>
    </w:p>
    <w:p>
      <w:pPr>
        <w:pStyle w:val="Heading2"/>
      </w:pPr>
      <w:r>
        <w:t>805.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r>
        <w:rPr>
          <w:b/>
        </w:rPr>
        <w:t>POSSIBLE 2020:</w:t>
      </w:r>
      <w:r>
        <w:t xml:space="preserve"> Harvesting reflective knowledge exchange for inbound open innovation in complex collaborative networks: an empirical verification in Europe — https://doi.org/10.1108/jkm-04-2020-0300</w:t>
      </w:r>
    </w:p>
    <w:p>
      <w:pPr/>
      <w:r>
        <w:rPr>
          <w:b/>
        </w:rPr>
        <w:t>Shared claim-specific concepts:</w:t>
      </w:r>
      <w:r>
        <w:t xml:space="preserve"> findings, process, period; EU scope visible. This is a provisional connection, not an outcome finding.</w:t>
      </w:r>
    </w:p>
    <w:p>
      <w:pPr>
        <w:pStyle w:val="SourceNote"/>
      </w:pPr>
      <w:r>
        <w:rPr>
          <w:b/>
        </w:rPr>
        <w:t>Available abstract (not full text):</w:t>
      </w:r>
      <w:r>
        <w:t xml:space="preserve"> Purpose This study aims to investigate the effects of open innovation (OI) and big data analytics (BDA) on reflective knowledge exchange (RKE) within the context of complex collaborative networks. Specifically, it considers the relationships between sourcing knowledge from an external environment, transferring knowledge to an external environment and adopting solutions that are useful to appropriate returns from innovation. Design/methodology/approach This study analyzes the connection between the number of patent applications and the amount of OI, as well as the association between the number of patent applications and the use of BDA. Data from firms in the 27 European Union countries were retrieved from the Eurostat database for the period 2014–2019 and were investigated using an ordinary least squares regression analysis. Findings Because of its twofold lens based on both knowledge management and OI, this study sheds light on OI collaboration modes and highlights the crucial role they could play in innovation. In particular, the results suggest that OI collaboration modes have a strong effect on innovation performance, stimulating the search for RKE. Originality/value This study furthers a deeper understanding of RKE, which is shown to be an important mechanism that incentivizes firms to increase their efforts in the innovation process. Further, RKE supports firms in taking </w:t>
      </w:r>
    </w:p>
    <w:p>
      <w:pPr/>
      <w:r>
        <w:rPr>
          <w:b/>
        </w:rPr>
        <w:t>POSSIBLE 2020:</w:t>
      </w:r>
      <w:r>
        <w:t xml:space="preserve"> Analyses of Work Efficiency of a Strawberry-Harvesting Robot in an Automated Greenhouse — https://doi.org/10.3390/agronomy10111751</w:t>
      </w:r>
    </w:p>
    <w:p>
      <w:pPr/>
      <w:r>
        <w:rPr>
          <w:b/>
        </w:rPr>
        <w:t>Shared claim-specific concepts:</w:t>
      </w:r>
      <w:r>
        <w:t xml:space="preserve"> rate, show, process, compared; EU scope not established. This is a provisional connection, not an outcome finding.</w:t>
      </w:r>
    </w:p>
    <w:p>
      <w:pPr>
        <w:pStyle w:val="SourceNote"/>
      </w:pPr>
      <w:r>
        <w:rPr>
          <w:b/>
        </w:rPr>
        <w:t>Available abstract (not full text):</w:t>
      </w:r>
      <w:r>
        <w:t xml:space="preserve"> Protected cultivation systems such as greenhouses are becoming increasingly popular globally and have been adopted because of unpredictable climatic conditions and their ability to easily control micro- and macroenvironments. However, limitations such as hazardous work environments and shortages in labor are major concerns for agricultural production using these structures. This has led to the development and adoption of robotic systems. For the efficient use of robots in protected cultivation systems, we formulate the work efficiency problem and model a three-dimensional standard strawberry greenhouse to analyze the effectiveness of a strawberry-harvesting robot compared to different levels of human workforce (experienced, average, and beginner). Simulations are conducted using Quest software to compare the efficiency of different scenarios of robotics to humans. Different methods of improvement from battery capacity and charge rate to harvesting speed are investigated and optimal conditions are recommended. The average hourly production of the robot is about five times lower than that of skilled workers. However, robots are more productive due to their ability to work around the clock. Comparative analyses show that a reduction in harvesting time per strawberry from 3 to 1 s would result in an increase in daily production from 347.93 to 1021.30 kg. This would lead to a five-f</w:t>
      </w:r>
    </w:p>
    <w:p>
      <w:pPr/>
      <w:r>
        <w:rPr>
          <w:b/>
        </w:rPr>
        <w:t>POSSIBLE 2020:</w:t>
      </w:r>
      <w:r>
        <w:t xml:space="preserve"> Nutrient delivery efficiency of a combined sewer along a lake challenged by incipient eutrophication — https://doi.org/10.1016/j.watres.2020.116727</w:t>
      </w:r>
    </w:p>
    <w:p>
      <w:pPr/>
      <w:r>
        <w:rPr>
          <w:b/>
        </w:rPr>
        <w:t>Shared claim-specific concepts:</w:t>
      </w:r>
      <w:r>
        <w:t xml:space="preserve"> show, incipient, although; EU scope not established. This is a provisional connection, not an outcome finding.</w:t>
      </w:r>
    </w:p>
    <w:p>
      <w:pPr>
        <w:pStyle w:val="SourceNote"/>
      </w:pPr>
      <w:r>
        <w:rPr>
          <w:b/>
        </w:rPr>
        <w:t>Available abstract (not full text):</w:t>
      </w:r>
      <w:r>
        <w:t xml:space="preserve"> Although sewage diversion outside of a lake's watershed is now ordinary practice in the restoration of eutrophic lakes, often the observed recovery is slower than expected and the internal load from the lake anoxic sediments is identified as a possible reason. However, in the case of combined sewer, the quantification of the residual nutrient load discharged from sewer spillways must also be questioned. In this paper, the diversion efficiency of the sewer system along the east coast of Lake Iseo, a prealpine Italian lake where eutrophication effects are still severe, is investigated. To this purpose, a representative part of the sewer system was modelled by PCSWMM and calibrated by using an extensive series of discharge measurements. Water quality monitoring during wet weather periods reveals that the first flush is common in tributary sewers, whereas it is absent along the main collector. Moreover, flow discharges are strongly affected by infiltration waters, which are controlled by the lake water level. The calibrated model, including infiltration modeling, was used to assess the annual overflow volumes and the nutrient load through a continuous 10-year simulation. Simulations were conducted both with regard to the current conditions and to a climate change scenario. Results show that the discharged residual load is at least 7 times larger than the design value, with the wate</w:t>
      </w:r>
    </w:p>
    <w:p>
      <w:pPr/>
      <w:r>
        <w:rPr>
          <w:b/>
        </w:rPr>
        <w:t>POSSIBLE 2019:</w:t>
      </w:r>
      <w:r>
        <w:t xml:space="preserve"> Estimating Sustainable Harvest Rates for European Hare (Lepus Europaeus) Populations — https://doi.org/10.3390/su11102837</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Hunting quotas are used to manage populations of game species in order to ensure sustainable exploitation. However, unpredictable climatic events may interact with hunting. We established a population model for European hares (Lepus europaeus) in Lower Austria. We compared the sustainability of voluntary quotas used by hunters—which are derived from hare-specific guidelines—with the actual numbers of hares shot and our recommended quotas for hares, which have been derived from climate and population modeling. We used population modeling based on vital rates and densities to adjust our recommended quotas in order to achieve sustainable harvest. The survival of age classes 1 and 3 had the highest impact on the population growth rate. Population viability analysis showed that a recommended quota with a harvest rate of 10% was sustainable for population densities of 45 hares/km2, and that the threshold for hunting should be raised from 10 hares/km2 so that hare populations with &lt;15 hares/km2 are not hunted. The recommended quota outperformed the voluntary hunting quota, since more hares could be harvested sustainably. Age Class 1 survival was strongly linked with weather: a single year with unfavorable weather conditions (low precipitation) negatively affected population densities. Game species, including the European hare, face increasingly frequent weather extremes due to climate</w:t>
      </w:r>
    </w:p>
    <w:p>
      <w:pPr/>
      <w:r>
        <w:rPr>
          <w:b/>
        </w:rPr>
        <w:t>POSSIBLE 2019:</w:t>
      </w:r>
      <w:r>
        <w:t xml:space="preserve"> Harvest assessment for Taiga bean geese in the Central Management Unit: 2019 — https://openalex.org/W2963762313</w:t>
      </w:r>
    </w:p>
    <w:p>
      <w:pPr/>
      <w:r>
        <w:rPr>
          <w:b/>
        </w:rPr>
        <w:t>Shared claim-specific concepts:</w:t>
      </w:r>
      <w:r>
        <w:t xml:space="preserve"> constant, harvest, rate, compared; EU scope visible. This is a provisional connection, not an outcome finding.</w:t>
      </w:r>
    </w:p>
    <w:p>
      <w:pPr>
        <w:pStyle w:val="SourceNote"/>
      </w:pPr>
      <w:r>
        <w:rPr>
          <w:b/>
        </w:rPr>
        <w:t>Available abstract (not full text):</w:t>
      </w:r>
      <w:r>
        <w:t xml:space="preserve"> In 2016 the European Goose Management International Working Group (EGM IWG) began development of an Adaptive Harvest Management (AHM) program for Taiga Bean Geese.In 2017, the IWG adopted an Interim Harvest Strategy consisting of a constant harvest rate (on adults) of 3% for the Central Management Unit (MU) of Taiga Bean Geese.The interim strategy is intended to provide limited hunting opportunity while rebuilding the population.Based on a January count of 41,927, the harvest quota for the 2019 hunting season is 1,740 Taiga Bean Geese (compared to 2,335 and 1,610 for the 2017 and 2018 seasons, respectively).We emphasize that these quotas include both, harvest during the regular season and derogation shooting.Going forward, we describe how an Integrated Population Model (IPM) will use counts at multiple times during the year, along with other demographic information, to estimate population size (and its precision).The IPM can be used to develop an adaptive harvest strategy if unambiguous management objectives can be agreed upon.We provide some initial guidance for formulating those objectives.1 This draft report is distributed solely for purposes of courtesy review and comments received will be addressed and treated as appropriate to ensure there is no conflict of interest.Its content is deliberative and pre-decisional, so it must not be disclosed or released by reviewers.Becaus</w:t>
      </w:r>
    </w:p>
    <w:p>
      <w:pPr/>
      <w:r>
        <w:rPr>
          <w:b/>
        </w:rPr>
        <w:t>POSSIBLE 2018:</w:t>
      </w:r>
      <w:r>
        <w:t xml:space="preserve"> Harvesting the Commons — https://doi.org/10.1007/s10640-018-0221-4</w:t>
      </w:r>
    </w:p>
    <w:p>
      <w:pPr/>
      <w:r>
        <w:rPr>
          <w:b/>
        </w:rPr>
        <w:t>Shared claim-specific concepts:</w:t>
      </w:r>
      <w:r>
        <w:t xml:space="preserve"> harvest, rate, findings, compared, historical; EU scope not established. This is a provisional connection, not an outcome finding.</w:t>
      </w:r>
    </w:p>
    <w:p>
      <w:pPr>
        <w:pStyle w:val="SourceNote"/>
      </w:pPr>
      <w:r>
        <w:rPr>
          <w:b/>
        </w:rPr>
        <w:t>Available abstract (not full text):</w:t>
      </w:r>
      <w:r>
        <w:t xml:space="preserve"> We study a socio-ecological model in which a continuum of consumers harvest a common property renewable natural resource. Markov perfect Nash equilibria of the corresponding non-cooperative game are derived and are compared with collectively optimal harvesting policies. The underlying mechanisms that drive open-access commons in our model are shaped by population size, harvesting costs, and the ecosystem’s productivity. If other things equal population is small relative to harvesting costs, unmanaged commons do not face destruction. More strikingly, they are harvested at the collectively optimal rate. Property rights do not matter in that parametric regime because the resource has no social scarcity value. However, if other things equal population is large relative to harvesting costs, open-access renewable natural resources suffer from the tragedy of the commons. Property rights matter there because the resource has a social scarcity price. The population size relative to harvesting costs at which the socio-ecological system bifurcates is an increasing function of the ecosystem’s productivity. A sudden crash in productivity, population overshoot, or decline in harvesting costs can tip an unmanaged common into ruin. The model provides a way to interpret historical and archaeological findings on the collapse of those societies that have been studied by scholars.</w:t>
      </w:r>
    </w:p>
    <w:p>
      <w:pPr>
        <w:pStyle w:val="Heading2"/>
      </w:pPr>
      <w:r>
        <w:t>806.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r>
        <w:rPr>
          <w:b/>
        </w:rPr>
        <w:t>POSSIBLE 2019:</w:t>
      </w:r>
      <w:r>
        <w:t xml:space="preserve"> Overview of the DEMO staged design approach in Europe — https://doi.org/10.1088/1741-4326/ab1178</w:t>
      </w:r>
    </w:p>
    <w:p>
      <w:pPr/>
      <w:r>
        <w:rPr>
          <w:b/>
        </w:rPr>
        <w:t>Shared claim-specific concepts:</w:t>
      </w:r>
      <w:r>
        <w:t xml:space="preserve"> approach, industry, main;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r>
        <w:rPr>
          <w:b/>
        </w:rPr>
        <w:t>POSSIBLE 2018:</w:t>
      </w:r>
      <w:r>
        <w:t xml:space="preserve"> Adopting a models-based approach to teaching physical education — https://doi.org/10.1080/17408989.2018.1429588</w:t>
      </w:r>
    </w:p>
    <w:p>
      <w:pPr/>
      <w:r>
        <w:rPr>
          <w:b/>
        </w:rPr>
        <w:t>Shared claim-specific concepts:</w:t>
      </w:r>
      <w:r>
        <w:t xml:space="preserve"> approach, key, value; EU scope not established. This is a provisional connection, not an outcome finding.</w:t>
      </w:r>
    </w:p>
    <w:p>
      <w:pPr>
        <w:pStyle w:val="SourceNote"/>
      </w:pPr>
      <w:r>
        <w:rPr>
          <w:b/>
        </w:rPr>
        <w:t>Available abstract (not full text):</w:t>
      </w:r>
      <w:r>
        <w:t xml:space="preserve"> Background: The popularised notion of models-based practice (MBP) is one that focuses on the delivery of a model, e.g. Cooperative Learning, Sport Education, Teaching Personal and Social Responsibility, Teaching Games for Understanding. Indeed, while an abundance of research studies have examined the delivery of a single model and some have explored hybrid models, few have sought to meaningfully and purposefully connect different models in a school's curriculum (see Kirk, D. 2013. ‘Educational Value and Models-based Practice in Physical Education.’ Educational Philosophy and Theory 45 (9): 973–986.; Lund, J., and D. Tannehill. 2015. Standards-based Physical Education Curriculum Development. 3rd ed. Burlington, MA: Jones &amp; Bartlett.; Quay, J., and J. Peters. 2008. ‘Skills, Strategies, Sport, and Social Responsibility: Reconnecting Physical Education.’ Journal of Curriculum Studies 40 (5): 601–626.). Significantly none, to date, have empirically investigated broader notions of MBP that make use of a range of different pedagogical models in/through the PE curriculum (Kirk, D. 2013. ‘Educational Value and Models-based Practice in Physical Education.’ Educational Philosophy and Theory 45 (9): 973–986.).Aim: To provide a first empirical insight into using a MBP approach involving several models to teach physical education. At its heart, this paper presents the reader with the realist</w:t>
      </w:r>
    </w:p>
    <w:p>
      <w:pPr/>
      <w:r>
        <w:rPr>
          <w:b/>
        </w:rPr>
        <w:t>POSSIBLE 2018:</w:t>
      </w:r>
      <w:r>
        <w:t xml:space="preserve"> Unintended Side Effects of the Digital Transition: European Scientists’ Messages from a Proposition-Based Expert Round Table — https://doi.org/10.3390/su10062001</w:t>
      </w:r>
    </w:p>
    <w:p>
      <w:pPr/>
      <w:r>
        <w:rPr>
          <w:b/>
        </w:rPr>
        <w:t>Shared claim-specific concepts:</w:t>
      </w:r>
      <w:r>
        <w:t xml:space="preserve"> key, industry, value, expert, main; EU scope visible. This is a provisional connection, not an outcome finding.</w:t>
      </w:r>
    </w:p>
    <w:p>
      <w:pPr>
        <w:pStyle w:val="SourceNote"/>
      </w:pPr>
      <w:r>
        <w:rPr>
          <w:b/>
        </w:rPr>
        <w:t>Available abstract (not full text):</w:t>
      </w:r>
      <w:r>
        <w:t xml:space="preserve"> We present the main messages of a European Expert Round Table (ERT) on the unintended side effects (unseens) of the digital transition. Seventeen experts provided 42 propositions from ten different perspectives as input for the ERT. A full-day ERT deliberated communalities and relationships among these unseens and provided suggestions on (i) what the major unseens are; (ii) how rebound effects of digital transitioning may become the subject of overarching research; and (iii) what unseens should become subjects of transdisciplinary theory and practice processes for developing socially robust orientations. With respect to the latter, the experts suggested that the “ownership, economic value, use and access of data” and, related to this, algorithmic decision-making call for transdisciplinary processes that may provide guidelines for key stakeholder groups on how the responsible use of digital data can be developed. A cluster-based content analysis of the propositions, the discussion and inputs of the ERT, and a theoretical analysis of major changes to levels of human systems and the human–environment relationship resulted in the following greater picture: The digital transition calls for redefining economy, labor, democracy, and humanity. Artificial Intelligence (AI)-based machines may take over major domains of human labor, reorganize supply chains, induce platform economics, and</w:t>
      </w:r>
    </w:p>
    <w:p>
      <w:pPr>
        <w:pStyle w:val="Heading2"/>
      </w:pPr>
      <w:r>
        <w:t>807.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2021:</w:t>
      </w:r>
      <w:r>
        <w:t xml:space="preserve"> Marine Citizen Science: Current State in Europe and New Technological Developments — https://doi.org/10.3389/fmars.2021.621472</w:t>
      </w:r>
    </w:p>
    <w:p>
      <w:pPr/>
      <w:r>
        <w:rPr>
          <w:b/>
        </w:rPr>
        <w:t>Shared claim-specific concepts:</w:t>
      </w:r>
      <w:r>
        <w:t xml:space="preserve"> based, current, state, project; EU scope visible. This is a provisional connection, not an outcome finding.</w:t>
      </w:r>
    </w:p>
    <w:p>
      <w:pPr>
        <w:pStyle w:val="SourceNote"/>
      </w:pPr>
      <w:r>
        <w:rPr>
          <w:b/>
        </w:rPr>
        <w:t>Available abstract (not full text):</w:t>
      </w:r>
      <w:r>
        <w:t xml:space="preserve"> Marine citizen science is emerging with promising opportunities for science, policy and public but there is still no comprehensive overview of the current state in Europe. Based on 127 projects identified for the North Sea area we estimate there might be as much as 500 marine and coastal citizen science projects running in Europe, i.e., one marine citizen science project per ∼85 km of coastline, with an exponential growth since 1990. Beach-based projects are more accessible and hence most popular (60% of the projects), and the mean duration of the projects is 18–20 years. Current trends, topics, organizers, aims, and types of programme in terms of participation are presented in this overview. Progress in marine citizen science is specially enabled and promoted through technological developments. Recent technological advances and best practise examples are provided here, untapping the potential of smart mobile apps, do-it-yourself (DIY) technologies, drones, and artificial intelligence (AI) web services.</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2021:</w:t>
      </w:r>
      <w:r>
        <w:t xml:space="preserve"> Accuracy of European Stock Target Prices — https://doi.org/10.3390/jrfm14090443</w:t>
      </w:r>
    </w:p>
    <w:p>
      <w:pPr/>
      <w:r>
        <w:rPr>
          <w:b/>
        </w:rPr>
        <w:t>Shared claim-specific concepts:</w:t>
      </w:r>
      <w:r>
        <w:t xml:space="preserve"> based, current, stock; EU scope visible. This is a provisional connection, not an outcome finding.</w:t>
      </w:r>
    </w:p>
    <w:p>
      <w:pPr>
        <w:pStyle w:val="SourceNote"/>
      </w:pPr>
      <w:r>
        <w:rPr>
          <w:b/>
        </w:rPr>
        <w:t>Available abstract (not full text):</w:t>
      </w:r>
      <w:r>
        <w:t xml:space="preserve"> Equity researches are conducted by professionals, who also provide buy/hold/sell recommendations to investors. Nowadays, target prices determined by financial analysts are publicly available to investors, who may decide to use them for investment purposes. Studying the accuracy of such analysts' forecasts is, thus, of paramount importance. Based upon empirical data on 50 of the biggest (larger capitalisation) European stocks over a 15 year period, from 2004 to 2019 and using a panel data approach, this is the first study looking at overall accuracy in European stock markets. We find that Bloomberg's 12-month consensus target prices have no predictive over future market prices. Panel results are robust to company fixed effects and sub-period analysis. These results are in line with the (mostly US-based) evidence in the literature. Extending common practice, we perform a comparative accuracy analysis, comparing the accuracy of target prices with that of simple capitalisations of current prices. It turns out target prices are not better in forecasting, than simple capitalisations. More interestingly, by analysing also the relationship between both measures – target prices and capitalised prices – we find evidence that capitalised prices partially explain how target prices are determined. Even when considering individual regressions, accuracy is still very low, but varies considera</w:t>
      </w:r>
    </w:p>
    <w:p>
      <w:pPr/>
      <w:r>
        <w:rPr>
          <w:b/>
        </w:rPr>
        <w:t>POSSIBLE 2020:</w:t>
      </w:r>
      <w:r>
        <w:t xml:space="preserve"> Current state of perinatal postmortem magnetic resonance imaging: European Society of Paediatric Radiology questionnaire-based survey and recommendations — https://doi.org/10.1007/s00247-020-04905-9</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Postmortem magnetic resonance imaging (MRI) in perinatal and childhood deaths is increasingly used as a noninvasive adjunct or alternative to autopsy. Imaging protocols vary between centres and consensus guidelines do not exist. OBJECTIVE: Our aim was to develop practical, standardised recommendations for perinatal postmortem MRI. MATERIALS AND METHODS: Recommendations were based on the results of two surveys regarding local postmortem MRI practices sent electronically to all 14 members of the European Society of Paediatric Radiology (ESPR) Postmortem Imaging Task Force and 17 members of the International Society of Forensic Radiology and Imaging Task Force (25 different centres). RESULTS: Overall, 11/14 (78.6%) respondents from different institutions perform postmortem MRI. All of these centres perform postmortem MRI for perinatal and neonatal deaths, but only 6/11 (54.5%) perform imaging in older children. CONCLUSION: We propose a clinical standard for postmortem MRI sequences plus optional sequences for neuroimaging and cardiac anatomy depending on available scanning time and referral indications.</w:t>
      </w:r>
    </w:p>
    <w:p>
      <w:pPr/>
      <w:r>
        <w:rPr>
          <w:b/>
        </w:rPr>
        <w:t>POSSIBLE 2020:</w:t>
      </w:r>
      <w:r>
        <w:t xml:space="preserve"> How to finance the transition to low-carbon energy in Europe? — https://doi.org/10.1016/j.enpol.2020.111863</w:t>
      </w:r>
    </w:p>
    <w:p>
      <w:pPr/>
      <w:r>
        <w:rPr>
          <w:b/>
        </w:rPr>
        <w:t>Shared claim-specific concepts:</w:t>
      </w:r>
      <w:r>
        <w:t xml:space="preserve"> based, current, stock, role; EU scope visible. This is a provisional connection, not an outcome finding.</w:t>
      </w:r>
    </w:p>
    <w:p>
      <w:pPr>
        <w:pStyle w:val="SourceNote"/>
      </w:pPr>
      <w:r>
        <w:rPr>
          <w:b/>
        </w:rPr>
        <w:t>Available abstract (not full text):</w:t>
      </w:r>
      <w:r>
        <w:t xml:space="preserve"> In this paper, we use standard scenarios focussing on renewable energy, energy efficiency and grid investments. We take stock of the literature and quantitative data on available sources of financing for clean energy to qualitatively match supply and demand of specific sources of finance in the European context. Our analysis shows that under the current investment mandates and lending criteria the required funds for a successful energy transition are available. In fact, the current landscape of financing sources can provide between two and six times what is necessary. However, institutional investors and lenders such as pension funds and banks in particular are reluctant to invest in the renewable energy or grid infrastructure because of expected (policy) discontinuities. In addition, more venture capital and household investment are needed to finance low-risk small-ticket projects in the early stages of innovative clean energy technologies, to complement the abundantly available funds for large-scale investments. Based on our analysis, we develop a matrix indicating the role and availability of different sources of finance and new intermediation channels in the energy transition and how these should be deployed.</w:t>
      </w:r>
    </w:p>
    <w:p>
      <w:pPr/>
      <w:r>
        <w:rPr>
          <w:b/>
        </w:rPr>
        <w:t>POSSIBLE 2019:</w:t>
      </w:r>
      <w:r>
        <w:t xml:space="preserve"> BASED ON MATERIALS FROM THE 28TH CONGRESS OF THE EUROPEAN ACADEMY OF DERMATOLOGY AND VENEREOLOGY, OCTOBER 9-13, 2019, MADRID, VITILIGO, SPAIN. THE CURRENT STATE OF THE PROBLEM — https://doi.org/10.17816/dv42948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Unavailable</w:t>
      </w:r>
    </w:p>
    <w:p>
      <w:pPr>
        <w:pStyle w:val="Heading2"/>
      </w:pPr>
      <w:r>
        <w:t>808.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r>
        <w:rPr>
          <w:b/>
        </w:rPr>
        <w:t>POSSIBLE 2023:</w:t>
      </w:r>
      <w:r>
        <w:t xml:space="preserve"> Working Conditions in Legal Aid — https://doi.org/10.5040/9781509957835.ch-004</w:t>
      </w:r>
    </w:p>
    <w:p>
      <w:pPr/>
      <w:r>
        <w:rPr>
          <w:b/>
        </w:rPr>
        <w:t>Shared claim-specific concepts:</w:t>
      </w:r>
      <w:r>
        <w:t xml:space="preserve"> aid, informed; EU scope visible. This is a provisional connection, not an outcome finding.</w:t>
      </w:r>
    </w:p>
    <w:p>
      <w:pPr>
        <w:pStyle w:val="SourceNote"/>
      </w:pPr>
      <w:r>
        <w:rPr>
          <w:b/>
        </w:rPr>
        <w:t>Available abstract (not full text):</w:t>
      </w:r>
      <w:r>
        <w:t xml:space="preserve"> Robert K Merton , ' On Sociological Th eories of the Middle Range ' , in Robert K Merton , On Th eoretical Sociology: Five Essays, Old and New ( Free Press , 1967 ) as cited by Martha A Fineman , ' Vulnerability and Social Justice ' ( 2019 ) 53 Valparaiso University Law Review 341 .18 Of course, it is entirely possible to consider the working conditions of legal aid lawyers through the kind of grand theory that is the apotheosis of a middle range theory.For example, Newman (2016) has elsewhere considered criminal legal aid lawyers applying perhaps the most famous grand theory of all, Marx and Engels ' historical materialism, particularly drawing out the notion of alienation.Powerful as a grand theory approach such as Marxism might be in providing impactful accounts of the issues faced by these lawyers in their practice, this chapter is informed by an approach that foregrounds the experiences of the lawyers to help give a fl avour of the reality of their working conditions.In doing so, it is hoped that an understanding of this lived reality will be valuable in informing broader debates, both later in this book and more widely amongst those who read it.See further Daniel Newman , ' Are Lawyers Alienated Workers ?' ( 2016 ) 22 European Journal of Current Legal Issues 1 .However, they go on to note that: Austerity justice under-funding key institutions such as the police and legal </w:t>
      </w:r>
    </w:p>
    <w:p>
      <w:pPr/>
      <w:r>
        <w:rPr>
          <w:b/>
        </w:rPr>
        <w:t>POSSIBLE 2023:</w:t>
      </w:r>
      <w:r>
        <w:t xml:space="preserve"> The Ethics of Food Aid and Famine Relief — https://doi.org/10.1093/oso/9780197744727.003.0004</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Abstract Peter Singer’s 1972 article “Famine, Affluence and Morality” set the stage for philosophical debate over food security and international development policy for a half century. Paired with articles criticizing the impact of food aid programs, philosophy professors approached the problem in terms of whether better-off people have an obligation to give aid. Though initially focused on food aid, the trend has been to subsume Singer’s original focus on famine relief with a more general emphasis on ending poverty. These analyses ignore aspects of hunger that are ethically significant, as well as facts about the structure and operation of international assistance operations and their use of agricultural commodities. As argued in From Field to Fork, food aid can be damaging to local producers, who are often among the most vulnerable members of their respective societies. However, this does not subvert Singer’s original argument, which was focused on a food emergency, rather than poverty relief. Indeed, we should maintain Singer’s early focus on food, supporting food aid in response to both natural and human-caused emergencies. Programs to promote economic and social development are more complex and must be subjected to more extensive and empirically informed ethical analysis.</w:t>
      </w:r>
    </w:p>
    <w:p>
      <w:pPr/>
      <w:r>
        <w:rPr>
          <w:b/>
        </w:rPr>
        <w:t>POSSIBLE 2023:</w:t>
      </w:r>
      <w:r>
        <w:t xml:space="preserve"> The Feasibility and Impact of a Computer-Aided Genetics Education Module in an Obstetrics Clinic: A Randomized Controlled Trial — https://doi.org/10.1080/19325037.2023.2209616</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Rapid advances in prenatal genetic testing highlight the need for technology-based tools to assist in informed decision-making.Purpose This study evaluates the feasibility, acceptability, and efficacy of a Computer-Aided Genetics Education Module (CAGEM) as an e-counseling tool and decision aid in a busy obstetric clinic among a socially disadvantaged patient population.Methods A randomized controlled trial with patients randomized (1:1) to receive the intervention in addition to standard of care or standard of care only. Participants responded to pre- and posttest questionnaires.Results Although limited in recruitment by the COVID-19 pandemic, this tool scored 81.0% acceptability and 91.0% feasibility among 88 participants. No statistically significant difference was detected between the overall improvement in knowledge scores and the total posttest knowledge scores among the intervention and control groups. However, the intervention group scored significantly higher on the posttest questions regarding NIPT interpretation (61.7 ± 49.1 vs 80.9 ± 39.8, p = .049), Down syndrome (78.7 ± 41.4 vs 93.6 ± 24.7, p = .016), and inheritance of recessive conditions (59.6 ± 49.6 vs 91.4 ± 28.2, p &lt; .001). The intervention group also showed a greater improvement in knowledge scores for inheritance of recessive conditions (31.9 ± 8.1 vs 0 ± 7.8, p = .006) and a protective effect i</w:t>
      </w:r>
    </w:p>
    <w:p>
      <w:pPr/>
      <w:r>
        <w:rPr>
          <w:b/>
        </w:rPr>
        <w:t>POSSIBLE 2023:</w:t>
      </w:r>
      <w:r>
        <w:t xml:space="preserve"> A feasibility study of psychological first aid as a supportive intervention among police officers exposed to traumatic events — https://doi.org/10.3389/fpsyg.2023.1149597</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Introduction: Police officers are often exposed to traumatic events, which can induce psychological distress and increase the risk of developing post-traumatic stress injuries. To date, little is known about support and prevention of traumatic events in police organizations. Psychological first aid (PFA) has been promoted as a promising solution to prevent psychological distress following exposure to a traumatic event. However, PFA has not yet been adapted to policing reality, let alone to the frequent exposure to traumatic events faced by this population. This study aimed to evaluate the feasibility of PFA as an early intervention for the prevention of post-traumatic stress injuries among police officers in Quebec, Canada. Specifically, the objectives were to evaluate: (1) the demand. (2) the practicality, and (3) the acceptability of PFA in a police organization. Methods: = 6). Interviews were transcribed, coded, and evaluated according to a thematic analysis. Results: Eleven themes emerged from participants' responses. Results suggested that PFA met individual and organizational needs. References were also made regarding the impacts of this intervention. Moreover, participants provided feedback for improving the implementation and sustainability of a PFA program. All three groups of participants shared similar thematic content. Discussion: Findings revealed that implementati</w:t>
      </w:r>
    </w:p>
    <w:p>
      <w:pPr/>
      <w:r>
        <w:rPr>
          <w:b/>
        </w:rPr>
        <w:t>POSSIBLE 2022:</w:t>
      </w:r>
      <w:r>
        <w:t xml:space="preserve"> Feasibility of Adding Twitter Data to Aid Drought Depiction: Case Study in Colorado — https://doi.org/10.3390/w14182773</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Abstract The use of social media, such as Twitter, has changed the information landscape for citizens participation in crisis response and recovery activities. Given that drought progression is slow and also spatially extensive, an interesting set of questions arise: How the usage of Twitter by a large population may change during the development of a major drought alongside how changing usage promotes drought detection? For this reason, by investigating contemporary procedures, this paper scrutinizes the potential to advance drought depiction. Hence, an analysis of how social media data, in conjunction with meteorological records, was conducted towards improvement in the detection of drought and furthermore, its progression. The research utilized machine learning techniques applied over satellite-derived drought conditions in Colorado. Specifically, 3 different machine learning techniques were examined: the generalized linear model, support vector machines and deep learning, each applied to test the integration of Twitter data with meteorological records as a predictor of drought development. It is maintained that the data integration of resources is viable given that the Twitter-based model outperformed the control run which did not include social media input. Furthermore the Twitter-based model was superior in predicting drought severity.</w:t>
      </w:r>
    </w:p>
    <w:p>
      <w:pPr/>
      <w:r>
        <w:rPr>
          <w:b/>
        </w:rPr>
        <w:t>POSSIBLE 2021:</w:t>
      </w:r>
      <w:r>
        <w:t xml:space="preserve"> Feasibility of a screening tool for sex trafficking in an adult emergency department — https://doi.org/10.1111/acem.14313</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Human trafficking (HT) is a human rights violation and public health issue. People with a history of HT are likely to see a physician during their exploitation. A screening tool was developed and implemented in a busy urban emergency department (ED) to aid in the identification of this population. OBJECTIVE: The objective was to retrospectively assess a HT screening tool implemented in an urban ED and evaluate the feasibility of the tool as a component of standard emergency care. METHODS: This was a retrospective observational study conducted at an urban adult ED after the implementation of an original 11-item HT screening tool. Adult patients 18 years and older were screened based on high-risk chief complaints, "red flag" risk factors, or provider gestalt. All patients with a positive screen were offered the opportunity to speak to a social worker, who then determined the patients' likely trafficking status. Data analysis was performed on this group of patients. RESULTS: A total of 26,974 patients were screened in the ED during 2019. Of these patients, 189 of them had a positive screen. A total of 37 patients were confirmed to have a likely sex trafficking status based on the federal definition. Eight of these patients elected to go to a community partner safe house. Positive responses to eight of the questions were significantly associated with likely sex traffick</w:t>
      </w:r>
    </w:p>
    <w:p>
      <w:pPr/>
      <w:r>
        <w:rPr>
          <w:b/>
        </w:rPr>
        <w:t>POSSIBLE 2021:</w:t>
      </w:r>
      <w:r>
        <w:t xml:space="preserve"> Clinicians’ Perspectives About the Feasibility and Effectiveness of Using Telemedicine in First Aid: A Qualitative Study — https://doi.org/10.2147/ijgm.s314901</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OBJECTIVE: This study investigated clinicians' perspectives on the feasibility and effectiveness of using telemedicine in the context of providing first aid. It is crucial to identify and explore clinicians' attitudes and awareness of tele-first-aid in China to keep pace with ongoing global trends. DESIGN: This was a qualitative study. Data gathered from in-depth interviews with 22 clinicians were coded into themes and analyzed. PARTICIPANTS: Participants included hospital-based clinicians: four clinical specialists, eight emergency nurses, four emergency doctors, three general practitioners, and three clinical administrators. SETTING: The study was conducted in university-affiliated hospitals. RESULTS: All clinicians who were invited to participate believed that the use of telemedicine in first aid was promising and effective. Participants stated that relevant technology should be designed to synergize the chain of existing platforms in the industry and that it should be determined who has the authority to utilize such technology and how it should be used to achieve the sought-after benefits. The use of such technology refreshes the role of clinicians and their relationship with patients. Additionally, participants believed that the government could play an important role especially in the reform of medical systems. CONCLUSION: Telemedicine can facilitate the provision of conv</w:t>
      </w:r>
    </w:p>
    <w:p>
      <w:pPr/>
      <w:r>
        <w:rPr>
          <w:b/>
        </w:rPr>
        <w:t>POSSIBLE 2021:</w:t>
      </w:r>
      <w:r>
        <w:t xml:space="preserve"> Clinicians’ Perspectives About the Feasibility and Effectiveness of Using Telemedicine in First Aid: A Qualitative Study — https://openalex.org/W4388786567</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Xiaoqun Fang,1 Shulei Jia,2 Qiuyan Wang,1 Hui-fang Liu,1 Yumei Zhou,1 Lingling Zhang,1 Tanghua Dai,1 Hui Luo,1 Hui Peng,1 Jun Yuan,2 Huyan Zhou2 1Department of Rehabilitation Medicine, The Second Affiliated Hospital of Nanchang University, Nanchang, 330006, People’s Republic of China; 2School of Nursing, Nanchang University, Nanchang, 330006, People’s Republic of ChinaCorrespondence: Shulei JiaSchool of Nursing, Nanchang University, No. 461 of Ba Yi Road, Donghu District, Nanchang, 330006, People’s Republic of ChinaTel +86 1579 786 1504Fax +86 791 86360530Email jiashulei2021@163.comObjective: This study investigated clinicians’ perspectives on the feasibility and effectiveness of using telemedicine in the context of providing first aid. It is crucial to identify and explore clinicians’ attitudes and awareness of tele-first-aid in China to keep pace with ongoing global trends.Design: This was a qualitative study. Data gathered from in-depth interviews with 22 clinicians were coded into themes and analyzed.Participants: Participants included hospital-based clinicians: four clinical specialists, eight emergency nurses, four emergency doctors, three general practitioners, and three clinical administrators.Setting: The study was conducted in university-affiliated hospitals.Results: All clinicians who were invited to participate believed that the use of telemedicine in first aid was </w:t>
      </w:r>
    </w:p>
    <w:p>
      <w:pPr>
        <w:pStyle w:val="Heading2"/>
      </w:pPr>
      <w:r>
        <w:t>809.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r>
        <w:rPr>
          <w:b/>
        </w:rPr>
        <w:t>POSSIBLE 2022:</w:t>
      </w:r>
      <w:r>
        <w:t xml:space="preserve"> The Politics Of Infrastructural Provision in Rural Areas of Oyo State Nigeria — https://doi.org/10.57054/asr.v26i1.3992</w:t>
      </w:r>
    </w:p>
    <w:p>
      <w:pPr/>
      <w:r>
        <w:rPr>
          <w:b/>
        </w:rPr>
        <w:t>Shared claim-specific concepts:</w:t>
      </w:r>
      <w:r>
        <w:t xml:space="preserve"> infrastructure, provision, over; EU scope not established. This is a provisional connection, not an outcome finding.</w:t>
      </w:r>
    </w:p>
    <w:p>
      <w:pPr>
        <w:pStyle w:val="SourceNote"/>
      </w:pPr>
      <w:r>
        <w:rPr>
          <w:b/>
        </w:rPr>
        <w:t>Available abstract (not full text):</w:t>
      </w:r>
      <w:r>
        <w:t xml:space="preserve"> Over the years, rural service delivery is often subjected to political players and less of the rural public interest. The study examined rural people experiences of local government rural LGAs of Oyo state, Nigeria. The concept of governance provides the conceptual balance for this study. The study made use of a mixed approach for data collection, qualitative and quantitative tools of questionnaire and in-depth interview respectively. Two hundred and fifty (250) rural households across six (6) LGAs were administered questionnaire randomly from the purposively identified rural local government areas. Study revealed that infrastructure politicking is a challenge that limits sustainable rural facility delivery. This is because infrastructures such as water infrastructure, school buildings and drainage construction were provided based on political affiliation. Over half of the respondents consider rural governance not to be participatory and inclusive towards rural development. The study recommends that democratic local government autonomy remains the feasible and responsive solution to efficient service delivery in the local space.</w:t>
      </w:r>
    </w:p>
    <w:p>
      <w:pPr/>
      <w:r>
        <w:rPr>
          <w:b/>
        </w:rPr>
        <w:t>POSSIBLE 2021:</w:t>
      </w:r>
      <w:r>
        <w:t xml:space="preserve"> The sustainability of infrastructure provision of Montongsari Tourism Village Kendal — https://doi.org/10.1088/1755-1315/871/1/012010</w:t>
      </w:r>
    </w:p>
    <w:p>
      <w:pPr/>
      <w:r>
        <w:rPr>
          <w:b/>
        </w:rPr>
        <w:t>Shared claim-specific concepts:</w:t>
      </w:r>
      <w:r>
        <w:t xml:space="preserve"> infrastructure, provision, improving; EU scope not established. This is a provisional connection, not an outcome finding.</w:t>
      </w:r>
    </w:p>
    <w:p>
      <w:pPr>
        <w:pStyle w:val="SourceNote"/>
      </w:pPr>
      <w:r>
        <w:rPr>
          <w:b/>
        </w:rPr>
        <w:t>Available abstract (not full text):</w:t>
      </w:r>
      <w:r>
        <w:t xml:space="preserve"> Montongsari is one of the pilot tourism villages in the superior program of Kendal Regency to create village independence through tourism activities. However, the available infrastructure is still limited. This article aims to identify the sustainability of the provision of infrastructure as the main factor in tourism village development. Qualitative methods are used in this research, with data collection techniques through in-depth interviews and observation. In-depth interviews were carried out by asking village officials, and community leaders to gather information from tourism actors on the problems related to infrastructure and prioritizing infrastructure provision physically and spatially. Additionally, observations are conducted simultaneously to confirm the data. This research found that access to the tourism area is the most significant factor, followed by the provision of drainage to prevent flood hazards in tourist areas. The result also shows the strong role of community participation in the construction of bridges as the main access to improving the community's economy. The role and collaboration of stakeholders are needed in providing infrastructure to support the economic improvement of residents in the form of tourism activities.</w:t>
      </w:r>
    </w:p>
    <w:p>
      <w:pPr/>
      <w:r>
        <w:rPr>
          <w:b/>
        </w:rPr>
        <w:t>POSSIBLE 2021:</w:t>
      </w:r>
      <w:r>
        <w:t xml:space="preserve"> The state of play in electric vehicle charging services – A review of infrastructure provision, players, and policies — https://doi.org/10.1016/j.rser.2021.111733</w:t>
      </w:r>
    </w:p>
    <w:p>
      <w:pPr/>
      <w:r>
        <w:rPr>
          <w:b/>
        </w:rPr>
        <w:t>Shared claim-specific concepts:</w:t>
      </w:r>
      <w:r>
        <w:t xml:space="preserve"> infrastructure, provision, find, uptake; EU scope not established. This is a provisional connection, not an outcome finding.</w:t>
      </w:r>
    </w:p>
    <w:p>
      <w:pPr>
        <w:pStyle w:val="SourceNote"/>
      </w:pPr>
      <w:r>
        <w:rPr>
          <w:b/>
        </w:rPr>
        <w:t>Available abstract (not full text):</w:t>
      </w:r>
      <w:r>
        <w:t xml:space="preserve"> This paper reviews the market for electric vehicle (EV) charging infrastructure; it focuses on the types of existing charging, the main functions and actors in the market and the future policy actions required for widespread expansion. Electric vehicles represent a key technology in the mitigation of transportation greenhouse gas emissions and ambitious EV adoption targets have been set by many governments by 2030 and beyond. The rollout of EV charging infrastructure is vital in achieving this goal, as the uptake of EVs is linked to the level of coverage of EV chargers. To date, both the public and private sectors have been involved in the provision of charging stations and it is timely to consider the roles of the different actors in this market. We consider whether EV charging infrastructure is a public good or private asset and address the issues of the location of future chargers, the deployment models needed to develop, operate and own charging infrastructure, and finally the policy context for the development of charging infrastructure. We find that clear roles should be assigned to the individual public and private actors and funders, in order to achieve efficient development of the required infrastructure for large-scale EV deployment.</w:t>
      </w:r>
    </w:p>
    <w:p>
      <w:pPr/>
      <w:r>
        <w:rPr>
          <w:b/>
        </w:rPr>
        <w:t>POSSIBLE 2020:</w:t>
      </w:r>
      <w:r>
        <w:t xml:space="preserve"> INFRASTRUCTURE PROVISION OF THE AGRARIAN MARKET IN THE GLOBALIZED ENVIRONMENT — https://doi.org/10.30525/2256-0742/2019-5-5-39-46</w:t>
      </w:r>
    </w:p>
    <w:p>
      <w:pPr/>
      <w:r>
        <w:rPr>
          <w:b/>
        </w:rPr>
        <w:t>Shared claim-specific concepts:</w:t>
      </w:r>
      <w:r>
        <w:t xml:space="preserve"> infrastructure, provision; EU scope not established. This is a provisional connection, not an outcome finding.</w:t>
      </w:r>
    </w:p>
    <w:p>
      <w:pPr>
        <w:pStyle w:val="SourceNote"/>
      </w:pPr>
      <w:r>
        <w:rPr>
          <w:b/>
        </w:rPr>
        <w:t>Available abstract (not full text):</w:t>
      </w:r>
      <w:r>
        <w:t xml:space="preserve"> The main results of the research, which consist in determining the essence and features of the infrastructure provision of the agrarian market in the globalized environment, are formed. The priority of approaches in the development of logistics activities in the context of guaranteeing food security of regions and countries of the world is determined. The essence of the logistic process, strengthening the influence of the global market on the quality of agrarian products, is determined. The influence of the infrastructure provision of the agrarian market on the competitive positions of commodity producers is generalized, advantages and disadvantages in development are determined. The essence of informational logistics, its influence on the development of infrastructure provision of agricultural products market, satisfaction of consumers’ needs is investigated. The urgency of the introduction of e-commerce, which allows commodity producers to combine marketing activities with optimization of advertising costs, to ensure the efficiency and convenience of carrying out operations for the sale of agricultural products, its transportation, manage all logistics processes. It is proved that improvement of the infrastructure provision of the agrarian market of the world countries that adapts to the global market should be based on the dissemination of information opportunities, and the </w:t>
      </w:r>
    </w:p>
    <w:p>
      <w:pPr/>
      <w:r>
        <w:rPr>
          <w:b/>
        </w:rPr>
        <w:t>POSSIBLE 2020:</w:t>
      </w:r>
      <w:r>
        <w:t xml:space="preserve"> Infrastructure Provision as a Catalyst for Local Economic Development in South Africa — https://doi.org/10.35293/srsa.v42i1.198</w:t>
      </w:r>
    </w:p>
    <w:p>
      <w:pPr/>
      <w:r>
        <w:rPr>
          <w:b/>
        </w:rPr>
        <w:t>Shared claim-specific concepts:</w:t>
      </w:r>
      <w:r>
        <w:t xml:space="preserve"> infrastructure, provision, other, over; EU scope not established. This is a provisional connection, not an outcome finding.</w:t>
      </w:r>
    </w:p>
    <w:p>
      <w:pPr>
        <w:pStyle w:val="SourceNote"/>
      </w:pPr>
      <w:r>
        <w:rPr>
          <w:b/>
        </w:rPr>
        <w:t>Available abstract (not full text):</w:t>
      </w:r>
      <w:r>
        <w:t xml:space="preserve"> Throughout the era of the apartheid, the provision and accessibility of infrastructure in South Africa was skewed, and while the minority had access, the majority was overlooked. Local economic development (LED) has rested on the premise that the availability of infrastructure is likely to spur socio-economic development and to lift millions of South Africans out of poverty. However, with South Africa’s economy struggling to register consistent growth, there are difficulties accessing the much-needed finances needed to invest in infrastructure to spur LED. The study that this paper reflects upon used a qualitative research method and a systematic review of the literature relating to infrastructure provision and local economic development. It utilised thematic content analysis to deduce its findings with the hope of bringing in meaning to the overall content of the paper. The study revealed that indeed infrastructure provision is key to local economic development, that South Africa’s infrastructure provision is still skewed as urban areas continue receiving priority over rural areas; that local economic development is key in reducing inequality and spurring economic growth and sustaining the livelihoods of rural dwellers. However, limited investments in infrastructure in rural areas hinder the realization of such benefits. It recommends that the government prioritise LED in rura</w:t>
      </w:r>
    </w:p>
    <w:p>
      <w:pPr/>
      <w:r>
        <w:rPr>
          <w:b/>
        </w:rPr>
        <w:t>POSSIBLE 2019:</w:t>
      </w:r>
      <w:r>
        <w:t xml:space="preserve"> Implementing Green Infrastructure in Spatial Planning in Europe — https://doi.org/10.3390/land8040062</w:t>
      </w:r>
    </w:p>
    <w:p>
      <w:pPr/>
      <w:r>
        <w:rPr>
          <w:b/>
        </w:rPr>
        <w:t>Shared claim-specific concepts:</w:t>
      </w:r>
      <w:r>
        <w:t xml:space="preserve"> infrastructure, important;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r>
        <w:rPr>
          <w:b/>
        </w:rPr>
        <w:t>POSSIBLE 2019:</w:t>
      </w:r>
      <w:r>
        <w:t xml:space="preserve"> Electric Mobility and Smart Mobility Concepts—Restrained Uptake in German Cities — https://doi.org/10.3390/wevj10040081</w:t>
      </w:r>
    </w:p>
    <w:p>
      <w:pPr/>
      <w:r>
        <w:rPr>
          <w:b/>
        </w:rPr>
        <w:t>Shared claim-specific concepts:</w:t>
      </w:r>
      <w:r>
        <w:t xml:space="preserve"> infrastructure, but, uptake; EU scope visible. This is a provisional connection, not an outcome finding.</w:t>
      </w:r>
    </w:p>
    <w:p>
      <w:pPr>
        <w:pStyle w:val="SourceNote"/>
      </w:pPr>
      <w:r>
        <w:rPr>
          <w:b/>
        </w:rPr>
        <w:t>Available abstract (not full text):</w:t>
      </w:r>
      <w:r>
        <w:t xml:space="preserve"> Ninety German cities exceeded the European threshold on NO2 in 2016, 65 of those cities developed countermeasures and strategies that were published in Green City Plans (GCP). In the scope of this study, 55 publicly available GCPs were evaluated in order to assess their potential for traffic turnaround at a municipal level. All GCPs were analyzed to determine in which of the mentioned five to seven fields of action the respective city had planned measures and which fields of action were prioritized. A more in-depth qualitative analysis of the main topics: Electric mobility, public transport, and mobility concepts was carried out. To get a better understanding of the potential impact of the measures elaborated in the GCPs, complementary information on municipal fleet vehicle stocks, requirements of charging infrastructure for public buses and results of the European roadmap on mobility concepts are given. The evaluation of the GCPs showed that to this day, city administrations mainly optimize the current system by measures of electrification and digitization. Electrification of municipal fleets, car-sharing fleets, and public transport buses is in the focus of the strategies. Instruments to increase non-motorised transport, sustainable commercial transport, and/or mobility concepts are mentioned, but play a minor role. However, there still has been no system change in Germany. T</w:t>
      </w:r>
    </w:p>
    <w:p>
      <w:pPr/>
      <w:r>
        <w:rPr>
          <w:b/>
        </w:rPr>
        <w:t>POSSIBLE 2018:</w:t>
      </w:r>
      <w:r>
        <w:t xml:space="preserve"> Unlocking Land Markets and Infrastructure Provision — https://doi.org/10.1057/978-1-137-59792-2_4</w:t>
      </w:r>
    </w:p>
    <w:p>
      <w:pPr/>
      <w:r>
        <w:rPr>
          <w:b/>
        </w:rPr>
        <w:t>Shared claim-specific concepts:</w:t>
      </w:r>
      <w:r>
        <w:t xml:space="preserve"> infrastructure, provision, important, but; EU scope not established. This is a provisional connection, not an outcome finding.</w:t>
      </w:r>
    </w:p>
    <w:p>
      <w:pPr>
        <w:pStyle w:val="SourceNote"/>
      </w:pPr>
      <w:r>
        <w:rPr>
          <w:b/>
        </w:rPr>
        <w:t>Available abstract (not full text):</w:t>
      </w:r>
      <w:r>
        <w:t xml:space="preserve"> Abstract This chapter focuses on the challenges and opportunities related to the provision of land and infrastructure for affordable housing. It drills down on three key challenges impeding the supply of affordable housing in Africa: poor land governance and weak management systems; the multiplicity of conflicting land tenure regimes; and the rapid growth of low-density, informal residential developments, leading to urban sprawl in peri-urban areas. The chapter also argues that the provision of basic infrastructure, especially transport infrastructure, not only shapes cities, but is also an important determinant of housing affordability, particularly for low-income families.</w:t>
      </w:r>
    </w:p>
    <w:p>
      <w:pPr>
        <w:pStyle w:val="Heading2"/>
      </w:pPr>
      <w:r>
        <w:t>810.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r>
        <w:rPr>
          <w:b/>
        </w:rPr>
        <w:t>POSSIBLE 2022:</w:t>
      </w:r>
      <w:r>
        <w:t xml:space="preserve"> Does Value Lead to Loyalty? Exploring the Important Role of the Tourist–Destination Relationship — https://doi.org/10.3390/bs12050136</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The perceived value of a tourist's trip, representing a trade-off between costs and benefits of travelling to a destination, can exert a significant influence on tourists' loyalty, which is a main concern for managers of tourist destinations. However, the mechanism between the destination value and tourist loyalty remains unexplored, especially in the new context of relationship marketing. To advance the understanding of the mechanism, we introduced 3 variables of "tourist-destination relationship", namely place attachment (PA), destination trust (DT) and tourist satisfaction (TS), combined with perceived value (PV) and tourist loyalty (TL), and therefore constructed the conceptual model. Taking the Hangzhou City of China as an example, the conceptual model was fitted and tested using the structural equation model (SEM). The results show that: (1) PV can directly and positively affect TS and DT respectively, while there was no significant effect of PV on PA; (2) TS and DT can directly and positively influence TL, but the effect of PA on TL has not been supported empirically; (3) PV has a significant positive effect on TL; and (4) there are internal relationship among the 3 variables measuring the tourist-destination relationship, in other words, TS can significantly affects PA, DT respectively, and DT has a significant positive effect on PA. The findings of this study provide e</w:t>
      </w:r>
    </w:p>
    <w:p>
      <w:pPr/>
      <w:r>
        <w:rPr>
          <w:b/>
        </w:rPr>
        <w:t>POSSIBLE 2021:</w:t>
      </w:r>
      <w:r>
        <w:t xml:space="preserve"> Exploring Sparsity in Image Super-Resolution for Efficient Inference — https://doi.org/10.1109/cvpr46437.2021.00488</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Current CNN-based super-resolution (SR) methods process all locations equally with computational resources being uniformly assigned in space. However, since missing details in low-resolution (LR) images mainly exist in regions of edges and textures, less computational resources are required for those flat regions. Therefore, existing CNN-based methods involve redundant computation in flat regions, which increases their computational cost and limits their applications on mobile devices. In this paper, we explore the sparsity in image SR to improve inference efficiency of SR networks. Specifically, we develop a Sparse Mask SR (SMSR) network to learn sparse masks to prune redundant computation. Within our SMSR, spatial masks learn to identify "important" regions while channel masks learn to mark redundant channels in those "unimportant" regions. Consequently, redundant computation can be accurately localized and skipped while maintaining comparable performance. It is demonstrated that our SMSR achieves state-of-the-art performance with 41%/33%/27% FLOPs being reduced for ×2/3/4 SR. Code is available at: https://github.com/LongguangWang/SMSR.</w:t>
      </w:r>
    </w:p>
    <w:p>
      <w:pPr/>
      <w:r>
        <w:rPr>
          <w:b/>
        </w:rPr>
        <w:t>POSSIBLE 2021:</w:t>
      </w:r>
      <w:r>
        <w:t xml:space="preserve"> Exploring Maieutic Instruction — https://doi.org/10.4018/978-1-7998-7172-9.ch006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General views of the Socratic Method consist of it being a dialectical exchange based on probing questions concerning a topic. While this definition may prove practical, it may not do justice to the broad nature and practice of the instructional strategy. It is, therefore, equally important to explore how maieutic questioning grounds the Socratic Method as a viable instructional strategy. By realizing the maieutic process as giving birth to discoveries, educationists and students are given a clearer framework in implementing the Socratic Method in educational experiences. In further elucidating this claim, this chapter first draws from the maieutic practice found in Plato's dialogues. Second, the chapter explores research on maieutic questioning in teaching and learning experiences. Lastly, a recognition of both Socrates' original maieutic practice and the modern conception of it are advanced as strategies educationists can implement in their courses.</w:t>
      </w:r>
    </w:p>
    <w:p>
      <w:pPr/>
      <w:r>
        <w:rPr>
          <w:b/>
        </w:rPr>
        <w:t>POSSIBLE 2021:</w:t>
      </w:r>
      <w:r>
        <w:t xml:space="preserve"> Role of Biofuels in Energy Transition, Green Economy and Carbon Neutrality — https://doi.org/10.3390/su132212374</w:t>
      </w:r>
    </w:p>
    <w:p>
      <w:pPr/>
      <w:r>
        <w:rPr>
          <w:b/>
        </w:rPr>
        <w:t>Shared claim-specific concepts:</w:t>
      </w:r>
      <w:r>
        <w:t xml:space="preserve"> different, energy; EU scope not established. This is a provisional connection, not an outcome finding.</w:t>
      </w:r>
    </w:p>
    <w:p>
      <w:pPr>
        <w:pStyle w:val="SourceNote"/>
      </w:pPr>
      <w:r>
        <w:rPr>
          <w:b/>
        </w:rPr>
        <w:t>Available abstract (not full text):</w:t>
      </w:r>
      <w:r>
        <w:t xml:space="preserve"> Modern civilization is heavily reliant on petroleum-based fuels to meet the energy demand of the transportation sector. However, burning fossil fuels in engines emits greenhouse gas emissions that harm the environment. Biofuels are commonly regarded as an alternative for sustainable transportation and economic development. Algal-based fuels, solar fuels, e-fuels, and CO2-to-fuels are marketed as next-generation sources that address the shortcomings of first-generation and second-generation biofuels. This article investigates the benefits, limitations, and trends in different generations of biofuels through a review of the literature. The study also addresses the newer generation of biofuels highlighting the social, economic, and environmental aspects, providing the reader with information on long-term sustainability. The use of nanoparticles in the commercialization of biofuel is also highlighted. Finally, the paper discusses the recent advancements that potentially enable a sustainable energy transition, green economy, and carbon neutrality in the biofuel sector.</w:t>
      </w:r>
    </w:p>
    <w:p>
      <w:pPr/>
      <w:r>
        <w:rPr>
          <w:b/>
        </w:rPr>
        <w:t>POSSIBLE 2021:</w:t>
      </w:r>
      <w:r>
        <w:t xml:space="preserve"> Low-carbon energy democracy in the Global South? — https://doi.org/10.4324/9780429402302-41</w:t>
      </w:r>
    </w:p>
    <w:p>
      <w:pPr/>
      <w:r>
        <w:rPr>
          <w:b/>
        </w:rPr>
        <w:t>Shared claim-specific concepts:</w:t>
      </w:r>
      <w:r>
        <w:t xml:space="preserve"> energy, businesses; EU scope not established. This is a provisional connection, not an outcome finding.</w:t>
      </w:r>
    </w:p>
    <w:p>
      <w:pPr>
        <w:pStyle w:val="SourceNote"/>
      </w:pPr>
      <w:r>
        <w:rPr>
          <w:b/>
        </w:rPr>
        <w:t>Available abstract (not full text):</w:t>
      </w:r>
      <w:r>
        <w:t xml:space="preserve"> Social science tools and practitioner experiences help to understand relations of democratic processes to low-carbon energy transitions in the Global South. This requires interrogating Euro-centric assumptions about participation, national development, and infrastructure models in conditions of inequality and state capture. Issues of historical extractive energy injustice and the asymmetries of Southern climate vulnerability, as compared to Northern GHG emission sources, drag this topic into political focus for questioning the models of mass consumption that have driven economic development for over two centuries. Can democracy be reinvented with renewables? The UK Low Carbon Energy for Development Network (LCEDN) has since 2012 pooled expertise across disciplines involved in energy research in the developing world in order to enhance the ability of renewable energy systems to address poverty and gender inequality issues off-grid. The LCEDN has come to constitute an overarching community of practice linked to other communities of practice formed by the NGOs, businesses, and policy community committed to low-carbon transitions and centered on energy development justice. The LCEDN and associate communities have determined to widen an agenda of acquiring evidence from case studies, critical participatory approaches, and research into grassroots and municipal initiatives, thereby i</w:t>
      </w:r>
    </w:p>
    <w:p>
      <w:pPr/>
      <w:r>
        <w:rPr>
          <w:b/>
        </w:rPr>
        <w:t>POSSIBLE 2020:</w:t>
      </w:r>
      <w:r>
        <w:t xml:space="preserve"> Exploring the value of augmented reality for tourism — https://doi.org/10.1016/j.tmp.2020.100672</w:t>
      </w:r>
    </w:p>
    <w:p>
      <w:pPr/>
      <w:r>
        <w:rPr>
          <w:b/>
        </w:rPr>
        <w:t>Shared claim-specific concepts:</w:t>
      </w:r>
      <w:r>
        <w:t xml:space="preserve"> therefore, important, explore, different; EU scope not established. This is a provisional connection, not an outcome finding.</w:t>
      </w:r>
    </w:p>
    <w:p>
      <w:pPr>
        <w:pStyle w:val="SourceNote"/>
      </w:pPr>
      <w:r>
        <w:rPr>
          <w:b/>
        </w:rPr>
        <w:t>Available abstract (not full text):</w:t>
      </w:r>
      <w:r>
        <w:t xml:space="preserve"> Augmented reality (AR) is increasingly used as a marketing, information and experience channel within the tourism industry. However, little is known with regards to the actual value of AR for the tourism industry, with most research still in its infancy. Therefore, the aim of this paper is to explore the perceived value of AR for the tourism industry from the perspective of tourism experts. Using a qualitative and exploratory approach, this study conducted fifteen interviews with tourism experts in order to explore tourism specific AR value dimensions. Interviews were analysed using thematic analysis. This study revealed five value dimensions including marketing, economic, tourist, epistemic and organisational. Commonalities and differences between different perspectives are discussed. These findings provide important implications for strategy development, AR implementation, and tourist experience design.</w:t>
      </w:r>
    </w:p>
    <w:p>
      <w:pPr/>
      <w:r>
        <w:rPr>
          <w:b/>
        </w:rPr>
        <w:t>POSSIBLE 2020:</w:t>
      </w:r>
      <w:r>
        <w:t xml:space="preserve"> Exploring Children’s Views on Important Park Features: A Qualitative Study Using Walk-Along Interviews — https://doi.org/10.3390/ijerph17134625</w:t>
      </w:r>
    </w:p>
    <w:p>
      <w:pPr/>
      <w:r>
        <w:rPr>
          <w:b/>
        </w:rPr>
        <w:t>Shared claim-specific concepts:</w:t>
      </w:r>
      <w:r>
        <w:t xml:space="preserve"> therefore, important, lives; EU scope not established. This is a provisional connection, not an outcome finding.</w:t>
      </w:r>
    </w:p>
    <w:p>
      <w:pPr>
        <w:pStyle w:val="SourceNote"/>
      </w:pPr>
      <w:r>
        <w:rPr>
          <w:b/>
        </w:rPr>
        <w:t>Available abstract (not full text):</w:t>
      </w:r>
      <w:r>
        <w:t xml:space="preserve"> Parks are places where children can interact with others and engage in physical activity in a natural setting. Park visits can enhance children’s social, mental, and physical health. It is therefore important to better understand how parks can be designed to ensure optimal use by children. This qualitative study explored children’s perceptions of park features that may influence their park visits, park-based physical activity, and social interaction. Qualitative walk-along interviews were completed with 30 children (mean age 9.7 years (SD 1.3), female n = 16) in nine parks located in varying socioeconomic areas of Melbourne, Australia. As they walked through the park, children shared thoughts regarding characteristics that may influence their visitation, park-based physical activity, and social interactions. Features that would encourage visitation included: challenging and interesting play equipment; a pond and water play area; trees/greenery and shade; and full-sized basketball courts. Features most valued for physical activity included: sports courts, ovals, and equipment; open space; trees to climb; and nature/rocks. Features most valued for social interaction included: a large size; playgrounds; and picnic areas. Children offer unique and important views. Park designers should consider inclusion of these features, when (re)developing parks to support children to lead healt</w:t>
      </w:r>
    </w:p>
    <w:p>
      <w:pPr/>
      <w:r>
        <w:rPr>
          <w:b/>
        </w:rPr>
        <w:t>POSSIBLE 2020:</w:t>
      </w:r>
      <w:r>
        <w:t xml:space="preserve"> Exploring influential factors affecting guest satisfaction — https://doi.org/10.1108/jhtt-07-2018-0054</w:t>
      </w:r>
    </w:p>
    <w:p>
      <w:pPr/>
      <w:r>
        <w:rPr>
          <w:b/>
        </w:rPr>
        <w:t>Shared claim-specific concepts:</w:t>
      </w:r>
      <w:r>
        <w:t xml:space="preserve"> therefore, important, explore, affect; EU scope not established. This is a provisional connection, not an outcome finding.</w:t>
      </w:r>
    </w:p>
    <w:p>
      <w:pPr>
        <w:pStyle w:val="SourceNote"/>
      </w:pPr>
      <w:r>
        <w:rPr>
          <w:b/>
        </w:rPr>
        <w:t>Available abstract (not full text):</w:t>
      </w:r>
      <w:r>
        <w:t xml:space="preserve"> Purpose Electronic word of mouth in the form of user-generated content (UGC) in social media plays an important role in influencing customer decision-making and enhancing service providers’ brand images, sales and service innovations. While few research studies have explored real content generated by hotel guests in social media, business analytics techniques are still not widely seen in the literature and how such techniques can be deployed to benefit hoteliers has not been fully explored. Thus, this study aims to explore the significant factors that affect hotel guest satisfaction via UGC and business analytics and also to showcase the use of business analytics tools for both the hospitality industry and the academic world. Design/methodology/approach This study uses big data and business analytics techniques. Big data and business analytics enable hoteliers to develop effective and efficient strategies improving products and services for guest satisfaction. Therefore, this study analyzes 200,431 hotel reviews on Tripadvisor.com through business analytics to explore and assess the significant factors affecting guest satisfaction. Findings The findings show that service, room and value evaluations are the top-three factors affecting overall guests’ satisfaction. While brand type and negative emotions are negatively associated with guests’ satisfaction, all other factors consid</w:t>
      </w:r>
    </w:p>
    <w:p>
      <w:pPr/>
      <w:r>
        <w:rPr>
          <w:b/>
        </w:rPr>
        <w:t>POSSIBLE 2020:</w:t>
      </w:r>
      <w:r>
        <w:t xml:space="preserve"> Neo-Carbon Food concept: A pilot-scale hybrid biological–inorganic system with direct air capture of carbon dioxide — https://doi.org/10.1016/j.jclepro.2020.123423</w:t>
      </w:r>
    </w:p>
    <w:p>
      <w:pPr/>
      <w:r>
        <w:rPr>
          <w:b/>
        </w:rPr>
        <w:t>Shared claim-specific concepts:</w:t>
      </w:r>
      <w:r>
        <w:t xml:space="preserve"> neo-carbon, energy, system; EU scope not established. This is a provisional connection, not an outcome finding.</w:t>
      </w:r>
    </w:p>
    <w:p>
      <w:pPr>
        <w:pStyle w:val="SourceNote"/>
      </w:pPr>
      <w:r>
        <w:rPr>
          <w:b/>
        </w:rPr>
        <w:t>Available abstract (not full text):</w:t>
      </w:r>
      <w:r>
        <w:t xml:space="preserve"> The pace at which the human population is growing raises serious concerns related to food security while at the same time conventional agriculture-based food production is becoming a major cause of environmental pollution and greenhouse gas emissions. Numerous solutions have been proposed to boost food production among which edible microbial biomass is considered a promising alternative to conventional sources of food and feed with lower environmental footprint. This work introduces the Neo-Carbon Food concept that is a pilot-scale hybrid biological–inorganic process suitable for the production of microbial biomass. The concept includes integrated hydrogen production by water electrolysis, direct air capture (DAC) of carbon dioxide, and its subsequent assimilation by autotrophic hydrogen-oxidizing bacteria (HOB). The hydrogen production with in situ electrolysis achieved specific energy consumption just below 100 kWh/kgH2 while the specific energy consumption of DAC was around 20 kWh/kgCO2.</w:t>
      </w:r>
    </w:p>
    <w:p>
      <w:pPr/>
      <w:r>
        <w:rPr>
          <w:b/>
        </w:rPr>
        <w:t>POSSIBLE 2019:</w:t>
      </w:r>
      <w:r>
        <w:t xml:space="preserve"> Continuous Transformation and Neo-Carbon Energy Scenarios — https://openalex.org/W2946377064</w:t>
      </w:r>
    </w:p>
    <w:p>
      <w:pPr/>
      <w:r>
        <w:rPr>
          <w:b/>
        </w:rPr>
        <w:t>Shared claim-specific concepts:</w:t>
      </w:r>
      <w:r>
        <w:t xml:space="preserve"> explore, neo-carbon, energy, system;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pStyle w:val="Heading2"/>
      </w:pPr>
      <w:r>
        <w:t>811.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A climatological assessment of balancing effects and shortfall risks of photovoltaics and wind energy in Germany and Europe — https://doi.org/10.5194/asr-16-119-2019</w:t>
      </w:r>
    </w:p>
    <w:p>
      <w:pPr/>
      <w:r>
        <w:rPr>
          <w:b/>
        </w:rPr>
        <w:t>Shared claim-specific concepts:</w:t>
      </w:r>
      <w:r>
        <w:t xml:space="preserve"> illustrate, assessment, system; EU scope visible. This is a provisional connection, not an outcome finding.</w:t>
      </w:r>
    </w:p>
    <w:p>
      <w:pPr>
        <w:pStyle w:val="SourceNote"/>
      </w:pPr>
      <w:r>
        <w:rPr>
          <w:b/>
        </w:rPr>
        <w:t>Available abstract (not full text):</w:t>
      </w:r>
      <w:r>
        <w:t xml:space="preserve"> Abstract. With an increased share of solar and wind energy e.g. in the German and European energy systems it is becoming increasingly important to analyze the impact of weather variability on the reliability of the energy production. In this study, we calculate solar PV and wind power capacity factors using two recently developed climatological datasets that provide information with high spatial and temporal details on the continental (European) scale and are of sufficient length for assessments at climatological time scales: Surface radiation derived from meteorological satellites (SARAH-2) and wind speed from a high-resolution regional reanalysis (COSMO-REA6). Balancing effects are analysed: On average, the seasonal cycles of PV and wind power production complement each other in Germany as well as in Europe. The frequency of events with a risk of low electricity generation is analyzed under different assumptions. When using wind energy over German land areas as a reference case, the results illustrate that the number of low production events is reduced when Germany's Exclusive Economic Zone is included into the analysis, or when a combined system of PV and wind energy is considered. A European-wide analysis also leads to a distinct reduction of such events.</w:t>
      </w:r>
    </w:p>
    <w:p>
      <w:pPr/>
      <w:r>
        <w:rPr>
          <w:b/>
        </w:rPr>
        <w:t>POSSIBLE 2019:</w:t>
      </w:r>
      <w:r>
        <w:t xml:space="preserve"> Is the nitrogen footprint fit for purpose? An assessment of models and proposed uses — https://doi.org/10.1016/j.jenvman.2019.03.083</w:t>
      </w:r>
    </w:p>
    <w:p>
      <w:pPr/>
      <w:r>
        <w:rPr>
          <w:b/>
        </w:rPr>
        <w:t>Shared claim-specific concepts:</w:t>
      </w:r>
      <w:r>
        <w:t xml:space="preserve"> purpose, assessment, used, therefore, debate, options; EU scope not established. This is a provisional connection, not an outcome finding.</w:t>
      </w:r>
    </w:p>
    <w:p>
      <w:pPr>
        <w:pStyle w:val="SourceNote"/>
      </w:pPr>
      <w:r>
        <w:rPr>
          <w:b/>
        </w:rPr>
        <w:t>Available abstract (not full text):</w:t>
      </w:r>
      <w:r>
        <w:t xml:space="preserve"> The nitrogen footprint has been proposed as an environmental indicator to quantify and highlight how individuals, organizations, or countries contribute to nitrogen pollution. While some footprint indicators have been successful in raising awareness of environmental pressures among the public and policy-makers, they have also attracted criticism from members of the life cycle assessment (LCA) community who find some footprints confusing and misleading as they measure substance and energy flows without considering their environmental impacts. However, there are also legitimate reasons to defend footprints as a useful class of indicators despite their incompatibility with LCA principles. Here, in light of this previous research and debate, we critically assess models and proposed uses for the nitrogen footprint, and explore options for further development. As the nitrogen footprint merely quantifies gross nitrogen emissions irrespective of time, location, and chemical form, it is a crude proxy of environmental and health impacts compared to other, more sophisticated environmental impact indicators. However, developing the nitrogen footprint toward LCA-compatible impact assessment would imply more uncertainty, more complexity, and more work. Furthermore, we emphasize that impact assessment has an unavoidable subjective dimension that should be recognized in any development toward </w:t>
      </w:r>
    </w:p>
    <w:p>
      <w:pPr/>
      <w:r>
        <w:rPr>
          <w:b/>
        </w:rPr>
        <w:t>POSSIBLE 2018:</w:t>
      </w:r>
      <w:r>
        <w:t xml:space="preserve"> Are advisory services “fit for purpose” to support sustainable soil management? An assessment of advice in Europe — https://doi.org/10.1111/sum.12452</w:t>
      </w:r>
    </w:p>
    <w:p>
      <w:pPr/>
      <w:r>
        <w:rPr>
          <w:b/>
        </w:rPr>
        <w:t>Shared claim-specific concepts:</w:t>
      </w:r>
      <w:r>
        <w:t xml:space="preserve"> purpose, assessment, structured, about, achieving; EU scope visible. This is a provisional connection, not an outcome finding.</w:t>
      </w:r>
    </w:p>
    <w:p>
      <w:pPr>
        <w:pStyle w:val="SourceNote"/>
      </w:pPr>
      <w:r>
        <w:rPr>
          <w:b/>
        </w:rPr>
        <w:t>Available abstract (not full text):</w:t>
      </w:r>
      <w:r>
        <w:t xml:space="preserve"> Abstract This assessment examines the extent to which advisory services are able to address current and emerging knowledge needs of practitioners (primarily farmers) about sustainable soil management ( SSM ) in Europe. The assessment is structured around the following components: the context of advice (policy, market, socio‐economic conditions, privatization of advisory systems); the challenges that SSM presents for advice; the current and emerging practitioner knowledge needs; and the existing structure and function of advisory services for SSM . The analysis reveals fragmented policy and advisory services, paralleled by the multi‐scale character of SSM and a diverse audience for advice. The challenges and opportunities this complex arena presents are analysed, and suggestions made for achieving more effective advisory services for SSM , together with examples of existing approaches.</w:t>
      </w:r>
    </w:p>
    <w:p>
      <w:pPr/>
      <w:r>
        <w:rPr>
          <w:b/>
        </w:rPr>
        <w:t>POSSIBLE 2018:</w:t>
      </w:r>
      <w:r>
        <w:t xml:space="preserve"> Assessment and quantification of marginal lands for biomass production in Europe using soil-quality indicators — https://doi.org/10.5194/soil-4-267-2018</w:t>
      </w:r>
    </w:p>
    <w:p>
      <w:pPr/>
      <w:r>
        <w:rPr>
          <w:b/>
        </w:rPr>
        <w:t>Shared claim-specific concepts:</w:t>
      </w:r>
      <w:r>
        <w:t xml:space="preserve"> assessment, therefore, system; EU scope visible. This is a provisional connection, not an outcome finding.</w:t>
      </w:r>
    </w:p>
    <w:p>
      <w:pPr>
        <w:pStyle w:val="SourceNote"/>
      </w:pPr>
      <w:r>
        <w:rPr>
          <w:b/>
        </w:rPr>
        <w:t>Available abstract (not full text):</w:t>
      </w:r>
      <w:r>
        <w:t xml:space="preserve"> Abstract. The cultivation of bioenergy plants at fertile, arable lands increasingly results in new land use conflicts with food production and cannot be considered as sustainable, therefore. Marginal lands have been frequently considered as potential alternative for producing bioenergy from biomass. However, clear definitions and assessment methods for selecting marginal lands and for calculating potentials are still widely missing. The project "SEEMLA" aims at triggering the exploitation of currently underused marginal lands for biomass production for energy purposes. Study sites have been selected in different European countries: Germany, Greece and Ukraine. The selected sites represent a wide variety of different types of marginal lands. Based on a soil assessment set given by the Muencheberg Soil Quality Rating (SQR) system potentially "marginal" sites have been investigated. The SQR system allows for clearly distinguishing between soils of higher and lower quality. Soils with SQR scores below 40 are regarded as "marginal". They can be classified into different groups with regard to the importance of soil hazard indicators as valuated by the SQR approach. The calculated SQR scores correlate significantly with biomass yields of bioenergy plants. Further, the SQR method was adapted for use in a GIS study on marginal land potentials in Europe. 46 % of the investigated European</w:t>
      </w:r>
    </w:p>
    <w:p>
      <w:pPr>
        <w:pStyle w:val="Heading2"/>
      </w:pPr>
      <w:r>
        <w:t>812.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2022:</w:t>
      </w:r>
      <w:r>
        <w:t xml:space="preserve"> A copula-based assessment of renewable energy droughts across Europe — https://doi.org/10.1016/j.renene.2022.10.091</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however, even, though, use;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The Expiry of Humira® Market Exclusivity and the Entry of Adalimumab Biosimilars in Europe: An Overview of Pricing and National Policy Measures — https://doi.org/10.3389/fphar.2020.591134</w:t>
      </w:r>
    </w:p>
    <w:p>
      <w:pPr/>
      <w:r>
        <w:rPr>
          <w:b/>
        </w:rPr>
        <w:t>Shared claim-specific concepts:</w:t>
      </w:r>
      <w:r>
        <w:t xml:space="preserve"> however, even, though, use, available; EU scope visible. This is a provisional connection, not an outcome finding.</w:t>
      </w:r>
    </w:p>
    <w:p>
      <w:pPr>
        <w:pStyle w:val="SourceNote"/>
      </w:pPr>
      <w:r>
        <w:rPr>
          <w:b/>
        </w:rPr>
        <w:t>Available abstract (not full text):</w:t>
      </w:r>
      <w:r>
        <w:t xml:space="preserve"> Background: From October 2018, adalimumab biosimilars could enter the European market. However, in some countries, such as Netherlands, high discounts reported for the originator product may have influenced biosimilar entry. Objectives: The aim of this paper is to provide a European overview of (list) prices of originator adalimumab, before and after loss of exclusivity; to report changes in the reimbursement status of adalimumab products; and discuss relevant policy measures. Methods: Experts in European countries received a survey consisting of three parts: 1) general financing/co-payment of medicines, 2) reimbursement status and prices of originator adalimumab, and availability of biosimilars, and 3) policy measures related to the use of adalimumab. Results: In May 2019, adalimumab biosimilars were available in 24 of the 30 countries surveyed. Following introduction of adalimumab biosimilars, a number of countries have made changes in relation to the reimbursement status of adalimumab products. Originator adalimumab list prices varied between countries by a factor of 2.8 before and 4.1 after loss of exclusivity. Overall, list prices of originator adalimumab decreased after loss of exclusivity, although for 13 countries list prices were unchanged. When reported, discounts/rebates on originator adalimumab after loss of exclusivity ranged from 0% to approximately 26% (Romania),</w:t>
      </w:r>
    </w:p>
    <w:p>
      <w:pPr/>
      <w:r>
        <w:rPr>
          <w:b/>
        </w:rPr>
        <w:t>POSSIBLE 2021:</w:t>
      </w:r>
      <w:r>
        <w:t xml:space="preserve"> Governing the European Intelligence: Multilateral Intelligence Cooperation in the European Union — https://doi.org/10.53451/ijps.900302</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Since intelligence is an essential part of national security, a high volume of cooperation in this area is not expected. An assessment of the literature shows that there are several obstacles to intelligence cooperation. More precisely, states are reluctant to involve in intelligence cooperation because of trust factors and other factors such as bureaucratic culture and resistance, regime type, lack of normative motivation and shared identities. Even if they are compelled to cooperate, they prefer bilateral intelligence cooperation. However, due to the globalization of national security threats in the last two decades, intelligence organizations are currently obliged to cooperate multilaterally even though they do not prefer to do so. Multilateral intelligence cooperation within the European Union is a unique example of relatively successful multilateral intelligence cooperation. On the one hand, official European intelligence agencies INTCEN and Europol provide the legal framework of intelligence cooperation among the Union. On the other hand, informal channels such as the Club of Berne are also proven useful for the EU’s intelligence cooperation. We argue that the relative success of European intelligence cooperation derives from at least three factors. These are institutionalized demand for intelligence governance, the delegated authority of the members of the EU’s (epistemi</w:t>
      </w:r>
    </w:p>
    <w:p>
      <w:pPr>
        <w:pStyle w:val="Heading2"/>
      </w:pPr>
      <w:r>
        <w:t>813.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r>
        <w:rPr>
          <w:b/>
        </w:rPr>
        <w:t>POSSIBLE 2024:</w:t>
      </w:r>
      <w:r>
        <w:t xml:space="preserve"> A measurement model of trust in construction projects — https://doi.org/10.1108/ecam-10-2023-1080</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Purpose Lack of trust in construction projects will lead to poor project performance or project failure, indicating the importance of trust-building. Existing studies have developed various trust models, while most studies covered limited trust factors, failed to clarify their meanings and relationships or lacked qualitative or quantitative evidence. Thus, this study aims to develop a measurement model of trust in construction projects with theoretical justification as well as qualitative and quantitative data. Design/methodology/approach A literature review was conducted to identify conceptual types, factors and indicators of trust. Individual interviews and focus groups were performed to test the proposed framework with qualitative data. A survey and confirmatory factor analysis (CFA) method were utilized to build the measurement model of trust using quantitative data in BIM-assisted projects. Findings The proposed trust framework covered the four conceptual types, four factors (integrity, competency, benevolence and commitment) and 13 indicators, supported by the results of interviews and focus groups. The measurement model of trust from CFA results supported the significant, positive, and one-to-one relationships between 13 indicators and four factors of trust in BIM-assisted projects. Originality/value Theoretically, the study provides new insights into the multi-dimension</w:t>
      </w:r>
    </w:p>
    <w:p>
      <w:pPr/>
      <w:r>
        <w:rPr>
          <w:b/>
        </w:rPr>
        <w:t>POSSIBLE 2022:</w:t>
      </w:r>
      <w:r>
        <w:t xml:space="preserve"> Analysis of the Drivers of Highway Construction Companies Adopting Smart Construction Technology — https://doi.org/10.3390/su15010703</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In this study, we aimed to identify the influencing factors that drive highway construction companies to adopt smart construction technologies. Using expert interviews and expert scoring, we collected interview data from 25 experts in the field and we proposed the TOSE framework based on the TOE framework, identifying four dimensions and fourteen influencing factors. We analyzed the results using the Fuzzy DEMATEL-ISM method, and we then summarized the findings according to the evaluation criteria to determine the validity of the fourteen hypotheses and the extent to which they drive highway construction companies to adopt smart construction technologies. The findings of this paper are of high value to decision makers and participants in highway construction companies, as well as to other companies in the construction industry, in their decision to adopt smart construction technologies.</w:t>
      </w:r>
    </w:p>
    <w:p>
      <w:pPr/>
      <w:r>
        <w:rPr>
          <w:b/>
        </w:rPr>
        <w:t>POSSIBLE 2022:</w:t>
      </w:r>
      <w:r>
        <w:t xml:space="preserve"> Construction Path of Smart City Under Mobile Big Data — https://doi.org/10.1109/icerect56837.2022.10060717</w:t>
      </w:r>
    </w:p>
    <w:p>
      <w:pPr/>
      <w:r>
        <w:rPr>
          <w:b/>
        </w:rPr>
        <w:t>Shared claim-specific concepts:</w:t>
      </w:r>
      <w:r>
        <w:t xml:space="preserve"> data, construction, four; EU scope not established. This is a provisional connection, not an outcome finding.</w:t>
      </w:r>
    </w:p>
    <w:p>
      <w:pPr>
        <w:pStyle w:val="SourceNote"/>
      </w:pPr>
      <w:r>
        <w:rPr>
          <w:b/>
        </w:rPr>
        <w:t>Available abstract (not full text):</w:t>
      </w:r>
      <w:r>
        <w:t xml:space="preserve"> Establishing a new model of smart city is one of the significant work of urban development and construction, and the built of the smart city is inseparable with the support of big data technology. Through literature reading and interview method, this paper studies the smart city construction in Wuhan with the support of mobile big data technology, analyzes some current situation of Wuhan smart city construction, discusses the experience and shortcomings of smart construction under mobile big data, and analyzes four aspects about system, technology, management and personnel, then innovative construction methods are proposed. In the conclusion, firstly strengthen the overall integration of smart city construction, secondly broaden the channels and ways for citizens to participate, thirdly strengthen the construction of information security, lastly strengthen the construction of relevant systems. This paper suggests jointly promoting the development the new smart city of new technologies under the mobile big data, further promoting the realization of the harmonious society.</w:t>
      </w:r>
    </w:p>
    <w:p>
      <w:pPr/>
      <w:r>
        <w:rPr>
          <w:b/>
        </w:rPr>
        <w:t>POSSIBLE 2022:</w:t>
      </w:r>
      <w:r>
        <w:t xml:space="preserve"> Factoring construction and demolition waste in the Zambian construction industry — https://doi.org/10.30574/gjeta.2022.11.2.0089</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The Zambian Construction Industry (ZCI) is one of the fastest growing sectors in Zambia arising from increased infrastructure development. The ZCI, like elsewhere, is composed of many players including designers, contractors, regulators, manufacturers and suppliers of construction materials. The country has seen an upsurge in Construction and Demolition Waste (CDW) generation due to increased construction activities. However, opportunities for utilizing CDW for sustainable construction and management have been minimal. Most research in developing countries has focused on Municipal Waste Management (MWM) rather CDW. In Zambia, CDW is a challenge in the absence of legislation, guidelines and regulation. In the developed countries, guidelines, legislation and regulation, exist. Sustainable utilization of CDW in Zambia is limited due to inadequate policy guidelines and legislation. The research aimed at estimating the levels of CDW waste generation and utilization, and proposing a framework for sustainable utilization and management of CDW. The research required both qualitative and quantitative data. Primary data was collected through questionnaires, interviews and site visits whilst secondary data was obtained through literature review. The research, conducted in four provinces of Zambia, established that CDW generation rates were mainly in the 1-10% levels and utilization was lo</w:t>
      </w:r>
    </w:p>
    <w:p>
      <w:pPr>
        <w:pStyle w:val="Heading2"/>
      </w:pPr>
      <w:r>
        <w:t>814.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2021:</w:t>
      </w:r>
      <w:r>
        <w:t xml:space="preserve"> Gastrointestinal cancers in China, the USA, and Europe — https://doi.org/10.1093/gastro/goab010</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Gastrointestinal (GI) cancers, including colorectal cancer, gastric cancer, and esophageal cancer, are a major medical and economic burden worldwide and have the largest number of new cancer cases and cancer deaths each year. Esophageal and gastric cancers are most common in developing countries, while colorectal cancer forms the major GI malignancy in Western countries. However, a great shift in the predominant GI-cancer type is happening in countries under economically transitioning and, at the same time, esophageal and gastric cancers are reigniting in Western countries due to the higher exposure to certain risk factors. The development of all GI cancers is highly associated with lifestyle habits and all can be detected by identified precancerous diseases. Thus, they are all suitable for cancer screening. Here, we review the epidemiological status of GI cancers in China, the USA, and Europe; the major risk factors and their distribution in these regions; and the current screening strategies.</w:t>
      </w:r>
    </w:p>
    <w:p>
      <w:pPr/>
      <w:r>
        <w:rPr>
          <w:b/>
        </w:rPr>
        <w:t>POSSIBLE 2021:</w:t>
      </w:r>
      <w:r>
        <w:t xml:space="preserve"> Current and projected regional economic impacts of heatwaves in Europe — https://doi.org/10.1038/s41467-021-26050-z</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assessment;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thus, develop, here;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pStyle w:val="Heading2"/>
      </w:pPr>
      <w:r>
        <w:t>815.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r>
        <w:rPr>
          <w:b/>
        </w:rPr>
        <w:t>POSSIBLE 2022:</w:t>
      </w:r>
      <w:r>
        <w:t xml:space="preserve"> Key factors for successful uptake of biosimilars: Europe and the US — https://doi.org/10.5639/gabij.2022.1103.018</w:t>
      </w:r>
    </w:p>
    <w:p>
      <w:pPr/>
      <w:r>
        <w:rPr>
          <w:b/>
        </w:rPr>
        <w:t>Shared claim-specific concepts:</w:t>
      </w:r>
      <w:r>
        <w:t xml:space="preserve"> key, via, also; EU scope visible. This is a provisional connection, not an outcome finding.</w:t>
      </w:r>
    </w:p>
    <w:p>
      <w:pPr>
        <w:pStyle w:val="SourceNote"/>
      </w:pPr>
      <w:r>
        <w:rPr>
          <w:b/>
        </w:rPr>
        <w:t>Available abstract (not full text):</w:t>
      </w:r>
      <w:r>
        <w:t xml:space="preserve"> Introduction: Biosimilars were first introduced in Europe in 2006 and then in the US in 2015. An online webinar on the successful uptake in Europe and the US was held to discuss measures taken for improving biosimilar uptake, and trends in uptake. Methods: The webinar was held by the Alliance for Safe Biologic Medicines (ASBM) in collaboration with Generics and Biosimilars Initiative (GaBI) on 29 June 2022. It consisted of a number of expert speaker presentations followed by a Q&amp;A with the panel and the audience also had the opportunity to ask questions online throughout the webinar. Results: Presentations discussed key elements contributing to the wide uptake of biosimilars in Europe and the US and physicians’ trust in prescribing and switching of biosimilars. Further details of the presentations were discussed during the Q&amp;A and clarifications made via the concurrent online Q&amp;A. Conclusion: The webinar enabled in-depth discussion of the current status of biosimilar adoption in Europe and the US. It was highlighted that, although the US adopted biosimilars at a later date, their uptake is starting to rival that of Europe. Aspects of forced switching policies in Canada and Australia were also discussed.</w:t>
      </w:r>
    </w:p>
    <w:p>
      <w:pPr/>
      <w:r>
        <w:rPr>
          <w:b/>
        </w:rPr>
        <w:t>POSSIBLE 2022:</w:t>
      </w:r>
      <w:r>
        <w:t xml:space="preserve"> Environmental sustainability of negative emissions technologies: A review — https://doi.org/10.1016/j.spc.2022.06.028</w:t>
      </w:r>
    </w:p>
    <w:p>
      <w:pPr/>
      <w:r>
        <w:rPr>
          <w:b/>
        </w:rPr>
        <w:t>Shared claim-specific concepts:</w:t>
      </w:r>
      <w:r>
        <w:t xml:space="preserve"> negative, emissions, use, biomass, carbon, capture; EU scope not established. This is a provisional connection, not an outcome finding.</w:t>
      </w:r>
    </w:p>
    <w:p>
      <w:pPr>
        <w:pStyle w:val="SourceNote"/>
      </w:pPr>
      <w:r>
        <w:rPr>
          <w:b/>
        </w:rPr>
        <w:t>Available abstract (not full text):</w:t>
      </w:r>
      <w:r>
        <w:t xml:space="preserve"> Negative emissions technologies (NETs) are expected to play a significant role in mitigating climate change. However, there are also concerns that a large scale deployment of NETs may cause various environmental impacts due to the use of land, water and energy resources. A number of studies have assessed the environmental performance of various NETs; however, a comprehensive review comparing a range of different NETs is not available in the literature. To address this research gap, this paper compares life cycle assessment (LCA) studies of the following options for which the data were available in the literature: bioenergy with carbon capture and storage (BECCS), biochar incorporation into soil, afforestation and reforestation, soil carbon sequestration, building with biomass, direct air carbon capture and storage (DACCS), enhanced weathering and mineral carbonation. It is evident from this review that these technologies can have net negative life cycle GHG emissions, ranging from −603 kg CO 2 eq./t CO 2 removed for building with biomass to −1173 kg CO 2 eq./t CO 2 removed for biochar incorporation into soil. However, the estimates of GHG removal potentials vary widely among the studies for each technology as well as among the NETs owing to technological differences, methodological choices and differing assumptions. For example, the net global warming potential (GWP) of biochar</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Carbon capture and biomass in industry: A techno-economic analysis and comparison of negative emission options — https://doi.org/10.1016/j.rser.2021.111028</w:t>
      </w:r>
    </w:p>
    <w:p>
      <w:pPr/>
      <w:r>
        <w:rPr>
          <w:b/>
        </w:rPr>
        <w:t>Shared claim-specific concepts:</w:t>
      </w:r>
      <w:r>
        <w:t xml:space="preserve"> negative, emissions, sector, use, biomass, carbon; EU scope not established. This is a provisional connection, not an outcome finding.</w:t>
      </w:r>
    </w:p>
    <w:p>
      <w:pPr>
        <w:pStyle w:val="SourceNote"/>
      </w:pPr>
      <w:r>
        <w:rPr>
          <w:b/>
        </w:rPr>
        <w:t>Available abstract (not full text):</w:t>
      </w:r>
      <w:r>
        <w:t xml:space="preserve"> Meeting the Paris Agreement will most likely require the combination of CO2 capture and biomass in the industrial sector, resulting in net negative emissions. CO2 capture within the industry has been extensively investigated. However, biomass options have been poorly explored, with literature alluding to technical and economic barriers. In addition, a lack of consistency among studies makes comparing the performance of CO2 capture and/or biomass use between studies and sectors difficult. These inconsistencies include differences in methodology, system boundaries, level of integration, costs, greenhouse gas intensity of feedstock and energy carriers, and capital cost estimations. Therefore, an integrated evaluation of the techno-economic performance regarding CO2 capture and biomass use was performed for five energy-intensive industrial sub-sectors. Harmonization results indicate that CO2 mitigation potentials vary for each sub-sector, resulting in reductions of 1.4–2.7 t CO2/t steel (77%–149%), 0.7 t CO2/t cement (92%), 0.2 t CO2/t crude oil (68%), 1.9 t CO2/t pulp (1663%–2548%), and 34.9 t CO2/t H2 (313%). Negative emissions can be reached in the steel, paper and H2 sectors. Novel bio-based production routes might enable net negative emissions in the cement and (petro)chemical sectors as well. All the above-mentioned potentials can be reached for 100 €/t CO2 or less. Implement</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emissions, power, sector, transport, sectors, also;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pStyle w:val="Heading2"/>
      </w:pPr>
      <w:r>
        <w:t>816.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r>
        <w:rPr>
          <w:b/>
        </w:rPr>
        <w:t>POSSIBLE 2022:</w:t>
      </w:r>
      <w:r>
        <w:t xml:space="preserve"> INFLUENCE OF THE EUROPEAN INTEGRATION ON LINGUISTIC ASPECTS — https://doi.org/10.52058/2786-6165-2022-4(4)-8-21</w:t>
      </w:r>
    </w:p>
    <w:p>
      <w:pPr/>
      <w:r>
        <w:rPr>
          <w:b/>
        </w:rPr>
        <w:t>Shared claim-specific concepts:</w:t>
      </w:r>
      <w:r>
        <w:t xml:space="preserve"> factors, influence, between, federation, significant, union; EU scope visible. This is a provisional connection, not an outcome finding.</w:t>
      </w:r>
    </w:p>
    <w:p>
      <w:pPr>
        <w:pStyle w:val="SourceNote"/>
      </w:pPr>
      <w:r>
        <w:rPr>
          <w:b/>
        </w:rPr>
        <w:t>Available abstract (not full text):</w:t>
      </w:r>
      <w:r>
        <w:t xml:space="preserve"> The article deals with factors of linguistic integration and the role of the European Union in these processes.The issue of the influence of English loanwords on the Ukrainian linguistic picture of the world is under consideration.Linguistic policy aimed at preserving national identity acts as an opposition to integration.The European choice of Ukraine is conditioned by the awareness of integration as a factor contributing to state independence, national security, political stability, economic development, intellectual progress, and restoration of the country's European essence.The topic of language in modern conditions is significant and interesting within various disciplines of social and humanitarian knowledge: linguistics, sociolinguistics, ethnolinguistics, pedagogy and psychology, sociology, political science, ethnopolitical science.Language is a dominant factor in the development of any society.Ukraine's acquisition of associate membership in the European Federation of National Language Institutes (EFNIL) will significantly strengthen the position of the Ukrainian language as the state language and contribute to its prospective use as a mandatory language in EU countries.The main importance of linguistic identity is one of the key factors in the formation of a single political community capable of developing a common national course, the clear and consistent observance o</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influence, stations;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influence, between, significant;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Comparison of factors influencing liquidity of European Islamic and conventional banks — https://doi.org/10.24136/oc.2021.013</w:t>
      </w:r>
    </w:p>
    <w:p>
      <w:pPr/>
      <w:r>
        <w:rPr>
          <w:b/>
        </w:rPr>
        <w:t>Shared claim-specific concepts:</w:t>
      </w:r>
      <w:r>
        <w:t xml:space="preserve"> factors, influence, due; EU scope visible. This is a provisional connection, not an outcome finding.</w:t>
      </w:r>
    </w:p>
    <w:p>
      <w:pPr>
        <w:pStyle w:val="SourceNote"/>
      </w:pPr>
      <w:r>
        <w:rPr>
          <w:b/>
        </w:rPr>
        <w:t>Available abstract (not full text):</w:t>
      </w:r>
      <w:r>
        <w:t xml:space="preserve"> Research background: The innovation in Shar??ah-compliant banking products has resulted in the rapidly increasing size of assets in Islamic banks worldwide. The assets of such banks have been growing twice as fast as those of conventional banks. Islamic banks do not depend on conventional interest, speculation, or complex derivatives stemming from banking operations. Instead, their actions in respect of profit/risk sharing, and the clarity of the contract are consistent with Islamic Shar??ah principles, which seek to promote a more equal society. Purpose of the article: This research aims to identify and compare factors influencing the liquidity of Islamic and conventional banks in Europe. Candidate factors are sought amongst profitability, credit quality, credit expansion and capital adequacy indicators. Methodology: First, relevant financial ratios for 249 observations on Islamic banks and 2,306 observations on conventional banks are selected and compared for the period 2013?2017. Second, liquidity is explained separately for each type of banks by panel data regression to identify its determinants in a comparative context. Findings &amp; value added: The results indicate that the impact of the net interest margin on the liquidity ratio of Islamic banks is insignificant, which is obviously due to the prohibition of the use of interest (riba). To the contrary, in conventional banki</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factors, traffic, due;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The open source electricity Model Base for Europe - An engagement framework for open and transparent European energy modelling — https://doi.org/10.1016/j.energy.2021.121973</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The transition to a low carbon energy system as laid out in the Paris Agreement and the European Green Deal presents challenges that involve society at all levels from planners to consumers. A key challenge is the communication across these levels. Tools to foster engagement and discussion between the different actors are open-source models with a low threshold for uptake. This paper presents the Open-Source electricity Model Base for Europe an electricity sector engagement model covering all member states of the EU, Norway, Switzerland and the United Kingdom. Built in OSeMOSYS and available on GitHub, the model provides a starting point into energy systems modelling and can be further developed in a collaborative manner. It enables non-experts to develop an understanding of energy systems models and energy planning. Thereby, it can serve as an engagement tool to carry the debate on the future of the European power system beyond the academy, which might contribute to finding societal consensus on how to decarbonise our energy system. The model allows dynamic power sector expansion analysis of the European power system till 2050. It can be used for scenario analysis and is expandable to other sectors to analyse the benefits of sector coupling.</w:t>
      </w:r>
    </w:p>
    <w:p>
      <w:pPr/>
      <w:r>
        <w:rPr>
          <w:b/>
        </w:rPr>
        <w:t>POSSIBLE 2021:</w:t>
      </w:r>
      <w:r>
        <w:t xml:space="preserve"> Fine-scale variation in projected climate change presents opportunities for biodiversity conservation in Europe — https://doi.org/10.1038/s41598-021-96717-6</w:t>
      </w:r>
    </w:p>
    <w:p>
      <w:pPr/>
      <w:r>
        <w:rPr>
          <w:b/>
        </w:rPr>
        <w:t>Shared claim-specific concepts:</w:t>
      </w:r>
      <w:r>
        <w:t xml:space="preserve"> factors, presents, land; EU scope visible. This is a provisional connection, not an outcome finding.</w:t>
      </w:r>
    </w:p>
    <w:p>
      <w:pPr>
        <w:pStyle w:val="SourceNote"/>
      </w:pPr>
      <w:r>
        <w:rPr>
          <w:b/>
        </w:rPr>
        <w:t>Available abstract (not full text):</w:t>
      </w:r>
      <w:r>
        <w:t xml:space="preserve"> Climate change is a major threat to global biodiversity, although projected changes show remarkable geographical and temporal variability. Understanding this variability allows for the identification of regions where the present-day conservation objectives may be at risk or where opportunities for biodiversity conservation emerge. We use a multi-model ensemble of regional climate models to identify areas with significantly high and low climate stability persistent throughout the twenty-first century in Europe. We then confront our predictions with the land coverage of three prominent biodiversity conservation initiatives at two scales. The continental-scale assessment shows that areas with the least stable future climate in Europe are likely to occur at low and high latitudes, with the Iberian Peninsula and the Boreal zones identified as prominent areas of low climatic stability. A follow-up regional scale investigation shows that robust climatic refugia exist even within the highly exposed southern and northern macro-regions. About 23-31% of assessed biodiversity conservation sites in Europe coincide with areas of high future climate stability, we contend that these sites should be prioritised in the formulation of future conservation priorities as the stability of future climate is one of the key factors determining their conservation prospects. Although such focus on climate</w:t>
      </w:r>
    </w:p>
    <w:p>
      <w:pPr/>
      <w:r>
        <w:rPr>
          <w:b/>
        </w:rPr>
        <w:t>POSSIBLE 2020:</w:t>
      </w:r>
      <w:r>
        <w:t xml:space="preserve"> Factors Influencing Adoption of Sustainable Farming Practices in Europe: A Systemic Review of Empirical Literature — https://doi.org/10.3390/su12229719</w:t>
      </w:r>
    </w:p>
    <w:p>
      <w:pPr/>
      <w:r>
        <w:rPr>
          <w:b/>
        </w:rPr>
        <w:t>Shared claim-specific concepts:</w:t>
      </w:r>
      <w:r>
        <w:t xml:space="preserve"> factors, influence, land, between; EU scope visible. This is a provisional connection, not an outcome finding.</w:t>
      </w:r>
    </w:p>
    <w:p>
      <w:pPr>
        <w:pStyle w:val="SourceNote"/>
      </w:pPr>
      <w:r>
        <w:rPr>
          <w:b/>
        </w:rPr>
        <w:t>Available abstract (not full text):</w:t>
      </w:r>
      <w:r>
        <w:t xml:space="preserve"> Modern practices of industrial farming, such as mineral fertilization, caused a widespread degradation of agricultural land and water bodies in Europe. Different farm management strategies exist to reduce the impact of mineral fertilization while preserving soil productivity. The aim of this paper is to provide a thorough systemic review of contemporary literature exploring factors and conditions affecting EU farmers’ adoption of sustainable farming practices. The specific focus is on widely adopted and empirically explored measures, such as organic farming, manure treatment technologies and manure fertilization, as well as soil and water conservation methods. In total, 23 peer-reviewed studies were extracted by means of Google Scholar covering the time period between 2003 and 2019. The main findings show that farmers’ environmental and economic attitudes in addition to their sources of information have a strong effect on the adoption of organic farming, although there is a lack of evidence of their impact on adopting manure treatment and conservation measures. Similarly, farmers’ age and education are found to systemically influence organic farming adoption, but not adoption of other reviewed technologies. While other factors, such as farm physical characteristics or technological attributes, may be important determinants of adoption, it is hard to recognize definite patterns </w:t>
      </w:r>
    </w:p>
    <w:p>
      <w:pPr/>
      <w:r>
        <w:rPr>
          <w:b/>
        </w:rPr>
        <w:t>POSSIBLE 2020:</w:t>
      </w:r>
      <w:r>
        <w:t xml:space="preserve"> European Regional Airport: Factors Influencing Efficency — https://doi.org/10.2478/ttj-2020-0017</w:t>
      </w:r>
    </w:p>
    <w:p>
      <w:pPr/>
      <w:r>
        <w:rPr>
          <w:b/>
        </w:rPr>
        <w:t>Shared claim-specific concepts:</w:t>
      </w:r>
      <w:r>
        <w:t xml:space="preserve"> factors, number, traffic, trend, due; EU scope visible. This is a provisional connection, not an outcome finding.</w:t>
      </w:r>
    </w:p>
    <w:p>
      <w:pPr>
        <w:pStyle w:val="SourceNote"/>
      </w:pPr>
      <w:r>
        <w:rPr>
          <w:b/>
        </w:rPr>
        <w:t>Available abstract (not full text):</w:t>
      </w:r>
      <w:r>
        <w:t xml:space="preserve"> Abstract During the recent decade a lot of research has been focused on identification of the importance of regional airport for the local economy and the measuring and predicting of the airport’s efficiency. With regard to individual airport planning it turns out that airports are not free in the optimization of infrastructure due the need to comply international aviation standards and recommended practices, one the one hand, and the tendency of air transportation system development including aircraft design and airlines’ fleet development, on the other. Furthermore, it is also important to take into account the specificity of each particular airport, including the traffic variability resulting from seasonality, with the airport’s mission geared to it. We found, tha t one of the reasons for the relatively low efficiency of regional airports, given the general trend in the growth in the number of seats for narrow-body aircraft. Likewise, it has been found, that the seasonality of air traffic at regional airports is comparatively high. In addition, this paper spotlights the ways the theoretical model of returns to scale affects the efficiency of the apron of the regional airport and briefly discusses the different interpretations of the definition of regional airport.</w:t>
      </w:r>
    </w:p>
    <w:p>
      <w:pPr>
        <w:pStyle w:val="Heading2"/>
      </w:pPr>
      <w:r>
        <w:t>817.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2022:</w:t>
      </w:r>
      <w:r>
        <w:t xml:space="preserve"> Targeted, Implementable, and Practical Energy Relief Measures for Households in Europe — https://doi.org/10.5089/9798400227400.001</w:t>
      </w:r>
    </w:p>
    <w:p>
      <w:pPr/>
      <w:r>
        <w:rPr>
          <w:b/>
        </w:rPr>
        <w:t>Shared claim-specific concepts:</w:t>
      </w:r>
      <w:r>
        <w:t xml:space="preserve"> energy, however; EU scope visible. This is a provisional connection, not an outcome finding.</w:t>
      </w:r>
    </w:p>
    <w:p>
      <w:pPr>
        <w:pStyle w:val="SourceNote"/>
      </w:pPr>
      <w:r>
        <w:rPr>
          <w:b/>
        </w:rPr>
        <w:t>Available abstract (not full text):</w:t>
      </w:r>
      <w:r>
        <w:t xml:space="preserve"> The recommended way of helping households during the ongoing European energy crisis is to allow price signals to operate freely while providing targeted compensation to the vulnerable. In practice, however, institutional, political, and technical constraints have led many European governments to adopt broad, price-suppressing measures, which impede the adjustment in demand, have high fiscal costs, and widen cross-country gaps in prices. This paper focuses on easy-to-implement, second-best policies. Bonuses or rebates on energy bills (that are not linked to the current volume of consumption) or block tariffs are simple options which would improve on the current policy design in many countries. To avoid stoking inflation, fiscal policy should not add to aggregate demand, so relief for energy bills should be targeted and coupled with offsetting fiscal measures. One option is to reclaim the relief from the better-off through income taxation, which would also make support more progressive.</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emission, reduction, target, mostly, however;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Greenhouse Gas Emission Reduction Potentials in Europe by Sector: A Bootstrap-Based Nonparametric Efficiency Analysis — https://doi.org/10.1007/s10640-022-00660-7</w:t>
      </w:r>
    </w:p>
    <w:p>
      <w:pPr/>
      <w:r>
        <w:rPr>
          <w:b/>
        </w:rPr>
        <w:t>Shared claim-specific concepts:</w:t>
      </w:r>
      <w:r>
        <w:t xml:space="preserve"> show, emission, reduction; EU scope visible. This is a provisional connection, not an outcome finding.</w:t>
      </w:r>
    </w:p>
    <w:p>
      <w:pPr>
        <w:pStyle w:val="SourceNote"/>
      </w:pPr>
      <w:r>
        <w:rPr>
          <w:b/>
        </w:rPr>
        <w:t>Available abstract (not full text):</w:t>
      </w:r>
      <w:r>
        <w:t xml:space="preserve"> Abstract The reduction of greenhouse gas emissions is the key action to limit global warming. An important source of greenhouse gas emissions and pollution is the inefficiency of production processes. We report results from a stochastic nonparametric efficiency analysis using directional distance functions to take account of undesirable outputs like greenhouse gases. With this approach, we are able to provide estimates of the potential emission reductions for 7 main sectors in 16 European countries. A specially adapted bootstrapping approach allows to implement a bias correction of the estimates and to compute confidence intervals. The results show that static efficiency improvements are a quantitatively important element of the emission reductions which are required to achieve the reduction targets of the European Union.</w:t>
      </w:r>
    </w:p>
    <w:p>
      <w:pPr>
        <w:pStyle w:val="Heading2"/>
      </w:pPr>
      <w:r>
        <w:t>818.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2021:</w:t>
      </w:r>
      <w:r>
        <w:t xml:space="preserve"> Wind resource evolution in Europe under different scenarios of climate change characterised by the novel Shared Socioeconomic Pathways — https://doi.org/10.1016/j.enconman.2021.113961</w:t>
      </w:r>
    </w:p>
    <w:p>
      <w:pPr/>
      <w:r>
        <w:rPr>
          <w:b/>
        </w:rPr>
        <w:t>Shared claim-specific concepts:</w:t>
      </w:r>
      <w:r>
        <w:t xml:space="preserve"> also, different, regions, political; EU scope visible. This is a provisional connection, not an outcome finding.</w:t>
      </w:r>
    </w:p>
    <w:p>
      <w:pPr>
        <w:pStyle w:val="SourceNote"/>
      </w:pPr>
      <w:r>
        <w:rPr>
          <w:b/>
        </w:rPr>
        <w:t>Available abstract (not full text):</w:t>
      </w:r>
      <w:r>
        <w:t xml:space="preserve"> Wind energy is a fundamental pillar of the energy mix in Europe – hence the need for understanding the evolution of the wind energy resource under climate change. For this purpose, near-, mid- and long-term wind speed projections from 18 global climate models are considered and a multi-model ensemble is constructed with the ones found to best reproduce past-present conditions. The evolution and temporal variability of wind power is investigated considering different climate change scenarios through the novel Shared Socioeconomic Pathways (SSPs). More specifically, two SSPs are considered, each corresponding to its own socio-economic and political environment and, therefore, its own level of greenhouse emissions: SSP5-8.5 (highest emissions scenario) and SSP2-4.5 (intermediate emissions scenario). Both scenarios lead to a significant reduction (up to 35%) in wind power density in northern Continental Europe and the Central Mediterranean, and an increase of similar magnitude in West Finland. Over the Atlantic Ocean, Ireland and Britain the resource is also projected to decrease significantly. In other regions, however, the general trend (positive or negative) depends on the SSP scenario. This is the case, notably, of Central Europe, with considerable growth in SSP2-4.5 but some reduction in SSP5-8.5. Thus, in the intermediate emissions scenario (SSP2-4.5) both growth and decline </w:t>
      </w:r>
    </w:p>
    <w:p>
      <w:pPr/>
      <w:r>
        <w:rPr>
          <w:b/>
        </w:rPr>
        <w:t>POSSIBLE 2021:</w:t>
      </w:r>
      <w:r>
        <w:t xml:space="preserve"> Assessing the Distribution of Exotic Egg Parasitoids of Halyomorpha halys in Europe with a Large-Scale Monitoring Program — https://doi.org/10.3390/insects12040316</w:t>
      </w:r>
    </w:p>
    <w:p>
      <w:pPr/>
      <w:r>
        <w:rPr>
          <w:b/>
        </w:rPr>
        <w:t>Shared claim-specific concepts:</w:t>
      </w:r>
      <w:r>
        <w:t xml:space="preserve"> also, present, assess; EU scope visible. This is a provisional connection, not an outcome finding.</w:t>
      </w:r>
    </w:p>
    <w:p>
      <w:pPr>
        <w:pStyle w:val="SourceNote"/>
      </w:pPr>
      <w:r>
        <w:rPr>
          <w:b/>
        </w:rPr>
        <w:t>Available abstract (not full text):</w:t>
      </w:r>
      <w:r>
        <w:t xml:space="preserve"> The brown marmorated stink bug Halyomorpha halys is an invasive agricultural pest with a worldwide distribution. Classical biological control has been identified as the most promising method to reduce the populations of H. halys. Adventive populations of two candidates for releases, Trissolcus japonicus and Trissolcus mitsukurii, have recently been detected in Europe. To assess their distribution and abundance, a large-scale survey was performed. From May to September 2019, a wide area covering northern Italy and parts of Switzerland was surveyed, highlighting the expanding distribution of both Tr. japonicus and Tr. mitsukurii. Within four years after their first detection in Europe, both species have rapidly spread into all types of habitats where H. halys is present, showing a wide distribution and continuous expansion. Both exotic Trissolcus showed high levels of parasitism rate towards H. halys, while parasitization of non-target species was a rare event. The generalist Anastatus bifasciatus was the predominant native parasitoid of H. halys, while the emergence of native scelionids from H. halys eggs was rarely observed. The presence of the hyperparasitoid Acroclisoides sinicus was also recorded. This study provided fundamental data that supported the development of the first inoculative release program of Tr. japonicus in Europe.</w:t>
      </w:r>
    </w:p>
    <w:p>
      <w:pPr/>
      <w:r>
        <w:rPr>
          <w:b/>
        </w:rPr>
        <w:t>POSSIBLE 2021:</w:t>
      </w:r>
      <w:r>
        <w:t xml:space="preserve"> European Stroke Organisation and European Society for Swallowing Disorders guideline for the diagnosis and treatment of post-stroke dysphagia — https://doi.org/10.1177/23969873211039721</w:t>
      </w:r>
    </w:p>
    <w:p>
      <w:pPr/>
      <w:r>
        <w:rPr>
          <w:b/>
        </w:rPr>
        <w:t>Shared claim-specific concepts:</w:t>
      </w:r>
      <w:r>
        <w:t xml:space="preserve"> also, present, different, interventions; EU scope visible. This is a provisional connection, not an outcome finding.</w:t>
      </w:r>
    </w:p>
    <w:p>
      <w:pPr>
        <w:pStyle w:val="SourceNote"/>
      </w:pPr>
      <w:r>
        <w:rPr>
          <w:b/>
        </w:rPr>
        <w:t>Available abstract (not full text):</w:t>
      </w:r>
      <w:r>
        <w:t xml:space="preserve"> Post-stroke dysphagia (PSD) is present in more than 50% of acute stroke patients, increases the risk of complications, in particular aspiration pneumonia, malnutrition and dehydration, and is linked to poor outcome and mortality. The aim of this guideline is to assist all members of the multidisciplinary team in their management of patients with PSD. These guidelines were developed based on the European Stroke Organisation (ESO) standard operating procedure and followed the Grading of Recommendations, Assessment, Development and Evaluation (GRADE) approach. An interdisciplinary working group identified 20 relevant questions, performed systematic reviews and meta-analyses of the literature, assessed the quality of the available evidence and wrote evidence-based recommendations. Expert opinion was provided if not enough evidence was available to provide recommendations based on the GRADE approach. We found moderate quality of evidence to recommend dysphagia screening in all stroke patients to prevent post-stroke pneumonia and to early mortality and low quality of evidence to suggest dysphagia assessment in stroke patients having been identified at being at risk of PSD. We found low to moderate quality of evidence for a variety of treatment options to improve swallowing physiology and swallowing safety. These options include dietary interventions, behavioural swallowing treatment </w:t>
      </w:r>
    </w:p>
    <w:p>
      <w:pPr/>
      <w:r>
        <w:rPr>
          <w:b/>
        </w:rPr>
        <w:t>POSSIBLE 2021:</w:t>
      </w:r>
      <w:r>
        <w:t xml:space="preserve"> Assessing Nearly Zero Energy Buildings (NZEBs) development in Europe — https://doi.org/10.1016/j.esr.2021.100680</w:t>
      </w:r>
    </w:p>
    <w:p>
      <w:pPr/>
      <w:r>
        <w:rPr>
          <w:b/>
        </w:rPr>
        <w:t>Shared claim-specific concepts:</w:t>
      </w:r>
      <w:r>
        <w:t xml:space="preserve"> also, different, diffusion, technologies; EU scope visible. This is a provisional connection, not an outcome finding.</w:t>
      </w:r>
    </w:p>
    <w:p>
      <w:pPr>
        <w:pStyle w:val="SourceNote"/>
      </w:pPr>
      <w:r>
        <w:rPr>
          <w:b/>
        </w:rPr>
        <w:t>Available abstract (not full text):</w:t>
      </w:r>
      <w:r>
        <w:t xml:space="preserve"> Decarbonising the energy sector is crucial to reach future climate and energy goals. As established by the Energy Performance of Building Directive recast, Nearly Zero Energy Buildings (NZEBs) are the mandatory building target in Europe for all new buildings from 2021 onwards. In the light of the approaching deadline, this paper assesses the development of NZEBs in Europe based on the most recent collected data and information. This paper provides an overview of the implementation of national definitions and energy performance values for new, existing, residential, and non-residential buildings in Member States. It evaluates the differences with the established European benchmark and cost-optimal levels. An overview of the most commonly implemented technologies in NZEBs is given together with costs and the relative projections over next decades. Finally, quantitative data on the NZEBs diffusion in Member States are given as recently assessed. The evolution of the NZEB concept and the future NZEBs role is also forecasted. The results assume a strategic value in the light of future targets for the building sector, showing the progress made by Member States in relation to different NZEBs aspects. They provide a comprehensive analysis of the European NZEBs implementation depicting a positive overall progress improvement for NZEBs definitions, uptake, technology development, and ene</w:t>
      </w:r>
    </w:p>
    <w:p>
      <w:pPr/>
      <w:r>
        <w:rPr>
          <w:b/>
        </w:rPr>
        <w:t>POSSIBLE 2020:</w:t>
      </w:r>
      <w:r>
        <w:t xml:space="preserve"> Economic analysis of BIPV systems as a building envelope material for building skins in Europe — https://doi.org/10.1016/j.energy.2020.117931</w:t>
      </w:r>
    </w:p>
    <w:p>
      <w:pPr/>
      <w:r>
        <w:rPr>
          <w:b/>
        </w:rPr>
        <w:t>Shared claim-specific concepts:</w:t>
      </w:r>
      <w:r>
        <w:t xml:space="preserve"> also, present, alternative; EU scope visible. This is a provisional connection, not an outcome finding.</w:t>
      </w:r>
    </w:p>
    <w:p>
      <w:pPr>
        <w:pStyle w:val="SourceNote"/>
      </w:pPr>
      <w:r>
        <w:rPr>
          <w:b/>
        </w:rPr>
        <w:t>Available abstract (not full text):</w:t>
      </w:r>
      <w:r>
        <w:t xml:space="preserve"> The main purpose of this study is to evaluate the economic feasibility of the BIPV system as a building envelope material for the whole building skins. The paper is dealing with the lifecycle cost analysis (LCCA) of BIPV system in the capitals of all the European Union member states (EU) as well as the capitals of Norway and Switzerland. The results revealed that by a discount rate of zero, BIPV system could refund all the investment even on the north facades while in terms of traditional building envelope materials as an alternative option for building skins, there would be rarely added benefits after investment. Furthermore, the societal and environmental benefits of a BIPV system in Europe have its greatest impact on the south façade. Moreover, for all the studied directions of building skins with a discount rate of five present in Europe except the north facade, just the quantified amount of societal and environmental advantages of BIPV systems could almost reimburse all the invested money. The results illustrated that the BIPV system as a building envelope material for the whole building skins could reimburse not only all the investment costs but also become a source of income for the building.</w:t>
      </w:r>
    </w:p>
    <w:p>
      <w:pPr/>
      <w:r>
        <w:rPr>
          <w:b/>
        </w:rPr>
        <w:t>POSSIBLE 2020:</w:t>
      </w:r>
      <w:r>
        <w:t xml:space="preserve"> Flood trends in Europe: are changes in small and big floods different? — https://doi.org/10.5194/hess-24-1805-2020</w:t>
      </w:r>
    </w:p>
    <w:p>
      <w:pPr/>
      <w:r>
        <w:rPr>
          <w:b/>
        </w:rPr>
        <w:t>Shared claim-specific concepts:</w:t>
      </w:r>
      <w:r>
        <w:t xml:space="preserve"> also, assess, different, show, regions;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pStyle w:val="Heading2"/>
      </w:pPr>
      <w:r>
        <w:t>819.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Mapping the evidence of climate change adaptation policy instruments in Europe — https://doi.org/10.1088/1748-9326/ab8fd1</w:t>
      </w:r>
    </w:p>
    <w:p>
      <w:pPr/>
      <w:r>
        <w:rPr>
          <w:b/>
        </w:rPr>
        <w:t>Shared claim-specific concepts:</w:t>
      </w:r>
      <w:r>
        <w:t xml:space="preserve"> number, instruments; EU scope visible. This is a provisional connection, not an outcome finding.</w:t>
      </w:r>
    </w:p>
    <w:p>
      <w:pPr>
        <w:pStyle w:val="SourceNote"/>
      </w:pPr>
      <w:r>
        <w:rPr>
          <w:b/>
        </w:rPr>
        <w:t>Available abstract (not full text):</w:t>
      </w:r>
      <w:r>
        <w:t xml:space="preserve"> Abstract With climate change impacts being felt across Europe, governments have started to invest in designing and implementing adaptation actions. The means through which governments adapt is generally referred to as policy instruments. Although there is a large body of adaptation policy literature emerging, our comprehensive understanding of policy instruments is limited nor do we know much about how scholarship on adaptation is addressing critical questions about policy instrument choice and effectiveness to support policy practice. In this article we map academic scholarship on climate change adaptation policy instruments in Europe. Using systematic approaches, we identify 184 relevant articles published 2014–2019. Our findings show that research is heavily concentrated on a limited number of western-European countries, with hardly any insights from eastern Europe and smaller countries. Most studies do not connect climate change impacts and risks with policy instruments, making assessment of policy effectiveness difficult, if not impossible. We argue that expanding the geographical scope of future research and enhancing the diversity of study types across Europe is critical for advancing theories on climate change adaptation policy, as well as providing useful recommendations for policy makers to strengthen the solution space and accelerate climate change adaptation.</w:t>
      </w:r>
    </w:p>
    <w:p>
      <w:pPr/>
      <w:r>
        <w:rPr>
          <w:b/>
        </w:rPr>
        <w:t>POSSIBLE 2018:</w:t>
      </w:r>
      <w:r>
        <w:t xml:space="preserve"> Regional inequality in Europe: evidence, theory and policy implications — https://doi.org/10.1093/jeg/lby021</w:t>
      </w:r>
    </w:p>
    <w:p>
      <w:pPr/>
      <w:r>
        <w:rPr>
          <w:b/>
        </w:rPr>
        <w:t>Shared claim-specific concepts:</w:t>
      </w:r>
      <w:r>
        <w:t xml:space="preserve"> implications, effective;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pStyle w:val="Heading2"/>
      </w:pPr>
      <w:r>
        <w:t>820.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European Union Regulation of Water Stress Risks — https://doi.org/10.1017/err.2023.76</w:t>
      </w:r>
    </w:p>
    <w:p>
      <w:pPr/>
      <w:r>
        <w:rPr>
          <w:b/>
        </w:rPr>
        <w:t>Shared claim-specific concepts:</w:t>
      </w:r>
      <w:r>
        <w:t xml:space="preserve"> water, level, based; EU scope visible. This is a provisional connection, not an outcome finding.</w:t>
      </w:r>
    </w:p>
    <w:p>
      <w:pPr>
        <w:pStyle w:val="SourceNote"/>
      </w:pPr>
      <w:r>
        <w:rPr>
          <w:b/>
        </w:rPr>
        <w:t>Available abstract (not full text):</w:t>
      </w:r>
      <w:r>
        <w:t xml:space="preserve"> Abstract Water stress is a growing concern in Europe, partly due to the changing climate context. Despite the cross-cutting impacts that water availability has on different areas under the competence of the European Union (EU), there is not currently a comprehensive and systematic legal framework addressing this issue. The purpose of this article is therefore to examine the EU legislation that concerns the measures aimed at mitigating these risks. To this purpose, it is first examined how droughts and water scarcity are framed within EU legal acts. Based on such an overview, the analysis is directed to the mechanisms developed at the EU level for monitoring, identifying and forecasting water stress risks, as well as the legal provisions relating to the planning tools. The remainder of the article is devoted to the regulation of preventative measures for water scarcity and drought risk reduction, following the water hierarchy resulting from COM(2007) 414.</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2022:</w:t>
      </w:r>
      <w:r>
        <w:t xml:space="preserve"> IoT-Based Solutions to Monitor Water Level, Leakage, and Motor Control for Smart Water Tanks — https://doi.org/10.3390/w14030309</w:t>
      </w:r>
    </w:p>
    <w:p>
      <w:pPr/>
      <w:r>
        <w:rPr>
          <w:b/>
        </w:rPr>
        <w:t>Shared claim-specific concepts:</w:t>
      </w:r>
      <w:r>
        <w:t xml:space="preserve"> water, level, population; EU scope not established. This is a provisional connection, not an outcome finding.</w:t>
      </w:r>
    </w:p>
    <w:p>
      <w:pPr>
        <w:pStyle w:val="SourceNote"/>
      </w:pPr>
      <w:r>
        <w:rPr>
          <w:b/>
        </w:rPr>
        <w:t>Available abstract (not full text):</w:t>
      </w:r>
      <w:r>
        <w:t xml:space="preserve"> Today, a large portion of the human population around the globe has no access to freshwater for drinking, cooking, and other domestic applications. Water resources in numerous countries are becoming scarce due to over urbanization, rapid industrial growth, and current global warming. Water is often stored in the aboveground or underground tanks. In developing countries, these tanks are maintained manually, and in some cases, water is wasted due to human negligence. In addition, water could also leak out from tanks and supply pipes due to the decayed infrastructure. To address these issues, researchers worldwide turned to the Internet-of-Things (IoT) technology to efficiently monitor water levels, detect leakage, and auto refill tanks whenever needed. Notably, this technology can also supply real-time feedback to end-users and other experts through a webpage or a smartphone. Literature reveals a plethora of review articles on smart water monitoring, including water quality, supply pipes leakage, and water waste recycling. However, none of the reviews focus on the IoT-based solution to monitor water level, detect water leakage, and auto control water pumps, especially at the induvial level that form a vast proportion of water consumers worldwide. To fill this gap in the literature, this study presents a review of IoT-controlled water storage tanks (IoT-WST). Some important contri</w:t>
      </w:r>
    </w:p>
    <w:p>
      <w:pPr/>
      <w:r>
        <w:rPr>
          <w:b/>
        </w:rPr>
        <w:t>POSSIBLE 2022:</w:t>
      </w:r>
      <w:r>
        <w:t xml:space="preserve"> A Water Level Measurement Approach Based on YOLOv5s — https://doi.org/10.3390/s22103714</w:t>
      </w:r>
    </w:p>
    <w:p>
      <w:pPr/>
      <w:r>
        <w:rPr>
          <w:b/>
        </w:rPr>
        <w:t>Shared claim-specific concepts:</w:t>
      </w:r>
      <w:r>
        <w:t xml:space="preserve"> water, level, based; EU scope not established. This is a provisional connection, not an outcome finding.</w:t>
      </w:r>
    </w:p>
    <w:p>
      <w:pPr>
        <w:pStyle w:val="SourceNote"/>
      </w:pPr>
      <w:r>
        <w:rPr>
          <w:b/>
        </w:rPr>
        <w:t>Available abstract (not full text):</w:t>
      </w:r>
      <w:r>
        <w:t xml:space="preserve"> Existing water gauge reading approaches based on image analysis have problems such as poor scene adaptability and weak robustness. Here, we proposed a novel water level measurement method based on deep learning (YOLOv5s, convolutional neural network) to overcome these problems. The proposed method uses the YOLOv5s to extract the water gauge area and all scale character areas in the original video image, uses image processing technology to identify the position of the water surface line, and then calculates the actual water level elevation. The proposed method is validated with a video monitoring station on a river in Beijing, and the results show that the systematic error of the proposed method is only 7.7 mm, the error is within 1 cm/the error is between 1 cm and 3 cm, and the proportion of the number of images is 95%/5% (daylight), 98%/2% (infrared lighting at night), 97%/2% (strong light), 45%/44% (transparent water body), 91%/9% (rainfall), and 90%/10% (water gauge is slightly dirty). The results demonstrate that the proposed method shows good performance in different scenes, and its effectiveness has been confirmed. At the same time, it has a strong robustness and provides a certain reference for the application of deep learning in the field of hydrological monitoring.</w:t>
      </w:r>
    </w:p>
    <w:p>
      <w:pPr/>
      <w:r>
        <w:rPr>
          <w:b/>
        </w:rPr>
        <w:t>POSSIBLE 2021:</w:t>
      </w:r>
      <w:r>
        <w:t xml:space="preserve"> A Review of Water Stress and Water Footprint Accounting — https://doi.org/10.3390/w13020201</w:t>
      </w:r>
    </w:p>
    <w:p>
      <w:pPr/>
      <w:r>
        <w:rPr>
          <w:b/>
        </w:rPr>
        <w:t>Shared claim-specific concepts:</w:t>
      </w:r>
      <w:r>
        <w:t xml:space="preserve"> water, footprint, production, consumption, use; EU scope not established. This is a provisional connection, not an outcome finding.</w:t>
      </w:r>
    </w:p>
    <w:p>
      <w:pPr>
        <w:pStyle w:val="SourceNote"/>
      </w:pPr>
      <w:r>
        <w:rPr>
          <w:b/>
        </w:rPr>
        <w:t>Available abstract (not full text):</w:t>
      </w:r>
      <w:r>
        <w:t xml:space="preserve"> Production and consumption activities deplete freshwater, generate water pollution and may further lead to water stress. The accurate measurement of water stress is a precondition for sustainable water management. This paper reviews the literature on physical water stress induced by blue and green water use and by water pollution. Specifically, we clarify several key concepts (i.e., water stress, scarcity, availability, withdrawal, consumption and the water footprint) for water stress evaluation, and review physical water stress indicators in terms of quantity and quality. Furthermore, we identify research gaps in physical water stress assessment, related to environmental flow requirements, return flows, outsourcing of water pollution and standardization of terminology and approaches. These research gaps can serve as venues for further research dealing with the evaluation and reduction of water stress.</w:t>
      </w:r>
    </w:p>
    <w:p>
      <w:pPr/>
      <w:r>
        <w:rPr>
          <w:b/>
        </w:rPr>
        <w:t>POSSIBLE 2021:</w:t>
      </w:r>
      <w:r>
        <w:t xml:space="preserve"> Possibilities of the Development of Edible Insect-Based Foods in Europe — https://doi.org/10.3390/foods10040766</w:t>
      </w:r>
    </w:p>
    <w:p>
      <w:pPr/>
      <w:r>
        <w:rPr>
          <w:b/>
        </w:rPr>
        <w:t>Shared claim-specific concepts:</w:t>
      </w:r>
      <w:r>
        <w:t xml:space="preserve"> population, production, consumption;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The Water Footprint of Global Food Production — https://doi.org/10.3390/w12102696</w:t>
      </w:r>
    </w:p>
    <w:p>
      <w:pPr/>
      <w:r>
        <w:rPr>
          <w:b/>
        </w:rPr>
        <w:t>Shared claim-specific concepts:</w:t>
      </w:r>
      <w:r>
        <w:t xml:space="preserve"> water, footprint, population, production, diets, use; EU scope not established. This is a provisional connection, not an outcome finding.</w:t>
      </w:r>
    </w:p>
    <w:p>
      <w:pPr>
        <w:pStyle w:val="SourceNote"/>
      </w:pPr>
      <w:r>
        <w:rPr>
          <w:b/>
        </w:rPr>
        <w:t>Available abstract (not full text):</w:t>
      </w:r>
      <w:r>
        <w:t xml:space="preserve"> Agricultural production is the main consumer of water. Future population growth, income growth, and dietary shifts are expected to increase demand for water. The paper presents a brief review of the water footprint of crop production and the sustainability of the blue water footprint. The estimated global consumptive (green plus blue) water footprint ranges from 5938 to 8508 km3/year. The water footprint is projected to increase by as much as 22% due to climate change and land use change by 2090. Approximately 57% of the global blue water footprint is shown to violate the environmental flow requirements. This calls for action to improve the sustainability of water and protect ecosystems that depend on it. Some of the measures include increasing water productivity, setting benchmarks, setting caps on the water footprint per river basin, shifting the diets to food items with low water requirements, and reducing food waste.</w:t>
      </w:r>
    </w:p>
    <w:p>
      <w:pPr>
        <w:pStyle w:val="Heading2"/>
      </w:pPr>
      <w:r>
        <w:t>821.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r>
        <w:rPr>
          <w:b/>
        </w:rPr>
        <w:t>POSSIBLE 2024:</w:t>
      </w:r>
      <w:r>
        <w:t xml:space="preserve"> THE INFLUENCE OF EUROPEAN FISCAL POLICIES ON STRATEGIES FOR ATTRACTING EUROPEAN FUNDS – A COMPARATIVE ANALYSIS — https://doi.org/10.61846/cuji-ssh.2024.4.08</w:t>
      </w:r>
    </w:p>
    <w:p>
      <w:pPr/>
      <w:r>
        <w:rPr>
          <w:b/>
        </w:rPr>
        <w:t>Shared claim-specific concepts:</w:t>
      </w:r>
      <w:r>
        <w:t xml:space="preserve"> member, states, fund, commission, funding, framework; EU scope visible. This is a provisional connection, not an outcome finding.</w:t>
      </w:r>
    </w:p>
    <w:p>
      <w:pPr>
        <w:pStyle w:val="SourceNote"/>
      </w:pPr>
      <w:r>
        <w:rPr>
          <w:b/>
        </w:rPr>
        <w:t>Available abstract (not full text):</w:t>
      </w:r>
      <w:r>
        <w:t xml:space="preserve"> European fiscal policies significantly shape member states' strategies for attracting and utilising European funds, influencing the allocation of resources, compliance requirements, and fund accessibility. This article explores the comparative impact of these policies on fund attraction strategies across EU member states, focusing on how fiscal regulations either facilitate or restrict effective fund utilisation. Using a legislative comparative analysis alongside cause-effect methodology, this study examines variations in fiscal policy frameworks, compliance dynamics, and administrative capacities. Findings suggest that while aligned fiscal policies can foster efficiency and transparency, variations in national frameworks create disparities in fund attraction success, requiring adaptive strategies tailored to each member state. KEYWORDS: comparative analysis, european fiscal policies, EU member states, fiscal strategy, fund attraction, legislative impact. J.E.L. CLASSIFICATION: H77, H87, E62 1. INTRODUCTION European fiscal policies play a pivotal role in shaping the ability of member states to attract and utilise European funds, which are essential for financing local development, infrastructure, and economic growth. By setting overarching regulatory frameworks, the European Union (EU) aims to standardise fund accessibility and encourage fiscal responsibility across its member </w:t>
      </w:r>
    </w:p>
    <w:p>
      <w:pPr/>
      <w:r>
        <w:rPr>
          <w:b/>
        </w:rPr>
        <w:t>POSSIBLE 2023:</w:t>
      </w:r>
      <w:r>
        <w:t xml:space="preserve"> The impact of the European social fund on youth education and employment — https://doi.org/10.1016/j.seps.2023.101650</w:t>
      </w:r>
    </w:p>
    <w:p>
      <w:pPr/>
      <w:r>
        <w:rPr>
          <w:b/>
        </w:rPr>
        <w:t>Shared claim-specific concepts:</w:t>
      </w:r>
      <w:r>
        <w:t xml:space="preserve"> fund, funding, both; EU scope visible. This is a provisional connection, not an outcome finding.</w:t>
      </w:r>
    </w:p>
    <w:p>
      <w:pPr>
        <w:pStyle w:val="SourceNote"/>
      </w:pPr>
      <w:r>
        <w:rPr>
          <w:b/>
        </w:rPr>
        <w:t>Available abstract (not full text):</w:t>
      </w:r>
      <w:r>
        <w:t xml:space="preserve"> The effectiveness of the European Union's Cohesion Policy in reducing regional socio-economic gaps remains an open empirical issue, while evidence as to how the policy is affected by specific territorial factors and which social groups benefit most from it remains sparse. This article seeks to address this gap by disentangling the impact of the European Social Fund (ESF) on youth education and employment prospects. Drawing on macro-level data for the European NUTS-2 regions, we assess the impact that this fund has on different education-specific youth population shares and employment rates. In the case of education, we find that the receipt of funding is associated with a human capital polarization of regional populations. Specifically, we identify a positive impact of the ESF on population shares with lower-secondary and tertiary education, and a simultaneous negative impact on the share of those with upper-secondary education. In the case of employment, we find a positive response for youth of all education levels. A heterogeneity analysis indicates that both the education and employment responses of the youth population to the receipt of the ESF are strongly influenced by local specialization in high-skilled activities.</w:t>
      </w:r>
    </w:p>
    <w:p>
      <w:pPr/>
      <w:r>
        <w:rPr>
          <w:b/>
        </w:rPr>
        <w:t>POSSIBLE 2021:</w:t>
      </w:r>
      <w:r>
        <w:t xml:space="preserve"> Hydrogen in the Strategies of the European Union Member States — https://doi.org/10.24425/gsm.2021.138660</w:t>
      </w:r>
    </w:p>
    <w:p>
      <w:pPr/>
      <w:r>
        <w:rPr>
          <w:b/>
        </w:rPr>
        <w:t>Shared claim-specific concepts:</w:t>
      </w:r>
      <w:r>
        <w:t xml:space="preserve"> member, states, currently, but, sources, climate; EU scope visible. This is a provisional connection, not an outcome finding.</w:t>
      </w:r>
    </w:p>
    <w:p>
      <w:pPr>
        <w:pStyle w:val="SourceNote"/>
      </w:pPr>
      <w:r>
        <w:rPr>
          <w:b/>
        </w:rPr>
        <w:t>Available abstract (not full text):</w:t>
      </w:r>
      <w:r>
        <w:t xml:space="preserve"> Strategies and roadmaps are essential in areas that require long-term planning, such as the energy transition. Strategic plans can play an important role in developing visions for reducing CO2 emissions, developing renewable energy sources (RES) and hydrogen technologies. Hydrogen can be included in value chains in various sectors of the economy as raw material, emission-free fuel, or as an energy carrier and storage. The analysis of the future of hydrogen energy, which is an essential component of transforming the economy into an environmentally neutral one, is an integral part of the strategies of the European Union (EU) Member States. This article reviews the strategic documents of the EU countries in the field of a hydrogen economy. Currently, six EU Member States have approved the hydrogen strategy (Germany, France, the Netherlands, Portugal, Hungary, Czech Republic), and two of them have roadmaps (Spain, Finland). The others are working on their completion in 2021. EU countries have the possibility of energy transformation based on a hydrogen policy, including green hydrogen, within the framework of the European Green Deal, i.e. aiming for climate neutrality and creating a modern and environmentally friendly economy. By 2030, some of the countries plan to become a leader not only in the field of hydrogen production or RES development aimed at this process but also in the </w:t>
      </w:r>
    </w:p>
    <w:p>
      <w:pPr/>
      <w:r>
        <w:rPr>
          <w:b/>
        </w:rPr>
        <w:t>POSSIBLE 2020:</w:t>
      </w:r>
      <w:r>
        <w:t xml:space="preserve"> Overview of BIM integration into the Construction Sector in European Member States and European Union Acquis — https://doi.org/10.1088/1755-1315/410/1/012073</w:t>
      </w:r>
    </w:p>
    <w:p>
      <w:pPr/>
      <w:r>
        <w:rPr>
          <w:b/>
        </w:rPr>
        <w:t>Shared claim-specific concepts:</w:t>
      </w:r>
      <w:r>
        <w:t xml:space="preserve"> indicate, member, states, but, energy; EU scope visible. This is a provisional connection, not an outcome finding.</w:t>
      </w:r>
    </w:p>
    <w:p>
      <w:pPr>
        <w:pStyle w:val="SourceNote"/>
      </w:pPr>
      <w:r>
        <w:rPr>
          <w:b/>
        </w:rPr>
        <w:t>Available abstract (not full text):</w:t>
      </w:r>
      <w:r>
        <w:t xml:space="preserve"> Abstract The amount of information involved in any construction project and the necessity of control of time, cost and waste, has established Building Information Modelling (BIM) as an integral part of construction sector towards achieving adequate communication of information among various parties involved in construction projects. Moreover, it can be considered as a valuable tool for the optimum selection of materials, systems and design decisions, regarding not only the improve of a structure’s performance, but also in terms of reducing its carbon footprint during its life cycle. The study attempts to present the integration of BIM into the national legislation of European Member States, with a special focus on the energy related aspects of BIM analysis. This study performs an overview of the introduction of BIM into different aspects and requirements of the EU Member States building practices, through a comprehensive literature and legislation review of relative legislative documents of the construction sector. According to the findings of this overview study, the concept of BIM has already been incorporated in many aspects of the Acquis of EU Member States, which is recognized as a valuable tool to be exploited by the construction sector, however there is still room for development in this area. The study has revealed that especially in the energy assessment of the built e</w:t>
      </w:r>
    </w:p>
    <w:p>
      <w:pPr/>
      <w:r>
        <w:rPr>
          <w:b/>
        </w:rPr>
        <w:t>POSSIBLE 2020:</w:t>
      </w:r>
      <w:r>
        <w:t xml:space="preserve"> Scope and Exercise of the Exclusive Competences of the Member States of the European Union — https://doi.org/10.31743/recl.6056</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The process of European integration has introduced the Member States into a new legal reality. The existing exclusivity in the area of competence implementation has been replaced by a two-stage model of their exercise. The Member States, when conferring part of their supervisory powers, did not specify the scope of their own competences. The so-called European clauses were analysed in the Constitutions of selected Member States, which showed that they define the recipient of the conferral and, in a non-uniform manner, specify the subject of the conferral. The analysis of the indicated provisions clearly shows that the Constitutions of the Member States exclude full conferral of competences on the European Union. There is no specification of the scope of competences that may be conferred. However, this issue was addressed by Constitutional Courts of the Member States. The article refers to the judgements of the German Federal Constitutional Court and the Polish Constitutional Court. It has been shown that they equate exclusive competences of the Member States with the scope of the concept of constitutional identity reduced to basic principles of the state. The Court of Justice of the European Union analysed the scope of competences of both entities. The article presents the analysis of judgements on: entries in Civil Registry regarding transcription of surnames, the issue of rec</w:t>
      </w:r>
    </w:p>
    <w:p>
      <w:pPr/>
      <w:r>
        <w:rPr>
          <w:b/>
        </w:rPr>
        <w:t>POSSIBLE 2019:</w:t>
      </w:r>
      <w:r>
        <w:t xml:space="preserve"> Differentiation in the production potential and efficiency of farms in the member states of the European Union — https://doi.org/10.17221/378/2018-agricecon</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paper contains an evaluation of the differentiation of the production potential and efficiency of farms in the member states of the European Union in 2013-2016. To this end, a taxonomic method - Hellwig's development measure - was used. The study was based on data from the European Union Farm Accountancy Data Network (FADN). The study results indicate that member states such as the Netherlands, Denmark, Luxembourg, Belgium, the United Kingdom and Slovakia were characterised by the best agricultural production potential. The first four member states also showed the highest efficiency with regard to the utilisation of production factors. On the other hand, low and average potential and efficiency were characteristic of farms in most of the new member states.</w:t>
      </w:r>
    </w:p>
    <w:p>
      <w:pPr/>
      <w:r>
        <w:rPr>
          <w:b/>
        </w:rPr>
        <w:t>POSSIBLE 2019:</w:t>
      </w:r>
      <w:r>
        <w:t xml:space="preserve"> Analysis of the Energy Consumption Behavior of European RES Cooperative Members — https://doi.org/10.3390/en12060970</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REScoops are cooperatives of renewable energy producers and/or consumers that are being formed in the developing European Smart Grid. Today, there are more than 2397 REScoops with more than 650,000 members. Their development indicates the necessity of producing and consuming green energy, assists the fight against energy poverty, and reduces greenhouse gas emissions by utilizing smart management systems and self-consumption techniques. An essential objective of the H2020 REScoop Plus project is to stimulate better understanding and promote the cooperatives’ commitment to behavioral change. To achieve such a goal, this paper presents the methodology adopted to assess the energy-saving activities and behavior of the REScoops. In order to obtain relevant conclusions, a detailed statistical analysis was undertaken. Moreover, the analysis led to an effective classification of the various members, providing insights regarding their contribution to consumption reduction according to various specific characteristics. The statistical analysis showed that REScoop members contribute significantly to energy conservation and the reduction of harmful gas emissions, and subsequently, the majority of the energy efficiency (EE) interventions led to achieving more than 20% reductions. Specific practices, already adopted by the REScoops, lead to increased energy efficiency and environmental benef</w:t>
      </w:r>
    </w:p>
    <w:p>
      <w:pPr/>
      <w:r>
        <w:rPr>
          <w:b/>
        </w:rPr>
        <w:t>POSSIBLE 2019:</w:t>
      </w:r>
      <w:r>
        <w:t xml:space="preserve"> Implementing Green Infrastructure in Spatial Planning in Europe — https://doi.org/10.3390/land8040062</w:t>
      </w:r>
    </w:p>
    <w:p>
      <w:pPr/>
      <w:r>
        <w:rPr>
          <w:b/>
        </w:rPr>
        <w:t>Shared claim-specific concepts:</w:t>
      </w:r>
      <w:r>
        <w:t xml:space="preserve"> member, states, fund, funding, sources, climate;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822.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2020:</w:t>
      </w:r>
      <w:r>
        <w:t xml:space="preserve"> Future Climate Change in the European Alps — https://doi.org/10.1093/acrefore/9780190228620.013.767</w:t>
      </w:r>
    </w:p>
    <w:p>
      <w:pPr/>
      <w:r>
        <w:rPr>
          <w:b/>
        </w:rPr>
        <w:t>Shared claim-specific concepts:</w:t>
      </w:r>
      <w:r>
        <w:t xml:space="preserve"> strong, climate, only, emission, until, projections; EU scope visible. This is a provisional connection, not an outcome finding.</w:t>
      </w:r>
    </w:p>
    <w:p>
      <w:pPr>
        <w:pStyle w:val="SourceNote"/>
      </w:pPr>
      <w:r>
        <w:rPr>
          <w:b/>
        </w:rPr>
        <w:t>Available abstract (not full text):</w:t>
      </w:r>
      <w:r>
        <w:t xml:space="preserve"> Abstract The analysis of state-of-the-art regional climate projections indicates a number of robust changes of the climate of the European Alps by the end of this century. Among these are a temperature increase in all seasons and at all elevations and a significant decrease in natural snow cover. Precipitation changes, however, are more subtle and subject to larger uncertainties. While annual precipitation sums are projected to remain rather constant until the end of the century, winter precipitation is projected to increase. Summer precipitation changes will most likely be negative, but increases are possible as well and are covered by the model uncertainty range. Precipitation extremes are expected to intensify in all seasons. The projected changes by the end of the century considerably depend on the greenhouse-gas scenario assumed, with the high-end RCP8.5 scenario being associated with the most prominent changes. Until the middle of the 21st century, however, it is projected that climate change in the Alpine area will only slightly depend on the specific emission scenario. These results indicate that harmful weather events in the Alpine area are likely to intensify in future. This particularly refers to extreme precipitation events, which can trigger flash floods and gravitational mass movements (debris flows, landslides) and lead to substantial damage. Convective precipita</w:t>
      </w:r>
    </w:p>
    <w:p>
      <w:pPr/>
      <w:r>
        <w:rPr>
          <w:b/>
        </w:rPr>
        <w:t>POSSIBLE 2020:</w:t>
      </w:r>
      <w:r>
        <w:t xml:space="preserve"> Climate change fingerprints in recent European plant phenology — https://doi.org/10.1111/gcb.15000</w:t>
      </w:r>
    </w:p>
    <w:p>
      <w:pPr/>
      <w:r>
        <w:rPr>
          <w:b/>
        </w:rPr>
        <w:t>Shared claim-specific concepts:</w:t>
      </w:r>
      <w:r>
        <w:t xml:space="preserve"> strong, climate, only, period; EU scope visible. This is a provisional connection, not an outcome finding.</w:t>
      </w:r>
    </w:p>
    <w:p>
      <w:pPr>
        <w:pStyle w:val="SourceNote"/>
      </w:pPr>
      <w:r>
        <w:rPr>
          <w:b/>
        </w:rPr>
        <w:t>Available abstract (not full text):</w:t>
      </w:r>
      <w:r>
        <w:t xml:space="preserve"> A paper published in Global Change Biology in 2006 revealed that phenological responses in 1971-2000 matched the warming pattern in Europe, but a lack of chilling and adaptation in farming may have reversed these findings. Therefore, for 1951-2018 in a corresponding data set, we determined changes as linear trends and analysed their variation by plant traits/groups, across season and time as well as their attribution to warming following IPCC methodology. Although spring and summer phases in wild plants advanced less (maximum advances in 1978-2007), more (~90%) and more significant (~60%) negative trends were present, being stronger in early spring, at higher elevations, but smaller for nonwoody insect-pollinated species. These trends were strongly attributable to winter and spring warming. Findings for crop spring phases were similar, but were less pronounced. There were clearer and attributable signs for a delayed senescence in response to winter and spring warming. These changes resulted in a longer growing season, but a constant generative period in wild plants and a shortened one in agricultural crops. Phenology determined by farmers' decisions differed noticeably from the purely climatic driven phases with smaller percentages of advancing (~75%) trends, but farmers' spring activities were the only group with reinforced advancement, suggesting adaptation. Trends in farmers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two, emission, until;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2020:</w:t>
      </w:r>
      <w:r>
        <w:t xml:space="preserve"> EU Values Are Law, After All: Enforcing EU Values Through Systemic Infringement Actions by the European Commission and the Member States of the European Union — https://doi.org/10.1093/yel/yeaa012</w:t>
      </w:r>
    </w:p>
    <w:p>
      <w:pPr/>
      <w:r>
        <w:rPr>
          <w:b/>
        </w:rPr>
        <w:t>Shared claim-specific concepts:</w:t>
      </w:r>
      <w:r>
        <w:t xml:space="preserve"> action, after, two, show; EU scope visible. This is a provisional connection, not an outcome finding.</w:t>
      </w:r>
    </w:p>
    <w:p>
      <w:pPr>
        <w:pStyle w:val="SourceNote"/>
      </w:pPr>
      <w:r>
        <w:rPr>
          <w:b/>
        </w:rPr>
        <w:t>Available abstract (not full text):</w:t>
      </w:r>
      <w:r>
        <w:t xml:space="preserve"> Abstract Although compliance with the founding values is presumed in its law, the Union is now confronted with persistent disregard of these values in two Member States. If it ceases to be a union of Rule-of-Law-abiding democracies, the European Union (EU) is unthinkable. Purely political mechanisms to safeguard the Rule of Law, such as those in Article 7 Treaty of European Union (TEU), do not work. Worse still, their existence has disguised the fact that the violations of the values of Article 2 TEU are also violations of EU law. The legal mechanisms tried thus far, however, do not work either. The fundamental jurisprudence on judicial independence and irremovability under Article 19(1) TEU is a good start, but it has been unable to change the situation on the ground. Despite ten years of EU attempts at reining in Rule of Law violations and even as backsliding Member States have lost cases at the Court of Justice, illiberal regimes inside the EU have become more consolidated: the EU has been losing through winning. More creative work is needed to find ways to enforce the values of Article 2 TEU more effectively. Taking this insight, we propose to turn the EU into a militant democracy, able to defend its basic principles, by using the traditional tools for the enforcement of EU law in a novel manner. We demonstrate how the familiar infringement actions—both under Article 258 an</w:t>
      </w:r>
    </w:p>
    <w:p>
      <w:pPr/>
      <w:r>
        <w:rPr>
          <w:b/>
        </w:rPr>
        <w:t>POSSIBLE 2019:</w:t>
      </w:r>
      <w:r>
        <w:t xml:space="preserve"> Distribution trends of European dragonflies under climate change — https://doi.org/10.1111/ddi.12913</w:t>
      </w:r>
    </w:p>
    <w:p>
      <w:pPr/>
      <w:r>
        <w:rPr>
          <w:b/>
        </w:rPr>
        <w:t>Shared claim-specific concepts:</w:t>
      </w:r>
      <w:r>
        <w:t xml:space="preserve"> climate, only, main;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2019:</w:t>
      </w:r>
      <w:r>
        <w:t xml:space="preserve"> A comparison of low carbon investment needs between China and Europe in stringent climate policy scenarios — https://doi.org/10.1088/1748-9326/ab0dd8</w:t>
      </w:r>
    </w:p>
    <w:p>
      <w:pPr/>
      <w:r>
        <w:rPr>
          <w:b/>
        </w:rPr>
        <w:t>Shared claim-specific concepts:</w:t>
      </w:r>
      <w:r>
        <w:t xml:space="preserve"> strong, climate, two; EU scope visible. This is a provisional connection, not an outcome finding.</w:t>
      </w:r>
    </w:p>
    <w:p>
      <w:pPr>
        <w:pStyle w:val="SourceNote"/>
      </w:pPr>
      <w:r>
        <w:rPr>
          <w:b/>
        </w:rPr>
        <w:t>Available abstract (not full text):</w:t>
      </w:r>
      <w:r>
        <w:t xml:space="preserve"> Abstract The radical change in recent global climate governance calls for China and Europe to ramp up their efforts in leading the world to reach the long-term climate goals. By analyzing the results from the state-of-the-art global integrated assessment model, MESSAGEix-GLOBIOM, this paper aims to understand the future levels of financial investment needed for building and maintaining energy-related infrastructure in the two regions for fulfilling stringent targets consistent with ‘well below 2 °C’. The results indicate that a rapid upscaling and structural change of these investments towards decarbonization are necessitated by the climate stringent scenarios. China and Europe need to increase their low carbon investments by 65% and 38% in a scenario reaching the 2° target relative to their respective reference scenarios which assume no such target from 2016–2050. In a more stringent climate policy scenario of the 1.5° target, these investment needs will increase by 149% and 79% for China and Europe respectively. Among all the energy sectors, energy efficiency, renewable electricity generation and electricity transmission and distribution are the three largest investing targets for the two regions. However, those investments will not likely be realized without strong policy incentives. Implications for green finance and multilateral cooperation initiatives are discussed in the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strong, climate, only, until, projections;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Industry Concentration in Europe and North America — https://doi.org/10.1787/2ff98246-en</w:t>
      </w:r>
    </w:p>
    <w:p>
      <w:pPr/>
      <w:r>
        <w:rPr>
          <w:b/>
        </w:rPr>
        <w:t>Shared claim-specific concepts:</w:t>
      </w:r>
      <w:r>
        <w:t xml:space="preserve"> two, period, clear;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2018:</w:t>
      </w:r>
      <w:r>
        <w:t xml:space="preserve"> Explaining European fungal fruiting phenology with climate variability — https://doi.org/10.1002/ecy.2237</w:t>
      </w:r>
    </w:p>
    <w:p>
      <w:pPr/>
      <w:r>
        <w:rPr>
          <w:b/>
        </w:rPr>
        <w:t>Shared claim-specific concepts:</w:t>
      </w:r>
      <w:r>
        <w:t xml:space="preserve"> climate, two, main; EU scope visible. This is a provisional connection, not an outcome finding.</w:t>
      </w:r>
    </w:p>
    <w:p>
      <w:pPr>
        <w:pStyle w:val="SourceNote"/>
      </w:pPr>
      <w:r>
        <w:rPr>
          <w:b/>
        </w:rPr>
        <w:t>Available abstract (not full text):</w:t>
      </w:r>
      <w:r>
        <w:t xml:space="preserve"> Here we assess the impact of geographically dependent (latitude, longitude, and altitude) changes in bioclimatic (temperature, precipitation, and primary productivity) variability on fungal fruiting phenology across Europe. Two main nutritional guilds of fungi, saprotrophic and ectomycorrhizal, were further separated into spring and autumn fruiters. We used a path analysis to investigate how biogeographic patterns in fungal fruiting phenology coincided with seasonal changes in climate and primary production. Across central to northern Europe, mean fruiting varied by approximately 25 d, primarily with latitude. Altitude affected fruiting by up to 30 d, with spring delays and autumnal accelerations. Fruiting was as much explained by the effects of bioclimatic variability as by their large-scale spatial patterns. Temperature drove fruiting of autumnal ectomycorrhizal and saprotrophic groups as well as spring saprotrophic groups, while primary production and precipitation were major drivers for spring-fruiting ectomycorrhizal fungi. Species-specific phenology predictors were not stable, instead deviating from the overall mean. There is significant likelihood that further climatic change, especially in temperature, will impact fungal phenology patterns at large spatial scales. The ecological implications are diverse, potentially affecting food webs (asynchrony), nutrient cycling and</w:t>
      </w:r>
    </w:p>
    <w:p>
      <w:pPr>
        <w:pStyle w:val="Heading2"/>
      </w:pPr>
      <w:r>
        <w:t>823.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Examining the Effects of Exogenous Ketones on Exercise Metabolism and Performance in Male Varsity Athletes — https://openalex.org/W2811360614</w:t>
      </w:r>
    </w:p>
    <w:p>
      <w:pPr/>
      <w:r>
        <w:rPr>
          <w:b/>
        </w:rPr>
        <w:t>Shared claim-specific concepts:</w:t>
      </w:r>
      <w:r>
        <w:t xml:space="preserve"> exogenous, reached, maintained; EU scope not established. This is a provisional connection, not an outcome finding.</w:t>
      </w:r>
    </w:p>
    <w:p>
      <w:pPr>
        <w:pStyle w:val="SourceNote"/>
      </w:pPr>
      <w:r>
        <w:rPr>
          <w:b/>
        </w:rPr>
        <w:t>Available abstract (not full text):</w:t>
      </w:r>
      <w:r>
        <w:t xml:space="preserve"> Previous research has shown that administration of exogenous acetoacetate (AcAc), beta-hydroxybutyrate (BHB) and glucose in a perfused rodent heart model can increase cardiac output while reducing oxygen uptake compared with glucose alone. With this apparent improvement in mechanical efficiency induced by AcAc and BHB, there is speculation that they may also enhance exercise performance in athletes. Although AcAc and BHB can be produced endogenously, exogenous BHB supplements have recently become commercially available in the form of ketone mineral salts (KS). Research to date has not found any performance enhancing effects of an acute dose of KS but the effects of more regular KS supplementation on whole body metabolism and exercise performance are unknown. Furthermore, medium-chain triglycerides (MCT) have recently been added to KS supplements, as the administration of KS plus MCT in rodents has been shown to increase blood BHB concentrations compared to KS administration alone. Therefore, the overall purpose of this study was to examine the hypotheses that a twice-daily KS plus MCT supplementation protocol would increase mechanical efficiency and improve exercise performance during a submaximal time to exhaustion (TTE) cycling protocol and a time trial (TT) cycling protocol in male varsity athletes. A single-blinded placebo-controlled crossover design was employed where part</w:t>
      </w:r>
    </w:p>
    <w:p>
      <w:pPr>
        <w:pStyle w:val="Heading2"/>
      </w:pPr>
      <w:r>
        <w:t>824.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2025:</w:t>
      </w:r>
      <w:r>
        <w:t xml:space="preserve"> An innovative methodology in analyzing certain pendulum oscillators — https://doi.org/10.1038/s41598-025-99645-x</w:t>
      </w:r>
    </w:p>
    <w:p>
      <w:pPr/>
      <w:r>
        <w:rPr>
          <w:b/>
        </w:rPr>
        <w:t>Shared claim-specific concepts:</w:t>
      </w:r>
      <w:r>
        <w:t xml:space="preserve"> issues, methodology, approach, assess; EU scope not established. This is a provisional connection, not an outcome finding.</w:t>
      </w:r>
    </w:p>
    <w:p>
      <w:pPr>
        <w:pStyle w:val="SourceNote"/>
      </w:pPr>
      <w:r>
        <w:rPr>
          <w:b/>
        </w:rPr>
        <w:t>Available abstract (not full text):</w:t>
      </w:r>
      <w:r>
        <w:t xml:space="preserve"> Pendulum oscillators study harmonic motion, energy conservation, and nonlinear dynamics, providing insights into mechanical vibrations, wave phenomena, weather patterns, and quantum mechanics, with real-world applications in engineering, seismology, and clock mechanisms. The present study addresses three distinct issues related to SPs; a charged magnetic spherical simple pendulum (SP), and a SP composed of heavy cylinders that roll freely in a horizontal plane, and a nonlinear model depicting the motion of a damped SP in a fluid flow. The SPs are analyzed via an innovative technology known as the non-perturbative approach (NPA), which is based on He's frequency formula (HFF). This advanced approach linearizes a nonlinear ordinary differential equation (ODE), enabling more straightforward analysis and solution. As-well known, implementing the NPA has several advantages, chief among them the removal of the constraints associated with managing Taylor expansions. Consequently, there have been no augmentations to the current restorative forces. Secondly, the novel method enables us to assess the stability criteria of the system away from the traditional perturbation techniques. The numerical comparison of nonlinear ODEs into linear ones using Mathematica Software (MS) is conducted to validate this innovative method. An analysis of the two responses demonstrates a strong concordance,</w:t>
      </w:r>
    </w:p>
    <w:p>
      <w:pPr/>
      <w:r>
        <w:rPr>
          <w:b/>
        </w:rPr>
        <w:t>POSSIBLE 2024:</w:t>
      </w:r>
      <w:r>
        <w:t xml:space="preserve"> The essence and content of scientific research methodology — https://doi.org/10.12775/jehs.2024.63.020</w:t>
      </w:r>
    </w:p>
    <w:p>
      <w:pPr/>
      <w:r>
        <w:rPr>
          <w:b/>
        </w:rPr>
        <w:t>Shared claim-specific concepts:</w:t>
      </w:r>
      <w:r>
        <w:t xml:space="preserve"> analyzes, content, methodology; EU scope not established. This is a provisional connection, not an outcome finding.</w:t>
      </w:r>
    </w:p>
    <w:p>
      <w:pPr>
        <w:pStyle w:val="SourceNote"/>
      </w:pPr>
      <w:r>
        <w:rPr>
          <w:b/>
        </w:rPr>
        <w:t>Available abstract (not full text):</w:t>
      </w:r>
      <w:r>
        <w:t xml:space="preserve"> The article analyzes the essence and content of the concepts "methodology", "methods of scientific research". The content of general and special methods of conducting scientific research is disclosed. It has been established that the methodology of scientific research is a conceptual statement of the content, purpose, and methods of research that allow obtaining the most objective, systematized and accurate information about phenomena and processes. The methodology systematizes the methods, methods and methods of learning objective reality, ensuring the reliability of the obtained knowledge about the object of research, their compliance with the subject of research, and is also a means of substantiating the results and conclusions of the conducted scientific research. The methods of scientific research mean a set of cognitive rules and techniques, implemented in the form of interconnected operations, designed to obtain new knowledge, consisting of three stages: research, proof and explanation. Methods are a set of techniques and methods of activity that allow a person or organization to achieve set goals. The choice of methods depends on the nature and content of the problem, the terms and resources allocated for its study, the amount and quality of available information. The authors characterized the content of empirical, theoretical and special methods of scientific research.</w:t>
      </w:r>
    </w:p>
    <w:p>
      <w:pPr/>
      <w:r>
        <w:rPr>
          <w:b/>
        </w:rPr>
        <w:t>POSSIBLE 2024:</w:t>
      </w:r>
      <w:r>
        <w:t xml:space="preserve"> A Hybrid Methodology for Gamification Element Ranking Based on Big Five Traits Using Neutrosophic MCDM: Personalized Approach for Educational Games — https://doi.org/10.1109/icca62237.2024.10927846</w:t>
      </w:r>
    </w:p>
    <w:p>
      <w:pPr/>
      <w:r>
        <w:rPr>
          <w:b/>
        </w:rPr>
        <w:t>Shared claim-specific concepts:</w:t>
      </w:r>
      <w:r>
        <w:t xml:space="preserve"> five, design, methodology, approach, framework; EU scope not established. This is a provisional connection, not an outcome finding.</w:t>
      </w:r>
    </w:p>
    <w:p>
      <w:pPr>
        <w:pStyle w:val="SourceNote"/>
      </w:pPr>
      <w:r>
        <w:rPr>
          <w:b/>
        </w:rPr>
        <w:t>Available abstract (not full text):</w:t>
      </w:r>
      <w:r>
        <w:t xml:space="preserve"> In the domain of game design, comprehending players' personality traits is pivotal for crafting engaging and immersive gaming experiences. This paper presents a novel hybrid methodology for ranking gamification elements based on the Big Five Personality Traits, employing neutrosophic Multiple Criteria Decision Making (MCDM). The Big Five model encompassing openness, conscientiousness, extraversion, agreeableness, and neuroticism provides a comprehensive framework for analyzing personality variations. By exploring the interplay between these traits and gamification elements, designers can tailor gaming experiences to individual preferences, thereby enhancing player engagement. The methodology systematically ranks gamification elements according to users' scores on each personality trait, facilitating a personalized learning environment. Utilizing neutrosophic MCDM, which adeptly addresses decision-making under uncertainty and indeterminacy, this approach enables the optimization of game element selection. The time complexity of the proposed methodology ensures the methodology is scalable and efficient for large datasets, maintaining performance while delivering personalized experiences. This paper establishes a direct mapping between the Big Five traits and game elements, identifying the most suitable elements for each user. By incorporating neutrosophic decision-making, the pro</w:t>
      </w:r>
    </w:p>
    <w:p>
      <w:pPr/>
      <w:r>
        <w:rPr>
          <w:b/>
        </w:rPr>
        <w:t>POSSIBLE 2023:</w:t>
      </w:r>
      <w:r>
        <w:t xml:space="preserve"> Analyzing YouTube Content: Methodological Considerations for Technical Communication Research — https://doi.org/10.1145/3615335.3623005</w:t>
      </w:r>
    </w:p>
    <w:p>
      <w:pPr/>
      <w:r>
        <w:rPr>
          <w:b/>
        </w:rPr>
        <w:t>Shared claim-specific concepts:</w:t>
      </w:r>
      <w:r>
        <w:t xml:space="preserve"> methodological, content, approach; EU scope not established. This is a provisional connection, not an outcome finding.</w:t>
      </w:r>
    </w:p>
    <w:p>
      <w:pPr>
        <w:pStyle w:val="SourceNote"/>
      </w:pPr>
      <w:r>
        <w:rPr>
          <w:b/>
        </w:rPr>
        <w:t>Available abstract (not full text):</w:t>
      </w:r>
      <w:r>
        <w:t xml:space="preserve"> The YouTube platform plays a vital role in contemporary technical communication as a central warehouse of technical instructions. Though several studies have explored the importance of specific videos, creators, and communities, it is also necessary to study the platform with a wider, data-driven lens in order to consider rhetorical strategies across channels and communities. But while this relationship between close and distant reading has been applied successfully to text-focused platforms, YouTube's multimodality leads to challenges of scale and categorization for researchers taking a data-driven approach. This paper presents methodological insights from a study sampling and analyzing 300 YouTube videos. The authors reflect on the methodological challenges and propose potential solutions.</w:t>
      </w:r>
    </w:p>
    <w:p>
      <w:pPr/>
      <w:r>
        <w:rPr>
          <w:b/>
        </w:rPr>
        <w:t>POSSIBLE 2023:</w:t>
      </w:r>
      <w:r>
        <w:t xml:space="preserve"> Methodology for Analyzing Qualitative Data in Multiple Languages — https://doi.org/10.1097/nnr.0000000000000673</w:t>
      </w:r>
    </w:p>
    <w:p>
      <w:pPr/>
      <w:r>
        <w:rPr>
          <w:b/>
        </w:rPr>
        <w:t>Shared claim-specific concepts:</w:t>
      </w:r>
      <w:r>
        <w:t xml:space="preserve"> content, methodology, developed; EU scope not established. This is a provisional connection, not an outcome finding.</w:t>
      </w:r>
    </w:p>
    <w:p>
      <w:pPr>
        <w:pStyle w:val="SourceNote"/>
      </w:pPr>
      <w:r>
        <w:rPr>
          <w:b/>
        </w:rPr>
        <w:t>Available abstract (not full text):</w:t>
      </w:r>
      <w:r>
        <w:t xml:space="preserve"> BACKGROUND: Translation strategies are commonly used for qualitative interview data to bridge language barriers. Inconsistent translation of interviews can lead to conceptual inequivalence, where meanings of participants' experiences are distorted, threatening scientific rigor. OBJECTIVES: Our objective is to describe a systematic method developed to analyze multilingual, qualitative interview data while maintaining the original language of the transcripts. METHODS: A literature review of translation strategies, cross-language, and multilingual qualitative research was conducted. Combined with criteria for qualitative content analysis and trustworthiness, the methodology was developed and used for a qualitative descriptive study. RESULTS: The study had interview data in both English and Spanish. The research team consisted of both native Spanish and English speakers, who were grouped based on language. Verbatim transcription of data occurred in the original languages. All codes were kept in English, allowing the research team to view the data set as a whole. Two researchers within each group coded each transcript independently before reaching a consensus. The entire research team discussed all transcripts, and finally, major themes were determined. Participants' quotes remained in the original language for publication, with an English translation included when needed. DISCUSSIO</w:t>
      </w:r>
    </w:p>
    <w:p>
      <w:pPr/>
      <w:r>
        <w:rPr>
          <w:b/>
        </w:rPr>
        <w:t>POSSIBLE 2023:</w:t>
      </w:r>
      <w:r>
        <w:t xml:space="preserve"> Analyzing the capacity to initiate transformative change: a methodology for assessing biodiversity strategies — https://doi.org/10.1007/s10531-023-02660-5</w:t>
      </w:r>
    </w:p>
    <w:p>
      <w:pPr/>
      <w:r>
        <w:rPr>
          <w:b/>
        </w:rPr>
        <w:t>Shared claim-specific concepts:</w:t>
      </w:r>
      <w:r>
        <w:t xml:space="preserve"> methodology, first, dimensions, assessment; EU scope visible. This is a provisional connection, not an outcome finding.</w:t>
      </w:r>
    </w:p>
    <w:p>
      <w:pPr>
        <w:pStyle w:val="SourceNote"/>
      </w:pPr>
      <w:r>
        <w:rPr>
          <w:b/>
        </w:rPr>
        <w:t>Available abstract (not full text):</w:t>
      </w:r>
      <w:r>
        <w:t xml:space="preserve"> Abstract The new IPBES work programme “assessment of transformative change” aims to identify factors in human society—behavioural, social, cultural dimensions, among others—that may be leveraged to bring about transformative change. In this context and based on its scientific recommendations, the third French National Strategy for Biodiversity for 2030 (SNB3), published in 2022, aims to contribute to the implementation of France’s international commitments under the Convention on Biological Diversity and the EU’s Biodiversity Strategy for 2030. We carried out a critical assessment of the capacity of the first version of SNB3 to initiate transformative change. Firstly, we describe a two-step assessment methodology for determining the leverage potential of the strategy’s measures, based on a robust and replicable independent scientific audit and a multi-criteria analysis. Secondly, we present the main results of the assessment using the SNB3 as a case example. We confirm the scientific and practical relevance of this type of exercise for policy makers, for establishing strategies that are part of a transition process allowing for real transformative change in society. By analysing the measures and ranking them from most to least efficient, this study reveals the strengths and weaknesses of the strategy by anticipating what should have and may not have an impact, while highlightin</w:t>
      </w:r>
    </w:p>
    <w:p>
      <w:pPr/>
      <w:r>
        <w:rPr>
          <w:b/>
        </w:rPr>
        <w:t>POSSIBLE 2021:</w:t>
      </w:r>
      <w:r>
        <w:t xml:space="preserve"> METHODOLOGY OF ANALYSIS OF THE CONTENT OF ELECTRONIC MEDIA — https://doi.org/10.32782/2224-6282/176-25</w:t>
      </w:r>
    </w:p>
    <w:p>
      <w:pPr/>
      <w:r>
        <w:rPr>
          <w:b/>
        </w:rPr>
        <w:t>Shared claim-specific concepts:</w:t>
      </w:r>
      <w:r>
        <w:t xml:space="preserve"> content, issues, methodology, first, second; EU scope not established. This is a provisional connection, not an outcome finding.</w:t>
      </w:r>
    </w:p>
    <w:p>
      <w:pPr>
        <w:pStyle w:val="SourceNote"/>
      </w:pPr>
      <w:r>
        <w:rPr>
          <w:b/>
        </w:rPr>
        <w:t>Available abstract (not full text):</w:t>
      </w:r>
      <w:r>
        <w:t xml:space="preserve"> In the conditions of modern information society, the analysis of the flow of media information is of particular importance. Therefore, the issues of content analysis, which is based on the conversion of qualitative data into digital format in order to obtain information processing capabilities using technologies of big-data analytics and artificial intelligence approaches, are especially relevant. This study summarized the views on the use of content analysis and proposed a methodology for analyzing the content of electronic media for targeting and determining preferences for the content of publications. For this purpose, were proposed were proposed a conceptual scheme for conducting content analysis, which consists of 5 stages. The first stage consists of creating and updating a full-text database on a daily basis by automated data collection and retrieval of content from media websites (web scraping). The second stage involves using of modules for determining useful content (parsing) and its subsequent storage in the database. The quantitative analysis stage is especially important when generalization, aggregation of results, or to calculate the frequency of words (frequency analysis), categories, tags and expressions, as well as their joint use in the text. The purpose of qualitative analysis is to reduce the material so that the main content remains. Similarly, qualitative </w:t>
      </w:r>
    </w:p>
    <w:p>
      <w:pPr/>
      <w:r>
        <w:rPr>
          <w:b/>
        </w:rPr>
        <w:t>POSSIBLE 2021:</w:t>
      </w:r>
      <w:r>
        <w:t xml:space="preserve"> Abusive supervision: a content analysis of theory and methodology — https://doi.org/10.1108/cms-01-2021-0017</w:t>
      </w:r>
    </w:p>
    <w:p>
      <w:pPr/>
      <w:r>
        <w:rPr>
          <w:b/>
        </w:rPr>
        <w:t>Shared claim-specific concepts:</w:t>
      </w:r>
      <w:r>
        <w:t xml:space="preserve"> methodological, content, issues, design, methodology, approach; EU scope not established. This is a provisional connection, not an outcome finding.</w:t>
      </w:r>
    </w:p>
    <w:p>
      <w:pPr>
        <w:pStyle w:val="SourceNote"/>
      </w:pPr>
      <w:r>
        <w:rPr>
          <w:b/>
        </w:rPr>
        <w:t>Available abstract (not full text):</w:t>
      </w:r>
      <w:r>
        <w:t xml:space="preserve"> Purpose Despite recent organizational behavior studies have witnessed considerable progress in abusive supervision research; some demerits for both theory and methodology still remain in the past years. To clarify the current state of knowledge in the field, this study aims to analyze the current state of theories and methods on abusive supervision and provides a detailed future research agenda. Design/methodology/approach This paper conducted a literature review for both theory and methodology of the abusive supervision research using a content analysis of 134 publications. Findings For the theory part, this paper summarized the theories that had been applied to explain the relationship between abusive supervision and its consequences as well as antecedents. For the methodology part, this paper outlined some critical issues regarding country of origin, research design, measurement, analysis strategy and also summarized with a discussion of the relationship between methodological issues and article impact. Finally, this paper concluded by presenting an agenda for future abusive supervision research regarding both theory and methodology. Originality/value First, this paper summarizes the main theories, antecedents and consequences often used in abusive supervision research to allow scholars to carry out theoretically driven research investigating abusive supervision in the futur</w:t>
      </w:r>
    </w:p>
    <w:p>
      <w:pPr>
        <w:pStyle w:val="Heading2"/>
      </w:pPr>
      <w:r>
        <w:t>825.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826.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2024:</w:t>
      </w:r>
      <w:r>
        <w:t xml:space="preserve"> Evaluation of the European Society of Cardiology Risk Assessment Score in Incident Systemic Sclerosis‐Associated Pulmonary Arterial Hypertension — https://doi.org/10.1002/acr.25328</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OBJECTIVE: Patients with pulmonary arterial hypertension (PAH) may be stratified as low, intermediate, or high risk of 1-year mortality. In 2022, the European Society of Cardiology (ESC) updated and simplified its risk stratification tool, based on three variables: World Health Organization functional class, serum N-terminal pro-brain type natriuretic peptide and six-minute walk distance, applied at follow-up visits, intended to guide therapy over time. METHODS: We applied the 2022 ESC risk assessment tool at baseline and follow-up (within 2 years) to a multinational incident cohort of systemic sclerosis-associated PAH (SSc-PAH). Kaplan-Meier curves, Cox hazards regression, and accelerated failure time models were used to evaluate survival by risk score. RESULTS: At baseline (n = 260), the majority of SSc-PAH (72.2%) were graded as intermediate risk of death according to the 2022 tool. At follow-up, according to 2022 tool, half (55.5%) of the cohort were classified as low or intermediate-low risk. The 2022 risk model at follow-up was able to differentiate survival between risk strata. All three individual parameters (World Health Organization functional class, N-terminal pro-brain type natriuretic peptide, six-minute walk distance) were significantly associated with mortality at baseline and/or follow-up. CONCLUSION: The 2022 ESC risk assessment strategy applied at baseline and</w:t>
      </w:r>
    </w:p>
    <w:p>
      <w:pPr/>
      <w:r>
        <w:rPr>
          <w:b/>
        </w:rPr>
        <w:t>POSSIBLE 2024:</w:t>
      </w:r>
      <w:r>
        <w:t xml:space="preserve"> Multi-level learning for systemic transformation: Experiences from an expedition in North Mid Sweden — https://doi.org/10.1016/j.envsci.2024.103740</w:t>
      </w:r>
    </w:p>
    <w:p>
      <w:pPr/>
      <w:r>
        <w:rPr>
          <w:b/>
        </w:rPr>
        <w:t>Shared claim-specific concepts:</w:t>
      </w:r>
      <w:r>
        <w:t xml:space="preserve"> based, systemic, approach; EU scope visible. This is a provisional connection, not an outcome finding.</w:t>
      </w:r>
    </w:p>
    <w:p>
      <w:pPr>
        <w:pStyle w:val="SourceNote"/>
      </w:pPr>
      <w:r>
        <w:rPr>
          <w:b/>
        </w:rPr>
        <w:t>Available abstract (not full text):</w:t>
      </w:r>
      <w:r>
        <w:t xml:space="preserve"> Learning is often a component, and sometimes an explicit goal, of sustainability transition projects. Despite a growing interest in designing, facilitating, and evaluating such exploratory initiatives with respect to their systemic, less work has focused on how such initiatives support learning and capacity-building among its partaking actors and institutions including building experimental governance capacity. In this paper, we aim to better understand how exploratory and experimental initiatives with transformative sustainability ambitions relate to and influence their partaking actors and institutions. We draw from the North Mid Sweden Challenge Lab, an initiative to adapt, test and learn a governance approach to navigate complex sustainability challenges and transformations. It was part of a high impact action within a pilot for regional industrial transition framed around experiments in governance and policy by the European Commission and Organisation for Economic Co-operation and Development, where peer-learnings by and between regions was stated as an explicit goal. We focus on the kind of learning and knowledge creation processes that occur in these open-ended and multi-levelled social interaction processes. In this paper, we empirically engage with such learning processes with a focus on governance capacity, based on direct experiences from its participating actors and</w:t>
      </w:r>
    </w:p>
    <w:p>
      <w:pPr/>
      <w:r>
        <w:rPr>
          <w:b/>
        </w:rPr>
        <w:t>POSSIBLE 2024:</w:t>
      </w:r>
      <w:r>
        <w:t xml:space="preserve"> Challenges in assessing and managing multi-hazard risks: A European stakeholders perspective — https://doi.org/10.1016/j.envsci.2024.103774</w:t>
      </w:r>
    </w:p>
    <w:p>
      <w:pPr/>
      <w:r>
        <w:rPr>
          <w:b/>
        </w:rPr>
        <w:t>Shared claim-specific concepts:</w:t>
      </w:r>
      <w:r>
        <w:t xml:space="preserve"> based, assessment, guiding, framework; EU scope visible. This is a provisional connection, not an outcome finding.</w:t>
      </w:r>
    </w:p>
    <w:p>
      <w:pPr>
        <w:pStyle w:val="SourceNote"/>
      </w:pPr>
      <w:r>
        <w:rPr>
          <w:b/>
        </w:rPr>
        <w:t>Available abstract (not full text):</w:t>
      </w:r>
      <w:r>
        <w:t xml:space="preserve"> The latest evidence suggests that multi-hazards and their interrelationships (e.g., triggering, compound, and consecutive hazards) are becoming more frequent across Europe, underlying a need for resilience building by moving from single-hazard-focused to multi-hazard risk assessment and management. Although significant advancements were made in our understanding of these events, mainstream practice is still focused on risks due to single hazards (e.g., flooding, earthquakes, droughts), with a limited understanding of the stakeholder needs on the ground. To overcome this limitation, this paper sets out to understand the challenges for moving towards multi-hazard risk management through the perspective of European stakeholders. Based on five workshops across different European pilots (Danube Region, Veneto Region, Scandinavia, North Sea, and Canary Islands) and an expert workshop, we identify five prime challenges: i) governance, ii) knowledge of multi-hazards and multi-risks, iii) existing approaches to disaster risk management, iv) translation of science to policy and practice, and v) lack of data. These challenges are inherently linked and cannot be tackled in isolation with path dependency posing a significant hurdle in transitioning from single- to multi-hazard risk management. Going forward, we identify promising approaches for overcoming some of the challenges, including e</w:t>
      </w:r>
    </w:p>
    <w:p>
      <w:pPr/>
      <w:r>
        <w:rPr>
          <w:b/>
        </w:rPr>
        <w:t>POSSIBLE 2024:</w:t>
      </w:r>
      <w:r>
        <w:t xml:space="preserve"> Identifying entry points for adaptive governance in peri-urban Chennai (India): a multi-dimensional, multi-level, and multi-scalar approach — https://doi.org/10.3389/frsc.2024.1368240</w:t>
      </w:r>
    </w:p>
    <w:p>
      <w:pPr/>
      <w:r>
        <w:rPr>
          <w:b/>
        </w:rPr>
        <w:t>Shared claim-specific concepts:</w:t>
      </w:r>
      <w:r>
        <w:t xml:space="preserve"> based, approach, framework; EU scope not established. This is a provisional connection, not an outcome finding.</w:t>
      </w:r>
    </w:p>
    <w:p>
      <w:pPr>
        <w:pStyle w:val="SourceNote"/>
      </w:pPr>
      <w:r>
        <w:rPr>
          <w:b/>
        </w:rPr>
        <w:t>Available abstract (not full text):</w:t>
      </w:r>
      <w:r>
        <w:t xml:space="preserve"> Governing transitions have assumed increasing significance in managing change with respect to climate change and rapid periurbanization. In this respect, evidence from sustainability transitions research in South Asia stipulates the need for institutional innovations that are suitable to the governance context, which is characterized by a fuzzy field of “speculative frontiers,” and strong hierarchically structured mechanisms. This paper focuses on Chennai, India to ascertain the potentials of “adaptive governance” in this periurban region of the Global South. We approach this by (a) defining the periurban space from a bio-regional, socio-ecological systems perspective, (b) complementing it with a zonal classification considering disaster and climate change risks, and (c) presenting an adaptive governance framework. Based on analyzing existing governance structures, the paper discusses identified syndromes, synergistic potentials and activities for adaptive governance, especially highlighting water and agroecology-related pathways. Our integrated analytical approach is (a) multi-dimensional deploying the adaptive governance framework, (b) multi-level considering local, intermediate and state governance, and (c) multi-scalar applying macro, meso and micro scales. The implications underscore that transformative interventions, sooner or later, will have to challenge the system that</w:t>
      </w:r>
    </w:p>
    <w:p>
      <w:pPr/>
      <w:r>
        <w:rPr>
          <w:b/>
        </w:rPr>
        <w:t>POSSIBLE 2023:</w:t>
      </w:r>
      <w:r>
        <w:t xml:space="preserve"> Conceptual models of drought risks for Europe: a step towards a systemic perspective on drought — https://doi.org/10.5194/egusphere-egu23-7991</w:t>
      </w:r>
    </w:p>
    <w:p>
      <w:pPr/>
      <w:r>
        <w:rPr>
          <w:b/>
        </w:rPr>
        <w:t>Shared claim-specific concepts:</w:t>
      </w:r>
      <w:r>
        <w:t xml:space="preserve"> based, systemic, assessment, factors; EU scope visible. This is a provisional connection, not an outcome finding.</w:t>
      </w:r>
    </w:p>
    <w:p>
      <w:pPr>
        <w:pStyle w:val="SourceNote"/>
      </w:pPr>
      <w:r>
        <w:rPr>
          <w:b/>
        </w:rPr>
        <w:t>Available abstract (not full text):</w:t>
      </w:r>
      <w:r>
        <w:t xml:space="preserve"> In recent years, research on drought risk has expanded to include multiple types of drought hazards, various exposed elements and a multitude of factors that determine the vulnerability of a given system or sector. This has resulted in a call from the scientific community to adopt a systemic risk perspective on drought. However, a thorough understanding of how drought risks manifest, cascade and interact across different systems and sectors is still lacking, and methodological guidance on how to analyse and represent these interdependencies does not yet exist. In order to explore these gaps, we have developed conceptual models of drought risks for key selected systems and sectors in the European Union. For each system and sector considered (rain fed and irrigated agricultural systems, forest ecosystems, freshwater ecosystems, public water supply, inland water transport and the energy sector), a conceptual model was constructed to depict how drivers and root causes interact to create drought risk. The models are based on the impact chains methodology and are informed by literature review and multiple expert consultations (including a series of validation workshops). Subsequently, the system-specific models were used to build an overarching conceptual model of the critical interdependencies that exist between all the systems and sectors considered. The analysis has revealed that,</w:t>
      </w:r>
    </w:p>
    <w:p>
      <w:pPr/>
      <w:r>
        <w:rPr>
          <w:b/>
        </w:rPr>
        <w:t>POSSIBLE 2023:</w:t>
      </w:r>
      <w:r>
        <w:t xml:space="preserve"> Toward a framework for systemic multi-hazard and multi-risk assessment and management — https://doi.org/10.1016/j.isci.2023.106736</w:t>
      </w:r>
    </w:p>
    <w:p>
      <w:pPr/>
      <w:r>
        <w:rPr>
          <w:b/>
        </w:rPr>
        <w:t>Shared claim-specific concepts:</w:t>
      </w:r>
      <w:r>
        <w:t xml:space="preserve"> systemic, assessment, framework; EU scope not established. This is a provisional connection, not an outcome finding.</w:t>
      </w:r>
    </w:p>
    <w:p>
      <w:pPr>
        <w:pStyle w:val="SourceNote"/>
      </w:pPr>
      <w:r>
        <w:rPr>
          <w:b/>
        </w:rPr>
        <w:t>Available abstract (not full text):</w:t>
      </w:r>
      <w:r>
        <w:t xml:space="preserve"> In our increasingly interconnected world, natural hazards and their impacts spread across geographical, administrative, and sectoral boundaries. Owing to the interrelationships between multi-hazards and socio-economic dimensions, the impacts of these types of events can surmount those of multiple single hazards. The complexities involved in tackling multi-hazards and multi-risks hinder a more holistic and integrative perspective and make it difficult to identify overarching dimensions important for assessment and management purposes. We contribute to this discussion by building on systemic risk research, especially the focus on interconnectedness, and suggest ways forward for an integrated multi-hazard and multi-risk framework that should be beneficial in real-world applications. In this article, we propose a six-step framework for analyzing and managing risk across a spectrum ranging from single-to multi- and systemic risk.</w:t>
      </w:r>
    </w:p>
    <w:p>
      <w:pPr/>
      <w:r>
        <w:rPr>
          <w:b/>
        </w:rPr>
        <w:t>POSSIBLE 2021:</w:t>
      </w:r>
      <w:r>
        <w:t xml:space="preserve"> You’ll never work alone: A systemic assessment of the European Arrest Warrant and judicial independence — https://doi.org/10.54648/cola2021047</w:t>
      </w:r>
    </w:p>
    <w:p>
      <w:pPr/>
      <w:r>
        <w:rPr>
          <w:b/>
        </w:rPr>
        <w:t>Shared claim-specific concepts:</w:t>
      </w:r>
      <w:r>
        <w:t xml:space="preserve"> based, systemic, assessment, framework; EU scope visible. This is a provisional connection, not an outcome finding.</w:t>
      </w:r>
    </w:p>
    <w:p>
      <w:pPr>
        <w:pStyle w:val="SourceNote"/>
      </w:pPr>
      <w:r>
        <w:rPr>
          <w:b/>
        </w:rPr>
        <w:t>Available abstract (not full text):</w:t>
      </w:r>
      <w:r>
        <w:t xml:space="preserve"> The adage is that the European Arrest Warrant (EAW) is built on the principle of mutual trust: the presumption that Member States comply with fundamental rights save in exceptional circumstances. However, the very existence of the EAW rests on the proper interpretation and application of fundamental rights standards, and on sincere cooperation between judicial authorities.With that in mind, the present article gives a systemic analysis of the EAW. After outlining the key features of its functioning, the paper discusses the system of exceptions to surrender: mandatory and optional grounds for refusal in the EAW Framework Decision (FD), the fundamental rights exception, and cases of invalidity. As the EAW is based on automaticity, the exceptions define the traits of its identity. The article’s conclusions reveal the importance of sincere cooperation to strengthen mutual trust, with judicial independence as an essential precondition. The article’s comprehensive assessment offers an original contribution to the debate about judicial independence in EU law, the operation of the EAW and its role in the wider context of the Union as a legal order.</w:t>
      </w:r>
    </w:p>
    <w:p>
      <w:pPr/>
      <w:r>
        <w:rPr>
          <w:b/>
        </w:rPr>
        <w:t>POSSIBLE 2021:</w:t>
      </w:r>
      <w:r>
        <w:t xml:space="preserve"> Multi-Actor Governance for a Circular Economy in the Agri-Food Sector: Bio-Districts — https://doi.org/10.3390/su13094718</w:t>
      </w:r>
    </w:p>
    <w:p>
      <w:pPr/>
      <w:r>
        <w:rPr>
          <w:b/>
        </w:rPr>
        <w:t>Shared claim-specific concepts:</w:t>
      </w:r>
      <w:r>
        <w:t xml:space="preserve"> multi-actor, approach, factors, principles; EU scope visible. This is a provisional connection, not an outcome finding.</w:t>
      </w:r>
    </w:p>
    <w:p>
      <w:pPr>
        <w:pStyle w:val="SourceNote"/>
      </w:pPr>
      <w:r>
        <w:rPr>
          <w:b/>
        </w:rPr>
        <w:t>Available abstract (not full text):</w:t>
      </w:r>
      <w:r>
        <w:t xml:space="preserve"> The transition of the European agri-food sector towards a sustainable production and consumption model is a key element of the Green Deal. The new European “Farm to Fork” strategy aims to make the food system fair, healthy, and environmentally friendly. The consolidation and development of the organic model are two of the main objectives. In Italy, this development can be achieved through the Bio-District model. This model, which was born in the last ten years in Italy, is characterized by innovative multi-actor governance. From an explorative perspective, this study analyses the background literature on Bio-Districts and the context of the development of the Etruscan Roman Bio-District to understand the potential and the factors that allow the application of the principles of the Circular Economy. It focuses on multiple comparative analyses by using a qualitative–quantitative approach. The analysis of the context highlights the potential for expansion linked to an integrated short supply chain through three scenarios.</w:t>
      </w:r>
    </w:p>
    <w:p>
      <w:pPr>
        <w:pStyle w:val="Heading2"/>
      </w:pPr>
      <w:r>
        <w:t>827.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2022:</w:t>
      </w:r>
      <w:r>
        <w:t xml:space="preserve"> Long-Term Effects in Structures: background and recent developments — https://doi.org/10.21203/rs.3.rs-2009060/v1</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Abstract The article presents overview of selected long-term effects in civil-engineering structures. Those effects are usually neglected in standard engineering practice, but in some cases can be very important for mechanical resistance and safety of the structures. Main aspects of these phenomena are discussed, with three illustrative examples which accentuated why is important to take them into account.</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r>
        <w:rPr>
          <w:b/>
        </w:rPr>
        <w:t>POSSIBLE 2020:</w:t>
      </w:r>
      <w:r>
        <w:t xml:space="preserve"> Theoretical background — https://doi.org/10.4324/9781003018353-2</w:t>
      </w:r>
    </w:p>
    <w:p>
      <w:pPr/>
      <w:r>
        <w:rPr>
          <w:b/>
        </w:rPr>
        <w:t>Shared claim-specific concepts:</w:t>
      </w:r>
      <w:r>
        <w:t xml:space="preserve"> gives, background, main, factors; EU scope visible. This is a provisional connection, not an outcome finding.</w:t>
      </w:r>
    </w:p>
    <w:p>
      <w:pPr>
        <w:pStyle w:val="SourceNote"/>
      </w:pPr>
      <w:r>
        <w:rPr>
          <w:b/>
        </w:rPr>
        <w:t>Available abstract (not full text):</w:t>
      </w:r>
      <w:r>
        <w:t xml:space="preserve"> This chapter gives an overview of the main literature used to form the theoretical background of this book. Being a small state, Lithuania is guided by a foreign policy that is characteristic to this category of states. The typical security and foreign policy strategies of small states discussed in this chapter will later serve to analyse the extent to which Lithuania’s foreign policy has conformed to the typical role of small states in international politics. Also discussed are the classic and modern dilemmas of structure and agent in international politics. These concepts help us to understand the role of the agent (President Grybauskaitė) and the opportunities to operate in the international system. Finally, this chapter examines the importance of leaders in international politics. The psychological factors and the behaviour of political leaders are embedded in foreign policy analysis, as it can assist in clarifying why certain agents make particular decisions, and how that may change a state’s foreign policy course and even international structures.</w:t>
      </w:r>
    </w:p>
    <w:p>
      <w:pPr/>
      <w:r>
        <w:rPr>
          <w:b/>
        </w:rPr>
        <w:t>POSSIBLE 2020:</w:t>
      </w:r>
      <w:r>
        <w:t xml:space="preserve"> Long-Term Characterization of Submicron Atmospheric Particles in an Urban Background Site in Southern Italy — https://doi.org/10.3390/atmos11040334</w:t>
      </w:r>
    </w:p>
    <w:p>
      <w:pPr/>
      <w:r>
        <w:rPr>
          <w:b/>
        </w:rPr>
        <w:t>Shared claim-specific concepts:</w:t>
      </w:r>
      <w:r>
        <w:t xml:space="preserve"> background, main, trends, long-term; EU scope visible. This is a provisional connection, not an outcome finding.</w:t>
      </w:r>
    </w:p>
    <w:p>
      <w:pPr>
        <w:pStyle w:val="SourceNote"/>
      </w:pPr>
      <w:r>
        <w:rPr>
          <w:b/>
        </w:rPr>
        <w:t>Available abstract (not full text):</w:t>
      </w:r>
      <w:r>
        <w:t xml:space="preserve"> Continuous measurements of particle number size distributions in the size range from 10 nm to 800 nm were performed from 2015 to 2019 at the ECO Environmental-Climate Observatory of Lecce (Global Atmosphere Watch Programme/Aerosol, Clouds and Trace Gases Research Infrastructure (GAW/ACTRIS) regional station). The main objectives of this work were to investigate the daily, weekly and seasonal trends of particle number concentrations and their dependence on meteorological parameters gathering information on potential sources. The highest total number concentrations were observed during autumn-winter with average values nearly twice as high as in summer. More than 52% of total particle number concentration consisted of Aitken mode (20 nm &lt; particle diameter (Dp) &lt; 100 nm) particles followed by accumulation (100 nm &lt; Dp &lt; 800 nm) and nucleation (10 nm &lt; Dp &lt; 20 nm) modes representing, respectively, 27% and 21% of particles. The total number concentration was usually significantly higher during workdays than during weekends/holidays in all years, showing a trend likely correlated with local traffic activities. The number concentration of each particle mode showed a characteristic daily variation that was different in cold and warm seasons. The highest concentrations of the Aitken and accumulation particle mode were observed in the morning and the late evening, during typical rush ho</w:t>
      </w:r>
    </w:p>
    <w:p>
      <w:pPr/>
      <w:r>
        <w:rPr>
          <w:b/>
        </w:rPr>
        <w:t>POSSIBLE 2020:</w:t>
      </w:r>
      <w:r>
        <w:t xml:space="preserve"> Downscaling of Long-Term Global Scenarios to Regions with a Forest Sector Model — https://doi.org/10.3390/f11050500</w:t>
      </w:r>
    </w:p>
    <w:p>
      <w:pPr/>
      <w:r>
        <w:rPr>
          <w:b/>
        </w:rPr>
        <w:t>Shared claim-specific concepts:</w:t>
      </w:r>
      <w:r>
        <w:t xml:space="preserve"> background, factors, long-term, national; EU scope not established. This is a provisional connection, not an outcome finding.</w:t>
      </w:r>
    </w:p>
    <w:p>
      <w:pPr>
        <w:pStyle w:val="SourceNote"/>
      </w:pPr>
      <w:r>
        <w:rPr>
          <w:b/>
        </w:rPr>
        <w:t>Available abstract (not full text):</w:t>
      </w:r>
      <w:r>
        <w:t xml:space="preserve"> Research Highlights: Long-term global scenarios give insights on how social and economic developments and international agreements may impact land use, trade, product markets, and carbon balances. They form a valuable basis for forming national forest policies. Many aspects related to long-term management of forests and consequences for biodiversity and ecosystem services can only be addressed at regional and landscape levels. In order to be attended to in the policy process, there is a need for a method that downscales national scenarios to these finer levels. Background and Objectives: Regional framework conditions depend on management activities in the country as a whole. The aim of this study is to evaluate the use of a forest sector model (FSM) as a method for downscaling national scenarios results to regional level. The national FSM takes the global scenario data (e.g., harvest level and market prices over time) and solves the national problem. The result for the region of interest is taken as framework conditions for the regional study. Materials and Methods: Two different specifications are tested. One lets product volumes and prices represent endogenous variables in the FSM model. The other takes volumes and prices from the global scenario as exogenous parameters. The first specification attains a maximum net social payoff whereas the second specification means that ne</w:t>
      </w:r>
    </w:p>
    <w:p>
      <w:pPr/>
      <w:r>
        <w:rPr>
          <w:b/>
        </w:rPr>
        <w:t>POSSIBLE 2019:</w:t>
      </w:r>
      <w:r>
        <w:t xml:space="preserve"> Macroeconomic background — https://doi.org/10.1787/b7d2e31f-en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2018.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2019:</w:t>
      </w:r>
      <w:r>
        <w:t xml:space="preserve"> Long-term medical cannabis use and risk factors for diversion: Report on physician's guidance and patients’ behaviour — https://doi.org/10.1017/s1478951519000348</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OBJECTIVES: Various jurisdictions have legalized cannabis for medical purposes. As with all psychoactive medications, medical cannabis carries a risk of diversion and accidental ingestion. These risks may be particularly high among long-term medical cannabis patients as safety practices may become less salient to patients once the treatment becomes part of everyday life. The current study examines whether patients who have used medical cannabis for longer periods differ from those who have used for shorter periods in terms of sociodemographic background and other key aspects of medical cannabis use. Furthermore, the study examines the relationship between length of medical cannabis treatment and risk factors related to storage and diversion. Finally, the study examines the extent to which oncologists provide information to their patients about safe storage and disposal. METHODS: One hundred twenty-one medical cannabis oncology patients were interviewed face-to-face and 55 oncologists participated in a survey about safe storage and disposal practices related to medical cannabis. RESULTS: Length of medical cannabis treatment was related to administration by smoking and using higher monthly dosages. In terms of risk for unsafe storage and diversion, length of medical cannabis was positively associated with using cannabis outside the home and having been asked to give away medical </w:t>
      </w:r>
    </w:p>
    <w:p>
      <w:pPr/>
      <w:r>
        <w:rPr>
          <w:b/>
        </w:rPr>
        <w:t>POSSIBLE 2018:</w:t>
      </w:r>
      <w:r>
        <w:t xml:space="preserve"> Macroeconomic background — https://doi.org/10.1787/tax_pol-2018-4-en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2017.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pStyle w:val="Heading2"/>
      </w:pPr>
      <w:r>
        <w:t>828.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2022:</w:t>
      </w:r>
      <w:r>
        <w:t xml:space="preserve"> Analysis and foresight of the European Union - Mercosur Association Agreement — https://doi.org/10.33960/issn-e.1885-9119.dtff04en</w:t>
      </w:r>
    </w:p>
    <w:p>
      <w:pPr/>
      <w:r>
        <w:rPr>
          <w:b/>
        </w:rPr>
        <w:t>Shared claim-specific concepts:</w:t>
      </w:r>
      <w:r>
        <w:t xml:space="preserve"> foresight, following, current; EU scope visible. This is a provisional connection, not an outcome finding.</w:t>
      </w:r>
    </w:p>
    <w:p>
      <w:pPr>
        <w:pStyle w:val="SourceNote"/>
      </w:pPr>
      <w:r>
        <w:rPr>
          <w:b/>
        </w:rPr>
        <w:t>Available abstract (not full text):</w:t>
      </w:r>
      <w:r>
        <w:t xml:space="preserve"> After a negotiation that has been ongoing for more than two decades, the “agreement in principle” between the European Union and Mercosur regarding the trade pillar, announced in June 2019, has not been confirmed. Moreover, in the current context, the perspectives that are outlined in both blocks are not auspicious, for various reasons that are analyzed. In this context, the text will analyzes the following points: i) in the absence of a specific Treaty in progress of application, it informs about the negotiations of the trade pillar, its current status, the contents of the principle of agreement signed in 2019, the possibilities of closure and ratification by the two parties and the main expected impacts; ii) the potential implications of this agreement for both the European Union and Mercosur, in particular with regard to its foreseeable consequences for the strategic autonomy of both regions and for the strengthening of multilateralism at present; and iii) the expected impacts of the COVID-19 pandemic and the eventual contribution of this Association Agreement in the new scenarios. The text closes with a brief overview.</w:t>
      </w:r>
    </w:p>
    <w:p>
      <w:pPr/>
      <w:r>
        <w:rPr>
          <w:b/>
        </w:rPr>
        <w:t>POSSIBLE 2022:</w:t>
      </w:r>
      <w:r>
        <w:t xml:space="preserve"> Emerging smart city, transport and energy trends in urban settings: Results of a pan-European foresight exercise with 120 experts — https://doi.org/10.1016/j.techfore.2022.121915</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Forecasting future trends constitutes a key process for supporting urban and territorial policy making in general. In this work, we explore how the domains of smart cities, smart transport, and smart energy will evolve until 2030 from a scientific and technological perspective, as a means to inform future policies for urban development in Europe. We started our work with an extensive review of recent and relevant research, covering policy and market reports, scientific journal articles, and other scientific publications. Then, a two-round Delphi survey with 120 field experts was conducted to assess the plausibility of the literature review findings to materialize until 2030.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 This work provides significant added value in supporting territorial policymakers' and stakeholders' decision making under uncertainty, as well as in designing highly relevant research agendas, attuned to contemporary and emerging trends.</w:t>
      </w:r>
    </w:p>
    <w:p>
      <w:pPr/>
      <w:r>
        <w:rPr>
          <w:b/>
        </w:rPr>
        <w:t>POSSIBLE 2021:</w:t>
      </w:r>
      <w:r>
        <w:t xml:space="preserve"> Networked foresight — https://doi.org/10.25932/publishup-50385</w:t>
      </w:r>
    </w:p>
    <w:p>
      <w:pPr/>
      <w:r>
        <w:rPr>
          <w:b/>
        </w:rPr>
        <w:t>Shared claim-specific concepts:</w:t>
      </w:r>
      <w:r>
        <w:t xml:space="preserve"> foresight, designed, based, systems; EU scope visible. This is a provisional connection, not an outcome finding.</w:t>
      </w:r>
    </w:p>
    <w:p>
      <w:pPr>
        <w:pStyle w:val="SourceNote"/>
      </w:pPr>
      <w:r>
        <w:rPr>
          <w:b/>
        </w:rPr>
        <w:t>Available abstract (not full text):</w:t>
      </w:r>
      <w:r>
        <w:t xml:space="preserve"> The goal of this dissertation is to contribute to the corporate foresight research field by investigating capabilities, practices, and challenges particularly in the context of interorganizational settings and networked organizations informed by the theoretical perspectives of the relational view and dynamic capabilities. Firms are facing an increasingly complex environment and highly complex product and service landscapes that often require multiple organizations to collaborate for innovation and offerings. Public-private partnerships that are targeted at supporting this have been introduced by policy-makers in the recent past. One example for such a partnership is the European Institute of Innovation and Technology (EIT) with multiple Knowledge and Innovation Communities (KICs). The EIT has been initiated by the European Commission in 2008 with the ambition of addressing grand societal challenges, driving innovativeness of European companies, and supporting systemic change. The resulting network organizations are managed similarly to corporations with managers, boards, and firm-like governance structures. EIT Digital as one of the EIT KICs are a central case of this work. Research in this dissertation was based on the expectation that corporate foresight activities will increasingly be embedded in such interorganizational settings and a) can draw on such settings for the bene</w:t>
      </w:r>
    </w:p>
    <w:p>
      <w:pPr/>
      <w:r>
        <w:rPr>
          <w:b/>
        </w:rPr>
        <w:t>POSSIBLE 2021:</w:t>
      </w:r>
      <w:r>
        <w:t xml:space="preserve"> Collective foresight and intelligence for sustainability — https://doi.org/10.1017/sus.2021.3</w:t>
      </w:r>
    </w:p>
    <w:p>
      <w:pPr/>
      <w:r>
        <w:rPr>
          <w:b/>
        </w:rPr>
        <w:t>Shared claim-specific concepts:</w:t>
      </w:r>
      <w:r>
        <w:t xml:space="preserve"> foresight, following, five, drivers; EU scope not established. This is a provisional connection, not an outcome finding.</w:t>
      </w:r>
    </w:p>
    <w:p>
      <w:pPr>
        <w:pStyle w:val="SourceNote"/>
      </w:pPr>
      <w:r>
        <w:rPr>
          <w:b/>
        </w:rPr>
        <w:t>Available abstract (not full text):</w:t>
      </w:r>
      <w:r>
        <w:t xml:space="preserve"> Non-technical summary Charting robust pathways towards more sustainable futures that ‘leave no one behind’ requires that diverse communities engage in collective foresight and intelligence exercises to better understand global systemic challenges, anticipate the emerging risks and opportunities that disruptions present, and share perspectives on how to respond and inform decision-making. We report on the recent use of an international rapid foresight survey to assess expected societal trends over the next 3 years following the COVID-19 crisis. The results illustrate the power of collective foresight approaches to provide timely, nuanced insights for decision-making across sectors and scales, particularly in times of uncertainty. Technical summary We present the findings of a rapid foresight survey launched in spring 2020 to draw on the collective intelligence of the global community on where the world is headed post-COVID-19. Respondents were asked to (i) assess five key societal trends in the coming 3 years, (ii) provide news headlines they both expect and hope to see, and (iii) assess the role of digital technologies during crises. Analysis of over 2000 responses from more than 90 countries revealed important regional differences in expected societal trends related to sustainability. More respondents in the Global South expected shifts towards less inequality while more respo</w:t>
      </w:r>
    </w:p>
    <w:p>
      <w:pPr/>
      <w:r>
        <w:rPr>
          <w:b/>
        </w:rPr>
        <w:t>POSSIBLE 2020:</w:t>
      </w:r>
      <w:r>
        <w:t xml:space="preserve"> Foresight for Career Development — https://doi.org/10.17323/2500-2597.2020.2.88.104</w:t>
      </w:r>
    </w:p>
    <w:p>
      <w:pPr/>
      <w:r>
        <w:rPr>
          <w:b/>
        </w:rPr>
        <w:t>Shared claim-specific concepts:</w:t>
      </w:r>
      <w:r>
        <w:t xml:space="preserve"> foresight, current; EU scope visible. This is a provisional connection, not an outcome finding.</w:t>
      </w:r>
    </w:p>
    <w:p>
      <w:pPr>
        <w:pStyle w:val="SourceNote"/>
      </w:pPr>
      <w:r>
        <w:rPr>
          <w:b/>
        </w:rPr>
        <w:t>Available abstract (not full text):</w:t>
      </w:r>
      <w:r>
        <w:t xml:space="preserve"> Career planning and development becomes a process of managing learning, experience and change in order to achieve a personally determined, preferred professional future. In the context of dynamic social, economic and technological changes, the role of career counselling services increases, although their character also evolves. New competences and abilities to use innovative tools that enable effective processes of creating career visions in a systemic manner are expected. In this context the adaptation of Futures Studies to both practice and education of career counselling seems to be an interesting prospect. Exploring the future not only develops individual planning and adaptation skills, but also allows detecting and identifying upcoming trends. It means the ability to adapt to new conditions, or proactive creation of the future, in a way that is favourable. The aim of the article is to present comprehensive methodology and the results of a nationwide survey conducted in Poland among practitioners in the field of career counselling. The scope of the study included exploring the potential of foresight methodology and future studies application for education and practice in the field of career counselling. The main focus of the research to examine the current quality and scope of education offer for career counsellors by the disconfirmation between the ideal features of the co</w:t>
      </w:r>
    </w:p>
    <w:p>
      <w:pPr/>
      <w:r>
        <w:rPr>
          <w:b/>
        </w:rPr>
        <w:t>POSSIBLE 2020:</w:t>
      </w:r>
      <w:r>
        <w:t xml:space="preserve"> Decolonial AI: Decolonial Theory as Sociotechnical Foresight in Artificial Intelligence — https://doi.org/10.1007/s13347-020-00405-8</w:t>
      </w:r>
    </w:p>
    <w:p>
      <w:pPr/>
      <w:r>
        <w:rPr>
          <w:b/>
        </w:rPr>
        <w:t>Shared claim-specific concepts:</w:t>
      </w:r>
      <w:r>
        <w:t xml:space="preserve"> foresight, systems; EU scope not established. This is a provisional connection, not an outcome finding.</w:t>
      </w:r>
    </w:p>
    <w:p>
      <w:pPr>
        <w:pStyle w:val="SourceNote"/>
      </w:pPr>
      <w:r>
        <w:rPr>
          <w:b/>
        </w:rPr>
        <w:t>Available abstract (not full text):</w:t>
      </w:r>
      <w:r>
        <w:t xml:space="preserve"> Abstract This paper explores the important role of critical science, and in particular of post-colonial and decolonial theories, in understanding and shaping the ongoing advances in artificial intelligence. Artificial intelligence (AI) is viewed as amongst the technological advances that will reshape modern societies and their relations. While the design and deployment of systems that continually adapt holds the promise of far-reaching positive change, they simultaneously pose significant risks, especially to already vulnerable peoples. Values and power are central to this discussion. Decolonial theories use historical hindsight to explain patterns of power that shape our intellectual, political, economic, and social world. By embedding a decolonial critical approach within its technical practice, AI communities can develop foresight and tactics that can better align research and technology development with established ethical principles, centring vulnerable peoples who continue to bear the brunt of negative impacts of innovation and scientific progress. We highlight problematic applications that are instances of coloniality, and using a decolonial lens, submit three tactics that can form a decolonial field of artificial intelligence: creating a critical technical practice of AI, seeking reverse tutelage and reverse pedagogies, and the renewal of affective and political communi</w:t>
      </w:r>
    </w:p>
    <w:p>
      <w:pPr>
        <w:pStyle w:val="Heading2"/>
      </w:pPr>
      <w:r>
        <w:t>829.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2021:</w:t>
      </w:r>
      <w:r>
        <w:t xml:space="preserve"> Popular imaginative geographies and Brexit: Evidence from Mass Observation — https://doi.org/10.1111/tran.12444</w:t>
      </w:r>
    </w:p>
    <w:p>
      <w:pPr/>
      <w:r>
        <w:rPr>
          <w:b/>
        </w:rPr>
        <w:t>Shared claim-specific concepts:</w:t>
      </w:r>
      <w:r>
        <w:t xml:space="preserve"> imaginative, political, events; EU scope visible. This is a provisional connection, not an outcome finding.</w:t>
      </w:r>
    </w:p>
    <w:p>
      <w:pPr>
        <w:pStyle w:val="SourceNote"/>
      </w:pPr>
      <w:r>
        <w:rPr>
          <w:b/>
        </w:rPr>
        <w:t>Available abstract (not full text):</w:t>
      </w:r>
      <w:r>
        <w:t xml:space="preserve"> The EU Referendum of 2016 was one of the most significant events in recent British political history. It is widely recognised that citizens engaged with the referendum through understandings of Britain, the EU, the world, and their place in it. This study complements existing research where such understandings have been inferred from citizens’ demographic characteristics, the characteristics of their localities/regions, or elite discourses. It builds on existing research where a more direct engagement with citizens’ understandings has been achieved through interviews or focus groups, allowing the content of understandings to be thickly described. To these latter studies, this paper makes three main contributions. First, it focuses on popular imaginative geographies, which are conceptualised drawing on literatures in Geography and Political Science as fast‐thinking heuristics. Second, it brings new evidence to the conversation in the form of volunteer writing for Mass Observation. Third, the focus is on the content of popular imaginative geographies, but also how and why such geographies were used by voters in the referendum. The main findings include that many Leave supporters imagined Britain as an island – either a once great military and imperial power, an island separate from Europe, needing freedom from Europe to engage in the wider world; or a small island, a full contain</w:t>
      </w:r>
    </w:p>
    <w:p>
      <w:pPr/>
      <w:r>
        <w:rPr>
          <w:b/>
        </w:rPr>
        <w:t>POSSIBLE 2020:</w:t>
      </w:r>
      <w:r>
        <w:t xml:space="preserve"> Law, biomedical technoscience, and imaginaries — https://doi.org/10.1093/jlb/lsaa088</w:t>
      </w:r>
    </w:p>
    <w:p>
      <w:pPr/>
      <w:r>
        <w:rPr>
          <w:b/>
        </w:rPr>
        <w:t>Shared claim-specific concepts:</w:t>
      </w:r>
      <w:r>
        <w:t xml:space="preserve"> concept, imaginary, investigate, constructed; EU scope visible. This is a provisional connection, not an outcome finding.</w:t>
      </w:r>
    </w:p>
    <w:p>
      <w:pPr>
        <w:pStyle w:val="SourceNote"/>
      </w:pPr>
      <w:r>
        <w:rPr>
          <w:b/>
        </w:rPr>
        <w:t>Available abstract (not full text):</w:t>
      </w:r>
      <w:r>
        <w:t xml:space="preserve"> This special issue advances understanding of the way in which imaginaries underpin law’s engagement with biomedical technologies and science. It is the first collection of law-led interdisciplinary accounts of imaginaries. The articles draw upon examples from biomedical technoscience to illuminate the hitherto unseen or underappreciated roles of imaginaries in the relationships between law and biomedical technoscience. We have conceptualized ‘law’, ‘biomedical technoscience’, and ‘imaginaries’ in broad, inclusive, and dynamic ways. ‘Law’ and ‘biomedical technoscience’ (biomedical technology and science) require no further clarification. ‘Imaginaries’, though, is a relatively novel concept within legal, socio-legal, and regulatory studies scholarship,1 and as such it requires an introduction. In the following, we introduce imaginaries before explaining how this special issue aims to address the dearth of legal scholarship on them. Subsequently, we note the conceptualizations of imaginaries in the articles, where imaginaries can be found in law and legal discourse, and finally what it is that imaginaries do and why they matter for law. Conceptualizations of imaginaries are found in several disciplines. Beckert, working within economics, formulates imaginaries as ‘imagined futures’.2 Jasanoff and Kim, from science and technology studies (STS), conceive sociotechnical imaginaries a</w:t>
      </w:r>
    </w:p>
    <w:p>
      <w:pPr/>
      <w:r>
        <w:rPr>
          <w:b/>
        </w:rPr>
        <w:t>POSSIBLE 2020:</w:t>
      </w:r>
      <w:r>
        <w:t xml:space="preserve"> Elijah Anderson’s “Iconic Ghetto” as Transatlantic Template? Problematic Traveling Imaginaries, Future Scripts, and Postindustrial Ruhr Cities — https://doi.org/10.5283/copas.335</w:t>
      </w:r>
    </w:p>
    <w:p>
      <w:pPr/>
      <w:r>
        <w:rPr>
          <w:b/>
        </w:rPr>
        <w:t>Shared claim-specific concepts:</w:t>
      </w:r>
      <w:r>
        <w:t xml:space="preserve"> concept, scripts; EU scope visible. This is a provisional connection, not an outcome finding.</w:t>
      </w:r>
    </w:p>
    <w:p>
      <w:pPr>
        <w:pStyle w:val="SourceNote"/>
      </w:pPr>
      <w:r>
        <w:rPr>
          <w:b/>
        </w:rPr>
        <w:t>Available abstract (not full text):</w:t>
      </w:r>
      <w:r>
        <w:t xml:space="preserve"> This article explores the presence and function of American templates of the stereotypical “ghetto” in the transnational urban imagination, taking the cities of the German Ruhr region as an example. I argue that this space is significantly influenced by the model of American postindustrialcities, where many of the traveling imaginaries of urban problems that have taken hold in former industrial cities in Europe seem to originate. In a first step, I inquire into the workings of the problematic template ofthe “iconic ghetto,” a concept I borrow from Elijah Anderson and extend transnationally, tracing its influence on urban development narratives in the Ruhr. In a second step, I discuss how social-educational reform initiatives respond to and intervene in such problematic imaginaries in their work. I assert that their activities aim to rewrite or “re-script” the prevalent narratives of this European postindustrial region, which are all too often negative. The alternative development narratives, or “scripts,”these reformers construct and propagate instead imagine cities of the future in a positive light, envisioning how inequality and segregation can be replaced by equality and social inclusion.</w:t>
      </w:r>
    </w:p>
    <w:p>
      <w:pPr/>
      <w:r>
        <w:rPr>
          <w:b/>
        </w:rPr>
        <w:t>POSSIBLE 2019:</w:t>
      </w:r>
      <w:r>
        <w:t xml:space="preserve"> The Circular Economy in Europe: Critical Perspectives on Policies and Imaginaries — https://doi.org/10.4324/9780429061028</w:t>
      </w:r>
    </w:p>
    <w:p>
      <w:pPr/>
      <w:r>
        <w:rPr>
          <w:b/>
        </w:rPr>
        <w:t>Shared claim-specific concepts:</w:t>
      </w:r>
      <w:r>
        <w:t xml:space="preserve"> authors, ideas; EU scope visible. This is a provisional connection, not an outcome finding.</w:t>
      </w:r>
    </w:p>
    <w:p>
      <w:pPr>
        <w:pStyle w:val="SourceNote"/>
      </w:pPr>
      <w:r>
        <w:rPr>
          <w:b/>
        </w:rPr>
        <w:t>Available abstract (not full text):</w:t>
      </w:r>
      <w:r>
        <w:t xml:space="preserve"> The Circular Economy in Europe presents an overview and a critical discussion on how circularity is conceived, imagined, and enacted in current EU policy-making. In 2013, the idea of a circular economy entered the stage of European policy-making in the efforts to reconcile environmental and economic policy objectives. In 2019 the European Commission declared in a press release that the Circular Economy Action Plan has been delivered. The level of circularity in the European economy, however, has remained the same. Bringing together perspectives from social sciences, environmental economics and policy analysis, The Circular Economy in Europe provides a critical analysis of policies and promises of the next panacea for growth and sustainability. The authors provide a theoretical and empirical basis to discuss how contemporary societies conceive their need to re-organise production and consumption and explores the messy assemblage of institutions, actors, waste streams, biophysical flows, policy objectives, scientific disciplines, values, expectations, promises and aspirations involved. This book is essential reading for all those interested in understanding how ideas about the circular economy emerged historically, how they gained traction and are used in policy processes, and what the practical challenges in implementing this policy are.</w:t>
      </w:r>
    </w:p>
    <w:p>
      <w:pPr/>
      <w:r>
        <w:rPr>
          <w:b/>
        </w:rPr>
        <w:t>POSSIBLE 2019:</w:t>
      </w:r>
      <w:r>
        <w:t xml:space="preserve"> The social imaginaries of data activism — https://doi.org/10.1177/2053951718821146</w:t>
      </w:r>
    </w:p>
    <w:p>
      <w:pPr/>
      <w:r>
        <w:rPr>
          <w:b/>
        </w:rPr>
        <w:t>Shared claim-specific concepts:</w:t>
      </w:r>
      <w:r>
        <w:t xml:space="preserve"> imaginary, structures, political; EU scope visible. This is a provisional connection, not an outcome finding.</w:t>
      </w:r>
    </w:p>
    <w:p>
      <w:pPr>
        <w:pStyle w:val="SourceNote"/>
      </w:pPr>
      <w:r>
        <w:rPr>
          <w:b/>
        </w:rPr>
        <w:t>Available abstract (not full text):</w:t>
      </w:r>
      <w:r>
        <w:t xml:space="preserve"> Data activism, promoting new forms of civic and political engagement, has emerged as a response to problematic aspects of datafication that include tensions between data openness and data ownership, and asymmetries in terms of data usage and distribution. In this article, we discuss MyData, a data activism initiative originating in Finland, which aims to shape a more sustainable citizen-centric data economy by means of increasing individuals' control of their personal data. Using data gathered during long-term participant-observation in collaborative projects with data activists, we explore the internal tensions of data activism by first outlining two different social imaginaries – technological and socio-critical – within MyData, and then merging them to open practical and analytical space for engaging with the socio-technical futures currently in the making. While the technological imaginary favours data infrastructures as corrective measures, the socio-critical imaginary questions the effectiveness of technological correction. Unpacking them clarifies the kinds of political and social alternatives that different social imaginaries ascribe to the notions underlying data activism, and highlights the need to consider the social structures in play. The more far-reaching goal of our exercise is to provide practical and analytical resources for critical engagement in the context o</w:t>
      </w:r>
    </w:p>
    <w:p>
      <w:pPr/>
      <w:r>
        <w:rPr>
          <w:b/>
        </w:rPr>
        <w:t>POSSIBLE 2019:</w:t>
      </w:r>
      <w:r>
        <w:t xml:space="preserve"> Imaginative Agency: New Possibilities — https://doi.org/10.21827/ejlw.8.35554</w:t>
      </w:r>
    </w:p>
    <w:p>
      <w:pPr/>
      <w:r>
        <w:rPr>
          <w:b/>
        </w:rPr>
        <w:t>Shared claim-specific concepts:</w:t>
      </w:r>
      <w:r>
        <w:t xml:space="preserve"> concept, imaginative, political; EU scope not established. This is a provisional connection, not an outcome finding.</w:t>
      </w:r>
    </w:p>
    <w:p>
      <w:pPr>
        <w:pStyle w:val="SourceNote"/>
      </w:pPr>
      <w:r>
        <w:rPr>
          <w:b/>
        </w:rPr>
        <w:t>Available abstract (not full text):</w:t>
      </w:r>
      <w:r>
        <w:t xml:space="preserve"> This article presents imaginative agency as a new theoretical concept with great potential for life writing studies, especially digital life writing. It draws on a wide range of concepts and contexts to discuss selective histories and workings, proposing ways in which imaginative agency can fit into philosophical and aesthetic debates about capability, performativity, ethics and artificial intelligence. I argue for making a distinction between imaginative agency and creativity, owing to the monetizing of much creative activity. I explore agency in relation to aesthetic human capability, through comparison to the non-human, particularly whether bots can demonstrate imaginative agency in art and literature, and through questions of ethical agency in online practices like trolling and malware. Contexts relevant to imaginative agency in digital and social media practices, such as algorithms, crowdsourcing and augmented reality, are explored in terms of political considerations which tie cultural creation to wealth creation— a shackling from which imaginative agency can provide some liberation.</w:t>
      </w:r>
    </w:p>
    <w:p>
      <w:pPr/>
      <w:r>
        <w:rPr>
          <w:b/>
        </w:rPr>
        <w:t>POSSIBLE 2019:</w:t>
      </w:r>
      <w:r>
        <w:t xml:space="preserve"> The anthropocenic imaginary: political ecologies of tourism in a geological epoch — https://doi.org/10.1080/09669582.2018.1544252</w:t>
      </w:r>
    </w:p>
    <w:p>
      <w:pPr/>
      <w:r>
        <w:rPr>
          <w:b/>
        </w:rPr>
        <w:t>Shared claim-specific concepts:</w:t>
      </w:r>
      <w:r>
        <w:t xml:space="preserve"> concept, imaginary, political, age; EU scope not established. This is a provisional connection, not an outcome finding.</w:t>
      </w:r>
    </w:p>
    <w:p>
      <w:pPr>
        <w:pStyle w:val="SourceNote"/>
      </w:pPr>
      <w:r>
        <w:rPr>
          <w:b/>
        </w:rPr>
        <w:t>Available abstract (not full text):</w:t>
      </w:r>
      <w:r>
        <w:t xml:space="preserve"> The Anthropocene is fundamentally a social imaginary that is both shaped by and is reshaping tourism practice. In this article, we enroll the concept of the anthropocenic imaginary to describe how the Anthropocene is symbolically and materially produced as well as the ways in which it draws on the historical separation of Humanity and Nature. As the structural roots from which the anthropocenic imaginary has grown, this binary co-produces new and old forms of political and ecological inclusion and exclusion. We demonstrate how core themes in tourism studies have fertilized the seeds from which the theoretical branches of post-humanist, capitalist and ecological imaginaries in tourism have taken shape. These anthropocenic imaginaries, we argue, are appropriated in market-based solutions to environmental degradation that emanate from neoliberal contexts internal to the problem. Thus, we question the reconciliation of capitalist accumulation and environmental limits in sustainable tourism. This article and the papers in this issue push forward emerging approaches in the political ecology of tourism that recognize the Anthropocene as both a geological epoch and conceptual regime. In doing so, the issue contributes to emerging conversations on the relationship between politics, ecology and tourism in the so-called recent age of man.</w:t>
      </w:r>
    </w:p>
    <w:p>
      <w:pPr>
        <w:pStyle w:val="Heading2"/>
      </w:pPr>
      <w:r>
        <w:t>830.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The Impact of COVID-19 in Europe: A Comprehensive Analysis — https://doi.org/10.54783/ijsoc.v5i4.787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pPr/>
      <w:r>
        <w:rPr>
          <w:b/>
        </w:rPr>
        <w:t>POSSIBLE 2023:</w:t>
      </w:r>
      <w:r>
        <w:t xml:space="preserve"> A Study on the Interpretation and Application of Article 2 of the European Convention on Human Rights: Focusing on the Case Law of the European Court of Human Rights — https://doi.org/10.21592/eucj.2023.42.99</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study examines the interpretation and application of Article 2, the right to life, which is one of the most central rights guaranteed by the European Convention on Human Rights. It is universally recognized that the right to life represents a fundamental right of all human beings and that its proper understanding and protection is a fundamental basis for individual freedom and respect for human rights. The European Convention on Human Rights is an important document that ensures that individuals in Europe are guaranteed their fundamental rights and freedoms as human beings. Article 2, the right to life, is at the heart of the Convention and guarantees one of the most fundamental rights that every human being has. However, the understanding and application of this right to life can raise complex issues in different social and political contexts. For this reason, this study aims to provide an in-depth examination of the complexities of the right to life. The aim is to examine the role of the right to life in ensuring human dignity and promoting social justice through the case law of the European Court of Human Rights. Based on this, the general concept of the right to life and the interpretation of the right to life by the European Court of Human Rights will be introduced in the next chapter, followed by an analysis of the Court's main decisions, with the aim of bridging the</w:t>
      </w:r>
    </w:p>
    <w:p>
      <w:pPr/>
      <w:r>
        <w:rPr>
          <w:b/>
        </w:rPr>
        <w:t>POSSIBLE 2023:</w:t>
      </w:r>
      <w:r>
        <w:t xml:space="preserve"> The Impact of COVID-19 in Europe: An Overview of the Pandemic's Challenges and Responses — https://openalex.org/W7217768397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has emerged as one of the most significant global health crises in recent history, affecting nearly every corner of the world, including Europe. This article aims to provide a comprehensive overview of the impact of COVID-19 in Europe, focusing on the challenges faced by the region and the responses adopted by various countries to combat the spread of the virus. By examining the epidemiological trends, healthcare infrastructure, socio-economic implications, and public health strategies, this study aims to shed light on the lessons learned from the pandemic and the way forward for Europe's health systems.</w:t>
      </w:r>
    </w:p>
    <w:p>
      <w:pPr/>
      <w:r>
        <w:rPr>
          <w:b/>
        </w:rPr>
        <w:t>POSSIBLE 2023:</w:t>
      </w:r>
      <w:r>
        <w:t xml:space="preserve"> Current Understanding of Polyphenols to Enhance Bioavailability for Better Therapies — https://doi.org/10.3390/biomedicines11072078</w:t>
      </w:r>
    </w:p>
    <w:p>
      <w:pPr/>
      <w:r>
        <w:rPr>
          <w:b/>
        </w:rPr>
        <w:t>Shared claim-specific concepts:</w:t>
      </w:r>
      <w:r>
        <w:t xml:space="preserve"> better, understanding; EU scope not established. This is a provisional connection, not an outcome finding.</w:t>
      </w:r>
    </w:p>
    <w:p>
      <w:pPr>
        <w:pStyle w:val="SourceNote"/>
      </w:pPr>
      <w:r>
        <w:rPr>
          <w:b/>
        </w:rPr>
        <w:t>Available abstract (not full text):</w:t>
      </w:r>
      <w:r>
        <w:t xml:space="preserve"> In recent years, plant polyphenols have become a popular focus for the development of novel functional foods. Polyphenols, a class of bioactive compounds, including flavonoids, phenolic acids, and lignans, are commonly found in plant-based diets with a variety of biological actions, including antioxidant, anti-inflammatory, and anticancer effects. Unfortunately, polyphenols are not widely used in nutraceuticals since many of the chemicals in polyphenols possess poor oral bioavailability. Thankfully, polyphenols can be encapsulated and transported using bio-based nanocarriers, thereby increasing their bioavailability. Polyphenols' limited water solubility and low bioavailability are limiting factors for their practical usage, but this issue can be resolved if suitable delivery vehicles are developed for encapsulating and delivering polyphenolic compounds. This paper provides an overview of the study of nanocarriers for the enhancement of polyphenol oral bioavailability, as well as a summary of the health advantages of polyphenols in the prevention and treatment of several diseases.</w:t>
      </w:r>
    </w:p>
    <w:p>
      <w:pPr/>
      <w:r>
        <w:rPr>
          <w:b/>
        </w:rPr>
        <w:t>POSSIBLE 2023:</w:t>
      </w:r>
      <w:r>
        <w:t xml:space="preserve"> Mandate to overblock? Understanding the impact of the European Union's Article 17 on copyright content moderation on YouTube — https://doi.org/10.1002/poi3.379</w:t>
      </w:r>
    </w:p>
    <w:p>
      <w:pPr/>
      <w:r>
        <w:rPr>
          <w:b/>
        </w:rPr>
        <w:t>Shared claim-specific concepts:</w:t>
      </w:r>
      <w:r>
        <w:t xml:space="preserve"> article, understanding, show, potential, germany; EU scope visible. This is a provisional connection, not an outcome finding.</w:t>
      </w:r>
    </w:p>
    <w:p>
      <w:pPr>
        <w:pStyle w:val="SourceNote"/>
      </w:pPr>
      <w:r>
        <w:rPr>
          <w:b/>
        </w:rPr>
        <w:t>Available abstract (not full text):</w:t>
      </w:r>
      <w:r>
        <w:t xml:space="preserve"> Abstract This article presents the results of a study measuring possible overblocking due to copyright moderation and changes in the diversity of cultural products supply on YouTube in two European Union (EU) member states comparable in size and population, Germany and France. Both have adopted Article 17 of the EU Copyright in the Digital Single Market (CDSM) Directive (CDSMD) but Germany was 5 months ahead of France in changing its legislative regime for large social media platforms and copyright content moderation. The article assesses how content takedowns that were likely connected to copyright differed in these two countries and how this might have been influenced by the greater copyright moderation linked to the implementation of Article 17 of the CDSMD. Furthermore, the cultural supply diversity according to genre on YouTube was examined by applying Stirling's model of diversity and using a dual‐concept diversity index. To the best of the authors' knowledge, this is the first attempt to measure predicted changes to overblocking and possible changes in cultural diversity on YouTube's infrastructure since the new copyright rules came into force in the EU. The findings show that during the period examined, 2019–2022, significant differences were identified between Germany and France in terms of the takedowns of videos from categories prone to copyright moderation. In addit</w:t>
      </w:r>
    </w:p>
    <w:p>
      <w:pPr/>
      <w:r>
        <w:rPr>
          <w:b/>
        </w:rPr>
        <w:t>POSSIBLE 2022:</w:t>
      </w:r>
      <w:r>
        <w:t xml:space="preserve"> The Regional Development Trap in Europe — https://doi.org/10.1080/00130095.2022.2080655</w:t>
      </w:r>
    </w:p>
    <w:p>
      <w:pPr/>
      <w:r>
        <w:rPr>
          <w:b/>
        </w:rPr>
        <w:t>Shared claim-specific concepts:</w:t>
      </w:r>
      <w:r>
        <w:t xml:space="preserve"> article, indicators;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831.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2024:</w:t>
      </w:r>
      <w:r>
        <w:t xml:space="preserve"> Examining the Market Potential for Smart Intelligent Packaging: A Focus on Italian Consumers — https://doi.org/10.34021/ve.2024.07.02(5)</w:t>
      </w:r>
    </w:p>
    <w:p>
      <w:pPr/>
      <w:r>
        <w:rPr>
          <w:b/>
        </w:rPr>
        <w:t>Shared claim-specific concepts:</w:t>
      </w:r>
      <w:r>
        <w:t xml:space="preserve"> factors, potential, meet; EU scope not established. This is a provisional connection, not an outcome finding.</w:t>
      </w:r>
    </w:p>
    <w:p>
      <w:pPr>
        <w:pStyle w:val="SourceNote"/>
      </w:pPr>
      <w:r>
        <w:rPr>
          <w:b/>
        </w:rPr>
        <w:t>Available abstract (not full text):</w:t>
      </w:r>
      <w:r>
        <w:t xml:space="preserve"> This study addresses the effect of smart intelligent packaging on consumers’ perceptions and aims to explore new market opportunities for smart intelligent packaging. Based on a quantitative research methodology, this study is exploratory in nature and aims to determine consumer attitudes toward smart, intelligent food packaging. The research findings show that smart packaging offers new technologies that better satisfy consumers’ needs. Italian respondents appreciate the monitoring and tracking functions of food packaging. In addition, different factors of food packaging that lead consumers to purchase are emphasized in our findings. This study confirms that packaging affects consumer purchase decisions. According to the results, although consumers’ knowledge of smart packaging technologies was low, their interest in obtaining more information related to smart intelligent packaging was high. Findings indicate that integrating smart packaging with advanced storage systems and technologies designed to prolong product shelf life is a sought-after technological approach for reducing food wastage. However, the research highlights a lack of consumer awareness and understanding concerning intelligent active packaging, hindering its widespread adoption. Therefore, it is recommended to ascertain consumer preferences regarding packaging characteristics to uncover effective marketing str</w:t>
      </w:r>
    </w:p>
    <w:p>
      <w:pPr/>
      <w:r>
        <w:rPr>
          <w:b/>
        </w:rPr>
        <w:t>POSSIBLE 2023:</w:t>
      </w:r>
      <w:r>
        <w:t xml:space="preserve"> Market and Market Potential: A Conceptual Paper — https://doi.org/10.61739/tbf.2023.12.2.341</w:t>
      </w:r>
    </w:p>
    <w:p>
      <w:pPr/>
      <w:r>
        <w:rPr>
          <w:b/>
        </w:rPr>
        <w:t>Shared claim-specific concepts:</w:t>
      </w:r>
      <w:r>
        <w:t xml:space="preserve"> factors, potential, trends, industries, framework; EU scope not established. This is a provisional connection, not an outcome finding.</w:t>
      </w:r>
    </w:p>
    <w:p>
      <w:pPr>
        <w:pStyle w:val="SourceNote"/>
      </w:pPr>
      <w:r>
        <w:rPr>
          <w:b/>
        </w:rPr>
        <w:t>Available abstract (not full text):</w:t>
      </w:r>
      <w:r>
        <w:t xml:space="preserve"> This paper focuses on an important aspect of marketing upon which all the concepts of marketing depend like segmentation, targeting, positioning, distribution, pricing, etc.This conceptual research paper delves into the fundamental concepts of markets and market potential.As essential drivers of economic activity, markets serve as pivotal arenas where buyers and sellers interact to exchange goods, services, and information.The paper explores the multifaceted dimensions of markets, and types of demand, elucidating their characteristics, classi ications, and functions in diverse industries and sectors.The market plays an important role in all the sectors like primary (Agriculture), secondary, and tertiary sector.Central to this study is the exploration of market potential, a crucial aspect that determines the growth prospects and pro itability of businesses and the agricultural sector.By delving into market potential analysis, this paper examines the underlying factors that in luence market attractiveness, including consumer demographics, purchasing power, demand trends, and competitive landscapes.Through a comprehensive review of existing literature, this research seeks to provide a conceptual framework that deepens the understanding of markets, types of demand, and market potential.</w:t>
      </w:r>
    </w:p>
    <w:p>
      <w:pPr/>
      <w:r>
        <w:rPr>
          <w:b/>
        </w:rPr>
        <w:t>POSSIBLE 2022:</w:t>
      </w:r>
      <w:r>
        <w:t xml:space="preserve"> Hydrogen in Grid Balancing: The European Market Potential for Pressurized Alkaline Electrolyzers — https://doi.org/10.3390/en15020637</w:t>
      </w:r>
    </w:p>
    <w:p>
      <w:pPr/>
      <w:r>
        <w:rPr>
          <w:b/>
        </w:rPr>
        <w:t>Shared claim-specific concepts:</w:t>
      </w:r>
      <w:r>
        <w:t xml:space="preserve"> aim, potential; EU scope visible. This is a provisional connection, not an outcome finding.</w:t>
      </w:r>
    </w:p>
    <w:p>
      <w:pPr>
        <w:pStyle w:val="SourceNote"/>
      </w:pPr>
      <w:r>
        <w:rPr>
          <w:b/>
        </w:rPr>
        <w:t>Available abstract (not full text):</w:t>
      </w:r>
      <w:r>
        <w:t xml:space="preserve"> To limit the global temperature change to no more than 2 °C by reducing global emissions, the European Union (EU) set up a goal of a 20% improvement on energy efficiency, a 20% cut of greenhouse gas emissions, and a 20% share of energy from renewable sources by 2020 (10% share of renewable energy (RE), specifically in the transport sector). By 2030, the goal is a 27% improvement in energy efficiency, a 40% cut of greenhouse gas emissions, and a 27% share of RE. However, the integration of RE in energy system faces multiple challenges. The geographical distribution of energy supply changes significantly the availability of the primary energy source (wind, solar, water) and is the determining factor, rather than where the consumers are. This leads to an increasing demand to match supply and demand for power. Especially intermittent RE like wind and solar power face the issue of energy production unrelated to demand (issue of excess energy production beyond demand and/or grid capacity) and forecast errors leading to an increasing demand for grid services like balancing power. Megawatt electrolyzer units (beyond 3 MW) can provide a technical solution to convert large amounts of excess electricity into hydrogen for industrial applications, substitute for natural gas, or the decarbonization of the mobility sector. The demonstration of successful MW electrolyzer operation providing gr</w:t>
      </w:r>
    </w:p>
    <w:p>
      <w:pPr/>
      <w:r>
        <w:rPr>
          <w:b/>
        </w:rPr>
        <w:t>POSSIBLE 2022:</w:t>
      </w:r>
      <w:r>
        <w:t xml:space="preserve"> Russia–Ukraine crisis: The effects on the European stock market — https://doi.org/10.1111/eufm.12386</w:t>
      </w:r>
    </w:p>
    <w:p>
      <w:pPr/>
      <w:r>
        <w:rPr>
          <w:b/>
        </w:rPr>
        <w:t>Shared claim-specific concepts:</w:t>
      </w:r>
      <w:r>
        <w:t xml:space="preserve"> examine, industries; EU scope visible. This is a provisional connection, not an outcome finding.</w:t>
      </w:r>
    </w:p>
    <w:p>
      <w:pPr>
        <w:pStyle w:val="SourceNote"/>
      </w:pPr>
      <w:r>
        <w:rPr>
          <w:b/>
        </w:rPr>
        <w:t>Available abstract (not full text):</w:t>
      </w:r>
      <w:r>
        <w:t xml:space="preserve"> Abstract We examine the effect of the Russia–Ukraine crisis on the European stock markets. Because of increased political uncertainty, geographic proximity and the ramifications of the fresh sanctions imposed on Russia, the European stock markets tended to react negatively to this crisis. We find that on 21 February 2022, when Russia recognized two Ukrainian states as autonomous regions, European stocks incurred a significant negative abnormal return. Moreover, the negative stock price reactions continued in the post‐event period. The magnitude of the stock price reactions to this crisis exhibits considerable variation across industries, countries and size of the company.</w:t>
      </w:r>
    </w:p>
    <w:p>
      <w:pPr/>
      <w:r>
        <w:rPr>
          <w:b/>
        </w:rPr>
        <w:t>POSSIBLE 2021:</w:t>
      </w:r>
      <w:r>
        <w:t xml:space="preserve"> Escalating incidence of infective endocarditis in Europe in the 21st century — https://doi.org/10.1136/openhrt-2021-001846</w:t>
      </w:r>
    </w:p>
    <w:p>
      <w:pPr/>
      <w:r>
        <w:rPr>
          <w:b/>
        </w:rPr>
        <w:t>Shared claim-specific concepts:</w:t>
      </w:r>
      <w:r>
        <w:t xml:space="preserve"> aim, factors, past, trends; EU scope visible. This is a provisional connection, not an outcome finding.</w:t>
      </w:r>
    </w:p>
    <w:p>
      <w:pPr>
        <w:pStyle w:val="SourceNote"/>
      </w:pPr>
      <w:r>
        <w:rPr>
          <w:b/>
        </w:rPr>
        <w:t>Available abstract (not full text):</w:t>
      </w:r>
      <w:r>
        <w:t xml:space="preserve"> AIM: To provide a contemporary analysis of incidence trends of infective endocarditis (IE) with its changing epidemiology over the past two decades in Europe. METHODS: A systematic review was conducted at the Mayo Clinic, Rochester. Ovid EBM Reviews, Ovid Embase, Ovid Medline, Scopus and Web of Science were searched for studies published between 1 January 2000 and 30 November 2020. All studies were independently reviewed by four referees and those that included a population-based incidence of IE in patients, irrespective of age, in Europe were included. Least squares regression was used to estimate pooled temporal trends in IE incidence. RESULTS: Of 9138 articles screened, 18 studies were included in the review. Elderly men predominated in all studies. IE incidence increased 4.1% per year (95% CI 1.8% to 6.4%) in the pooled regression analysis of eight studies that included comprehensive and consistent trends data. When trends data were weighted according to population size of individual countries, an increase in yearly incidence of 0.27 cases per 100 000 people was observed. Staphylococci and streptococci were the most common pathogens identified. The rate of surgical intervention ranged from 10.2% to 60.0%, and the rate of inpatient mortality ranged from 14.3% to 17.5%. In six studies that examined the rate of injection drug use, five of them reported a rate of less than 10%.</w:t>
      </w:r>
    </w:p>
    <w:p>
      <w:pPr/>
      <w:r>
        <w:rPr>
          <w:b/>
        </w:rPr>
        <w:t>POSSIBLE 2021:</w:t>
      </w:r>
      <w:r>
        <w:t xml:space="preserve"> An estimation of the European industrial heat pump market potential — https://doi.org/10.1016/j.rser.2020.110545</w:t>
      </w:r>
    </w:p>
    <w:p>
      <w:pPr/>
      <w:r>
        <w:rPr>
          <w:b/>
        </w:rPr>
        <w:t>Shared claim-specific concepts:</w:t>
      </w:r>
      <w:r>
        <w:t xml:space="preserve"> potential, perspectives; EU scope visible. This is a provisional connection, not an outcome finding.</w:t>
      </w:r>
    </w:p>
    <w:p>
      <w:pPr>
        <w:pStyle w:val="SourceNote"/>
      </w:pPr>
      <w:r>
        <w:rPr>
          <w:b/>
        </w:rPr>
        <w:t>Available abstract (not full text):</w:t>
      </w:r>
      <w:r>
        <w:t xml:space="preserve"> This paper presents an estimation of the European (EU28) industrial heat pump market potential in terms of magnitude, sizing and number of units. This study is carried out in order to provide technology suppliers and manufacturers of industrial heat pumps perspectives for the technology. Potential heat pump applications in the food, paper, chemical and refining sectors are identified considering a maximum sink temperature of 200°C. This is achieved utilising a bottom-up methodology that uses detailed information from individual processes in the aforementioned sectors. Combining individual process data with typical plant capacities provides information on the heating capacities of heat pumps. The data is upscaled to European level, using production statistics relevant to the individual processes analysed. Since the database of processes is generic in nature and not fully covering the whole industrial sector, the results of this analysis provide a conservative estimate of the heat pump market potential. The results show a potential cumulative heating capacity of industrial heat pumps in EU28 of 23.0 GW, consisting of 4174 heat pump units which are able to cover 641 PJ/a of process heat demand. The largest number of heat pump units (%) can be found for heating capacities &lt;10 MW, making up about 50% of the total market cumulative heating capacity. Clearly, there is a large market a</w:t>
      </w:r>
    </w:p>
    <w:p>
      <w:pPr/>
      <w:r>
        <w:rPr>
          <w:b/>
        </w:rPr>
        <w:t>POSSIBLE 2020:</w:t>
      </w:r>
      <w:r>
        <w:t xml:space="preserve"> Stressors, coping and symptoms of adjustment disorder in the course of the COVID-19 pandemic – study protocol of the European Society for Traumatic Stress Studies (ESTSS) pan-European study — https://doi.org/10.1080/20008198.2020.1780832</w:t>
      </w:r>
    </w:p>
    <w:p>
      <w:pPr/>
      <w:r>
        <w:rPr>
          <w:b/>
        </w:rPr>
        <w:t>Shared claim-specific concepts:</w:t>
      </w:r>
      <w:r>
        <w:t xml:space="preserve"> examine, factors, current, framework; EU scope visible. This is a provisional connection, not an outcome finding.</w:t>
      </w:r>
    </w:p>
    <w:p>
      <w:pPr>
        <w:pStyle w:val="SourceNote"/>
      </w:pPr>
      <w:r>
        <w:rPr>
          <w:b/>
        </w:rPr>
        <w:t>Available abstract (not full text):</w:t>
      </w:r>
      <w:r>
        <w:t xml:space="preserve"> BACKGROUND: During the current COVID-19 pandemic, the people in Europe are exposed to self-isolation, quarantine, job loss, risk of contracting COVID-19, or grief of loved ones. Such a complex array of stressors may lead to symptoms of adjustment disorder or posttraumatic stress disorder. This research protocol describes a study launched by the European Society of Traumatic Stress Studies (ESTSS) to investigate the impact of the COVID-19 pandemic on symptoms of adjustment disorder across European countries. OBJECTIVE: The longitudinal online cohort study aims (1) to explore psychosocial reactions to the COVID-19 pandemic across ten European countries; (2) to examine the relationships between risk and resilience factors, stressors and symptoms of adjustment disorder during the pandemic; and (3) to investigate whether these relationships are moderated by coping behaviours. METHOD: In ten countries (Austria, Croatia, Georgia, Germany, Italy, Lithuania, Netherlands, Poland, Portugal, and Sweden), between 1,000 and 2,000 participants will be recruited, depending on the size of the country. Participants will be assessed at two timepoints with a six-month interval. Following a conceptual framework based on the WHO's social framework of health, an assessment of risk and resilience factors, COVID-19 related stressors and pandemic-specific coping behaviours will be measured to estimate t</w:t>
      </w:r>
    </w:p>
    <w:p>
      <w:pPr>
        <w:pStyle w:val="Heading2"/>
      </w:pPr>
      <w:r>
        <w:t>832.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2021:</w:t>
      </w:r>
      <w:r>
        <w:t xml:space="preserve"> The European Union's fishing activity outside of European waters and the Sustainable Development Goals — https://doi.org/10.1111/faf.12533</w:t>
      </w:r>
    </w:p>
    <w:p>
      <w:pPr/>
      <w:r>
        <w:rPr>
          <w:b/>
        </w:rPr>
        <w:t>Shared claim-specific concepts:</w:t>
      </w:r>
      <w:r>
        <w:t xml:space="preserve"> goals, identify; EU scope visible. This is a provisional connection, not an outcome finding.</w:t>
      </w:r>
    </w:p>
    <w:p>
      <w:pPr>
        <w:pStyle w:val="SourceNote"/>
      </w:pPr>
      <w:r>
        <w:rPr>
          <w:b/>
        </w:rPr>
        <w:t>Available abstract (not full text):</w:t>
      </w:r>
      <w:r>
        <w:t xml:space="preserve"> Abstract The EU's fishing fleet engages in extensive fishing activities in the Exclusive Economic Zones of non‐EU countries as well as in areas beyond national jurisdiction. These activities are regulated by an external dimension in the EU's Common Fisheries Policy (CFP). We review the relationship between the CFP, including regulations for the Sustainable Management of External Fishing Fleets (SMEFF) and the role of Sustainable Fisheries Partnership Agreements (SFPAs) and Regional Fisheries Management Organisations (RFMOs), and the internationally agreed aims and definitions of sustainability provided by the United Nations Sustainable Development Goals (SDGs). The SDG that most directly relates to fish and fisheries is goal 14, to "conserve and sustainably use the oceans." This paper, however, focuses on relationships between the CFP and SDGs that target social and economic dimensions, including those aiming to eliminate poverty (1) and hunger (2), improve health (3), provide decent work and economic growth (8), and achieve gender equality (5) and peaceful institutions (16). We identify several areas where the EU's external fishing fleet interacts with different facets of those goals, and suggest some important improvements that can be made to support the development of the EU’s external fleet into a contributor, rather than counterforce, to sustainable development in line wit</w:t>
      </w:r>
    </w:p>
    <w:p>
      <w:pPr/>
      <w:r>
        <w:rPr>
          <w:b/>
        </w:rPr>
        <w:t>POSSIBLE 2021:</w:t>
      </w:r>
      <w:r>
        <w:t xml:space="preserve"> Alignment of the European Green Deal, the Sustainable Development Goals and the European Semester Process: Method and Application — https://doi.org/10.4236/tel.2021.114049</w:t>
      </w:r>
    </w:p>
    <w:p>
      <w:pPr/>
      <w:r>
        <w:rPr>
          <w:b/>
        </w:rPr>
        <w:t>Shared claim-specific concepts:</w:t>
      </w:r>
      <w:r>
        <w:t xml:space="preserve"> main, goals, after, taken; EU scope visible. This is a provisional connection, not an outcome finding.</w:t>
      </w:r>
    </w:p>
    <w:p>
      <w:pPr>
        <w:pStyle w:val="SourceNote"/>
      </w:pPr>
      <w:r>
        <w:rPr>
          <w:b/>
        </w:rPr>
        <w:t>Available abstract (not full text):</w:t>
      </w:r>
      <w:r>
        <w:t xml:space="preserve"> The Agenda 2030 with its 17 Sustainable Development Goals (SDGs) along with the European Green Deal and its 9 Policy Areas, are the key strategic frameworks for the transformation of Europe into a climate-neutral continent in the future decades. Thus, the mandates derived from these contexts must be taken into consideration by the European countries. This report aims to suggest a methodology for the co-integration of the Sustainable Development Goals (SDGs) and the European Green Deal (EGD), with the Country-specific recommendations (CSRs) made by the European Commission as part of the Semester process. At the same time, all these should be aligned with the EU Recovery Plan, to supply applicable strategies to the European policymakers and strengthen the national recovery Plans of the Member States, which are driven by the above-mentioned EU-driven packs, in line with the superior UN Agenda for the Sustainable Development. For the alignment of CSRs, the SDGs, and the EGD a 3D-mapping approach is proposed. After the Introduction in Section 1, the framework of the applicable Policies is presented in Section 2 and our Methodology is described in Section 3. In Section 4 our results are demonstrated for the EU and in Section 5 the main conclusions are listed along with a discussion for future directions. Our analysis shows that overall, the EU has sufficiently incorporated the SDGs i</w:t>
      </w:r>
    </w:p>
    <w:p>
      <w:pPr/>
      <w:r>
        <w:rPr>
          <w:b/>
        </w:rPr>
        <w:t>POSSIBLE 2020:</w:t>
      </w:r>
      <w:r>
        <w:t xml:space="preserve"> Identity Politics and Populism in Europe — https://doi.org/10.1146/annurev-polisci-050718-033542</w:t>
      </w:r>
    </w:p>
    <w:p>
      <w:pPr/>
      <w:r>
        <w:rPr>
          <w:b/>
        </w:rPr>
        <w:t>Shared claim-specific concepts:</w:t>
      </w:r>
      <w:r>
        <w:t xml:space="preserve"> since, main, political; EU scope visible. This is a provisional connection, not an outcome finding.</w:t>
      </w:r>
    </w:p>
    <w:p>
      <w:pPr>
        <w:pStyle w:val="SourceNote"/>
      </w:pPr>
      <w:r>
        <w:rPr>
          <w:b/>
        </w:rPr>
        <w:t>Available abstract (not full text):</w:t>
      </w:r>
      <w:r>
        <w:t xml:space="preserve"> We review the literature on the rise of identity politics and populism in Europe. Populist parties have gained large vote shares since the Great Recession of 2008. We observe in many countries, and even in the European Parliament, a transformation of the main dimension of politics from the left–right cleavage to a new cleavage opposing the mainstream parties to populist parties. We examine how this transformation relates to changes in voter attitudes and the adjustment of political parties to these changes. Two main types of causes for the rise of populism have emerged: economic and cultural. In reviewing the evidence, we find a complex interaction between economic and cultural factors. Economic anxiety among large groups of voters related to the Great Recession and austerity policies triggers a heightened receptivity to the messages of cultural backlash from populist parties.</w:t>
      </w:r>
    </w:p>
    <w:p>
      <w:pPr>
        <w:pStyle w:val="Heading2"/>
      </w:pPr>
      <w:r>
        <w:t>833.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r>
        <w:rPr>
          <w:b/>
        </w:rPr>
        <w:t>POSSIBLE 2023:</w:t>
      </w:r>
      <w:r>
        <w:t xml:space="preserve"> Engagement of European Countries in the Implementation of the US Indo-Pacific Strategy (Part 1) — https://doi.org/10.22394/1726-1139-2023-11-25-45</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2021:</w:t>
      </w:r>
      <w:r>
        <w:t xml:space="preserve"> Relevant aspects of carbon storage activities’ liability in paradigmatic countries: Australia, Brazil, Canada, European Union, Japan, Norway, United Kingdom, and United States — https://doi.org/10.1016/b978-0-323-85250-0.00013-x</w:t>
      </w:r>
    </w:p>
    <w:p>
      <w:pPr/>
      <w:r>
        <w:rPr>
          <w:b/>
        </w:rPr>
        <w:t>Shared claim-specific concepts:</w:t>
      </w:r>
      <w:r>
        <w:t xml:space="preserve"> countries, australia, brazil, canada, japan, united;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Comparison of Prices and Affordability of Cancer Medicines in 16 Countries in Europe and Latin America — https://doi.org/10.1007/s40258-021-00670-4</w:t>
      </w:r>
    </w:p>
    <w:p>
      <w:pPr/>
      <w:r>
        <w:rPr>
          <w:b/>
        </w:rPr>
        <w:t>Shared claim-specific concepts:</w:t>
      </w:r>
      <w:r>
        <w:t xml:space="preserve"> countries, brazil, france, germany, mexico, national; EU scope visible. This is a provisional connection, not an outcome finding.</w:t>
      </w:r>
    </w:p>
    <w:p>
      <w:pPr>
        <w:pStyle w:val="SourceNote"/>
      </w:pPr>
      <w:r>
        <w:rPr>
          <w:b/>
        </w:rPr>
        <w:t>Available abstract (not full text):</w:t>
      </w:r>
      <w:r>
        <w:t xml:space="preserve"> BACKGROUND: There are concerns that high prices of cancer medicines may limit patient access. Since information on prices for cancer medicines and their impact on affordability is lacking for several countries, particularly for lower income countries, this study surveys prices of originator cancer medicines in Europe and Latin America and assesses their affordability. METHODS: For 19 cancer medicines, public procurement and ex-factory prices, as of 2017, were surveyed in five Latin American (LATAM) countries (Brazil, Chile, Colombia, Mexico, and Peru) and 11 European countries (Austria, France, Germany, Greece, Hungary, the Netherlands, Poland, Romania, Spain, Sweden, and the UK). Price data (public procurement prices in LATAM and ex-factory prices in Europe) in US dollar purchasing power parities (PPP) were analyzed per defined daily dose. Affordability was measured by setting medicines prices in relation to national minimum wages. RESULTS: The prices of cancer medicines varied considerably between countries. In European countries with higher levels of income, PPP-adjusted prices tended to be lower than in European countries of lower income and LATAM countries. Except for one medicine, all surveyed medicines were considered unaffordable in most countries. In European countries of lower income and LATAM countries, more than 15 days' worth of minimum wages would be required by a</w:t>
      </w:r>
    </w:p>
    <w:p>
      <w:pPr/>
      <w:r>
        <w:rPr>
          <w:b/>
        </w:rPr>
        <w:t>POSSIBLE 2021:</w:t>
      </w:r>
      <w:r>
        <w:t xml:space="preserve"> Clinical practices related to high-flow nasal cannulas in pediatric critical care in Brazil compared to other countries: a Brazilian survey — https://doi.org/10.5935/0103-507x.20210055</w:t>
      </w:r>
    </w:p>
    <w:p>
      <w:pPr/>
      <w:r>
        <w:rPr>
          <w:b/>
        </w:rPr>
        <w:t>Shared claim-specific concepts:</w:t>
      </w:r>
      <w:r>
        <w:t xml:space="preserve"> countries, australia, brazil, canada, india, south; EU scope visible. This is a provisional connection, not an outcome finding.</w:t>
      </w:r>
    </w:p>
    <w:p>
      <w:pPr>
        <w:pStyle w:val="SourceNote"/>
      </w:pPr>
      <w:r>
        <w:rPr>
          <w:b/>
        </w:rPr>
        <w:t>Available abstract (not full text):</w:t>
      </w:r>
      <w:r>
        <w:t xml:space="preserve"> OBJECTIVE: To describe current clinical practices related to the use of high-flow nasal cannula therapy by Brazilian pediatric intensivists and compare them with those in other countries. METHODS: A questionnaire was administered to pediatric intensivists in North and South America, Asia, Europe, and Australia/New Zealand for the main study. We compared the Brazilian cohort with cohorts in the United States of America, Canada, the United Kingdom, and India. RESULTS: Overall, 501 physicians responded, 127 of which were in Brazil. Only 63.8% of respondents in Brazil had a high-flow nasal cannula available, in contrast to 100% of respondents in the United Kingdom, Canada, and the United States. The attending physician was responsible for the decision to start a high-flow nasal cannula according to 61.2% respondents in Brazil, 95.5% in the United Kingdom, 96.6% in the United States, 96.8% in Canada, and 84.7% in India. A total of 62% of respondents in Brazil, 96.3% in the United Kingdom, 96.6% in the United States, 96.8% in Canada, and 84.7% in India reported that the attending physician was responsible for the decision to wean or modify the high-flow nasal cannula settings. When high-flow nasal cannula therapy failed due to respiratory distress/failure, 82% of respondents in Brazil would consider a trial of noninvasive ventilation before endotracheal intubation, compared to 93% in</w:t>
      </w:r>
    </w:p>
    <w:p>
      <w:pPr/>
      <w:r>
        <w:rPr>
          <w:b/>
        </w:rPr>
        <w:t>POSSIBLE 2021:</w:t>
      </w:r>
      <w:r>
        <w:t xml:space="preserve"> Evolution of Medical Device Sector in India and Comparison of Registration Processes of Medical Devices in India with Countries like China, Australia, U.S. and Europe — https://doi.org/10.23880/pdraj-16000127</w:t>
      </w:r>
    </w:p>
    <w:p>
      <w:pPr/>
      <w:r>
        <w:rPr>
          <w:b/>
        </w:rPr>
        <w:t>Shared claim-specific concepts:</w:t>
      </w:r>
      <w:r>
        <w:t xml:space="preserve"> countries, australia, china, india, national; EU scope visible. This is a provisional connection, not an outcome finding.</w:t>
      </w:r>
    </w:p>
    <w:p>
      <w:pPr>
        <w:pStyle w:val="SourceNote"/>
      </w:pPr>
      <w:r>
        <w:rPr>
          <w:b/>
        </w:rPr>
        <w:t>Available abstract (not full text):</w:t>
      </w:r>
      <w:r>
        <w:t xml:space="preserve"> The medical device market in India is a sunrise sector in the pharmaceutical industry and has achieved a milestone in the last few years securing 4th position in the medical device market in Asia with increasing foreign direct investments through governments Make in India Campaign 2017, and PLI (Product linked incentive) schemes. To enter the medical device market in any country, one has to go through different procedures and regulatory requirements of that country. Medical devices are regulated in India by the DCGI (Drug Controller General of India) under the CDSCO (Central Drug Standard Control Organization). In China, the registration approval process is under NMPA (National Medical Product Administration) and requires complying with Chinese regulatory standard notice No. 218. Europe and Australian regulations are bit same and require a CE (Conformité Européenne) mark for manufacturing and marketing. U.S. regulations for approving medical devices are stringent and 510 (k) and PMA (pre-market authorization) is compulsory. In this review, the reader would get an idea about the evolution of medical devices and legislative changes in India and also about international standards and auditing programs. There is a comparison of Indian, Chinese, Australian, U.S., and European medical device registration processes for understanding the similarities and differences.</w:t>
      </w:r>
    </w:p>
    <w:p>
      <w:pPr/>
      <w:r>
        <w:rPr>
          <w:b/>
        </w:rPr>
        <w:t>POSSIBLE 2021:</w:t>
      </w:r>
      <w:r>
        <w:t xml:space="preserve"> AUSTRALIA AND BRAZIL: A DIALOGUE ON CITIZENSHIP EDUCATIONAL IN THE SCHOOL CURRICULA — https://doi.org/10.18224/educ.v24i1.8259</w:t>
      </w:r>
    </w:p>
    <w:p>
      <w:pPr/>
      <w:r>
        <w:rPr>
          <w:b/>
        </w:rPr>
        <w:t>Shared claim-specific concepts:</w:t>
      </w:r>
      <w:r>
        <w:t xml:space="preserve"> countries, australia, brazil, debate; EU scope not established. This is a provisional connection, not an outcome finding.</w:t>
      </w:r>
    </w:p>
    <w:p>
      <w:pPr>
        <w:pStyle w:val="SourceNote"/>
      </w:pPr>
      <w:r>
        <w:rPr>
          <w:b/>
        </w:rPr>
        <w:t>Available abstract (not full text):</w:t>
      </w:r>
      <w:r>
        <w:t xml:space="preserve"> The debate on citizenship education has impacted the area of education in several aspects, mainly in the introduction of changes in school curricula. Therefore, it is timely to identify, analyse and discuss the implications that such changes have had on curricula. The present study was carried out to understand the contents, skills, attitudes and values the Australian Curriculum and the Brazilian Curriculum have incorporated to develop citizenship education. This qualitative research highlights the relevance attributed to citizenship in the curriculum of several countries and in the proposals of international organizations. Therefore, it explains the main features of the curricula in focus. Finally, the results are discussed.</w:t>
      </w:r>
    </w:p>
    <w:p>
      <w:pPr/>
      <w:r>
        <w:rPr>
          <w:b/>
        </w:rPr>
        <w:t>POSSIBLE 2021:</w:t>
      </w:r>
      <w:r>
        <w:t xml:space="preserve"> Study On The Situation Between France And The South China Sea From The Perspective Of Balance Of Power Theory — https://doi.org/10.52987/pcrc.2021.011</w:t>
      </w:r>
    </w:p>
    <w:p>
      <w:pPr/>
      <w:r>
        <w:rPr>
          <w:b/>
        </w:rPr>
        <w:t>Shared claim-specific concepts:</w:t>
      </w:r>
      <w:r>
        <w:t xml:space="preserve"> countries, australia, china, france, germany, india; EU scope visible. This is a provisional connection, not an outcome finding.</w:t>
      </w:r>
    </w:p>
    <w:p>
      <w:pPr>
        <w:pStyle w:val="SourceNote"/>
      </w:pPr>
      <w:r>
        <w:rPr>
          <w:b/>
        </w:rPr>
        <w:t>Available abstract (not full text):</w:t>
      </w:r>
      <w:r>
        <w:t xml:space="preserve"> ABSTRACT With the rise of China and the escalation of tension between China and the United States, European countries led by Britain, France and Germany pay increasing attention to the regional situation in the Asia-Pacific (now known as "Indo-Pacific"). Among them, the South China Sea (SCS) is one of the main areas disputed by China, the United States, Southeast Asian countries and some European countries. Western countries are worried that the rise of China's military power will break the stability of the situation in SCS and alter the balance of power among major powers. Therefore, they tried to balance China's rise through alliance. In France's Indo-Pacific strategy, France aims to build a regional order with the alliance of France, India and Australia as the core, and regularly carry out military exercises targeting SCS with the United States, Japan and Southeast Asian countries. This paper aims to study the activities and motivation of France in the South China Sea, and put the situation in SCS under the perspective of Balance of Power Theory, focusing on China, America and France. It will be argued that great powers are carefully maintaining the balance of military power in SCS, and it is highly possible that this trend would still last in the middle and long term, particularly via military deployment and strategic alliances. KEYWORDS: South China Sea, France, China, Bal</w:t>
      </w:r>
    </w:p>
    <w:p>
      <w:pPr>
        <w:pStyle w:val="Heading2"/>
      </w:pPr>
      <w:r>
        <w:t>834.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2023:</w:t>
      </w:r>
      <w:r>
        <w:t xml:space="preserve"> Bedrock geological map predictions for Phanerozoic fossil occurrences — https://doi.org/10.1017/pab.2022.46</w:t>
      </w:r>
    </w:p>
    <w:p>
      <w:pPr/>
      <w:r>
        <w:rPr>
          <w:b/>
        </w:rPr>
        <w:t>Shared claim-specific concepts:</w:t>
      </w:r>
      <w:r>
        <w:t xml:space="preserve"> fossil, need, expected; EU scope visible. This is a provisional connection, not an outcome finding.</w:t>
      </w:r>
    </w:p>
    <w:p>
      <w:pPr>
        <w:pStyle w:val="SourceNote"/>
      </w:pPr>
      <w:r>
        <w:rPr>
          <w:b/>
        </w:rPr>
        <w:t>Available abstract (not full text):</w:t>
      </w:r>
      <w:r>
        <w:t xml:space="preserve"> Abstract Geographically explicit, taxonomically resolved fossil occurrences are necessary for reconstructing macroevolutionary patterns and for testing a wide range of hypotheses in the Earth and life sciences. Heterogeneity in the spatial and temporal distribution of fossil occurrences in the Paleobiology Database (PBDB) is attributable to several different factors, including turnover among biological communities, socioeconomic disparities in the intensity of paleontological research, and geological controls on the distribution and fossil yield of sedimentary deposits. Here we use the intersection of global geological map data from Macrostrat and fossil collections in the PBDB to assess the extent to which the potentially fossil-bearing, surface-expressed sedimentary record has yielded fossil occurrences. We find a significant and moderately strong positive correlation between geological map area and the number of fossil occurrences. This correlation is consistent regardless of map unit age and binning protocol, except at period level; the Neogene and Quaternary have non-marine map units covering large areas and yielding fewer occurrences than expected. The sedimentary record of North America and Europe yields significantly more fossil occurrences per sedimentary area than similarly aged deposits in most of the rest of the world. However, geographic differences in area and age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driven, growing, industrial, production, conclude;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Potential impacts of rapidly changing european use of fossil fuels on global warming — https://doi.org/10.1088/2515-7620/acf3d7</w:t>
      </w:r>
    </w:p>
    <w:p>
      <w:pPr/>
      <w:r>
        <w:rPr>
          <w:b/>
        </w:rPr>
        <w:t>Shared claim-specific concepts:</w:t>
      </w:r>
      <w:r>
        <w:t xml:space="preserve"> fossil, pathways, potential; EU scope visible. This is a provisional connection, not an outcome finding.</w:t>
      </w:r>
    </w:p>
    <w:p>
      <w:pPr>
        <w:pStyle w:val="SourceNote"/>
      </w:pPr>
      <w:r>
        <w:rPr>
          <w:b/>
        </w:rPr>
        <w:t>Available abstract (not full text):</w:t>
      </w:r>
      <w:r>
        <w:t xml:space="preserve"> Abstract The balance of primary energy sources for Europe has been changing rapidly over recent decades, shifting towards more renewables and using fossil fuels with lower carbon emissions. However, the latter is being impacted by the Russia-Ukraine conflict. Here, we determine the potential bounds of how this may affect global warming, based on whether the European use of Russian gas and oil is replaced with either less efficient burning of coal (with and without the gas and oil then used in new markets elsewhere) or with renewables. We perform calculations as perturbations from a baseline carbon dioxide (CO2) trajectory associated with ‘middle range’ and ‘low’ Shared Socioeconomic Pathways (SSP), SSP2-45 and SSP1-26. We calculate the CO2 perturbations as a simulated step change in emissions for the year 2023, which then decays linearly to zero by 2043. The emission profiles drive the FaIR simple climate model. FaIR links greenhouse gas emissions to global warming levels and includes a representation of warming uncertainty based on projections made using more complex Earth system models. We find that the direct impact of the conflict on the global mean temperature is likely to be relatively small, amounting to the worst case of nearly one-hundredth of a degree. This warming is equivalent to approximately an extra half year of current global CO2 emissions. However, we suggest t</w:t>
      </w:r>
    </w:p>
    <w:p>
      <w:pPr/>
      <w:r>
        <w:rPr>
          <w:b/>
        </w:rPr>
        <w:t>POSSIBLE 2021:</w:t>
      </w:r>
      <w:r>
        <w:t xml:space="preserve"> Growing environmental footprint of plastics driven by coal combustion — https://doi.org/10.1038/s41893-021-00807-2</w:t>
      </w:r>
    </w:p>
    <w:p>
      <w:pPr/>
      <w:r>
        <w:rPr>
          <w:b/>
        </w:rPr>
        <w:t>Shared claim-specific concepts:</w:t>
      </w:r>
      <w:r>
        <w:t xml:space="preserve"> driven, growing, sustainable, production; EU scope visible. This is a provisional connection, not an outcome finding.</w:t>
      </w:r>
    </w:p>
    <w:p>
      <w:pPr>
        <w:pStyle w:val="SourceNote"/>
      </w:pPr>
      <w:r>
        <w:rPr>
          <w:b/>
        </w:rPr>
        <w:t>Available abstract (not full text):</w:t>
      </w:r>
      <w:r>
        <w:t xml:space="preserve"> Abstract Research on the environmental impacts from the global value chain of plastics has typically focused on the disposal phase, considered most harmful to the environment and human health. However, the production of plastics is also responsible for substantial environmental, health and socioeconomic impacts. We show that the carbon and particulate-matter-related health footprint of plastics has doubled since 1995, due mainly to growth in plastics production in coal-based economies. Coal-based emissions have quadrupled since 1995, causing almost half of the plastics-related carbon and particulate-matter-related health footprint in 2015. Plastics-related carbon footprints of China’s transportation, Indonesia’s electronics industry and India’s construction sector have increased more than 50-fold since 1995. In 2015, plastics caused 4.5% of global greenhouse gas emissions. Moreover, 6% of global coal electricity is used for plastics production. The European Union and the United States have increasingly consumed plastics produced in coal-based economies. In 2015, 85% of the workforce required for plastics consumed by the European Union and the United States was employed abroad, but 80% of the related value added was generated domestically. As high-income regions have outsourced the energy-intensive steps of plastics production to coal-based economies, renewable energy investment</w:t>
      </w:r>
    </w:p>
    <w:p>
      <w:pPr/>
      <w:r>
        <w:rPr>
          <w:b/>
        </w:rPr>
        <w:t>POSSIBLE 2021:</w:t>
      </w:r>
      <w:r>
        <w:t xml:space="preserve"> Fossil Natural Gas Exit – A New Narrative for the European Energy Transformation Towards Decarbonization — https://doi.org/10.5547/2160-5890.10.2.chir</w:t>
      </w:r>
    </w:p>
    <w:p>
      <w:pPr/>
      <w:r>
        <w:rPr>
          <w:b/>
        </w:rPr>
        <w:t>Shared claim-specific concepts:</w:t>
      </w:r>
      <w:r>
        <w:t xml:space="preserve"> growing, fossil, need, potential; EU scope visible. This is a provisional connection, not an outcome finding.</w:t>
      </w:r>
    </w:p>
    <w:p>
      <w:pPr>
        <w:pStyle w:val="SourceNote"/>
      </w:pPr>
      <w:r>
        <w:rPr>
          <w:b/>
        </w:rPr>
        <w:t>Available abstract (not full text):</w:t>
      </w:r>
      <w:r>
        <w:t xml:space="preserve"> This paper discusses the potential role of fossil natural gas (and other gases) in the process of the energy transformation in Europe on its way to complete decarbonization. Mainstream conventional wisdom has it that natural gas, perhaps in combination with other gases, should maintain an important role in the energy mix, first, as a “bridge fuel”, and then through a gradual transition toward decarbonized gases. This is most comprehensively rolled out in three consecutive discussion papers by Jonathan Stern from the Oxford Institute for Energy Studies (2017b, 2017a, 2019). Based on an in- depth assessment of the ambitious climate targets of the EU and the subsequent need for far-reaching decarbonization, as well as on results from energy system modeling, a contrasting result emerges, where the disappearance of fossil natural gas and its corresponding infrastructure is the next logical step of the transformation process in Europe. The lack of an economic perspective for nuclear power and the absence of a plausible deployment of large-scale carbon-dioxide removal technologies (CDR) imply that natural gas has no “sweet spot” any longer in the decarbonization process. In other words: Fossil natural gas is no longer part of the solution to the challenge of climate change, but has become part of the problem. Over the last years, the phasing out of natural gas in Europe has already st</w:t>
      </w:r>
    </w:p>
    <w:p>
      <w:pPr/>
      <w:r>
        <w:rPr>
          <w:b/>
        </w:rPr>
        <w:t>POSSIBLE 2020:</w:t>
      </w:r>
      <w:r>
        <w:t xml:space="preserve"> European heart health survey 2019 — https://doi.org/10.1002/clc.23478</w:t>
      </w:r>
    </w:p>
    <w:p>
      <w:pPr/>
      <w:r>
        <w:rPr>
          <w:b/>
        </w:rPr>
        <w:t>Shared claim-specific concepts:</w:t>
      </w:r>
      <w:r>
        <w:t xml:space="preserve"> driven, awareness, potential; EU scope visible. This is a provisional connection, not an outcome finding.</w:t>
      </w:r>
    </w:p>
    <w:p>
      <w:pPr>
        <w:pStyle w:val="SourceNote"/>
      </w:pPr>
      <w:r>
        <w:rPr>
          <w:b/>
        </w:rPr>
        <w:t>Available abstract (not full text):</w:t>
      </w:r>
      <w:r>
        <w:t xml:space="preserve"> BACKGROUND: Rising life expectancy in the western population is increasing the prevalence of heart valve diseases (HVD). HYPOTHESIS: The level of awareness and initial screening for HVD should be sufficient. The potential impact of HVD on the daily activities of the elderly population in Europe might affect our society. METHODS AND RESULTS: A survey was conducted, including a total of 12 832 people aged ≥ 60 years in 11 European countries. Of all the people surveyed, 5.6% could correctly describe aortic valve stenosis. Most participants (75.0%) claimed they regularly do activities like sports or social activities, 29.2% provide care for a family member, friend or acquaintance. The majority (69.2%) would be prevented from doing these activities by symptoms such as chest pain, fatigue or shortness of breath. Having chest pain (76.5%) and shortness of breath (57.8%) were reasons for most people to arrange an appointment with their GP, whereas only 26.2% would visit a GP for fatigue. 67.6% of respondents claimed to be checked with a stethoscope by their GP occasionally, never, or only when they ask. The preferred treatment option for HVD is a keyhole procedure (45.8%), whereas open heart surgery would only be preferred by 7.0%. CONCLUSION: Knowledge about HVD is still low. Neither appointments with a GP driven by symptoms nor regular use of a stethoscope are a reliable guarantee fo</w:t>
      </w:r>
    </w:p>
    <w:p>
      <w:pPr>
        <w:pStyle w:val="Heading2"/>
      </w:pPr>
      <w:r>
        <w:t>835.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2023:</w:t>
      </w:r>
      <w:r>
        <w:t xml:space="preserve"> Solving the stochastic dynamics of population growth — https://doi.org/10.1002/ece3.10295</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Population growth is a fundamental process in ecology and evolution. The population size dynamics during growth are often described by deterministic equations derived from kinetic models. Here, we simulate several population growth models and compare the size averaged over many stochastic realizations with the deterministic predictions. We show that these deterministic equations are generically bad predictors of the average stochastic population dynamics. Specifically, deterministic predictions overestimate the simulated population sizes, especially those of populations starting with a small number of individuals. Describing population growth as a stochastic birth process, we prove that the discrepancy between deterministic predictions and simulated data is due to unclosed-moment dynamics. In other words, the deterministic approach does not consider the variability of birth times, which is particularly important with small population sizes. We show that some moment-closure approximations describe the growth dynamics better than the deterministic prediction. However, they do not reduce the error satisfactorily and only apply to some population growth models. We explicitly solve the stochastic growth dynamics, and our solution applies to any population growth model. We show that our solution exactly quantifies the dynamics of a community composed of different strains and correctl</w:t>
      </w:r>
    </w:p>
    <w:p>
      <w:pPr/>
      <w:r>
        <w:rPr>
          <w:b/>
        </w:rPr>
        <w:t>POSSIBLE 2022:</w:t>
      </w:r>
      <w:r>
        <w:t xml:space="preserve"> Effects of Immigrants, Health, and Ageing on Economic Growth in the European Union — https://doi.org/10.3390/ijerph20010224</w:t>
      </w:r>
    </w:p>
    <w:p>
      <w:pPr/>
      <w:r>
        <w:rPr>
          <w:b/>
        </w:rPr>
        <w:t>Shared claim-specific concepts:</w:t>
      </w:r>
      <w:r>
        <w:t xml:space="preserve"> population, union, number, modeled; EU scope visible. This is a provisional connection, not an outcome finding.</w:t>
      </w:r>
    </w:p>
    <w:p>
      <w:pPr>
        <w:pStyle w:val="SourceNote"/>
      </w:pPr>
      <w:r>
        <w:rPr>
          <w:b/>
        </w:rPr>
        <w:t>Available abstract (not full text):</w:t>
      </w:r>
      <w:r>
        <w:t xml:space="preserve"> Population ageing and low birth rates are two problems of the EU that have an impact on employment, production, and economic growth. Against this background, immigration, health expenditure, and the health of migrants must become a key element of European policy. For this reason, this paper focused on identifying the effect of immigration, health, and ageing on economic growth in order to highlight their importance from an economic perspective. We constructed different econometric models with Eurostat data for 27 countries and 13 years (2008-2020), whose dependent variable was gross domestic product. Independent variables were the number of immigrants by gender and age, health expenditure per capita (total and by function), immigrants' perception of their health as very good, and the proportion of the population aged 65 years and over. The model selected to analyze the results was Prais-Winsten regression heteroskedastic panels corrected standard errors modeled by applying the option (ar1) to correct for autocorrelation, using Stata software (version 16). The results show that health expenditure has a significant positive effect on economic growth, higher in hospital services, followed by medical products; immigrants' perception as very good is only significant in some models. The number of immigrants has a (positive) effect, although less significant than public expenditure on</w:t>
      </w:r>
    </w:p>
    <w:p>
      <w:pPr/>
      <w:r>
        <w:rPr>
          <w:b/>
        </w:rPr>
        <w:t>POSSIBLE 2022:</w:t>
      </w:r>
      <w:r>
        <w:t xml:space="preserve"> Projected number of osteoarthritis patients in Austria for the next decades – quantifying the necessity of treatment and prevention strategies in Europe — https://doi.org/10.1186/s12891-022-05091-5</w:t>
      </w:r>
    </w:p>
    <w:p>
      <w:pPr/>
      <w:r>
        <w:rPr>
          <w:b/>
        </w:rPr>
        <w:t>Shared claim-specific concepts:</w:t>
      </w:r>
      <w:r>
        <w:t xml:space="preserve"> population, number, patients; EU scope visible. This is a provisional connection, not an outcome finding.</w:t>
      </w:r>
    </w:p>
    <w:p>
      <w:pPr>
        <w:pStyle w:val="SourceNote"/>
      </w:pPr>
      <w:r>
        <w:rPr>
          <w:b/>
        </w:rPr>
        <w:t>Available abstract (not full text):</w:t>
      </w:r>
      <w:r>
        <w:t xml:space="preserve"> BACKGROUND: The present study aimed to predict the expected number of patients with osteoarthritis (OA) in Austria up to the year 2080. METHODS: Demographic data and population projections between 2019 and 2080 were obtained from European authorities. Information about recent age- and sex-stratified prevalence of patients with self-reported physician-diagnosed OA was obtained from the Austrian Health Interview Survey (n = 15,771). Projections were stratified by age and sex; sensitivity analyses were performed based on aging, main (most likely), and growth scenarios of the population. RESULTS: Based on the projection, the overall increase in the total number of patients with OA from 2019 to 2080 will be 38% for men and women. In 2019, the highest number of OA-patients nested in the groups of persons aged 70-79 (n = 238,749) and 60-69 (n = 237,729) years. In 2080, the 80+ age group is predicted to have the highest number of OA with 421,548 individuals (i.e. factor 3.45 and factor 2.48 increase in the male and female group, respectively, compared to 2019), followed by the group aged 70-79 with 314,617 individuals (factor 1.45 and factor 1.28 increase in the male and female group, respectively, compared to 2019). Similar trends were found in the ageing and growing scenarios. CONCLUSIONS: The projected increase in the occurrence of OA will likely lead to a substantial socioeconomic </w:t>
      </w:r>
    </w:p>
    <w:p>
      <w:pPr/>
      <w:r>
        <w:rPr>
          <w:b/>
        </w:rPr>
        <w:t>POSSIBLE 2021:</w:t>
      </w:r>
      <w:r>
        <w:t xml:space="preserve"> Unveiling the local determinants of population growth in the European Union — https://doi.org/10.1111/grow.12469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paper studies the population growth dynamics in European NUTS3 regions over the period of 2000–2015 and offers generalizable evidence on the main drivers of population change at this sub‐level of analysis, which is so far rather unexplored. Results obtained by means of a spatial Durbin model highlight the roles of economic and demographic regional conditions in shaping population dynamics and the minor role of geography and environmental conditions. The fact that geographical polarization of population is occurring, which might result in an increase in regional imbalances, calls for policy actions in mitigating this phenomenon.</w:t>
      </w:r>
    </w:p>
    <w:p>
      <w:pPr/>
      <w:r>
        <w:rPr>
          <w:b/>
        </w:rPr>
        <w:t>POSSIBLE 2021:</w:t>
      </w:r>
      <w:r>
        <w:t xml:space="preserve"> Determinants of economic growth in the European Union. An empirical analysis of conditional convergence — https://doi.org/10.21272/sec.5(2).26-34.2021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Being established from the initiative of six visionary countries in the second half of the 20th century, the European Economic Community has shifted the history of the European continent by promoting economic collaboration and political stability. Given its initial success, the regional group has quickly evolved from customs union to Economic and Monetary Union, comprising nowadays twenty-seven European countries. Although the European Union has successfully managed political, economic, social and even sanitary turmoil, the stability of the European architecture continues to be threatened by the heterogeneity of its members. In this respect, one of the main challenges for the European Union in its current composition aims the convergence of the economic performance between countries and regions. The purpose of this paper is to study the economic growth patterns in the European Union during 2000 and 2019, also conducting a comparative analysis between New and Old Member States. In order to capture the European economic landscape, the methodology was based on conditional β-convergence and the estimates were conducted by using ordinary least squares and generalized least squares with fixed effects. We have tried to find the relationship between the lagged value of GDP per capita and the subsequent growth rates, but also to study the influence of macroeconomic and social-related va</w:t>
      </w:r>
    </w:p>
    <w:p>
      <w:pPr>
        <w:pStyle w:val="Heading2"/>
      </w:pPr>
      <w:r>
        <w:t>836.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r>
        <w:rPr>
          <w:b/>
        </w:rPr>
        <w:t>POSSIBLE 2019:</w:t>
      </w:r>
      <w:r>
        <w:t xml:space="preserve"> The Church in a Pluralistic World: The Public Vision of Ressourcement — https://doi.org/10.3390/rel10110594</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The dual concern of this article is to present the vision of the church articulated by the renowned generation of Catholic ressourcement thinkers in the mid-twentieth century, and to demonstrate its continued fecundity in the pluralist, multi-cultural context of contemporary western society. It seeks to contribute primarily to ecclesiology, while also providing historical and social commentary with respectful suggestions for its relevance to present-day ecclesiology. The article provides an interpretative framework for understanding ressourcement with reference to its philosophical foundations and the vision of its founders. Its aims are, first, to articulate the role of ressourcement in the modern context and, secondly, to document the genesis and emergence of that movement’s perception of the church’s mandate in the world, based on an essential return to the sources of Christianity. The paper presents the public vision of ressourcement ecclesiology in two parts, drawing principally, though not exclusively, on the work of the two leading intellectual orders of the Catholic Church at the time of its formulation, namely, the Dominicans and the Jesuits of France. In this paper, I limit myself to the French-speaking Jesuits and Dominicans and do not refer to Rahner, Semmelroth, Schillebeeckx or Schoonenberg.</w:t>
      </w:r>
    </w:p>
    <w:p>
      <w:pPr/>
      <w:r>
        <w:rPr>
          <w:b/>
        </w:rPr>
        <w:t>POSSIBLE 2019:</w:t>
      </w:r>
      <w:r>
        <w:t xml:space="preserve"> H.C. ANDERSEN’S TRAVEL BOOKS – A FAIRY-TALE VISION OF EUROPE — https://doi.org/10.2307/j.ctvggx29s.22</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Hans Christian Andersen is well known as a writer of fairy tales, but a corpus of travel books also constitutes a large part of his literary heritage. Influenced by the poetics of the novel, the focus of travel books shifted from images of foreign countries, landscapes and descriptions of unusual situations, to the inner world of the traveller, which might be more interesting for a reader than the external world. The narrator thus becomes the protagonist of the tale, bringing such travel books closer to fiction. It is argued that Andersen's fairy tale poetics has its roots in his travel books. These books include many stories, each of which could be considered a separate text. The first book, Skyggebillede (1831), was based on his trip to Germany and contains a number of small narratives similar to fairy tales published after 1835. Here, Andersen transformed the traditional form of travel book, with his poetic vision of Germany more important than reality, which was only the background for the author's fantasy. His later travel books, En digters bazar (1842) and I Sverige (1849), contain texts which were included in Andersen's collections of fairy tales and stories. Here, his images of European cities, nature and other famous sites are not mere descriptions but also romantic pictures where fairy tale fantasy plays a very important role.</w:t>
      </w:r>
    </w:p>
    <w:p>
      <w:pPr/>
      <w:r>
        <w:rPr>
          <w:b/>
        </w:rPr>
        <w:t>POSSIBLE 2017:</w:t>
      </w:r>
      <w:r>
        <w:t xml:space="preserve"> MobileNets: Efficient Convolutional Neural Networks for Mobile Vision Applications — https://doi.org/10.48550/arxiv.1704.04861</w:t>
      </w:r>
    </w:p>
    <w:p>
      <w:pPr/>
      <w:r>
        <w:rPr>
          <w:b/>
        </w:rPr>
        <w:t>Shared claim-specific concepts:</w:t>
      </w:r>
      <w:r>
        <w:t xml:space="preserve"> popular, vision, called, simple, based; EU scope not established. This is a provisional connection, not an outcome finding.</w:t>
      </w:r>
    </w:p>
    <w:p>
      <w:pPr>
        <w:pStyle w:val="SourceNote"/>
      </w:pPr>
      <w:r>
        <w:rPr>
          <w:b/>
        </w:rPr>
        <w:t>Available abstract (not full text):</w:t>
      </w:r>
      <w:r>
        <w:t xml:space="preserve"> We present a class of efficient models called MobileNets for mobile and embedded vision applications. MobileNets are based on a streamlined architecture that uses depth-wise separable convolutions to build light weight deep neural networks. We introduce two simple global hyper-parameters that efficiently trade off between latency and accuracy. These hyper-parameters allow the model builder to choose the right sized model for their application based on the constraints of the problem. We present extensive experiments on resource and accuracy tradeoffs and show strong performance compared to other popular models on ImageNet classification. We then demonstrate the effectiveness of MobileNets across a wide range of applications and use cases including object detection, finegrain classification, face attributes and large scale geo-localization.</w:t>
      </w:r>
    </w:p>
    <w:p>
      <w:pPr>
        <w:pStyle w:val="Heading2"/>
      </w:pPr>
      <w:r>
        <w:t>837.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2022:</w:t>
      </w:r>
      <w:r>
        <w:t xml:space="preserve"> Geo-Storylines: Integrating Maps Into Storyline Visualizations — https://doi.org/10.1109/tvcg.2022.3209480</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Storyline visualizations are a powerful way to compactly visualize how the relationships between people evolve over time. Real-world relationships often also involve space, for example the cities that two political rivals visited together or alone over the years. By default, Storyline visualizations only show implicitly geospatial co-occurrence between people (drawn as lines), by bringing their lines together. Even the few designs that do explicitly show geographic locations only do so in abstract ways (e.g., annotations) and do not communicate geospatial information, such as the direction or extent of their political campains. We introduce Geo-Storylines, a collection of visualisation designs that integrate geospatial context into Storyline visualizations, using different strategies for compositing time and space. Our contribution is twofold. First, we present the results of a sketching workshop with 11 participants, that we used to derive a design space for integrating maps into Storylines. Second, by analyzing the strengths and weaknesses of the potential designs of the design space in terms of legibility and ability to scale to multiple relationships, we extract the three most promising: Time Glyphs, Coordinated Views, and Map Glyphs. We compare these three techniques first in a controlled study with 18 participants, under five different geospatial tasks and two maps of dif</w:t>
      </w:r>
    </w:p>
    <w:p>
      <w:pPr/>
      <w:r>
        <w:rPr>
          <w:b/>
        </w:rPr>
        <w:t>POSSIBLE 2021:</w:t>
      </w:r>
      <w:r>
        <w:t xml:space="preserve"> Large ensemble climate modelling time series for the Rhine catchment, including drought2018 storylines — https://doi.org/10.5281/zenodo.5083159</w:t>
      </w:r>
    </w:p>
    <w:p>
      <w:pPr/>
      <w:r>
        <w:rPr>
          <w:b/>
        </w:rPr>
        <w:t>Shared claim-specific concepts:</w:t>
      </w:r>
      <w:r>
        <w:t xml:space="preserve"> storylines, three; EU scope visible. This is a provisional connection, not an outcome finding.</w:t>
      </w:r>
    </w:p>
    <w:p>
      <w:pPr>
        <w:pStyle w:val="SourceNote"/>
      </w:pPr>
      <w:r>
        <w:rPr>
          <w:b/>
        </w:rPr>
        <w:t>Available abstract (not full text):</w:t>
      </w:r>
      <w:r>
        <w:t xml:space="preserve"> Dataset associated with Van der Wiel, Lenderink, De Vries (2021): Physical storylines of future European drought events like 2018 based on ensemble climate modelling, Weather and Climate Extremes, DOI 10.1016/j.wace.2021.100350. Large ensemble climate modelling time series for the Rhine catchment. The dataset contains three ensembles (present-day, pre-industrial + 2C-warming, pre-industrial + 3C-warming) of 2000 years each, various variables related to drought are included. All data is derived from the EC-Earth global climate model (v2, Hazeleger et al. 2012, DOI 10.1007/s00382-011-1228-5). Descriptions of large ensemble experimental setup can be found in Van der Wiel et al. (2019, DOI 10.1029/2019GL081967). Files: *_d_ECEarth_??_Rhine.tar.gz Additionally, three sets of storylines of droughts similar to the western European drought of 2018 are included. These are the simulated events selected from the large ensembles, using metrics 1, 2 and 3 of Van der Wiel et al. (2021, DOI 10.1016/j.wace.2021.100350). Files: drought18_m[123]_Rhine.tar.gz</w:t>
      </w:r>
    </w:p>
    <w:p>
      <w:pPr/>
      <w:r>
        <w:rPr>
          <w:b/>
        </w:rPr>
        <w:t>POSSIBLE 2020:</w:t>
      </w:r>
      <w:r>
        <w:t xml:space="preserve"> A primer on model selection using the Akaike Information Criterion — https://doi.org/10.1016/j.idm.2019.12.010</w:t>
      </w:r>
    </w:p>
    <w:p>
      <w:pPr/>
      <w:r>
        <w:rPr>
          <w:b/>
        </w:rPr>
        <w:t>Shared claim-specific concepts:</w:t>
      </w:r>
      <w:r>
        <w:t xml:space="preserve"> then, different; EU scope not established. This is a provisional connection, not an outcome finding.</w:t>
      </w:r>
    </w:p>
    <w:p>
      <w:pPr>
        <w:pStyle w:val="SourceNote"/>
      </w:pPr>
      <w:r>
        <w:rPr>
          <w:b/>
        </w:rPr>
        <w:t>Available abstract (not full text):</w:t>
      </w:r>
      <w:r>
        <w:t xml:space="preserve"> A powerful investigative tool in biology is to consider not a single mathematical model but a collection of models designed to explore different working hypotheses and select the best model in that collection. In these lecture notes, the usual workflow of the use of mathematical models to investigate a biological problem is described and the use of a collection of model is motivated. Models depend on parameters that must be estimated using observations; and when a collection of models is considered, the best model has then to be identified based on available observations. Hence, model calibration and selection, which are intrinsically linked, are essential steps of the workflow. Here, some procedures for model calibration and a criterion, the Akaike Information Criterion, of model selection based on experimental data are described. Rough derivation, practical technique of computation and use of this criterion are detailed.</w:t>
      </w:r>
    </w:p>
    <w:p>
      <w:pPr/>
      <w:r>
        <w:rPr>
          <w:b/>
        </w:rPr>
        <w:t>POSSIBLE 2020:</w:t>
      </w:r>
      <w:r>
        <w:t xml:space="preserve"> Positioning of systemic intermediaries in sustainability transitions: Between storylines and speech acts — https://doi.org/10.1016/j.eist.2020.02.006</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How do systemic intermediaries obtain legitimate roles for themselves in innovation systems and transition processes? This is still an understudied question in the study of systemic intermediaries. We start from the observation that roles, or positions, are not given, but emerge in interactions as a negotiated set of rights and obligations. Inspired by positioning theory, which has its roots in symbolic interactionism, we analyse how positions are invoked in the actors’ various actions and statements (‘speech acts’) and how they draw from the mutually constructed narratives (‘storylines’) that enable and constrain the range of possible positions. We analyse, over time, the positioning of three Dutch systemic intermediaries in agriculture, energy production, and healthcare. We conclude that systemic intermediaries move together with the promise of the field and, as a consequence, have to reposition themselves. In different phases, they both profit and suffer from the dilemma between initiating and sustaining innovative systemic changes.</w:t>
      </w:r>
    </w:p>
    <w:p>
      <w:pPr/>
      <w:r>
        <w:rPr>
          <w:b/>
        </w:rPr>
        <w:t>POSSIBLE 2020:</w:t>
      </w:r>
      <w:r>
        <w:t xml:space="preserve"> The role of spatial and temporal model resolution in a flood event storyline approach in western Norway — https://doi.org/10.1016/j.wace.2020.100259</w:t>
      </w:r>
    </w:p>
    <w:p>
      <w:pPr/>
      <w:r>
        <w:rPr>
          <w:b/>
        </w:rPr>
        <w:t>Shared claim-specific concepts:</w:t>
      </w:r>
      <w:r>
        <w:t xml:space="preserve"> used, different, leading; EU scope visible. This is a provisional connection, not an outcome finding.</w:t>
      </w:r>
    </w:p>
    <w:p>
      <w:pPr>
        <w:pStyle w:val="SourceNote"/>
      </w:pPr>
      <w:r>
        <w:rPr>
          <w:b/>
        </w:rPr>
        <w:t>Available abstract (not full text):</w:t>
      </w:r>
      <w:r>
        <w:t xml:space="preserve"> We apply a physical climate storyline approach to an autumn flood event in the West Coast of Norway caused by an atmospheric river to demonstrate the value and challenges of higher spatial and temporal resolution in simulating flood impacts. We use a modelling chain whose outputs are familiar and used operationally, for example to issue flood warnings. With two different versions of a hydrological model, we show that (1) the higher spatial resolution between the global and regional climate model is necessary to realistically simulate the high spatial variability of precipitation in this mountainous region and (2) only with hourly data are we able to capture the fast flood-generating processes leading to the peak streamflow. The higher resolution regional atmospheric model captures the fact that with the passage of an atmospheric river, some valleys receive high amounts of precipitation and others not, while the coarser resolution global model shows uniform precipitation in the whole region. Translating the event into the future leads to similar results: while in some catchments, a future flood might be much larger than a present one, in others no event occurs as the atmospheric river simply does not hit that catchment. The use of an operational flood warning system for future events is expected to facilitate stakeholder engagement.</w:t>
      </w:r>
    </w:p>
    <w:p>
      <w:pPr/>
      <w:r>
        <w:rPr>
          <w:b/>
        </w:rPr>
        <w:t>POSSIBLE 2019:</w:t>
      </w:r>
      <w:r>
        <w:t xml:space="preserve"> A note on model selection using information criteria for general linear models estimated using REML — https://doi.org/10.1111/anzs.12254</w:t>
      </w:r>
    </w:p>
    <w:p>
      <w:pPr/>
      <w:r>
        <w:rPr>
          <w:b/>
        </w:rPr>
        <w:t>Shared claim-specific concepts:</w:t>
      </w:r>
      <w:r>
        <w:t xml:space="preserve"> then, used, different, estimates; EU scope not established. This is a provisional connection, not an outcome finding.</w:t>
      </w:r>
    </w:p>
    <w:p>
      <w:pPr>
        <w:pStyle w:val="SourceNote"/>
      </w:pPr>
      <w:r>
        <w:rPr>
          <w:b/>
        </w:rPr>
        <w:t>Available abstract (not full text):</w:t>
      </w:r>
      <w:r>
        <w:t xml:space="preserve"> It is common practice to compare the fit of non‐nested models using the Akaike (AIC) or Bayesian (BIC) information criteria. The basis of these criteria is the log‐likelihood evaluated at the maximum likelihood estimates of the unknown parameters. For the general linear model (and the linear mixed model, which is a special case), estimation is usually carried out using residual or restricted maximum likelihood (REML). However, for models with different fixed effects, the residual likelihoods are not comparable and hence information criteria based on the residual likelihood cannot be used. For model selection, it is often suggested that the models are refitted using maximum likelihood to enable the criteria to be used. The first aim of this paper is to highlight that both the AIC and BIC can be used for the general linear model by using the full log‐likelihood evaluated at the REML estimates. The second aim is to provide a derivation of the criteria under REML estimation. This aim is achieved by noting that the full likelihood can be decomposed into a marginal (residual) and conditional likelihood and this decomposition then incorporates aspects of both the fixed effects and variance parameters. Using this decomposition, the appropriate information criteria for model selection of models which differ in their fixed effects specification can be derived. An example is presented to </w:t>
      </w:r>
    </w:p>
    <w:p>
      <w:pPr/>
      <w:r>
        <w:rPr>
          <w:b/>
        </w:rPr>
        <w:t>POSSIBLE 2019:</w:t>
      </w:r>
      <w:r>
        <w:t xml:space="preserve"> Physical modeling supporting a storyline approach — https://doi.org/10.7892/boris.138767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concept of analyzing and communicating high-impact events in the climate change context via storylines has recently gained popularity in the climate modeling community. For instance, the use of case studies or storylines that could illustrate climate risk narratives has been discussed in the recent IPCC expert meeting for regional climate information (IPCC 2018a). This also calls for an expert discussion on challenges and best practices for the creation of credible storylines of high-impact weather or climate features using physical modeling and knowledge creation. In April 2019, climate scientists came together at a workshop discussing physical modeling supporting a storyline approach. The workshop contributed to the implementation of the WCRP Strategic Plan 2019-2028, in support of innovation in the generation of decision-relevant information and knowledge about the evolving Earth system through the framework of the WCRP Grand Challenge on Weather and Climate Extremes. This report provides a summary of the outcomes from the workshop and recommendations for future application of storylines to physical aspects of climate change</w:t>
      </w:r>
    </w:p>
    <w:p>
      <w:pPr/>
      <w:r>
        <w:rPr>
          <w:b/>
        </w:rPr>
        <w:t>POSSIBLE 2018:</w:t>
      </w:r>
      <w:r>
        <w:t xml:space="preserve"> Modeling Storylines in Lyrics — https://doi.org/10.1587/transinf.2017edp7188</w:t>
      </w:r>
    </w:p>
    <w:p>
      <w:pPr/>
      <w:r>
        <w:rPr>
          <w:b/>
        </w:rPr>
        <w:t>Shared claim-specific concepts:</w:t>
      </w:r>
      <w:r>
        <w:t xml:space="preserve"> then, storylines; EU scope not established. This is a provisional connection, not an outcome finding.</w:t>
      </w:r>
    </w:p>
    <w:p>
      <w:pPr>
        <w:pStyle w:val="SourceNote"/>
      </w:pPr>
      <w:r>
        <w:rPr>
          <w:b/>
        </w:rPr>
        <w:t>Available abstract (not full text):</w:t>
      </w:r>
      <w:r>
        <w:t xml:space="preserve"> This paper addresses the issue of modeling the discourse nature of lyrics and presented the first study aiming at capturing the two common discourse-related notions: storylines and themes. We assume that a storyline is a chain of transitions over topics of segments and a song has at least one entire theme. We then hypothesize that transitions over topics of lyric segments can be captured by a probabilistic topic model which incorporates a distribution over transitions of latent topics and that such a distribution of topic transitions is affected by the theme of lyrics. Aiming to test those hypotheses, this study conducts experiments on the word prediction and segment order prediction tasks exploiting a large-scale corpus of popular music lyrics for both English and Japanese (around 100 thousand songs). The findings we gained from these experiments can be summarized into two respects. First, the models with topic transitions significantly outperformed the model without topic transitions in word prediction. This result indicates that typical storylines included in our lyrics datasets were effectively captured as a probabilistic distribution of transitions over latent topics of segments. Second, the model incorporating a latent theme variable on top of topic transitions outperformed the models without such variables in both word prediction and segment order prediction. From this r</w:t>
      </w:r>
    </w:p>
    <w:p>
      <w:pPr>
        <w:pStyle w:val="Heading2"/>
      </w:pPr>
      <w:r>
        <w:t>838.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projections, highly, uncertain;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warmer, temperatures, century, droughts;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Range and climate niche shifts in European and North American breeding birds — https://doi.org/10.1098/rstb.2023.0013</w:t>
      </w:r>
    </w:p>
    <w:p>
      <w:pPr/>
      <w:r>
        <w:rPr>
          <w:b/>
        </w:rPr>
        <w:t>Shared claim-specific concepts:</w:t>
      </w:r>
      <w:r>
        <w:t xml:space="preserve"> climate, suggest, not, generally;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climate, projections, area, not;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climate, projections, past;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2023:</w:t>
      </w:r>
      <w:r>
        <w:t xml:space="preserve"> Climate Change Projections of Agricultural Droughts in Europe: A Comparison between Standardized Drought Indices — https://doi.org/10.5194/ems2023-289</w:t>
      </w:r>
    </w:p>
    <w:p>
      <w:pPr/>
      <w:r>
        <w:rPr>
          <w:b/>
        </w:rPr>
        <w:t>Shared claim-specific concepts:</w:t>
      </w:r>
      <w:r>
        <w:t xml:space="preserve"> climate, projections, precipitation, uncertain, droughts; EU scope visible. This is a provisional connection, not an outcome finding.</w:t>
      </w:r>
    </w:p>
    <w:p>
      <w:pPr>
        <w:pStyle w:val="SourceNote"/>
      </w:pPr>
      <w:r>
        <w:rPr>
          <w:b/>
        </w:rPr>
        <w:t>Available abstract (not full text):</w:t>
      </w:r>
      <w:r>
        <w:t xml:space="preserve"> Drought is one of the most devastating natural hazards, affecting ecosystems, communities, and their economies worldwide. According to the last IPCC report, is expected, indeed, an increase in severity and frequency of drought under a changing climate, at least over Mediterranean regions. However, is still more uncertain the effect of climate change in other regions in the world. To analyze the effect of this extreme phenomenon, many drought indices have been developed in recent years based on different hydroclimatic variables and depending on the type of drought under study. Among these indices it is worth mentioning, for meteorological droughts, the Standardized Precipitation Index (SPI) or the Standardized Precipitation Evapotranspiration Index (SPEI), agricultural drought indices such as the Standardized Soil moisture Index (SSI), or those that make use of different variables or multivariate indices such as the Multivariate Standardized Drought Index (MSDI) that combines soil moisture and precipitation, and the Standardized Precipitation Evapotranspiration Soil Moisture Index (SPESMI), an adaptation of the MSDI that incorporates the effect of potential evapotranspiration on the water balance. This work aims to analyze from meteorological to agricultural droughts projections over Europe using standardized drought indices. For this, we evaluate drought characteristics (i.e., </w:t>
      </w:r>
    </w:p>
    <w:p>
      <w:pPr>
        <w:pStyle w:val="Heading2"/>
      </w:pPr>
      <w:r>
        <w:t>839.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2024:</w:t>
      </w:r>
      <w:r>
        <w:t xml:space="preserve"> THE POLISH ENERGY SECTOR CHARACTERISTICS IN COMPARISON TO EUROPEAN UNION COUNTRIES IN TERMS OF SUSTAINABLE DEVELOPMENT — https://doi.org/10.64758/6drf3g79</w:t>
      </w:r>
    </w:p>
    <w:p>
      <w:pPr/>
      <w:r>
        <w:rPr>
          <w:b/>
        </w:rPr>
        <w:t>Shared claim-specific concepts:</w:t>
      </w:r>
      <w:r>
        <w:t xml:space="preserve"> analyzes, possible, polish, electricity, sector, terms; EU scope visible. This is a provisional connection, not an outcome finding.</w:t>
      </w:r>
    </w:p>
    <w:p>
      <w:pPr>
        <w:pStyle w:val="SourceNote"/>
      </w:pPr>
      <w:r>
        <w:rPr>
          <w:b/>
        </w:rPr>
        <w:t>Available abstract (not full text):</w:t>
      </w:r>
      <w:r>
        <w:t xml:space="preserve"> In every country, the energy sector plays a very important role - from its efficient operation electricity and heat supplies depend on. Moreover, its level of efficiency can measurably affect the condition of the natural and the social environment. Therefore, the purpose of this article was to examine to what extent the Polish energy sector fulfills the framework of sustainable development conception. In order to achieve the adopted objective, comparative analyzes have been carried out among all European Union countries. It allowed to identify areas in which the Polish energy sector fully implements the principles and objectives of this concept, as well as areas where still there is a lot need to be dome. The analyzes concerned several key issues: the level of energy generated from renewable energy sources (RES), the structure of sources of raw materials for energy production, the values of regulatory indicators for sustainable energy, level of greenhouse gas and pollutants emissions by energy sector, environmental taxes paid by energy sector, environmental protection expenditure of energy sector, environmental investments and wastewater management and, last but not least, innovations expenditures of energy sector. Examining these issues makes it possible to determine the so-called “level of sustainability" or the sustainability in energy sector degree’s determination for Polan</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different, technology, energy;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terms, nuclear, energy, fuel;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2023:</w:t>
      </w:r>
      <w:r>
        <w:t xml:space="preserve"> Decoding ChatGPT: A taxonomy of existing research, current challenges, and possible future directions — https://doi.org/10.1016/j.jksuci.2023.101675</w:t>
      </w:r>
    </w:p>
    <w:p>
      <w:pPr/>
      <w:r>
        <w:rPr>
          <w:b/>
        </w:rPr>
        <w:t>Shared claim-specific concepts:</w:t>
      </w:r>
      <w:r>
        <w:t xml:space="preserve"> possible, directions; EU scope not established. This is a provisional connection, not an outcome finding.</w:t>
      </w:r>
    </w:p>
    <w:p>
      <w:pPr>
        <w:pStyle w:val="SourceNote"/>
      </w:pPr>
      <w:r>
        <w:rPr>
          <w:b/>
        </w:rPr>
        <w:t>Available abstract (not full text):</w:t>
      </w:r>
      <w:r>
        <w:t xml:space="preserve"> Chat Generative Pre-trained Transformer (ChatGPT) has gained significant interest and attention since its launch in November 2022. It has shown impressive performance in various domains, including passing exams and creative writing. However, challenges and concerns related to biases and trust persist. In this work, we present a comprehensive review of over 100 Scopus-indexed publications on ChatGPT, aiming to provide a taxonomy of ChatGPT research and explore its applications. We critically analyze the existing literature, identifying common approaches employed in the studies. Additionally, we investigate diverse application areas where ChatGPT has found utility, such as healthcare, marketing and financial services, software engineering, academic and scientific writing, research and education, environmental science, and natural language processing. Through examining these applications, we gain valuable insights into the potential of ChatGPT in addressing real-world challenges. We also discuss crucial issues related to ChatGPT, including biases and trustworthiness, emphasizing the need for further research and development in these areas. Furthermore, we identify potential future directions for ChatGPT research, proposing solutions to current challenges and speculating on expected advancements. By fully leveraging the capabilities of ChatGPT, we can unlock its potential across va</w:t>
      </w:r>
    </w:p>
    <w:p>
      <w:pPr/>
      <w:r>
        <w:rPr>
          <w:b/>
        </w:rPr>
        <w:t>POSSIBLE 2023:</w:t>
      </w:r>
      <w:r>
        <w:t xml:space="preserve"> Directions and risks for the recovery of Ukraine in the context of European integration during the recovery period — https://doi.org/10.24144/2788-6018.2023.03.15</w:t>
      </w:r>
    </w:p>
    <w:p>
      <w:pPr/>
      <w:r>
        <w:rPr>
          <w:b/>
        </w:rPr>
        <w:t>Shared claim-specific concepts:</w:t>
      </w:r>
      <w:r>
        <w:t xml:space="preserve"> analyzes, possible, directions, terms, adaptation, domestic; EU scope visible. This is a provisional connection, not an outcome finding.</w:t>
      </w:r>
    </w:p>
    <w:p>
      <w:pPr>
        <w:pStyle w:val="SourceNote"/>
      </w:pPr>
      <w:r>
        <w:rPr>
          <w:b/>
        </w:rPr>
        <w:t>Available abstract (not full text):</w:t>
      </w:r>
      <w:r>
        <w:t xml:space="preserve"> The work highlights directions for the restoration of Ukraine in the modern and post-war period. The main principles of the country’s recovery plan have been defined and analyzed, including the immediate start and gradual development of building up fair welfare, integration into the EU, restoration and building up of the economy for, the fight against corruption, and the stimulation of private investments. It has been determined that the institutional reforms discussed at the domestic and international level in Ukraine will become prerequisites for economic development, but appropriate measures aimed at the development of international trade and the attraction of direct foreign investment, the creation of a favorable business climate and an inclusive and sustainable financial system will also be required. For example, war risk insurance (similar to what is done by the World Bank-run Multilateral Investment Guarantee Agency (MIGA)) will be necessary to address security concerns that Ukrainian and foreign investors may have. While the process of preparation for the negotiations on Ukraine’s accession to the European Union continues, our country must carry out extensive preparatory work, including in terms of adapting national legislation to the norms of the Union, which, by the way, are also constantly changing, and prevent the occurrence of numerous risks along the way. Of cours</w:t>
      </w:r>
    </w:p>
    <w:p>
      <w:pPr/>
      <w:r>
        <w:rPr>
          <w:b/>
        </w:rPr>
        <w:t>POSSIBLE 2023:</w:t>
      </w:r>
      <w:r>
        <w:t xml:space="preserve"> Legal Regulation of the Status of Ukrainian Refugees in the European Union: Prospective Directions Concerning Reform — https://doi.org/10.52244/c.2023.11.10</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The report is devoted to the important topic of modern migration policy and legal regulation of the status of refugees from Ukraine in the context of European integration. In connection with the complex events on the territory of Ukraine and the rapid increase in the number of Ukrainian refugees, new challenges and opportunities are opening up for their legal status and integration into the countries of the European Union. The report analyzes the current state of legal regulation of the status of Ukrainian refugees in the European Union and identifies the problems faced by these refugees. Next, the article highlights promising directions and possible ways of reforming and improving this legal regulation with the aim of ensuring better protection of the rights and interests of Ukrainian refugees, as well as promoting their effective integration into European society. One of the key directions is to improve procedures for assessing refugee status, reduce administrative barriers to obtaining this status, and establish fast and effective appeal mechanisms. It is also important to consider the possibility of expanding the list of bases on the basis of which refugee status can be granted, taking into account the specific situations faced by Ukrainian refugees. The next important aspect is the support and integration of refugees once they have been granted status. This includes provid</w:t>
      </w:r>
    </w:p>
    <w:p>
      <w:pPr/>
      <w:r>
        <w:rPr>
          <w:b/>
        </w:rPr>
        <w:t>POSSIBLE 2023:</w:t>
      </w:r>
      <w:r>
        <w:t xml:space="preserve"> Scenario Analysis of the Development of the Polish Power System towards Achieving Climate Neutrality in 2050 — https://doi.org/10.3390/en16165918</w:t>
      </w:r>
    </w:p>
    <w:p>
      <w:pPr/>
      <w:r>
        <w:rPr>
          <w:b/>
        </w:rPr>
        <w:t>Shared claim-specific concepts:</w:t>
      </w:r>
      <w:r>
        <w:t xml:space="preserve"> possible, polish, electricity, nuclear, energy, climate; EU scope visible. This is a provisional connection, not an outcome finding.</w:t>
      </w:r>
    </w:p>
    <w:p>
      <w:pPr>
        <w:pStyle w:val="SourceNote"/>
      </w:pPr>
      <w:r>
        <w:rPr>
          <w:b/>
        </w:rPr>
        <w:t>Available abstract (not full text):</w:t>
      </w:r>
      <w:r>
        <w:t xml:space="preserve"> The Polish power system has been reducing its impact on the environment for a long time, mainly through modernization and investments in new generation capacities, including renewable energy technologies. However, its starting point is still more difficult compared to other less coal-dependent power systems in the European Union. The study was conducted in the direction of optimizing the Polish energy mix of electricity generation from the perspective of 2050. Two energy scenarios for the possible transformation of the Polish power system towards achieving at least a 95% reduction in CO2 emissions by 2050 with an increasing share of renewables were analyzed. The study was carried out with the use of the TIMES-PL model, which minimizes the total system cost over the analyzed time horizon. The model was calibrated according to data from 2018. The two scenarios show relatively similar pathways for CO2 emission reductions by 2050. In the case of no investment in nuclear power plants, power plants equipped with CO2 capture and storage systems are an alternative solution for achieving climate neutrality and increasing national energy security.</w:t>
      </w:r>
    </w:p>
    <w:p>
      <w:pPr>
        <w:pStyle w:val="Heading2"/>
      </w:pPr>
      <w:r>
        <w:t>840.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2023:</w:t>
      </w:r>
      <w:r>
        <w:t xml:space="preserve"> Climate change and ideal thermal transmittance of residential buildings in Iran — https://doi.org/10.1016/j.jobe.2023.106919</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Climate change will make the Iranian climate hotter and drier. This increase in the harshness of the boundary conditions poses a new question of whether today's high-performance buildings, whose envelope thermophysical properties are optimized for the current climate, will underperform. Therefore, it is important to (i) identify the regions in Iran that will lead to such underperformance and (ii) determine to what extent the thermophysical properties will need to change to remain optimal. This paper determines and compares the ideal thermal transmittances (U-value) of residential building envelopes for current and future climate scenarios. The EPSAP generative design method created twelve thousand buildings with random geometries to evaluate their energy demand for heating and cooling in EnergyPlus. The U-values of the envelop elements for these buildings were randomly assigned and simulated for 21 locations in Iran for the current period and two future timeframes (2050 and 2080). The future weather was created using the Future Weather Generator tool to morph today's typical meteorological weather to match the EC-Earth3 data for the SSP5-8.5 scenario. The results confirm that climate change will significantly impact the energy performance of a building. However, consequences and mitigation actions will differ depending on the region. Future ideal U-values will be higher or lowe</w:t>
      </w:r>
    </w:p>
    <w:p>
      <w:pPr/>
      <w:r>
        <w:rPr>
          <w:b/>
        </w:rPr>
        <w:t>POSSIBLE 2023:</w:t>
      </w:r>
      <w:r>
        <w:t xml:space="preserve"> Family education as a process of translation of ideals and values of culture — https://doi.org/10.25136/2409-7144.2023.9.43635</w:t>
      </w:r>
    </w:p>
    <w:p>
      <w:pPr/>
      <w:r>
        <w:rPr>
          <w:b/>
        </w:rPr>
        <w:t>Shared claim-specific concepts:</w:t>
      </w:r>
      <w:r>
        <w:t xml:space="preserve"> extent, conditions, authors; EU scope not established. This is a provisional connection, not an outcome finding.</w:t>
      </w:r>
    </w:p>
    <w:p>
      <w:pPr>
        <w:pStyle w:val="SourceNote"/>
      </w:pPr>
      <w:r>
        <w:rPr>
          <w:b/>
        </w:rPr>
        <w:t>Available abstract (not full text):</w:t>
      </w:r>
      <w:r>
        <w:t xml:space="preserve"> In the article, the authors consider issues related to the family as a social institution of society, which through the education system is a carrier, keeper and translator of cultural ideals. The subject of the study is family education, interpreted as the process of translating the ideals and values of culture. The article examines the concept and functions of the family as a leading social institution, sacred and profane ideals of culture and their mutual influence, types of family education, distinguished depending on the characteristics of the transmitted cultural values. When writing the work, such general scientific and private scientific research methods as analysis, synthesis, classification, generalization, comparison, historical method, analysis of empirical and sociological data on the studied problem were used. The general methodology of the work was compiled by scientific works of both domestic and foreign scientists devoted to the family as a carrier of cultural values. The analysis of scientific literature on research issues has shown that the modern family performs not only reproductive functions, but also the functions of preserving and reproducing cultural values, allowing society and the state to maintain stability and develop in the conditions of globalization and active influence on society through the imposition of new cultural values. The scientific nove</w:t>
      </w:r>
    </w:p>
    <w:p>
      <w:pPr/>
      <w:r>
        <w:rPr>
          <w:b/>
        </w:rPr>
        <w:t>POSSIBLE 2023:</w:t>
      </w:r>
      <w:r>
        <w:t xml:space="preserve"> Towards Ideal Understanding — https://doi.org/10.3998/ergo.4651</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What does it take to understand a phenomenon ideally, or to the highest conceivable extent? In this paper, we answer this question by arguing for five necessary conditions for ideal understanding: (i) sufficient representational accuracy, (ii) intelligibility, (iii) sufficient truth, (iv) reasonable endorsement, and (v) fit. Even if one disagrees that there is some form of ideal understanding, these five conditions can be regarded as sufficient conditions for a particularly deep level of understanding. We then argue that grasping, novel predictions, and transparency are not reasonable conditions for ideal understanding.</w:t>
      </w:r>
    </w:p>
    <w:p>
      <w:pPr/>
      <w:r>
        <w:rPr>
          <w:b/>
        </w:rPr>
        <w:t>POSSIBLE 2023:</w:t>
      </w:r>
      <w:r>
        <w:t xml:space="preserve"> Building for tomorrow: Analyzing ideal thermal transmittances in the face of climate change in Brazil — https://doi.org/10.1016/j.apenergy.2023.122360</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The climate will become hotter, and buildings will perform differently as outdoor conditions evolve. If the lowest energy demand is desired, it is crucial to determine the ideal thermophysical properties of the envelope over the buildings' life span. However, the scientific literature is still scarce in providing a compelling answer. Therefore, this study (i) determines ideal thermal transmittance values (U-values) for present-day and future climates, (ii) determines to what extent the thermophysical properties will need to change to remain ideal, (iii) identifies different trends of U-values over time, (iv) establishes a relationship between outdoor air temperatures, cooling and heating setpoints, and ideal U-values, and (v) proposes a set of design strategies according to each trend. The EPSAP generative design method was used to create a large dataset of residential buildings with random geometries and U-values to evaluate their energy demand for heating and cooling in EnergyPlus. The thermal performance of each building was evaluated for 30 locations in Brazil for the current period and two future timeframes (2050 and 2080). The Future Weather Generator tool was used to morph today's typical meteorological weather to match the EC-Earth3 data for the SSP5–8.5 scenario. Although climate change has a similar relative impact, its consequences differ over time in each location. </w:t>
      </w:r>
    </w:p>
    <w:p>
      <w:pPr/>
      <w:r>
        <w:rPr>
          <w:b/>
        </w:rPr>
        <w:t>POSSIBLE 2022:</w:t>
      </w:r>
      <w:r>
        <w:t xml:space="preserve"> Health Inequalities: To What Extent are Decision-Makers and Economic Evaluations on the Same Page? An English Case Study — https://doi.org/10.1007/s40258-022-00739-8</w:t>
      </w:r>
    </w:p>
    <w:p>
      <w:pPr/>
      <w:r>
        <w:rPr>
          <w:b/>
        </w:rPr>
        <w:t>Shared claim-specific concepts:</w:t>
      </w:r>
      <w:r>
        <w:t xml:space="preserve"> extent, case, explore, within, evolved; EU scope not established. This is a provisional connection, not an outcome finding.</w:t>
      </w:r>
    </w:p>
    <w:p>
      <w:pPr>
        <w:pStyle w:val="SourceNote"/>
      </w:pPr>
      <w:r>
        <w:rPr>
          <w:b/>
        </w:rPr>
        <w:t>Available abstract (not full text):</w:t>
      </w:r>
      <w:r>
        <w:t xml:space="preserve"> Economic evaluations have increasingly sought to understand how funding decisions within care sectors impact health inequalities. However, there is a disconnect between the methods used by researchers (e.g., within universities) and analysts (e.g., within publicly funded commissioning agencies), compared to evidence needs of decision makers in regard to how health inequalities are accounted for and presented. Our objective is to explore how health inequality is defined and quantified in different contexts. We focus on how specific approaches have developed, what similarities and differences have emerged, and consider how disconnects can be bridged. We explore existing methodological research regarding the incorporation of inequality considerations into economic evaluation in order to understand current best practice. In parallel, we explore how localised decision makers incorporate inequality considerations into their commissioning processes. We use the English care setting as a case study, from which we make inference as how local commissioning has evolved internationally. We summarise the recent development of distributional cost-effectiveness analysis in the economic evaluation literature: a method that makes explicit the trade-off between efficiency and equity. In the parallel decision-making setting, while the alleviation of health inequality is regularly the focus of remi</w:t>
      </w:r>
    </w:p>
    <w:p>
      <w:pPr/>
      <w:r>
        <w:rPr>
          <w:b/>
        </w:rPr>
        <w:t>POSSIBLE 2022:</w:t>
      </w:r>
      <w:r>
        <w:t xml:space="preserve"> Determinants of the extent and quality of corporate social responsibility disclosure in the industrial and services sectors: the case of Jordan — https://doi.org/10.1108/jfra-05-2021-0133</w:t>
      </w:r>
    </w:p>
    <w:p>
      <w:pPr/>
      <w:r>
        <w:rPr>
          <w:b/>
        </w:rPr>
        <w:t>Shared claim-specific concepts:</w:t>
      </w:r>
      <w:r>
        <w:t xml:space="preserve"> extent, case, authors, corporate; EU scope not established. This is a provisional connection, not an outcome finding.</w:t>
      </w:r>
    </w:p>
    <w:p>
      <w:pPr>
        <w:pStyle w:val="SourceNote"/>
      </w:pPr>
      <w:r>
        <w:rPr>
          <w:b/>
        </w:rPr>
        <w:t>Available abstract (not full text):</w:t>
      </w:r>
      <w:r>
        <w:t xml:space="preserve"> Purpose This study aims to investigate the determinants of the extent and quality of corporate social responsibility disclosure (CSRD) in Jordan. The study examines a number of factors that influence the extent and quality of CSR disclosure, such as corporate characteristics, corporate governance and ownership structure. Design/methodology/approach A quantitative approach and a content analysis technique is used to measure the extent and quality of CSRD from annual reports. The sample is drawn from the annual reports of 118 Jordanian companies between 2010 and 2015. A CSRD index is constructed, which includes the disclosures of the following categories: environmental, human resources, product and consumers, and community involvement. This is the first study that presents a new measurement for CSR disclosure quality by using images and charts in a seven-point scale measurement. Findings The result reveals that the extent of CSRD is higher than quality in Jordan. Regarding the determinants of CSR disclosures, the following factors were found to have a significant relationship with both the extent and quality of CSRD: board size, non-executive directors, age of firm, foreign members on the board, number of boards meetings, the presence of audit committees, big 4, government ownership, size of firm and industry type. Non-executive directors was found to have a significant correlati</w:t>
      </w:r>
    </w:p>
    <w:p>
      <w:pPr/>
      <w:r>
        <w:rPr>
          <w:b/>
        </w:rPr>
        <w:t>POSSIBLE 2022:</w:t>
      </w:r>
      <w:r>
        <w:t xml:space="preserve"> Assessing annual thermal comfort extent in central courtyards: Baghdad as a case study — https://doi.org/10.1108/sasbe-09-2021-0154</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Purpose Traditional central courtyards have been advocated for being thermally efficient for hot-climate regions. However, exploring previous literature shows that it is not clear to what extent courtyards are truly thermally comfortable. This study determines the level of thermal comfort in residential courtyards in hot-climate regions, taking Baghdad as a case study. Design/methodology/approach This study develops a novel Courtyard Thermal Usability Index (CTUI) to quantify the ability of courtyards to provide thermal comfort to occupants. CTUI is the fraction of useable thermally comfortable hours in courtyards of the total occupation hours during a specific period. To operationalise CTUI, the research employs the Envi-met 4.2 simulation tool to determine the annual thermal conditions of 360 courtyards. An adaptive thermal comfort model developed by Al-Hafith in 2020 for Iraq is used to judge simulated thermal conditions and determine CTUI. Findings CTUI enables determining the level of thermal comfort courtyards offer to occupants by showing the ratio of the thermally comfortable period versus the occupation period. Results show that, in Iraq, annually, courtyards offer up to 38% comfortable hours out of the total potential occupation hours. The rest of the time the courtyard will not be comfortable, mostly due to overheating. When designing courtyards, the most effective g</w:t>
      </w:r>
    </w:p>
    <w:p>
      <w:pPr/>
      <w:r>
        <w:rPr>
          <w:b/>
        </w:rPr>
        <w:t>POSSIBLE 2022:</w:t>
      </w:r>
      <w:r>
        <w:t xml:space="preserve"> Ideal Theory and Its Fairness Role — https://doi.org/10.1007/s10790-022-09905-6</w:t>
      </w:r>
    </w:p>
    <w:p>
      <w:pPr/>
      <w:r>
        <w:rPr>
          <w:b/>
        </w:rPr>
        <w:t>Shared claim-specific concepts:</w:t>
      </w:r>
      <w:r>
        <w:t xml:space="preserve"> considers, extent, conditions, ideal; EU scope not established. This is a provisional connection, not an outcome finding.</w:t>
      </w:r>
    </w:p>
    <w:p>
      <w:pPr>
        <w:pStyle w:val="SourceNote"/>
      </w:pPr>
      <w:r>
        <w:rPr>
          <w:b/>
        </w:rPr>
        <w:t>Available abstract (not full text):</w:t>
      </w:r>
      <w:r>
        <w:t xml:space="preserve"> John Rawls famously sees ideal theory as a necessary precursor to non-ideal theory. Amartya Sen, on the contrary, considers it useless for comparing feasible arrangements under non-ideal conditions. Footnote 1 Sen and other critics of ideal theory aim their arguments at its intended purposes of guiding long-term institutional reform and providing a metric for assessing the extent to which non-ideal arrangements deviate from the ideal of perfect justice. Responses from proponents of ideal theory typically also focus on these two roles.</w:t>
      </w:r>
    </w:p>
    <w:p>
      <w:pPr>
        <w:pStyle w:val="Heading2"/>
      </w:pPr>
      <w:r>
        <w:t>841.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2024:</w:t>
      </w:r>
      <w:r>
        <w:t xml:space="preserve"> Fiscal drag: the heterogeneous impact of inflation on personal income tax revenue — https://doi.org/10.53479/37393</w:t>
      </w:r>
    </w:p>
    <w:p>
      <w:pPr/>
      <w:r>
        <w:rPr>
          <w:b/>
        </w:rPr>
        <w:t>Shared claim-specific concepts:</w:t>
      </w:r>
      <w:r>
        <w:t xml:space="preserve"> not, drag, fiscal, effect, strong, gdp; EU scope not established. This is a provisional connection, not an outcome finding.</w:t>
      </w:r>
    </w:p>
    <w:p>
      <w:pPr>
        <w:pStyle w:val="SourceNote"/>
      </w:pPr>
      <w:r>
        <w:rPr>
          <w:b/>
        </w:rPr>
        <w:t>Available abstract (not full text):</w:t>
      </w:r>
      <w:r>
        <w:t xml:space="preserve"> In recent years, personal income tax collection has shown strong dynamism. Part of this increase is due to household income growth, while another part is due to the “fiscal drag” effect, which results in an increase in average effective rates when the parameters that determine the tax (brackets and tax benefits) are not fully updated with inflation. This paper uses a tax microsimulation tool based on tax filers’ administrative data to study the magnitude of the fiscal drag effect, its heterogeneity across the income distribution, its mechanisms and its impact on tax collection and on average effective tax rates in recent years and in the future. It is estimated that, in the absence of indexation of the nominally defined parameters of the tax, a homogeneous increase in household income of 1% would lead to an increase in income tax revenue of 1.85%, in line with the average elasticity estimated for OECD countries. This effect is greater for middle and upper-middle incomes and produces an increase in effective tax rates across the entire distribution of tax filers, leading to a reduction in net income inequality. It is estimated that around half of the increase in the personal income tax-to-GDP ratio observed between 2019 and 2023 can be explained by the fiscal drag effect. Going forward, in the absence of changes in tax parameters, the ratio of personal income tax revenue to GDP </w:t>
      </w:r>
    </w:p>
    <w:p>
      <w:pPr/>
      <w:r>
        <w:rPr>
          <w:b/>
        </w:rPr>
        <w:t>POSSIBLE 2023:</w:t>
      </w:r>
      <w:r>
        <w:t xml:space="preserve"> Morocco’s Quest for Stronger and Inclusive Growth — https://doi.org/10.5089/9798400225406.071</w:t>
      </w:r>
    </w:p>
    <w:p>
      <w:pPr/>
      <w:r>
        <w:rPr>
          <w:b/>
        </w:rPr>
        <w:t>Shared claim-specific concepts:</w:t>
      </w:r>
      <w:r>
        <w:t xml:space="preserve"> stronger, not, but; EU scope not established. This is a provisional connection, not an outcome finding.</w:t>
      </w:r>
    </w:p>
    <w:p>
      <w:pPr>
        <w:pStyle w:val="SourceNote"/>
      </w:pPr>
      <w:r>
        <w:rPr>
          <w:b/>
        </w:rPr>
        <w:t>Available abstract (not full text):</w:t>
      </w:r>
      <w:r>
        <w:t xml:space="preserve"> Throughout the past two decades, Morocco has faced several external and domestic shocks, including large swings in international oil prices, regional geopolitical tensions, severe droughts, and most recently the impact of the pandemic and the economic fallout from Russia’s invasion of Ukraine. Despite rough waters, the government stayed the course and remained focused not only on immediate stability, but also on the long-term needs of the Moroccan economy. This involved the adoption of a series of difficult measures, like the elimination of energy subsidies, and a strategy aimed at improving the country’s infrastructure, diversifying the production and export bases by attracting foreign investment, and modernizing the governance structure of the public administration. The road to higher and more inclusive growth, however, remains steep. Despite gains in poverty reduction, literacy and lifespans, Morocco economy continues to face a high share of inactive youth, large gaps in economic opportunities for women, a fragmented social protection system, and remaining barriers to private sector development. An ambitious reform agenda is needed to better meet the aspirations of Moroccans, by making economic growth stronger, more resilient and more inclusive, particularly to provide greater opportunities for young, women, and entrepreneurs. Morocco appears well positioned to address these</w:t>
      </w:r>
    </w:p>
    <w:p>
      <w:pPr/>
      <w:r>
        <w:rPr>
          <w:b/>
        </w:rPr>
        <w:t>POSSIBLE 2023:</w:t>
      </w:r>
      <w:r>
        <w:t xml:space="preserve"> Strong Inhibition of Ice Growth by Biomimetic Crowding Coacervates — https://doi.org/10.1002/anie.202311047</w:t>
      </w:r>
    </w:p>
    <w:p>
      <w:pPr/>
      <w:r>
        <w:rPr>
          <w:b/>
        </w:rPr>
        <w:t>Shared claim-specific concepts:</w:t>
      </w:r>
      <w:r>
        <w:t xml:space="preserve"> not, activity, strong, but; EU scope not established. This is a provisional connection, not an outcome finding.</w:t>
      </w:r>
    </w:p>
    <w:p>
      <w:pPr>
        <w:pStyle w:val="SourceNote"/>
      </w:pPr>
      <w:r>
        <w:rPr>
          <w:b/>
        </w:rPr>
        <w:t>Available abstract (not full text):</w:t>
      </w:r>
      <w:r>
        <w:t xml:space="preserve"> The freezing of biological fluids is intensively studied but remains elusive as it is affected not only by the various components but also by the crowding nature of the biological fluids. Herein, we constructed spherical crowders, fibrous crowders, and coacervates by various components ranging from surfactants to polymers and proteins, to mimic three typical crowders in biological fluids, i.e., globular proteins, fibrous networks, and condensates of biomolecules. It is elucidated that the three crowders exhibit low, moderate, and strong ice growth inhibition activity, respectively, resulting from their different abilities in slowing down water dynamics. Intriguingly, the coacervate consisting of molecules without obvious ice growth inhibition activity strongly inhibits ice growth, which is firstly employed as a highly-potent cryoprotectant. This work provides new insights into the survival of freezing-tolerant organisms and opens an avenue for the design of ice-controlling materials.</w:t>
      </w:r>
    </w:p>
    <w:p>
      <w:pPr/>
      <w:r>
        <w:rPr>
          <w:b/>
        </w:rPr>
        <w:t>POSSIBLE 2022:</w:t>
      </w:r>
      <w:r>
        <w:t xml:space="preserve"> Global growth on life support? The contributions of fiscal and monetary policy since the global financial crisis — https://doi.org/10.1002/ijfe.2675</w:t>
      </w:r>
    </w:p>
    <w:p>
      <w:pPr/>
      <w:r>
        <w:rPr>
          <w:b/>
        </w:rPr>
        <w:t>Shared claim-specific concepts:</w:t>
      </w:r>
      <w:r>
        <w:t xml:space="preserve"> drag, fiscal, consolidation, strong, but, gdp; EU scope not established. This is a provisional connection, not an outcome finding.</w:t>
      </w:r>
    </w:p>
    <w:p>
      <w:pPr>
        <w:pStyle w:val="SourceNote"/>
      </w:pPr>
      <w:r>
        <w:rPr>
          <w:b/>
        </w:rPr>
        <w:t>Available abstract (not full text):</w:t>
      </w:r>
      <w:r>
        <w:t xml:space="preserve"> Abstract This paper compares the role of monetary and fiscal policy shocks in advanced and emerging economies. Using a model with a hierarchical structure, we capture the variability of GDP response to policy shocks both between and within the groups of advanced and emerging countries. Our results show that the effects of fiscal stimulus are higher in advanced economies compared to emerging markets, while monetary policy is found to have more homogeneous effects on GDP. We quantify the policy contribution on GDP growth in the decade that followed the global financial crisis by means of a structural counterfactual analysis based on conditional forecasts. We find that global GDP growth benefited from substantial policy support during the global financial crisis but policy tightening thereafter, particularly fiscal consolidation, acted as a significant drag on the subsequent global recovery. In addition, we show that the role of policy has differed across countries. Specifically, in advanced economies, highly accommodative monetary policy has been counteracted by strong fiscal consolidation. By contrast, in emerging economies, monetary policy has been less accommodative since the global recession.</w:t>
      </w:r>
    </w:p>
    <w:p>
      <w:pPr/>
      <w:r>
        <w:rPr>
          <w:b/>
        </w:rPr>
        <w:t>POSSIBLE 2022:</w:t>
      </w:r>
      <w:r>
        <w:t xml:space="preserve"> Thailand Economic Monitor : Fiscal Policy for a Resilient and Equitable Future — https://doi.org/10.1596/38410</w:t>
      </w:r>
    </w:p>
    <w:p>
      <w:pPr/>
      <w:r>
        <w:rPr>
          <w:b/>
        </w:rPr>
        <w:t>Shared claim-specific concepts:</w:t>
      </w:r>
      <w:r>
        <w:t xml:space="preserve"> stronger, not, drag, fiscal, consolidation, activity; EU scope not established. This is a provisional connection, not an outcome finding.</w:t>
      </w:r>
    </w:p>
    <w:p>
      <w:pPr>
        <w:pStyle w:val="SourceNote"/>
      </w:pPr>
      <w:r>
        <w:rPr>
          <w:b/>
        </w:rPr>
        <w:t>Available abstract (not full text):</w:t>
      </w:r>
      <w:r>
        <w:t xml:space="preserve"> The economy has shown resilience to recent global shocks thus far, with output surpassing its pre-pandemic level in 2022 Q3, earlier than expected but trailing behind peers. Thailand’s economic recovery, however, lagged that of its ASEAN peers, most of which returned to pre-pandemic levels by late 2021. In addition, exports of goods remained a drag on growth in contrast to many peers who benefitted from stronger good export growth in the first half of this year. Most recently, Thailand experienced a sharp slowdown in goods exports growth, also observed it its ASEAN peers and consistent with the contraction in global manufacturing Purchasing Manager Index (PMI). Despite higher revenue from tourism, the current account deficit remained wide in 2022 Q3. Price pressures have remained elevated and broadened to core inflation. Fiscal measures aimed at mitigating the cost-of-living shock have supported economic activity but contributed to the slowdown in fiscal consolidation. The financial system remains stable overall, although risks associated with increased levels of household and corporate debt have not been resolved. Labor market conditions have improved, but the phasing out of Coronavirus (COVID-19) relief measures and the rising cost of living may slow down poverty reduction. Thailand’s relatively low tax revenue collection contributes to underinvestment in pro-poor spending. S</w:t>
      </w:r>
    </w:p>
    <w:p>
      <w:pPr>
        <w:pStyle w:val="Heading2"/>
      </w:pPr>
      <w:r>
        <w:t>842.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r>
        <w:rPr>
          <w:b/>
        </w:rPr>
        <w:t>POSSIBLE 2021:</w:t>
      </w:r>
      <w:r>
        <w:t xml:space="preserve"> A New Idea(l) for Europe: Report on the Future of Cosmopolitanism in Europe — https://doi.org/10.17185/duepublico/74426</w:t>
      </w:r>
    </w:p>
    <w:p>
      <w:pPr/>
      <w:r>
        <w:rPr>
          <w:b/>
        </w:rPr>
        <w:t>Shared claim-specific concepts:</w:t>
      </w:r>
      <w:r>
        <w:t xml:space="preserve"> sketch, two, possible, emphasize, union; EU scope visible. This is a provisional connection, not an outcome finding.</w:t>
      </w:r>
    </w:p>
    <w:p>
      <w:pPr>
        <w:pStyle w:val="SourceNote"/>
      </w:pPr>
      <w:r>
        <w:rPr>
          <w:b/>
        </w:rPr>
        <w:t>Available abstract (not full text):</w:t>
      </w:r>
      <w:r>
        <w:t xml:space="preserve"> While designing its migration policies, the European Union must carefully weigh two conflicting considerations. On the one hand, the Union has set some normative standards for itself in its Charter of Fundamental Rights. On the other hand, after the sudden influx of asylum seekers over the summer of 2015, several member states signalled that their reception facilities could not cope with the tide of new arrivals, while some populations voted into power or confirmed national governments committed to restricting immigration into Europe. This report aims to offer some constructive criticisms and to present various solutions that would reconcile the Union’s normative commitments with its migration practices. To that end, we will proceed in four major steps. To begin with, we present a thorough diagnostic of the current situation of the Union’s migration policies and of its adequation to its self-assigned values and norms. Then, we introduce three possible scenarios for the future of the Union’s migration policies. In our first scenario, we suggest that the current status quo is unstable and that its perpetuation is likely to come at a political cost. We then sketch two alternative options. In the second scenario, the Union takes a step back in the management of its external borders, hands over most of the operational responsibilities to its member states and limits itself to a supe</w:t>
      </w:r>
    </w:p>
    <w:p>
      <w:pPr/>
      <w:r>
        <w:rPr>
          <w:b/>
        </w:rPr>
        <w:t>POSSIBLE 2020:</w:t>
      </w:r>
      <w:r>
        <w:t xml:space="preserve"> Public Policy during COVID-19: Challenges for Public Administration and Policy Research in Central and Eastern Europe — https://doi.org/10.2478/nispa-2020-0011</w:t>
      </w:r>
    </w:p>
    <w:p>
      <w:pPr/>
      <w:r>
        <w:rPr>
          <w:b/>
        </w:rPr>
        <w:t>Shared claim-specific concepts:</w:t>
      </w:r>
      <w:r>
        <w:t xml:space="preserve"> suggested, article; EU scope visible. This is a provisional connection, not an outcome finding.</w:t>
      </w:r>
    </w:p>
    <w:p>
      <w:pPr>
        <w:pStyle w:val="SourceNote"/>
      </w:pPr>
      <w:r>
        <w:rPr>
          <w:b/>
        </w:rPr>
        <w:t>Available abstract (not full text):</w:t>
      </w:r>
      <w:r>
        <w:t xml:space="preserve"> Abstract The authors of this text decided to prepare a short article, with the aim to induce further discussion and to orient ongoing and future research efforts in Central and Eastern Europe but also worldwide. The article uses the method of a multi-country case study as the basis for proposing several critical research (and policy) challenges for our region – but many of them of a world-wide character. Four countries are covered by our thumbnail informative sketches – the Czech Republic, Estonia, Hungary and the Slovak Republic. The final part of this article proposes a set of questions suggested by the CEE experience with COVID-19 for future research. Such research will both be necessary and interesting for scholarship and policy in the region, and – as a particularly interesting context and area – helpful, one hopes, for questions and answers globally, concerning the pandemic, as well as public administration and policy as a whole.</w:t>
      </w:r>
    </w:p>
    <w:p>
      <w:pPr/>
      <w:r>
        <w:rPr>
          <w:b/>
        </w:rPr>
        <w:t>POSSIBLE 2019:</w:t>
      </w:r>
      <w:r>
        <w:t xml:space="preserve"> Innovators in the Crossfire: A Policy Sketch for Unknowable Risks in European and United States Product Liability Law — https://doi.org/10.37381/tds8a957</w:t>
      </w:r>
    </w:p>
    <w:p>
      <w:pPr/>
      <w:r>
        <w:rPr>
          <w:b/>
        </w:rPr>
        <w:t>Shared claim-specific concepts:</w:t>
      </w:r>
      <w:r>
        <w:t xml:space="preserve"> sketch, possible, union, far, article; EU scope visible. This is a provisional connection, not an outcome finding.</w:t>
      </w:r>
    </w:p>
    <w:p>
      <w:pPr>
        <w:pStyle w:val="SourceNote"/>
      </w:pPr>
      <w:r>
        <w:rPr>
          <w:b/>
        </w:rPr>
        <w:t>Available abstract (not full text):</w:t>
      </w:r>
      <w:r>
        <w:t xml:space="preserve"> hrrRopucroNA product defect results from an unknowable innovation riskl when available scientific testing procedures could not have permitted discovery of the defect prior to the product's initial manufacture.Such product defects occur rather commonly in innovative or newly developed products and materials2 typically found in the pharmaceutical, medico- technical, nuclear, aviation, and biochemical engineering industries.Irgal treatment of product innovation risks has significant economic implications, which this Article addresses.Although strict liabilityincluding liability for innovation risks-has expanded for the last twenty years,3 it now seems to have started to contract on both sides of the Atlantic.4The role of innovation risks in product liability law is currently attracting attention from both lawyers and government administrators.Although cunently on the European Union's agenda, the subject of innovation risk has thus far beon addressed only tentatively in Council Directive 85/374 of July 25, 1985, concerning the member states'l.This term excludes losses occurring after the risk has been detected because such lesses result from failure to forewam a user of its consequences, not from the innovation risk itself.James A. Henderson, h., Coping with the Time Dimension in Products linbility,69 Cru-.L. REV.919, 922 n.5 (1981).Because these cases do not pose special problems </w:t>
      </w:r>
    </w:p>
    <w:p>
      <w:pPr/>
      <w:r>
        <w:rPr>
          <w:b/>
        </w:rPr>
        <w:t>POSSIBLE 2019:</w:t>
      </w:r>
      <w:r>
        <w:t xml:space="preserve"> European Union social policy — https://doi.org/10.4324/9780429290510-30</w:t>
      </w:r>
    </w:p>
    <w:p>
      <w:pPr/>
      <w:r>
        <w:rPr>
          <w:b/>
        </w:rPr>
        <w:t>Shared claim-specific concepts:</w:t>
      </w:r>
      <w:r>
        <w:t xml:space="preserve"> two, potential, union; EU scope visible. This is a provisional connection, not an outcome finding.</w:t>
      </w:r>
    </w:p>
    <w:p>
      <w:pPr>
        <w:pStyle w:val="SourceNote"/>
      </w:pPr>
      <w:r>
        <w:rPr>
          <w:b/>
        </w:rPr>
        <w:t>Available abstract (not full text):</w:t>
      </w:r>
      <w:r>
        <w:t xml:space="preserve"> This chapter presents quantitative and qualitative developments of EU social policy over the last two decades. It differentiates between instrument types (spending, regulatory, and coordinating) and areas of EU social policy (freedom of movement, unemployment, old age, and health) to show that overall continuity prevails. Economic integration continues to dominate over social integration, developments are incremental and frequently take place in form of soft, non-binding rather than binding instruments. This is astonishing as deepening economic integration, austerity policies, and hardship of the economic and financial crisis create demand for more or for a different EU social policy. Turning to potential explanations for this paradox, the chapter finishes by discussing the heterogeneity of member states and their interests as well as EU politics.</w:t>
      </w:r>
    </w:p>
    <w:p>
      <w:pPr/>
      <w:r>
        <w:rPr>
          <w:b/>
        </w:rPr>
        <w:t>POSSIBLE 2019:</w:t>
      </w:r>
      <w:r>
        <w:t xml:space="preserve"> Energy Policy and European Union Politics — https://doi.org/10.1093/acrefore/9780190228637.013.1079</w:t>
      </w:r>
    </w:p>
    <w:p>
      <w:pPr/>
      <w:r>
        <w:rPr>
          <w:b/>
        </w:rPr>
        <w:t>Shared claim-specific concepts:</w:t>
      </w:r>
      <w:r>
        <w:t xml:space="preserve"> energy, governance, union, beyond, coherence;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Institutional Economics: A Sketch of Economic Growth Policy — https://openalex.org/W2785147937</w:t>
      </w:r>
    </w:p>
    <w:p>
      <w:pPr/>
      <w:r>
        <w:rPr>
          <w:b/>
        </w:rPr>
        <w:t>Shared claim-specific concepts:</w:t>
      </w:r>
      <w:r>
        <w:t xml:space="preserve"> sketch, possible; EU scope not established. This is a provisional connection, not an outcome finding.</w:t>
      </w:r>
    </w:p>
    <w:p>
      <w:pPr>
        <w:pStyle w:val="SourceNote"/>
      </w:pPr>
      <w:r>
        <w:rPr>
          <w:b/>
        </w:rPr>
        <w:t>Available abstract (not full text):</w:t>
      </w:r>
      <w:r>
        <w:t xml:space="preserve"> In the postwar period until today the call for more intensive economic growth, again and again, enjoyed a substantial popularity in the world of politics, in particular with reference to possible current solutions of given economic problems. Here growth considerations and decisions in the past concentrating on some few years will be critically evaluated and found to be inadequate. Since economic growth is a long-term phenomenon, pertaining institutional and organizational precautions for formulating policies must be taken that will embody the preconditions of growth, the infrastructure of the market economy. In this context a proposal will be made on the basis of a wellknown constitutional model.</w:t>
      </w:r>
    </w:p>
    <w:p>
      <w:pPr/>
      <w:r>
        <w:rPr>
          <w:b/>
        </w:rPr>
        <w:t>POSSIBLE 2018:</w:t>
      </w:r>
      <w:r>
        <w:t xml:space="preserve"> Discourse analysis in the study of European foreign policy — https://doi.org/10.7765/9781526137647.00010</w:t>
      </w:r>
    </w:p>
    <w:p>
      <w:pPr/>
      <w:r>
        <w:rPr>
          <w:b/>
        </w:rPr>
        <w:t>Shared claim-specific concepts:</w:t>
      </w:r>
      <w:r>
        <w:t xml:space="preserve"> potential, union; EU scope visible. This is a provisional connection, not an outcome finding.</w:t>
      </w:r>
    </w:p>
    <w:p>
      <w:pPr>
        <w:pStyle w:val="SourceNote"/>
      </w:pPr>
      <w:r>
        <w:rPr>
          <w:b/>
        </w:rPr>
        <w:t>Available abstract (not full text):</w:t>
      </w:r>
      <w:r>
        <w:t xml:space="preserve"> Social constructivist discourse analysis has, since the early 1990s, become increasingly popular across the social sciences, including international relations. This chapter outlines the possibilities for the use of discourse analysis in the study of European foreign policy. It introduces the main features and assumptions of discourse analysis within the general field of social constructivism, and presents the main implications of discourse analysis for concrete empirical research. The chapter describes the main dimensions of discourse analysis using the categories of Milliken: representation, policy practice and play of practice. It highlights the use, and potential use, of discourse analysis in relation to four different aspects of European Union (EU) foreign policy. They are: is the EU constructed as an actor; as what kind of actor; what kind of values does it draw on; and how are EU foreign policy decision-making procedures constructed? .</w:t>
      </w:r>
    </w:p>
    <w:p>
      <w:pPr/>
      <w:r>
        <w:rPr>
          <w:b/>
        </w:rPr>
        <w:t>POSSIBLE 2017:</w:t>
      </w:r>
      <w:r>
        <w:t xml:space="preserve"> Towards a European Food and Nutrition Policy — https://openalex.org/W2766455788</w:t>
      </w:r>
    </w:p>
    <w:p>
      <w:pPr/>
      <w:r>
        <w:rPr>
          <w:b/>
        </w:rPr>
        <w:t>Shared claim-specific concepts:</w:t>
      </w:r>
      <w:r>
        <w:t xml:space="preserve"> provide, climate; EU scope visible. This is a provisional connection, not an outcome finding.</w:t>
      </w:r>
    </w:p>
    <w:p>
      <w:pPr>
        <w:pStyle w:val="SourceNote"/>
      </w:pPr>
      <w:r>
        <w:rPr>
          <w:b/>
        </w:rPr>
        <w:t>Available abstract (not full text):</w:t>
      </w:r>
      <w:r>
        <w:t xml:space="preserve"> Food is pivotal to our existence, connecting us with nature and with each other.Food is essential for our growth, livelihood and health.It defines who we are and is part of our identity.No wonder almost everyone has opinions on our diets, with lots of emerging hypes and intense discussions.Most of the time we make food choices unconsciously, without thinking.But sometimes this routine is disrupted by a news item about food safety or the impact that food production has on the environment, on overweight and disease, on climate change and food scarcity.Food is an important predictor of chronic disease, with our food choices, lifestyle and living environment greatly affecting our health and quality of life.Our confidence in food also relates to trust in farmers, the food industry, supermarkets and the government.Food is about who we are in relation to our own health and the health of our friends &amp; family.It is highly dependent on those who supply it, whether from nearby sources or the other side of the world.Wageningen University &amp; Research conducts research into food systems that provide diets to people in their daily life, in both Western and non-Western contexts, as part of the global community or as individuals.Wageningen University &amp; Research is one of the few universities in the world to carry out research on food, nutrition, lifestyle and health while also studying animal an</w:t>
      </w:r>
    </w:p>
    <w:p>
      <w:pPr>
        <w:pStyle w:val="Heading2"/>
      </w:pPr>
      <w:r>
        <w:t>843.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r>
        <w:rPr>
          <w:b/>
        </w:rPr>
        <w:t>POSSIBLE 2019:</w:t>
      </w:r>
      <w:r>
        <w:t xml:space="preserve"> Social Innovation in Community Energy in Europe: A Review of the Evidence — https://doi.org/10.3389/fenrg.2019.00031</w:t>
      </w:r>
    </w:p>
    <w:p>
      <w:pPr/>
      <w:r>
        <w:rPr>
          <w:b/>
        </w:rPr>
        <w:t>Shared claim-specific concepts:</w:t>
      </w:r>
      <w:r>
        <w:t xml:space="preserve"> identify, opportunities, government;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The populist citizen: Empirical evidence from Europe and Latin America — https://doi.org/10.1017/s1755773919000262</w:t>
      </w:r>
    </w:p>
    <w:p>
      <w:pPr/>
      <w:r>
        <w:rPr>
          <w:b/>
        </w:rPr>
        <w:t>Shared claim-specific concepts:</w:t>
      </w:r>
      <w:r>
        <w:t xml:space="preserve"> identify, between, government; EU scope visible. This is a provisional connection, not an outcome finding.</w:t>
      </w:r>
    </w:p>
    <w:p>
      <w:pPr>
        <w:pStyle w:val="SourceNote"/>
      </w:pPr>
      <w:r>
        <w:rPr>
          <w:b/>
        </w:rPr>
        <w:t>Available abstract (not full text):</w:t>
      </w:r>
      <w:r>
        <w:t xml:space="preserve"> Abstract Scholars are increasingly interested in ‘populist attitudes’, which – studies show – can explain party support and vote choice. However, current research has not yet analyzed in detail the characteristics of those individuals with populist proclivities, or so-called populist citizens . To address this research gap, we harmonize survey data on populist attitudes for nine European countries, five Latin American countries, and Turkey in order to uncover shared or distinct features of populist citizens. Our findings are threefold. First, we identify differences in the sociodemographic characteristics of populist citizens, notably between Europe and Latin America. Second, we find similar patterns of heterogeneity in the political features of populist citizens. Third, we show that populist citizens across all countries have the same democratic profile. They systematically support democracy over other forms of government, while being dissatisfied with its implementation. This suggests populist attitudes are intrinsic to the political culture of contemporary democracies.</w:t>
      </w:r>
    </w:p>
    <w:p>
      <w:pPr/>
      <w:r>
        <w:rPr>
          <w:b/>
        </w:rPr>
        <w:t>POSSIBLE 2017:</w:t>
      </w:r>
      <w:r>
        <w:t xml:space="preserve"> Seeking to Belong: How the Words of Internal and External Beneficiaries Influence Performance — https://doi.org/10.5465/ambpp.2017.17184abstract</w:t>
      </w:r>
    </w:p>
    <w:p>
      <w:pPr/>
      <w:r>
        <w:rPr>
          <w:b/>
        </w:rPr>
        <w:t>Shared claim-specific concepts:</w:t>
      </w:r>
      <w:r>
        <w:t xml:space="preserve"> internal, external, increase; EU scope not established. This is a provisional connection, not an outcome finding.</w:t>
      </w:r>
    </w:p>
    <w:p>
      <w:pPr>
        <w:pStyle w:val="SourceNote"/>
      </w:pPr>
      <w:r>
        <w:rPr>
          <w:b/>
        </w:rPr>
        <w:t>Available abstract (not full text):</w:t>
      </w:r>
      <w:r>
        <w:t xml:space="preserve"> Theories of relational motivation provide evidence that beneficiary contact can enhance prosocial motivation in jobs high in significance by influencing employees’ perceived impact on these beneficiaries. This body of work generally focuses on service functions, or contexts in which the beneficiaries directly benefit from the employee’s work. Our study builds on these theories, suggesting that in contexts where the benefits to customers are indirect and distant, contact with internal beneficiaries can lead to increases in prosocial motivation by enhancing employees’ sense of belongingness. Our study leverages the insight that employees are seeking to belong–and seek to enhance their sense of belongingness in work settings. We find, in a longitudinal field experiment of fruit harvesters, that though beneficiary contact with the overall customer did not significantly improve productivity, contact with an internal beneficiary that made connectedness salient yielded a persistent increase in productivity relative to a control group.</w:t>
      </w:r>
    </w:p>
    <w:p>
      <w:pPr>
        <w:pStyle w:val="Heading2"/>
      </w:pPr>
      <w:r>
        <w:t>844.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r>
        <w:rPr>
          <w:b/>
        </w:rPr>
        <w:t>POSSIBLE 2021:</w:t>
      </w:r>
      <w:r>
        <w:t xml:space="preserve"> Customer Work Practices and the Productive Third Place — https://doi.org/10.1177/10946705211014278</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Third places—communal or socializing places such as coffee shops—are confronted with a rising customer segment: customers who use them for work. Prior research is divided on this trend: customer-workers are seen either as a source of added value or a major threat to third places. Relying on a multimethod, qualitative study, we investigate the strategic implications of the rise of customer-workers in third places. We extend prior research by considering customer-workers as a new and valuable segment, with its specific motivations and practices. Building on the co-constitution of practices and places, we show that the rise of the customer-worker segment has fostered market differentiation. We identify four types of third places (archetypal, status quo, compromise, and productive) depending on their targeting strategy and their servicescape adaptation. We delineate how customer-workers transform third places’ value proposition and bring challenges to each type. Specifically, we show that status quo third places are most prone to customer conflicts while compromise third places generate managerial struggles. In contrast, productive third places adapt their servicescape to become work accelerators and a source of professional identity for customer-workers. We provide recommendations for managers to overcome conflicts and benefit from this growing customer base.</w:t>
      </w:r>
    </w:p>
    <w:p>
      <w:pPr/>
      <w:r>
        <w:rPr>
          <w:b/>
        </w:rPr>
        <w:t>POSSIBLE 2021:</w:t>
      </w:r>
      <w:r>
        <w:t xml:space="preserve"> Work, family life and recovery: An exploratory study of “the third shift” — https://doi.org/10.3233/wor-213624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BACKGROUND: Using 24-hour narratives as a starting-point, the present study examines conditions for recovery from work. The third shift concept forms the explorative starting point for highlighting the interplay between work, family responsibilities, leisure time and recovery. OBJECTIVE: The aim of the study is to explore how the third shift affects possibilities for recovery. METHOD: The material was gathered by group interviews and diaries. Thirty employees participated in the study. Ten participants where women between 30 and 45 years of age with children living at home. RESULTS: Being solely responsible for the third shift reduced the chances of recovery during work-free time. The material showed that women aged 30-45 years had to a greater extent than others the main responsibility in a complex third shift. CONCLUSION: As a precondition for external recovery, this study show how theoretically beneficial the breakdown of the second shift and development of the third shift is for understanding different preconditions and the way they affect the possibility of recovery.</w:t>
      </w:r>
    </w:p>
    <w:p>
      <w:pPr/>
      <w:r>
        <w:rPr>
          <w:b/>
        </w:rPr>
        <w:t>POSSIBLE 2019:</w:t>
      </w:r>
      <w:r>
        <w:t xml:space="preserve"> Show Your Work: Improved Reporting of Experimental Results — https://doi.org/10.18653/v1/d19-1224</w:t>
      </w:r>
    </w:p>
    <w:p>
      <w:pPr/>
      <w:r>
        <w:rPr>
          <w:b/>
        </w:rPr>
        <w:t>Shared claim-specific concepts:</w:t>
      </w:r>
      <w:r>
        <w:t xml:space="preserve"> show, work, methods; EU scope not established. This is a provisional connection, not an outcome finding.</w:t>
      </w:r>
    </w:p>
    <w:p>
      <w:pPr>
        <w:pStyle w:val="SourceNote"/>
      </w:pPr>
      <w:r>
        <w:rPr>
          <w:b/>
        </w:rPr>
        <w:t>Available abstract (not full text):</w:t>
      </w:r>
      <w:r>
        <w:t xml:space="preserve"> Jesse Dodge, Suchin Gururangan, Dallas Card, Roy Schwartz, Noah A. Smith. Proceedings of the 2019 Conference on Empirical Methods in Natural Language Processing and the 9th International Joint Conference on Natural Language Processing (EMNLP-IJCNLP). 2019.</w:t>
      </w:r>
    </w:p>
    <w:p>
      <w:pPr/>
      <w:r>
        <w:rPr>
          <w:b/>
        </w:rPr>
        <w:t>POSSIBLE 2019:</w:t>
      </w:r>
      <w:r>
        <w:t xml:space="preserve"> Pragmatism in the Third Reich — https://doi.org/10.4000/ejpap.1524</w:t>
      </w:r>
    </w:p>
    <w:p>
      <w:pPr/>
      <w:r>
        <w:rPr>
          <w:b/>
        </w:rPr>
        <w:t>Shared claim-specific concepts:</w:t>
      </w:r>
      <w:r>
        <w:t xml:space="preserve"> third, show, two; EU scope visible. This is a provisional connection, not an outcome finding.</w:t>
      </w:r>
    </w:p>
    <w:p>
      <w:pPr>
        <w:pStyle w:val="SourceNote"/>
      </w:pPr>
      <w:r>
        <w:rPr>
          <w:b/>
        </w:rPr>
        <w:t>Available abstract (not full text):</w:t>
      </w:r>
      <w:r>
        <w:t xml:space="preserve"> In this article I try to answer one central question: how can it be explained that the most intense reception of American pragmatism in Germany took place during the Nazi dictatorship (and not in democratic political environments before – during the Weimar Republic – and afterwards – in the first 20 years of the Federal Republic)? The answer is complicated: it starts with an academic exchange programme between Germany and the USA which brought the young post-doc Eduard Baumgarten in the mid -20ties to America and put him in contact with John Dewey and some of his pupils. After his return in 1929 he hoped to write and teach about pragmatism. This project came to an abrupt end, when Martin Heidegger denied him a promised position at the university of Freiburg. After the Nazi “seizure of power” the situation became worse when a completely negative expert opinion by Heidegger, by then the leading Nazi philosopher, blocked Baumgartens habilitation in Göttingen. Baumgarten fought back and established ties to a rising star in Nazi-philosophy, Alfred Baeumler, a devoted follower of Nietzsche’s “Will to Power.” This move secured in the end the publication of Baumgarten´s two books on American philosophy and especially on pragmatism. But this triumph came at a cost: a “reinterpretation” of the democratic content of pragmatism and an effort to show similarities between it and Nietzsche´s </w:t>
      </w:r>
    </w:p>
    <w:p>
      <w:pPr/>
      <w:r>
        <w:rPr>
          <w:b/>
        </w:rPr>
        <w:t>POSSIBLE 2019:</w:t>
      </w:r>
      <w:r>
        <w:t xml:space="preserve"> The Third Wave of LCA as the “Decade of Consolidation” — https://doi.org/10.3390/su11123283</w:t>
      </w:r>
    </w:p>
    <w:p>
      <w:pPr/>
      <w:r>
        <w:rPr>
          <w:b/>
        </w:rPr>
        <w:t>Shared claim-specific concepts:</w:t>
      </w:r>
      <w:r>
        <w:t xml:space="preserve"> third, show, methods; EU scope not established. This is a provisional connection, not an outcome finding.</w:t>
      </w:r>
    </w:p>
    <w:p>
      <w:pPr>
        <w:pStyle w:val="SourceNote"/>
      </w:pPr>
      <w:r>
        <w:rPr>
          <w:b/>
        </w:rPr>
        <w:t>Available abstract (not full text):</w:t>
      </w:r>
      <w:r>
        <w:t xml:space="preserve"> Several authors have pointed out the importance of systems thinking, and have considered both environmental and social aspects (holistic perspective) of sustainability assessment in the past. Sustainability assessment tools which integrate different aspects (e.g., environmental/social aspects) in order to identify negative impacts have already been developed. Common tools used to assess environmental, social, or economic impacts include the life cycle assessment (LCA), social life cycle assessment (S-LCA), life cycle costing (LCC) and life cycle sustainability assessment (LCSA) approaches. The goal of the present study was to investigate how and to what extent the three dimensions of sustainability (environmental, social, economic; holistic sustainability perspective) have been integrated into the field of LCA. A topic modeling method was applied to examine whether the emphasis placed on integrating environmental, social, and economic aspects in sustainability assessment has resulted in a more comprehensive application of the LCA approach. The results show that topics related to energy and infrastructure are currently prevailing, and that topics related to methods have been decreasing since 1997. A minor discussion of social aspects and a lack of discussion on economic aspects were identified in the present study. These results do not support the predicted “decade of life cycle</w:t>
      </w:r>
    </w:p>
    <w:p>
      <w:pPr>
        <w:pStyle w:val="Heading2"/>
      </w:pPr>
      <w:r>
        <w:t>845.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2022:</w:t>
      </w:r>
      <w:r>
        <w:t xml:space="preserve"> Colour, Light, and Materiality: Biophilic Interior Design Presence in Research and Practice — https://doi.org/10.7454/in.v5i1.189</w:t>
      </w:r>
    </w:p>
    <w:p>
      <w:pPr/>
      <w:r>
        <w:rPr>
          <w:b/>
        </w:rPr>
        <w:t>Shared claim-specific concepts:</w:t>
      </w:r>
      <w:r>
        <w:t xml:space="preserve"> light, developed, identified; EU scope not established. This is a provisional connection, not an outcome finding.</w:t>
      </w:r>
    </w:p>
    <w:p>
      <w:pPr>
        <w:pStyle w:val="SourceNote"/>
      </w:pPr>
      <w:r>
        <w:rPr>
          <w:b/>
        </w:rPr>
        <w:t>Available abstract (not full text):</w:t>
      </w:r>
      <w:r>
        <w:t xml:space="preserve"> The biophilic design hypothesis uses nature-based environmental design for optimising people’s health and well-being. Stephen Kellert in 2008 developed a list of biophilic attributes that was further refined in the Biophilic Interior Design Matrix (BID-M) to specifically support the interior application of biophilic design for health and well-being. The present study further investigates biophilic interior design using the BID-M language and the key interior design components colour, light, and materiality. The first part of the study reviewed four decades of literature related to biophilia and colour, light, and materiality to investigate a total of 19 publications. The second part of the study explored the perceptions of 23 design practitioners' and the use of biophilia related to colour, light, and materiality in their practice. For the first time, evidence was identified about colour, light, and materiality being linked to biophilic design and the attributes in the BID-M. The study results showed colour preferences were the most frequently identified theme, and practitioners used a variety of biophilic attributes in their practice. The top attributes shared by both the literature review and practitioners were the abstraction of nature, composition, natural light, and natural materials. This finding shows that there is a focus on biophilic attributes in both research and pra</w:t>
      </w:r>
    </w:p>
    <w:p>
      <w:pPr/>
      <w:r>
        <w:rPr>
          <w:b/>
        </w:rPr>
        <w:t>POSSIBLE 2020:</w:t>
      </w:r>
      <w:r>
        <w:t xml:space="preserve"> Light opens a new window for N-heterocyclic carbene catalysis — https://doi.org/10.1039/d0sc03595e</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N-Heterocyclic carbenes (NHCs) are efficient Lewis basic catalysts for the umpolung of various polarized unsaturated compounds usually including aldehydes, imines, acyl chlorides and activated esters. NHC catalysis involving electron pair transfer steps has been extensively studied; however, NHC catalysis through single-electron transfer (SET) processes, despite having the potential to achieve chemical transformations of inert chemical bonds and using green reagents, has long been a challenging task in organic synthesis. In parallel, visible-light-induced photocatalysis and photoexcitation have been established as powerful tools to facilitate sustainable organic synthesis, as they enable the generation of various reactive radical intermediates under extremely mild conditions. Recently, a number of elegant visible-light-induced, NHC-catalyzed transformations were developed for accessing valuable organic compounds. As a result, this minireview will highlight the recent advances in this field.</w:t>
      </w:r>
    </w:p>
    <w:p>
      <w:pPr/>
      <w:r>
        <w:rPr>
          <w:b/>
        </w:rPr>
        <w:t>POSSIBLE 2020:</w:t>
      </w:r>
      <w:r>
        <w:t xml:space="preserve"> Exploration of Emerging Microreactors, and Investigation into the Size Options of Light Water Nuclear Reactors for Prospective Microreactor Designs — https://openalex.org/W3111435069</w:t>
      </w:r>
    </w:p>
    <w:p>
      <w:pPr/>
      <w:r>
        <w:rPr>
          <w:b/>
        </w:rPr>
        <w:t>Shared claim-specific concepts:</w:t>
      </w:r>
      <w:r>
        <w:t xml:space="preserve"> light, developed, options, identified; EU scope not established. This is a provisional connection, not an outcome finding.</w:t>
      </w:r>
    </w:p>
    <w:p>
      <w:pPr>
        <w:pStyle w:val="SourceNote"/>
      </w:pPr>
      <w:r>
        <w:rPr>
          <w:b/>
        </w:rPr>
        <w:t>Available abstract (not full text):</w:t>
      </w:r>
      <w:r>
        <w:t xml:space="preserve"> In response to the economic realities of the American nuclear market, numerous corporations have formed with the goal of bringing new types of nuclear reactor designs to market. A survey was undertaken of these emerging small modular reactor and microreactor designs, with the NuScale Power Module (NPM) identified as a technological forerunner. A neutronics model of this reactor was developed and used to characterize and explore miniaturization alternatives for the development of a light water microreactor based on the proposed reduced size NPM. This model was characterized and the design iterated to arrive at a potential candidate light water micro reactor. Available literature on proposed nuclear reactor designs was reviewed. Government documentation, NRC applications, and company released technical details were collected to present an overview of design alternatives. Of these designs the NuScale reactor alternative was found to have the greatest technological readiness and availability of engineering detail. Using these details, a monte carlo N-particle (MCNP) neutronics model was developed and used to explore options by which this core could be miniaturized. Using a reduced number of assemblies with graphite reflectors, a reactor model was developed that offered the same performance of the proposed reduced size NPM. \nThis design has a two and three quarter year lifespan pro</w:t>
      </w:r>
    </w:p>
    <w:p>
      <w:pPr/>
      <w:r>
        <w:rPr>
          <w:b/>
        </w:rPr>
        <w:t>POSSIBLE 2020:</w:t>
      </w:r>
      <w:r>
        <w:t xml:space="preserve"> Making LiGHT Work of Large Area Survey? Developing Approaches to Rapid Archaeological Mapping and the Creation of Systematic National-scaled Heritage Data — https://doi.org/10.5334/jcaa.49</w:t>
      </w:r>
    </w:p>
    <w:p>
      <w:pPr/>
      <w:r>
        <w:rPr>
          <w:b/>
        </w:rPr>
        <w:t>Shared claim-specific concepts:</w:t>
      </w:r>
      <w:r>
        <w:t xml:space="preserve"> light, strategic, across, different, areas, landscape; EU scope not established. This is a provisional connection, not an outcome finding.</w:t>
      </w:r>
    </w:p>
    <w:p>
      <w:pPr>
        <w:pStyle w:val="SourceNote"/>
      </w:pPr>
      <w:r>
        <w:rPr>
          <w:b/>
        </w:rPr>
        <w:t>Available abstract (not full text):</w:t>
      </w:r>
      <w:r>
        <w:t xml:space="preserve"> The characteristics and form of heritage data are fundamental to its utility in a range of applications, particularly so for heritage agencies who have a remit in management, policy, and the creation and curation of national databases of monuments, sites, and landscapes. Written from the perspective of an archaeological survey function in a national heritage agency, this paper draws on preliminary outcomes from a research and development project that aims to proof protocols for creating systematic data across large areas drawing heavily on remotely sensed data. This recognises that a systemic consideration of the implications of changing technology and data is sometimes desirable, rather than gradual assimilation of developments into existing practice. In particular, the issues being addressed relate to the challenges and opportunities of proliferating remote sensed data and digital workflows. These include the strategic assessment of threat, consideration of fitness for purpose of different datasets relative to landscape characteristics, the documentation of processes and sources of information, the suitability of data structures, and the mechanisms for automating site detection and data creation.</w:t>
      </w:r>
    </w:p>
    <w:p>
      <w:pPr/>
      <w:r>
        <w:rPr>
          <w:b/>
        </w:rPr>
        <w:t>POSSIBLE 2019:</w:t>
      </w:r>
      <w:r>
        <w:t xml:space="preserve"> Developing a vector light sensor — https://openalex.org/W2947760590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Over the past few decades, numerous sensors have been invented for the measurement of light intensity.In most cases, a setup external to the sensor is required to detect the direction of an incoming beam of light.In this work, the design, fabrication, and characterization of a novel light sensor is described.The three-dimensional structure of the sensor allows it to detect both the intensity as well as the direction of the incident light beam, hence becoming a vector light sensor (VLS).The sensor structure is based on creating photodiodes on sidewalls of miniaturized raised or inverted pyramids etched in silicon.Each photodiode was formed by selective doping of the material on each facet of the pyramid, forming a photodiode with the P-type substrate.A set of signal processing algorithms was developed to estimate the direction and the distance of a light source from the sensors.The light sensing devices with both raised and inverted pyramid structures were then fabricated in a cleanroom based on silicon microfabrication technologies.Throughout the process, the lithography step for the textured surface needed to be optimized.An interface circuit was designed and used to amplify and process the signals from the devices.The device operation was verified experimentally to estimate the direction of a light beam.The small size and low power consumption of the individual sensors make t</w:t>
      </w:r>
    </w:p>
    <w:p>
      <w:pPr/>
      <w:r>
        <w:rPr>
          <w:b/>
        </w:rPr>
        <w:t>POSSIBLE 2019:</w:t>
      </w:r>
      <w:r>
        <w:t xml:space="preserve"> Development of computer simulations to overcome students misconceptions on light and optical instruments — https://doi.org/10.1088/1742-6596/1321/3/032074</w:t>
      </w:r>
    </w:p>
    <w:p>
      <w:pPr/>
      <w:r>
        <w:rPr>
          <w:b/>
        </w:rPr>
        <w:t>Shared claim-specific concepts:</w:t>
      </w:r>
      <w:r>
        <w:t xml:space="preserve"> light, developed, set, assessed; EU scope not established. This is a provisional connection, not an outcome finding.</w:t>
      </w:r>
    </w:p>
    <w:p>
      <w:pPr>
        <w:pStyle w:val="SourceNote"/>
      </w:pPr>
      <w:r>
        <w:rPr>
          <w:b/>
        </w:rPr>
        <w:t>Available abstract (not full text):</w:t>
      </w:r>
      <w:r>
        <w:t xml:space="preserve"> Abstract This study aims to develop computer simulations on light and optical instruments topic for junior high school students. The simulations are developed according to the students’ misconception having assessed with two-tier multiple choices test of light and optical instruments concept. The simulations are reviewed by six science teachers to gain comments and suggestion for further development using a set of questionnaires which consists of 10 items with 5-point Likert scale. The items of the instrument are created to assess simulations from aspects of content explanation and its deepness, display, language use, content, curriculum, and students’ misconception. The results of the study show that: (1) The computer simulations program is suited with the contents in the science curriculum, (2) The quality of computer simulations based on science teacher responses is in very good criteria. In conclusion, computer simulations are feasible for junior high school students to overcome misconceptions on light and optical instruments concept.</w:t>
      </w:r>
    </w:p>
    <w:p>
      <w:pPr/>
      <w:r>
        <w:rPr>
          <w:b/>
        </w:rPr>
        <w:t>POSSIBLE 2019:</w:t>
      </w:r>
      <w:r>
        <w:t xml:space="preserve"> Live-work options in light industrial areas: District of Sechelt — https://doi.org/10.25316/ir-7083</w:t>
      </w:r>
    </w:p>
    <w:p>
      <w:pPr/>
      <w:r>
        <w:rPr>
          <w:b/>
        </w:rPr>
        <w:t>Shared claim-specific concepts:</w:t>
      </w:r>
      <w:r>
        <w:t xml:space="preserve"> light, options, different, areas; EU scope not established. This is a provisional connection, not an outcome finding.</w:t>
      </w:r>
    </w:p>
    <w:p>
      <w:pPr>
        <w:pStyle w:val="SourceNote"/>
      </w:pPr>
      <w:r>
        <w:rPr>
          <w:b/>
        </w:rPr>
        <w:t>Available abstract (not full text):</w:t>
      </w:r>
      <w:r>
        <w:t xml:space="preserve"> The purpose of this research is to determine options for the District of Sechelt to allow for housing in light industrial zones. Light industrial areas in a community are generally not considered desirable neighbourhoods for residential development, with the exception of caretaker or security housing. However, a new approach that recognizes the compatibility of light industrial land uses with housing as live-work is evolving and can provide residents with a unique lifestyle. This study provides research into all aspects of live-work with a specific focus on light industrial/residential combinations. Three case studies provide different perspectives on mixed-use zoning. Given the changing nature of uses on industrial lands, new forms of zoning can offer a wider range of options to urban residents.</w:t>
      </w:r>
    </w:p>
    <w:p>
      <w:pPr>
        <w:pStyle w:val="Heading2"/>
      </w:pPr>
      <w:r>
        <w:t>846.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r>
        <w:rPr>
          <w:b/>
        </w:rPr>
        <w:t>POSSIBLE 2023:</w:t>
      </w:r>
      <w:r>
        <w:t xml:space="preserve"> How to Create Serious Games? Proposal for a Participatory Methodology — https://doi.org/10.17083/ijsg.v10i4.642</w:t>
      </w:r>
    </w:p>
    <w:p>
      <w:pPr/>
      <w:r>
        <w:rPr>
          <w:b/>
        </w:rPr>
        <w:t>Shared claim-specific concepts:</w:t>
      </w:r>
      <w:r>
        <w:t xml:space="preserve"> developed, participatory, methodology; EU scope not established. This is a provisional connection, not an outcome finding.</w:t>
      </w:r>
    </w:p>
    <w:p>
      <w:pPr>
        <w:pStyle w:val="SourceNote"/>
      </w:pPr>
      <w:r>
        <w:rPr>
          <w:b/>
        </w:rPr>
        <w:t>Available abstract (not full text):</w:t>
      </w:r>
      <w:r>
        <w:t xml:space="preserve"> The demand for practical, engaging, and enjoyable learning experiences has led to a shift in student preferences. Students now seek active learning approaches that prioritize their involvement and utilize technology. In response to this demand, simulators and serious games have emerged as effective strategies in education. Serious games offer numerous benefits, including the promotion of critical thinking, creativity, problem-solving skills, and improved knowledge retention. However, it is crucial to ensure that serious games are well-designed to maintain their appeal and playful nature. Inadequate requirements definition during the initial stages of development can lead to issues in game design. This article emphasizes the importance of establishing clear requirements and objectives in the creation of serious games for educational purposes. By doing so, effective serious games can be developed that meet the needs of students and align with educational goals. This systematic approach to game development ensures that the games are engaging, effective, and conducive to learning.</w:t>
      </w:r>
    </w:p>
    <w:p>
      <w:pPr/>
      <w:r>
        <w:rPr>
          <w:b/>
        </w:rPr>
        <w:t>POSSIBLE 2022:</w:t>
      </w:r>
      <w:r>
        <w:t xml:space="preserve"> Computer‐aided scenario design using participatory backcasting: A case study of sustainable vision creation in a Japanese city — https://doi.org/10.1002/ffo2.141</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Designing backcasting scenarios is a powerful approach to the development of sustainable visions and pathways for governments or enterprises in the early stage of their policy‐making or strategic decision‐making process. To date, a number of scholars have proposed various backcasting methods, in which workshops are often used to reflect the voices of stakeholders. However, it is still a challenge to test the validity of scenarios because the process of designing backcasting scenarios is not transparent or shared among involved stakeholders. This also prevents reusing knowledge and intermediate outputs generated during the scenario design process. To solve these problems, this paper aims to develop a method for supporting a backcasting scenario design by introducing computational assistance. A scenario design support system called the sustainable society scenario (3S) simulator is used to visualize a scenario's logical sequence of the scenario in graph format. To demonstrate the proposed method, a case study for the city of Toyama, a Japanese municipality, was performed using three workshops with citizen participation. The results showed that two different scenarios, involving future visions and associated pathways, were developed by reflecting the diversified values of local citizens. The usage of the 3S simulator visualized the logical relations of the described scena</w:t>
      </w:r>
    </w:p>
    <w:p>
      <w:pPr/>
      <w:r>
        <w:rPr>
          <w:b/>
        </w:rPr>
        <w:t>POSSIBLE 2022:</w:t>
      </w:r>
      <w:r>
        <w:t xml:space="preserve"> Envisioning the driverless city using backcasting and Q-methodology — https://doi.org/10.1016/j.cities.2022.104159</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Despite the expected future introduction of autonomous vehicles in cities, very few studies have analysed the needs and challenges facing urban planning. This paper employs a combination of backcasting and Q-methodology to carry out participatory visioning for a future driverless city. This novel approach was used to elaborate shared visions of the desirable city among a group of 20 citizens and 10 practitioners. Views on 41 statements were analysed relating to urban design, society, environment, transport and mobility needs. Three main visions were identified. The first focuses on high-quality urban spaces and active mobility. The second vision is more futuristic and pro-social, consistent with the more imaginative and innovative stance of young people. The third vision is more conventional and closer to business-as-usual. The results suggest that there is some agreement on the future conditions and policies, especially on the need for environmentally friendly urban development and safe urban design. The article is premised on the belief that engaging stakeholders from different backgrounds, including citizens of various ages, can be enriching for urban planning since there is a wide variety of heterogeneous preferences across society. This requires a search for common ground when designing policy measures that satisfy multiple interests.</w:t>
      </w:r>
    </w:p>
    <w:p>
      <w:pPr/>
      <w:r>
        <w:rPr>
          <w:b/>
        </w:rPr>
        <w:t>POSSIBLE 2021:</w:t>
      </w:r>
      <w:r>
        <w:t xml:space="preserve"> Gamification of backcasting for sustainability: The development of the gameful backcasting framework (GAMEBACK) — https://doi.org/10.1016/j.jclepro.2021.126609</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Considering how wicked problems, such as overconsumption, climate change, or the management of the COVID-19 pandemic rely on multiple stakeholder groups’ deliberation, this study investigates gamification’s potential in participatory backcasting processes to support the emergence and growth of social innovations towards sustainability. Gameful methodologies have progressively been introduced into strategic planning processes, futures research, and transition studies, offering a powerful input to participatory backcasting processes. As gamification is a novel and impactful way to motivate and engage participants to take action during and after the participatory process, this study develops a framework for practitioners to gamify backcasting processes. Developed through state-of-the-art review of extant corpus as well as two cases of gamified participatory backcasting, the framework elucidates how participatory backcasting processes that include gamification elements designed to address engagement do have an impact on the participants, particularly in terms of the process being a positive, co-creative experience, and offer a good foundation for posterior actions.</w:t>
      </w:r>
    </w:p>
    <w:p>
      <w:pPr/>
      <w:r>
        <w:rPr>
          <w:b/>
        </w:rPr>
        <w:t>POSSIBLE 2021:</w:t>
      </w:r>
      <w:r>
        <w:t xml:space="preserve"> Future export markets of industrial wood construction – A qualitative backcasting study — https://doi.org/10.1016/j.forpol.2021.102480</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The forest sector can play a major role in the transformation to a sustainable bioeconomy, driven by climate change, population growth, and accelerated urbanization. However, in most contexts, the industrial wood construction markets, as a promising field for sustainable bioeconomy, are still at a niche level. The analysis in this study concerns the preferred future export markets for industrial wood construction for the Finnish wood construction industry, as viewed by a panel of industrial, policy and academic experts.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 Thirty-five experts formed a panel which produced five visions of the development of industrial wood construction sector exports from Finland, covering the period 2020–2030. All the visions foresaw that the domestic market needs to develop first, to build up the competencies needed to fuel the growth in the exports. Asia, particularly China with its rapidly growing markets, and Europe, with its growing sustainability awareness, commonly appeared as the most promising areas for export growth. The resulting visions differed in terms</w:t>
      </w:r>
    </w:p>
    <w:p>
      <w:pPr/>
      <w:r>
        <w:rPr>
          <w:b/>
        </w:rPr>
        <w:t>POSSIBLE 2021:</w:t>
      </w:r>
      <w:r>
        <w:t xml:space="preserve"> Participatory policy design in system innovation — https://doi.org/10.1080/25741292.2021.1887592</w:t>
      </w:r>
    </w:p>
    <w:p>
      <w:pPr/>
      <w:r>
        <w:rPr>
          <w:b/>
        </w:rPr>
        <w:t>Shared claim-specific concepts:</w:t>
      </w:r>
      <w:r>
        <w:t xml:space="preserve"> developed, participatory; EU scope not established. This is a provisional connection, not an outcome finding.</w:t>
      </w:r>
    </w:p>
    <w:p>
      <w:pPr>
        <w:pStyle w:val="SourceNote"/>
      </w:pPr>
      <w:r>
        <w:rPr>
          <w:b/>
        </w:rPr>
        <w:t>Available abstract (not full text):</w:t>
      </w:r>
      <w:r>
        <w:t xml:space="preserve"> Governments are affected by an unprecedented technological acceleration that is transforming societies. Most technologies unfold in complex and unpredictable ways. Unfolding technologies have been both a source of societal and environmental challenges as well as a possible response to address them. This complexity challenges the ability of policy makers to recognize the systemic dimension of innovation and to learn from stakeholders engagement. For these reasons, sustainable transitions have progressively become a policy discourse on how to guide innovation trajectories. In this paper, we argue that a system innovation approach has great potential for governments to improve their policy design for sustainable transitions. This participatory approach requires a more systemic understanding of technological change and a better organization of stakeholder engagement than most traditional practices (e.g. an evidence-driven, technocratic or an idealistic, consensus approach) can offer. How can a participatory policy design tool with a strong emphasis on sustainable transitions be developed? In this paper, we applied a reflexive understanding of knowledge creation in stakeholder networks to develop such a tool in accordance with a system innovation approach.</w:t>
      </w:r>
    </w:p>
    <w:p>
      <w:pPr/>
      <w:r>
        <w:rPr>
          <w:b/>
        </w:rPr>
        <w:t>POSSIBLE 2020:</w:t>
      </w:r>
      <w:r>
        <w:t xml:space="preserve"> Combining participatory games and backcasting to support collective scenario evaluation: an action research approach for sustainable agroforestry landscape management — https://doi.org/10.1007/s11625-020-00829-3</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The combined and interacting effects of land-use change, resource extraction and climate change threaten the sustainability of millions of mainly smallholder farms in tropical agroforested landscapes. In many of these landscapes, coordinated action among stakeholders at landscape level would help to address challenges such as pests and diseases, price crises and climate change. However, methods to facilitate the co-production of sustainable landscape management in such complex multi-stakeholder systems are currently largely lacking. In this paper, we present a novel approach to explore pathways for the sustainability transition of agroforestry systems. By combining participatory forecasting and backcasting approaches, based on serious games and future vision development, we explore relevant agroforestry management strategies for reaching sustainable future coffee-based agroforestry landscapes. We focused our research on the challenges faced in the main coffee-producing area in Nicaragua. Here, we organized five participatory game sessions to explore farmer decision-making processes, farming strategies and to develop new networks and stimulate social learning among farmers. In the associated backcasting workshop, the most influential game session participants joined technicians, researchers and municipality officials to collectively envision sustainable future landscape</w:t>
      </w:r>
    </w:p>
    <w:p>
      <w:pPr>
        <w:pStyle w:val="Heading2"/>
      </w:pPr>
      <w:r>
        <w:t>847.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Mediatization Of Electoral Processes In Europe — https://doi.org/10.15405/epsbs.2021.05.02.150</w:t>
      </w:r>
    </w:p>
    <w:p>
      <w:pPr/>
      <w:r>
        <w:rPr>
          <w:b/>
        </w:rPr>
        <w:t>Shared claim-specific concepts:</w:t>
      </w:r>
      <w:r>
        <w:t xml:space="preserve"> network, ideas, one; EU scope visible. This is a provisional connection, not an outcome finding.</w:t>
      </w:r>
    </w:p>
    <w:p>
      <w:pPr>
        <w:pStyle w:val="SourceNote"/>
      </w:pPr>
      <w:r>
        <w:rPr>
          <w:b/>
        </w:rPr>
        <w:t>Available abstract (not full text):</w:t>
      </w:r>
      <w:r>
        <w:t xml:space="preserve"> The material considers political manipulation in social networks, which is one of the important political aspects of communication in election campaigns. The aim of the study is to identify the features of the use of political manipulation technologies in European social networks based on an analysis of the presidential elections in France. The material demonstrates the different uses of social networks (Facebook, Twitter, Telegram and others) in the presidential election campaigns in France in 2012 and 2017 with an emphasis on the younger generation, due to the greatest susceptibility to hidden management, because they are more impulsive and do not have distinct life landmarks. Social networks and platforms are considered as a tool for changing and complementing traditional media. Political programs are considered as a start to the stream of comments on the social network Twitter on television; joining a TV audience to a social network for a detailed analysis of the biography of politicians; considered television as a mediator of ideas in this case. The material also provides an example of an analysis of the digitalization risks of the election campaign in France during the presidential election, the use of specially created computer games, as well as bots during election campaigns. The material in some cases compares the use of social networks in France and Russia, a forecast</w:t>
      </w:r>
    </w:p>
    <w:p>
      <w:pPr/>
      <w:r>
        <w:rPr>
          <w:b/>
        </w:rPr>
        <w:t>POSSIBLE 2020:</w:t>
      </w:r>
      <w:r>
        <w:t xml:space="preserve"> Recent Evolutions of Gender, State Feminism and Care Models in Latin America and Europe — https://doi.org/10.1007/978-3-030-48442-2_12</w:t>
      </w:r>
    </w:p>
    <w:p>
      <w:pPr/>
      <w:r>
        <w:rPr>
          <w:b/>
        </w:rPr>
        <w:t>Shared claim-specific concepts:</w:t>
      </w:r>
      <w:r>
        <w:t xml:space="preserve"> recent, process, one; EU scope visible. This is a provisional connection, not an outcome finding.</w:t>
      </w:r>
    </w:p>
    <w:p>
      <w:pPr>
        <w:pStyle w:val="SourceNote"/>
      </w:pPr>
      <w:r>
        <w:rPr>
          <w:b/>
        </w:rPr>
        <w:t>Available abstract (not full text):</w:t>
      </w:r>
      <w:r>
        <w:t xml:space="preserve"> Abstract This chapter presents and characterises the way in which, in the twenty-first century, after years of feminist struggles inside and outside of institutions, gender relations are organised in the different countries of the INCASI project (on the European side, Spain, Italy, Finland, France and the United Kingdom, on the side of the South American Southern Cone, Argentina, Brazil, Chile and Uruguay). It pays special attention to the implementation of feminist issues on political agendas, and in particular the assignment of women to unpaid care work—an aspect of the power continuum that we look to relate to other aspects. Gradually and for almost a century all countries in both continents have granted women the status of subjects, citizens and employees. However, the conditions, challenges and timelines of this process differ considerably from one continent to another, so they need to be addressed separately. The neoliberal era did not have the same impact in Europe as it did in South America (nor was it exactly the same between particular European countries or among South American ones).</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looks, perspectives;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The European Union and social policy — https://doi.org/10.4324/9780429244681-26</w:t>
      </w:r>
    </w:p>
    <w:p>
      <w:pPr/>
      <w:r>
        <w:rPr>
          <w:b/>
        </w:rPr>
        <w:t>Shared claim-specific concepts:</w:t>
      </w:r>
      <w:r>
        <w:t xml:space="preserve"> specifically, looks, recent, particularly; EU scope visible. This is a provisional connection, not an outcome finding.</w:t>
      </w:r>
    </w:p>
    <w:p>
      <w:pPr>
        <w:pStyle w:val="SourceNote"/>
      </w:pPr>
      <w:r>
        <w:rPr>
          <w:b/>
        </w:rPr>
        <w:t>Available abstract (not full text):</w:t>
      </w:r>
      <w:r>
        <w:t xml:space="preserve"> This chapter outlines the development and role of the European Union as the world’s largest multi-state governance organisation. The chapter first explores at the origins and development of the EU, including the key points of growth in membership and in policy. In the chapter’s next section, we explore the structure of the EU, including questions around how far we can consider the EU to be a democratic body and the ways in which the EU makes social policy. Following this, the chapter explores some of the difficulties the EU has faced in recent years, focusing particularly on Eurozone crisis and the growth of nationalism and Euroscepticism, including the 2016 Brexit vote and 2019 political decision to exit the EU from the UK. The chapter then looks specifically at several aspects of European social policy, including the importance of the Charter of Fundamental Rights of the European Union and social policy directed at families, the elderly and disabled people, and around education and training. The chapter finishes with a brief look at the future of the European Union in a changing world and then summarises the key learning.</w:t>
      </w:r>
    </w:p>
    <w:p>
      <w:pPr/>
      <w:r>
        <w:rPr>
          <w:b/>
        </w:rPr>
        <w:t>POSSIBLE 2020:</w:t>
      </w:r>
      <w:r>
        <w:t xml:space="preserve"> European Legal Networks in Crisis: The Legal Construction of Economic Policy — https://openalex.org/W3038444293</w:t>
      </w:r>
    </w:p>
    <w:p>
      <w:pPr/>
      <w:r>
        <w:rPr>
          <w:b/>
        </w:rPr>
        <w:t>Shared claim-specific concepts:</w:t>
      </w:r>
      <w:r>
        <w:t xml:space="preserve"> process, network, developed, context; EU scope visible. This is a provisional connection, not an outcome finding.</w:t>
      </w:r>
    </w:p>
    <w:p>
      <w:pPr>
        <w:pStyle w:val="SourceNote"/>
      </w:pPr>
      <w:r>
        <w:rPr>
          <w:b/>
        </w:rPr>
        <w:t>Available abstract (not full text):</w:t>
      </w:r>
      <w:r>
        <w:t xml:space="preserve"> This dissertation investigates how legal and policy professionals have legally constructed the economic policy and governance of the EU since the beginning of the Eurozone crisis onwards. It follows the legal and policy professionals who received the mandate to enable and consolidate solutions, as well as defend these solutions in court. By tracing the practices and trajectories of these agents, I show how, during an unfolding crisis, economic policy and governance becomes legally constructed and changes the terms of legitimation for EU economic governance. The stakes involved for the professionals involved also change. In this way, the dissertation speaks to the question of how intrusive political power has been legitimated during the Eurozone crisis and what this means for the legitimacy of European governance. Theoretically, this thesis develops a Bourdieusian field approach that is adapted to the transnational and diachronic context of the Eurozone crisis, as it unfolded from the end of 2009 until the adjudication of key high-profile court cases before the Court of Justice of the European Union. Drawing on boundary work, bricolage, and network interactions to analyse the practices of legal and policy professionals, the process of enabling and consolidating solutions is elaborated. Attention is given to how this process engenders stakes for the professionals in this emerging</w:t>
      </w:r>
    </w:p>
    <w:p>
      <w:pPr>
        <w:pStyle w:val="Heading2"/>
      </w:pPr>
      <w:r>
        <w:t>848.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2021:</w:t>
      </w:r>
      <w:r>
        <w:t xml:space="preserve"> Evaluating the systematic risk and its impact on profitability and liquidity; evidence from European countries — https://doi.org/10.1504/ijesb.2021.10040605</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2020:</w:t>
      </w:r>
      <w:r>
        <w:t xml:space="preserve"> Impact of sex and gender on COVID-19 outcomes in Europe — https://doi.org/10.1186/s13293-020-00304-9</w:t>
      </w:r>
    </w:p>
    <w:p>
      <w:pPr/>
      <w:r>
        <w:rPr>
          <w:b/>
        </w:rPr>
        <w:t>Shared claim-specific concepts:</w:t>
      </w:r>
      <w:r>
        <w:t xml:space="preserve"> well, review;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2020:</w:t>
      </w:r>
      <w:r>
        <w:t xml:space="preserve"> Evaluating the impact of viewing location on view perception using a virtual environment — https://doi.org/10.1016/j.buildenv.2020.106932</w:t>
      </w:r>
    </w:p>
    <w:p>
      <w:pPr/>
      <w:r>
        <w:rPr>
          <w:b/>
        </w:rPr>
        <w:t>Shared claim-specific concepts:</w:t>
      </w:r>
      <w:r>
        <w:t xml:space="preserve"> view, evaluating; EU scope not established. This is a provisional connection, not an outcome finding.</w:t>
      </w:r>
    </w:p>
    <w:p>
      <w:pPr>
        <w:pStyle w:val="SourceNote"/>
      </w:pPr>
      <w:r>
        <w:rPr>
          <w:b/>
        </w:rPr>
        <w:t>Available abstract (not full text):</w:t>
      </w:r>
      <w:r>
        <w:t xml:space="preserve"> Window views are an important design feature in buildings. Views can impact the cognitive attention, psychological and physiological well-being of building occupants due to their ability to provide recovery in stressful working environments. The impact of viewing position on view perception as a result of the visual parallax effect resulted from occupants seeing a window from different relative positions in any given room has not been comprehensively investigated. In this study, view perception was evaluated using a physically-based 360° virtual environment at three different viewing locations: close, middle, and far. The three conditions were presented to thirty-two participants. The study employed a comprehensive method by collecting subjective and physiological evaluations. A stress-recovery methodology to assess restorativeness effects was used by presenting a window view observing period after a stressful task was performed. Subjective assessments included questions on view restorative ability, view content and size preferences, view valance/arousal, and positive and negative affects. Physiological measures included skin conductance, heart rate, and heart rate variability. Results showed significant differences in subjective parameters and measures of skin conductance. Decreased view quality was reported as participants observed the view from the further viewing locations </w:t>
      </w:r>
    </w:p>
    <w:p>
      <w:pPr/>
      <w:r>
        <w:rPr>
          <w:b/>
        </w:rPr>
        <w:t>POSSIBLE 2020:</w:t>
      </w:r>
      <w:r>
        <w:t xml:space="preserve"> The PROFOUND Database for evaluating vegetation models and simulating climate impacts on European forests — https://doi.org/10.5194/essd-12-1295-2020</w:t>
      </w:r>
    </w:p>
    <w:p>
      <w:pPr/>
      <w:r>
        <w:rPr>
          <w:b/>
        </w:rPr>
        <w:t>Shared claim-specific concepts:</w:t>
      </w:r>
      <w:r>
        <w:t xml:space="preserve"> evaluation, well, evaluating; EU scope visible. This is a provisional connection, not an outcome finding.</w:t>
      </w:r>
    </w:p>
    <w:p>
      <w:pPr>
        <w:pStyle w:val="SourceNote"/>
      </w:pPr>
      <w:r>
        <w:rPr>
          <w:b/>
        </w:rPr>
        <w:t>Available abstract (not full text):</w:t>
      </w:r>
      <w:r>
        <w:t xml:space="preserve"> Process-based vegetation models are widely used to predict local and global ecosystem dynamics and climate change impacts. Due to their complexity, they require careful parameterization and evaluation to ensure that projections are accurate and reliable. The PROFOUND Database (PROFOUND DB) provides a wide range of empirical data on European forests to calibrate and evaluate vegetation models that simulate climate impacts at the forest stand scale. A particular advantage of this database is its wide coverage of multiple data sources at different hierarchical and temporal scales, together with environmental driving data as well as the latest climate scenarios. Specifically, the PROFOUND DB provides general site descriptions, soil, climate, CO 2 , nitrogen deposition, tree and forest stand level, and remote sensing data for nine contrasting forest stands distributed across Europe. Moreover, for a subset of five sites, time series of carbon fluxes, atmospheric heat conduction and soil water are also available. The climate and nitrogen deposition data contain several datasets for the historic period and a wide range of future climate change scenarios following the Representative Concentration Pathways (RCP2.6, RCP4.5, RCP6.0, RCP8.5). We also provide pre-industrial climate simulations that allow for model runs aimed at disentangling the contribution of climate change to observed for</w:t>
      </w:r>
    </w:p>
    <w:p>
      <w:pPr/>
      <w:r>
        <w:rPr>
          <w:b/>
        </w:rPr>
        <w:t>POSSIBLE 2019:</w:t>
      </w:r>
      <w:r>
        <w:t xml:space="preserve"> Evaluating Academic Legal Research in Europe — https://doi.org/10.4337/9781788115506</w:t>
      </w:r>
    </w:p>
    <w:p>
      <w:pPr/>
      <w:r>
        <w:rPr>
          <w:b/>
        </w:rPr>
        <w:t>Shared claim-specific concepts:</w:t>
      </w:r>
      <w:r>
        <w:t xml:space="preserve"> evaluation, review, evaluating, action; EU scope visible. This is a provisional connection, not an outcome finding.</w:t>
      </w:r>
    </w:p>
    <w:p>
      <w:pPr>
        <w:pStyle w:val="SourceNote"/>
      </w:pPr>
      <w:r>
        <w:rPr>
          <w:b/>
        </w:rPr>
        <w:t>Available abstract (not full text):</w:t>
      </w:r>
      <w:r>
        <w:t xml:space="preserve"> Where rankings, journal impact factors, citation scores and time-consuming peer review processes are increasingly viewed as a nightmare in the natural and social sciences, law still seems to be an oasis of peace and tranquility in certain countries. Nevertheless, this book reveals that law is a discipline in transition, moving from a national towards a transnational focus, from managerial laissez faire towards research programming and output financing, from monodisciplinarity to multidisciplinarity, from implicit quality standards toward more explicit attention for theory-building and methodological accountability. Experts from all over Europe in this volume show how these developments already have a serious impact on the way in which academic legal research is being evaluated throughout Europe. We argue that law has the advantage of lagging behind. Legal scholars can learn from the mistakes in other disciplines. We still have time to develop our own quality indicators, methodological standards and evaluation methods, but action is required.</w:t>
      </w:r>
    </w:p>
    <w:p>
      <w:pPr/>
      <w:r>
        <w:rPr>
          <w:b/>
        </w:rPr>
        <w:t>POSSIBLE 2019:</w:t>
      </w:r>
      <w:r>
        <w:t xml:space="preserve"> Impact of the Electric Mobility Implementation on the Greenhouse Gases Production in Central European Countries — https://doi.org/10.3390/su11184948</w:t>
      </w:r>
    </w:p>
    <w:p>
      <w:pPr/>
      <w:r>
        <w:rPr>
          <w:b/>
        </w:rPr>
        <w:t>Shared claim-specific concepts:</w:t>
      </w:r>
      <w:r>
        <w:t xml:space="preserve"> view, expected; EU scope visible. This is a provisional connection, not an outcome finding.</w:t>
      </w:r>
    </w:p>
    <w:p>
      <w:pPr>
        <w:pStyle w:val="SourceNote"/>
      </w:pPr>
      <w:r>
        <w:rPr>
          <w:b/>
        </w:rPr>
        <w:t>Available abstract (not full text):</w:t>
      </w:r>
      <w:r>
        <w:t xml:space="preserve"> The preference and the development of electromobility are included among the priorities of transport policies in many European countries. This article deals with the issue of electric vehicle operation from the point of view of the environmental impact of electric power production, specifically the energy effectiveness of its production by utilizing primary power production sources. Differences in the effectiveness of the conversion of mixed forms of energy into electricity and their share in the process directly affect the final level of greenhouse gases (GHG) production, and thus the ecological footprint of electric vehicle operations. The specification of energy consumption and GHG production is based on the principles of the EN 16 258: 2012 standard, which considers legislative-regulated power plant effectiveness values, statistical values of GHG emissions from electricity production, and real energy consumption values of an electric vehicle fleet. The calculation takes into account the share of primary sources and the efficiency of electricity production and effectiveness of electricity distribution in each of the evaluated countries. The specific research study is performed by comparing measured parameters for individual countries chosen from the Central Europe region. The results of the study show that the quantification of the positive environmental consequences of incr</w:t>
      </w:r>
    </w:p>
    <w:p>
      <w:pPr>
        <w:pStyle w:val="Heading2"/>
      </w:pPr>
      <w:r>
        <w:t>849.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2023:</w:t>
      </w:r>
      <w:r>
        <w:t xml:space="preserve"> THE PROBLEM OF THE “DEFICIT OF DEMOCRACY” AS A THREAT TO THE VALUES OF THE EUROPEAN UNION — https://doi.org/10.32782/2524-0374/2023-4/158</w:t>
      </w:r>
    </w:p>
    <w:p>
      <w:pPr/>
      <w:r>
        <w:rPr>
          <w:b/>
        </w:rPr>
        <w:t>Shared claim-specific concepts:</w:t>
      </w:r>
      <w:r>
        <w:t xml:space="preserve"> article, democracy; EU scope visible. This is a provisional connection, not an outcome finding.</w:t>
      </w:r>
    </w:p>
    <w:p>
      <w:pPr>
        <w:pStyle w:val="SourceNote"/>
      </w:pPr>
      <w:r>
        <w:rPr>
          <w:b/>
        </w:rPr>
        <w:t>Available abstract (not full text):</w:t>
      </w:r>
      <w:r>
        <w:t xml:space="preserve"> Асірян С.Р., к.ю.н., асистент кафедри права Європейського Союзу Національний юридичний університет імені Ярослава Мудрого Бухова Д.М., студентка ІІІ курсу факультету прокуратури Національний юридичний університет імені Ярослава Мудрого Кречик А.С., студент ІІІ курсу факультету прокуратури Національний юридичний університет імені Ярослава Мудрого Статтю присвячено аналізу проблеми "дефіциту демократії" в Європейському Союзі.Розглянуто основні положення Договору про ЄС щодо демократичних принципів, зокрема дотримання принципу рівності громадян, принцип представницької демократії, вимоги до демократичності діяльності установ Союзу.Проаналізовано історію виникнення терміну "дефіцит демократії" та підходи до його визначення.Виділено основні причини існування даної проблеми в Європейському Союзі, такі як: нерівномірний розподіл влади, складні процеси прийняття рішень, менші повноваження Парламенту ЄС у сфері законотворчості порівняно з Європейською Комісією, брак прозорості, зростання абсентеїзму, технократичне управління та інші.Приділено увагу Лісабонському договору, що набрав чинності у 2009 році, положення якого внесли зміни в інституційні механізми з метою мінімізації проблеми демократичного дефіциту в Європейському Союзі: збільшення повноважень Європейського Парламенту, посилення ролі національних парламентів, підвищення прозорості процесів прийняття рішень та формування механі</w:t>
      </w:r>
    </w:p>
    <w:p>
      <w:pPr/>
      <w:r>
        <w:rPr>
          <w:b/>
        </w:rPr>
        <w:t>POSSIBLE 2022:</w:t>
      </w:r>
      <w:r>
        <w:t xml:space="preserve"> Democracy in Central Eastern Europe and European Union — https://doi.org/10.26417/202nch96</w:t>
      </w:r>
    </w:p>
    <w:p>
      <w:pPr/>
      <w:r>
        <w:rPr>
          <w:b/>
        </w:rPr>
        <w:t>Shared claim-specific concepts:</w:t>
      </w:r>
      <w:r>
        <w:t xml:space="preserve"> democracy, develop; EU scope visible. This is a provisional connection, not an outcome finding.</w:t>
      </w:r>
    </w:p>
    <w:p>
      <w:pPr>
        <w:pStyle w:val="SourceNote"/>
      </w:pPr>
      <w:r>
        <w:rPr>
          <w:b/>
        </w:rPr>
        <w:t>Available abstract (not full text):</w:t>
      </w:r>
      <w:r>
        <w:t xml:space="preserve"> Some of the countries in the region have contributed through assistance programs to develop and align their democracies with what the EU itself lobbies. EU aid to CEE is seen as a phenomenon of EU-perceived responsibility in the interaction of new democracies in Central and Eastern Europe. This paper will create a genuine study of the perceived responsibility for the development of democracies in these countries. It paints a clear picture of the development of democracy and the need for CEE countries to be under EU assistance. The assistance coming from this institution has given and continues to contribute to developing a democracy with strong executive foundations for society and beneficial to the region. In this way, the EU manages to achieve its objectives of achieving a federal union. When we say federal union we mean a Europe with the same democratic values and executive standards.In this paper the EU's responsibility for the new democracies of Central and Eastern Europe is seen in activities with EU programs to enhance institutions above democratic values. Having access to the issues facing the democracies of Central and Eastern Europe, the Council Acquis provides an overview in the field of democracy. The paper gives us the opportunity to look more closely at democratic forces in countries where the latter is still developing, aiming not only at the analysis of democrac</w:t>
      </w:r>
    </w:p>
    <w:p>
      <w:pPr/>
      <w:r>
        <w:rPr>
          <w:b/>
        </w:rPr>
        <w:t>POSSIBLE 2022:</w:t>
      </w:r>
      <w:r>
        <w:t xml:space="preserve"> DOES PANDEMIC DECLINED OR MAINTAINED DEMOCRACY? — https://doi.org/10.15642/sarpass.2022.1.2.125-148</w:t>
      </w:r>
    </w:p>
    <w:p>
      <w:pPr/>
      <w:r>
        <w:rPr>
          <w:b/>
        </w:rPr>
        <w:t>Shared claim-specific concepts:</w:t>
      </w:r>
      <w:r>
        <w:t xml:space="preserve"> article, maintaining, democracy, directions; EU scope not established. This is a provisional connection, not an outcome finding.</w:t>
      </w:r>
    </w:p>
    <w:p>
      <w:pPr>
        <w:pStyle w:val="SourceNote"/>
      </w:pPr>
      <w:r>
        <w:rPr>
          <w:b/>
        </w:rPr>
        <w:t>Available abstract (not full text):</w:t>
      </w:r>
      <w:r>
        <w:t xml:space="preserve"> This paper investigates two sides effects of COVID-19 pandemic on democracy in Indonesia. Majority articles on democracy and pandemic argue that COVID-19 pandemic has declined democracy in many countries, including Indonesia. This article, on the one hand agrees with the dominant argument, but on the other hand argues that the COVID-19 pandemic also contributed to maintain democracy. This paper bases democracy on Beetham's notion whose defined democracy as popular control over public affairs with the principles of equality and participation. In order to examine relationship between democracy and pandemic, we use three issues as case studies: the Minerba Bill, the Omnibus Law and data transparency issues. This paper uses qualitative methods and data obtained by literature study regarding civil society’s participation and control in public affairs during the last a year. Two main findings of this paper show that the pandemic has accelerated democratic decline trough two directions, they are from above and from below. Decline from above due to restrictions of freedom of speech and civil participation in public affairs. At the same time, decline from below occurred due to people cleavage in public health issues. In addition, disinformation spread by buzzer which redistributed by other people has been made this situation worse. Otherwise, pandemic also maintained democracy through s</w:t>
      </w:r>
    </w:p>
    <w:p>
      <w:pPr/>
      <w:r>
        <w:rPr>
          <w:b/>
        </w:rPr>
        <w:t>POSSIBLE 2022:</w:t>
      </w:r>
      <w:r>
        <w:t xml:space="preserve"> Threat or corrective to democracy? The relationship between populism and different models of democracy — https://doi.org/10.1111/1475-6765.12564</w:t>
      </w:r>
    </w:p>
    <w:p>
      <w:pPr/>
      <w:r>
        <w:rPr>
          <w:b/>
        </w:rPr>
        <w:t>Shared claim-specific concepts:</w:t>
      </w:r>
      <w:r>
        <w:t xml:space="preserve"> article, democracy, different; EU scope visible. This is a provisional connection, not an outcome finding.</w:t>
      </w:r>
    </w:p>
    <w:p>
      <w:pPr>
        <w:pStyle w:val="SourceNote"/>
      </w:pPr>
      <w:r>
        <w:rPr>
          <w:b/>
        </w:rPr>
        <w:t>Available abstract (not full text):</w:t>
      </w:r>
      <w:r>
        <w:t xml:space="preserve"> Abstract The phenomenon of populism and its relationship with modern democracy has gained considerable attention in recent years. This article aims at advancing our understanding of how populism affects different models of democracy and tests the proposed arguments empirically. Building on a large scholarly literature on populism and democracy, we take stock of existing arguments and theorize which democratic models may be affected by populism in a positive or negative way. Moreover, we move beyond the normative debate and analyse the effect of populism in power on different models of democracy empirically. We do so by merging data on populist governments in Europe and Latin America from 1995 until today with the Varieties of Democracy dataset, which enables us to capture the relationship between populism and different democratic models in these regions. Despite mixed‐theoretical expectations, our results suggest a rather negative impact of populism on the electoral, liberal and deliberative models of democracy.</w:t>
      </w:r>
    </w:p>
    <w:p>
      <w:pPr>
        <w:pStyle w:val="Heading2"/>
      </w:pPr>
      <w:r>
        <w:t>850.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The indicator-based measurement of the circular economy in the countries of the European Union — https://doi.org/10.17649/tet.36.2.3374</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The circular economy is an integral part of sustainable development as a new economic model, which is the opposite of the linear economy that is still in force today. In terms of its basics, we can speak of a sustainable economic system in which economic growth is completely decoupled from the use of resources, in order to reduce the use of natural resources and recycle them. In the study, the authors present the possibility of measuring the circular economy and establish a ranking for the 28 Member States of the European Union based on the created composite indicators measuring the circular economy. The values of the created CCEI index were compared with rankings produced by other researchers in similar and different ways. The goodness of the presented methodology is examined by comparing previous similar research results. The primary objective of the study is to create composite indicators and to analyse their comparability. Further aim is to characterise the leading and the tail-ender countries from which conclusions can be drawn regarding ranking and thus make them comparable. The research objective is achieved by using secondary data based on different Eurostat databases related to a sub-sector of the circular economy for the year 2018. The indicators of the circular economy were grouped according to four areas: production and consumption, waste management secondary raw ma</w:t>
      </w:r>
    </w:p>
    <w:p>
      <w:pPr/>
      <w:r>
        <w:rPr>
          <w:b/>
        </w:rPr>
        <w:t>POSSIBLE 2022:</w:t>
      </w:r>
      <w:r>
        <w:t xml:space="preserve"> The 2018–2020 Multi‐Year Drought Sets a New Benchmark in Europe — https://doi.org/10.1029/2021ef002394</w:t>
      </w:r>
    </w:p>
    <w:p>
      <w:pPr/>
      <w:r>
        <w:rPr>
          <w:b/>
        </w:rPr>
        <w:t>Shared claim-specific concepts:</w:t>
      </w:r>
      <w:r>
        <w:t xml:space="preserve"> warming, socioeconomic, based;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2022:</w:t>
      </w:r>
      <w:r>
        <w:t xml:space="preserve"> Digitalisation as the Indicator of the Evidence of Sustainability in the European Union — https://doi.org/10.3390/su14148371</w:t>
      </w:r>
    </w:p>
    <w:p>
      <w:pPr/>
      <w:r>
        <w:rPr>
          <w:b/>
        </w:rPr>
        <w:t>Shared claim-specific concepts:</w:t>
      </w:r>
      <w:r>
        <w:t xml:space="preserve"> create, indicators, indicator, fixed; EU scope visible. This is a provisional connection, not an outcome finding.</w:t>
      </w:r>
    </w:p>
    <w:p>
      <w:pPr>
        <w:pStyle w:val="SourceNote"/>
      </w:pPr>
      <w:r>
        <w:rPr>
          <w:b/>
        </w:rPr>
        <w:t>Available abstract (not full text):</w:t>
      </w:r>
      <w:r>
        <w:t xml:space="preserve"> Digitalisation provides access to an integrated network of information that can benefit society and businesses. However, the evidence of sustainability in business is less researched. In our paper, by building up the research approach, we address the relevant gap by investigating how sustainable development goals represent the interrelationship between digitalisation and sustainability. Such research is particularly important because understandings of digitalisation and sustainability determine how different actors, including business managers and policymakers, act in response to those imperatives to develop future employees skills starting from school age. Following a multi-method approach, we have combined our analysis into two steps examining the relationship between digitalisation and sustainability. Building digital networks, business managers and policy makers using digital means can create some unique opportunities to strategically address sustainable development challenges for the United Nations Targets (SDG) to ensure higher productivity, education, and an equality-oriented society. This point of view describes the potential of digitalisation for society and businesses of the future. The authors revise the links between digitalisation and sustainability in the European Union countries by using data available in Eurostat and UNECE public databases. The two-stage methodo</w:t>
      </w:r>
    </w:p>
    <w:p>
      <w:pPr/>
      <w:r>
        <w:rPr>
          <w:b/>
        </w:rPr>
        <w:t>POSSIBLE 2022:</w:t>
      </w:r>
      <w:r>
        <w:t xml:space="preserve"> High Mountain Areas — https://doi.org/10.1017/9781009157964.004</w:t>
      </w:r>
    </w:p>
    <w:p>
      <w:pPr/>
      <w:r>
        <w:rPr>
          <w:b/>
        </w:rPr>
        <w:t>Shared claim-specific concepts:</w:t>
      </w:r>
      <w:r>
        <w:t xml:space="preserve"> areas, high, low; EU scope visible. This is a provisional connection, not an outcome finding.</w:t>
      </w:r>
    </w:p>
    <w:p>
      <w:pPr>
        <w:pStyle w:val="SourceNote"/>
      </w:pPr>
      <w:r>
        <w:rPr>
          <w:b/>
        </w:rPr>
        <w:t>Available abstract (not full text):</w:t>
      </w:r>
      <w:r>
        <w:t xml:space="preserve"> The cryosphere (including, snow, glaciers, permafrost, lake and river ice) is an integral element of high mountain regions, which are home to roughly 10% of the global population.Widespread cryosphere changes affect physical, biological and human systems in the mountains and surrounding lowlands, with impacts evident even in the ocean.Building on the IPCC's 5th Assessment Report (AR5), this chapter assesses new evidence on observed recent and projected changes in the mountain cryosphere as well as associated impacts, risks and adaptation measures related to natural and human systems.Impacts in response to climate changes independently of changes in the cryosphere are not assessed in this chapter.Polar mountains are included in Chapter 3, except those in Alaska and adjacent Yukon, Iceland and Scandinavia, which are included in this chapter. Observations of cryospheric changes, impacts, and adaptation in high mountain areasObservations show general decline in low-elevation snow cover (high confidence 1 ), glaciers (very high confidence) and permafrost (high confidence) due to climate change in recent decades.Snow cover duration has declined in nearly all regions, especially at lower elevations, on average by 5 days per decade, with a likely 2 range from 0-10 days per decade.Low elevation snow depth and extent have declined, although year-to-year variation is high.Mass change of g</w:t>
      </w:r>
    </w:p>
    <w:p>
      <w:pPr/>
      <w:r>
        <w:rPr>
          <w:b/>
        </w:rPr>
        <w:t>POSSIBLE 2022:</w:t>
      </w:r>
      <w:r>
        <w:t xml:space="preserve"> Using high-resolution global climate models from the PRIMAVERA project to create a European winter windstorm event set — https://doi.org/10.5194/nhess-22-3585-2022</w:t>
      </w:r>
    </w:p>
    <w:p>
      <w:pPr/>
      <w:r>
        <w:rPr>
          <w:b/>
        </w:rPr>
        <w:t>Shared claim-specific concepts:</w:t>
      </w:r>
      <w:r>
        <w:t xml:space="preserve"> create, set, estimated; EU scope visible. This is a provisional connection, not an outcome finding.</w:t>
      </w:r>
    </w:p>
    <w:p>
      <w:pPr>
        <w:pStyle w:val="SourceNote"/>
      </w:pPr>
      <w:r>
        <w:rPr>
          <w:b/>
        </w:rPr>
        <w:t>Available abstract (not full text):</w:t>
      </w:r>
      <w:r>
        <w:t xml:space="preserve"> Abstract. PRIMAVERA was a European Union Horizon 2020 project whose primary aim was to generate advanced and well-evaluated high-resolution global climate model datasets, for the beneﬁt of governments, business and society in general. Following consultation with members of the insurance industry, we have used a PRIMAVERA multi-model ensemble to generate a European winter windstorm event set for use in insurance risk analysis, containing approximately 1300 years of windstorm data. To create the storm footprints for the event set, the storms in the PRIMAVERA models are identified through tracking. A method is developed to separate the winds from storms occurring in the domain at the same time. The wind footprints are bias corrected and converted to 3-s gusts onto a uniform grid using quantile mapping. The distribution of the number of model storms per season as a function of estimated loss is consistent with re-analysis, as are the total losses per season, and the additional event set data greatly reduces uncertainty on return period magnitudes. The event set also reproduces the temporally clustered nature of European windstorms. Since the event set is generated from global climate models, it can help to quantify the non-linear relationship between large-scale climate indices such as the North Atlantic Oscillation (NAO) and windstorm damage. Although we find only a moderate posit</w:t>
      </w:r>
    </w:p>
    <w:p>
      <w:pPr/>
      <w:r>
        <w:rPr>
          <w:b/>
        </w:rPr>
        <w:t>POSSIBLE 2021:</w:t>
      </w:r>
      <w:r>
        <w:t xml:space="preserve"> The impact of sustainable tourism indicators on destination competitiveness: the European Tourism Indicator System — https://doi.org/10.1080/09669582.2021.1910281</w:t>
      </w:r>
    </w:p>
    <w:p>
      <w:pPr/>
      <w:r>
        <w:rPr>
          <w:b/>
        </w:rPr>
        <w:t>Shared claim-specific concepts:</w:t>
      </w:r>
      <w:r>
        <w:t xml:space="preserve"> indicators, indicator, based; EU scope visible. This is a provisional connection, not an outcome finding.</w:t>
      </w:r>
    </w:p>
    <w:p>
      <w:pPr>
        <w:pStyle w:val="SourceNote"/>
      </w:pPr>
      <w:r>
        <w:rPr>
          <w:b/>
        </w:rPr>
        <w:t>Available abstract (not full text):</w:t>
      </w:r>
      <w:r>
        <w:t xml:space="preserve"> We aimed to evaluate the impact of sustainable tourism indicators on destination competitiveness with reference to the European Tourism Indicator System (ETIS), a scheme funded by the European Commission to address the evidence gap in tourism policy making. To do this, we evaluate the absorptive capacity of destination management organisations (DMOs) to implement and use sustainable tourism indicators to make policy decisions. We provide evidence of how DMOs have acquired knowledge about the importance of sustainable tourism indicators through ETIS, and how they have assimilated it by developing their own systems based on the principles of ETIS. However, we find that the European Commission had unrealistic expectations that DMOs, or their policies, would be transformed as a result of the use of indicators, or that indicators would be exploited to improve tourism sustainability and competitiveness. We contribute to the study of policy science by showing how absorptive capacity can be used to analyse and evaluate policy interventions, despite being a linear rational approach to explaining a complex policy context.</w:t>
      </w:r>
    </w:p>
    <w:p>
      <w:pPr>
        <w:pStyle w:val="Heading2"/>
      </w:pPr>
      <w:r>
        <w:t>851.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The “Safe and Sustainable by Design” Concept – A Regulatory Approach for a More Sustainable Circular Economy in the European Union? — https://doi.org/10.1017/err.2024.29</w:t>
      </w:r>
    </w:p>
    <w:p>
      <w:pPr/>
      <w:r>
        <w:rPr>
          <w:b/>
        </w:rPr>
        <w:t>Shared claim-specific concepts:</w:t>
      </w:r>
      <w:r>
        <w:t xml:space="preserve"> sustainable, economy, explore; EU scope visible. This is a provisional connection, not an outcome finding.</w:t>
      </w:r>
    </w:p>
    <w:p>
      <w:pPr>
        <w:pStyle w:val="SourceNote"/>
      </w:pPr>
      <w:r>
        <w:rPr>
          <w:b/>
        </w:rPr>
        <w:t>Available abstract (not full text):</w:t>
      </w:r>
      <w:r>
        <w:t xml:space="preserve"> Abstract The creation of a more sustainable economy is one of the main targets of the European Green Deal and the new Circular Economy Action Plan. Technological innovation is needed, among other things, to render materials, products, and production processes more sustainable. Given the goals of the European Green Deal, the regulatory concept of “Safe and Sustainable by Design” is increasingly receiving attention. The concept is (arguably) a precautionary and preventative measure that is implemented at the early stages of the design of a technology. Therefore, it is often described as a tool for lowering the risks that follow from efforts to create a more circular economy. The concept was included in the European Chemicals Strategy of the European Commission. The aim of the strategy is to accelerate progress towards the discovery of more sustainable chemicals and towards a toxicity-free environment. In this paper, we will explore the benefits and disadvantages of integrating the “Safe and Sustainable by Design” concept into the regulation of technology. As a form of regulation by technology, this concept can enhance sustainability. We will first describe the origins of the concept and its current use. Then, we will analyse its implications for the circular economy.</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2021:</w:t>
      </w:r>
      <w:r>
        <w:t xml:space="preserve"> Deep aspirations: towards a sustainable offshore Blue Economy — https://doi.org/10.1007/s11160-020-09628-6</w:t>
      </w:r>
    </w:p>
    <w:p>
      <w:pPr/>
      <w:r>
        <w:rPr>
          <w:b/>
        </w:rPr>
        <w:t>Shared claim-specific concepts:</w:t>
      </w:r>
      <w:r>
        <w:t xml:space="preserve"> sustainable, economy, possible, identify; EU scope not established. This is a provisional connection, not an outcome finding.</w:t>
      </w:r>
    </w:p>
    <w:p>
      <w:pPr>
        <w:pStyle w:val="SourceNote"/>
      </w:pPr>
      <w:r>
        <w:rPr>
          <w:b/>
        </w:rPr>
        <w:t>Available abstract (not full text):</w:t>
      </w:r>
      <w:r>
        <w:t xml:space="preserve"> Abstract: The ocean economy is experiencing rapid growth that will provide benefits but will also pose environmental and social risks. With limited space and degraded resources in coastal areas, offshore waters will be a particular focus of Blue Economy expansion over the next decade. When emerging and established economic sectors expand in offshore waters (within national Exclusive Economic Zones), different potential Blue Economy opportunities and challenges will arise. Following a series of interdisciplinary workshops, we imagine two technically possible futures for the offshore Blue Economy and we identify the actions required to achieve the more sustainable outcome. Under a business as usual scenario the focus will remain on economic growth, the commodification of nature, the dominance of private over public and cultural interests, and prioritisation of the interests of current over future generations. A more sustainable scenario would meet multiple UN Sustainable Development Goals and ensure inclusive economic developments, environmental sustainability, and fair and equitable access to resources and technologies across users, nations, and generations. Challenges to this more sustainable future are a lack of infrastructure and technology to support emerging offshore sectors, limited understanding of environmental impacts, inequitable outcomes, and a lack of planning and go</w:t>
      </w:r>
    </w:p>
    <w:p>
      <w:pPr/>
      <w:r>
        <w:rPr>
          <w:b/>
        </w:rPr>
        <w:t>POSSIBLE 2020:</w:t>
      </w:r>
      <w:r>
        <w:t xml:space="preserve"> Foresight – Using Science and Evidence to Anticipate and Shape the Future — https://doi.org/10.1016/b978-0-12-822596-7.00012-7</w:t>
      </w:r>
    </w:p>
    <w:p>
      <w:pPr/>
      <w:r>
        <w:rPr>
          <w:b/>
        </w:rPr>
        <w:t>Shared claim-specific concepts:</w:t>
      </w:r>
      <w:r>
        <w:t xml:space="preserve"> foresight, possible, help, identify; EU scope not established. This is a provisional connection, not an outcome finding.</w:t>
      </w:r>
    </w:p>
    <w:p>
      <w:pPr>
        <w:pStyle w:val="SourceNote"/>
      </w:pPr>
      <w:r>
        <w:rPr>
          <w:b/>
        </w:rPr>
        <w:t>Available abstract (not full text):</w:t>
      </w:r>
      <w:r>
        <w:t xml:space="preserve"> The role of public policy is to create a desirable future. However, policymaking often suffers from presentism bias, i.e. it focusses on today’s issues and ignores future challenges and opportunities. While the future is uncertain and cannot be predicted, foresight offers a well-established toolbox to help deal with it, in all its uncertainty and complexity. Foresight is a systematic participatory process to create collective intelligence about the medium- to long-term future and provide strategic knowledge for policy making. This chapter presents relevant foresight tools for policymaking: horizon scanning to identify emerging issues, megatrends to understand implications of long-term developments, scenario building to deal with uncertainty and develop a systemic understanding of complex issues, speculative design to illustrate possible future applications, and serious games to experience consequences of possible futures.</w:t>
      </w:r>
    </w:p>
    <w:p>
      <w:pPr/>
      <w:r>
        <w:rPr>
          <w:b/>
        </w:rPr>
        <w:t>POSSIBLE 2020:</w:t>
      </w:r>
      <w:r>
        <w:t xml:space="preserve"> EVIDENCE- AND FORESIGHT-BASED POLICY: DICHOTOMY OR OVERLAP? — https://doi.org/10.46473/wcsaj27240606/18-09-2020-0014//full/html</w:t>
      </w:r>
    </w:p>
    <w:p>
      <w:pPr/>
      <w:r>
        <w:rPr>
          <w:b/>
        </w:rPr>
        <w:t>Shared claim-specific concepts:</w:t>
      </w:r>
      <w:r>
        <w:t xml:space="preserve"> foresight, economy, identify, best; EU scope not established. This is a provisional connection, not an outcome finding.</w:t>
      </w:r>
    </w:p>
    <w:p>
      <w:pPr>
        <w:pStyle w:val="SourceNote"/>
      </w:pPr>
      <w:r>
        <w:rPr>
          <w:b/>
        </w:rPr>
        <w:t>Available abstract (not full text):</w:t>
      </w:r>
      <w:r>
        <w:t xml:space="preserve"> Economic research determines economic policy, which determines economic politics" could be a summary of the basic philosophy of the World Complexity Science Academy (WCSA) applied to the field of economics.Such an evidence-based policy is lively in academic circles but still absent in the political world.However, there is more: looking back in order to extrapolate and forecast tendencies for the future, as the evidence-based policy does, needs to be complemented by forward-looking attempting to identify megatrends based on change drivers that should be translated into concrete policy action today.Therefore, to narrow the gap between economy, policy and politics, foresight thinking on top of evidence-based policy could be the best option for more accurate policy and law-making.Black boxes should be avoided in the evidence-based approach as it makes policy unexplainable to the citizens and politicians unaccountable.Black swans could be integrated into the foresight-based advice in an attempt to foresee the unforeseeable and think the unthinkable.</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Effects of Circular Economy Policies on the Environment and Sustainable Growth: Worldwide Research — https://doi.org/10.3390/su12145792</w:t>
      </w:r>
    </w:p>
    <w:p>
      <w:pPr/>
      <w:r>
        <w:rPr>
          <w:b/>
        </w:rPr>
        <w:t>Shared claim-specific concepts:</w:t>
      </w:r>
      <w:r>
        <w:t xml:space="preserve"> purpose, sustainable, economy, possible; EU scope not established. This is a provisional connection, not an outcome finding.</w:t>
      </w:r>
    </w:p>
    <w:p>
      <w:pPr>
        <w:pStyle w:val="SourceNote"/>
      </w:pPr>
      <w:r>
        <w:rPr>
          <w:b/>
        </w:rPr>
        <w:t>Available abstract (not full text):</w:t>
      </w:r>
      <w:r>
        <w:t xml:space="preserve"> The challenge of transitioning from a linear to a circular economy model is still ongoing and requires the development and application of new knowledge, leading to innovative, technological, and sustainable processes, products, and services. The evolution of global research on this topic from 2004 to 2019 was studied in this work. For this purpose, a bibliometric analysis of 1366 articles was applied, producing results on the scientific productivity of the driving agents that most contribute to this theme. The findings show a growing interest, especially in the last four years, in the study of circular economy (CE) policies on the environment. The main subject area that articles address is environmental science. Five research lines have been identified, which mainly study the efficient management of energy resources and the economic factors that make the CE model possible: Environmental pollution and agricultural activity; waste management to avoid a negative environmental impact; improvement of the environmental impact through ecological products; the product life cycle, and the consequences of climate change. The implementation of CE policies will contribute to making economies less dependent and unprotected and more competitive. Global research has exhibited an upward trend during the period analyzed and has grown exponentially since 2015, coinciding with the publication of </w:t>
      </w:r>
    </w:p>
    <w:p>
      <w:pPr/>
      <w:r>
        <w:rPr>
          <w:b/>
        </w:rPr>
        <w:t>POSSIBLE 2020:</w:t>
      </w:r>
      <w:r>
        <w:t xml:space="preserve"> JRC in Euratom Research and Training Programme − 2014–2020 — https://doi.org/10.1051/epjn/2019036</w:t>
      </w:r>
    </w:p>
    <w:p>
      <w:pPr/>
      <w:r>
        <w:rPr>
          <w:b/>
        </w:rPr>
        <w:t>Shared claim-specific concepts:</w:t>
      </w:r>
      <w:r>
        <w:t xml:space="preserve"> jrc, explore, way; EU scope visible. This is a provisional connection, not an outcome finding.</w:t>
      </w:r>
    </w:p>
    <w:p>
      <w:pPr>
        <w:pStyle w:val="SourceNote"/>
      </w:pPr>
      <w:r>
        <w:rPr>
          <w:b/>
        </w:rPr>
        <w:t>Available abstract (not full text):</w:t>
      </w:r>
      <w:r>
        <w:t xml:space="preserve"> The Euratom Research and Training Programme 2014–2018 and its extension 2019–2020 (the Euratom Programme) is implemented through direct actions in fission − i.e. research performed by the Commission's Joint Research Centre (JRC), and through indirect actions in fission– i.e. via competitive calls for proposals, and in fusion − i.e. through a comprehensive named-beneficiary co-fund action managed by the Commission's Directorate-General for Research &amp; Innovation (RTD). The general objective of the Programme is “to pursue nuclear research and training activities with an emphasis on the continuous improvement of nuclear safety, security and radiation protection, in particular to potentially contribute to the long-term decarbonisation of the energy system in a safe, efficient and secure way.” The Programme is an integral part of Horizon 2020, the EU Framework Programme for Research and Innovation. The direct actions implemented by the JRC constitute an important part of the Euratom Programme and pursue specific objectives covering: nuclear safety, radioactive waste management, decommissioning, emergency preparedness; nuclear security, safeguards and non-proliferation; standardisation; knowledge management; education and training; and support to the policy of the Union on these fields. The JRC multi-annual work programme for nuclear activities fully reflects the aforementioned object</w:t>
      </w:r>
    </w:p>
    <w:p>
      <w:pPr/>
      <w:r>
        <w:rPr>
          <w:b/>
        </w:rPr>
        <w:t>POSSIBLE 2019:</w:t>
      </w:r>
      <w:r>
        <w:t xml:space="preserve"> Forecasting and foresight — https://doi.org/10.17169/refubium-26117</w:t>
      </w:r>
    </w:p>
    <w:p>
      <w:pPr/>
      <w:r>
        <w:rPr>
          <w:b/>
        </w:rPr>
        <w:t>Shared claim-specific concepts:</w:t>
      </w:r>
      <w:r>
        <w:t xml:space="preserve"> foresight, help; EU scope visible. This is a provisional connection, not an outcome finding.</w:t>
      </w:r>
    </w:p>
    <w:p>
      <w:pPr>
        <w:pStyle w:val="SourceNote"/>
      </w:pPr>
      <w:r>
        <w:rPr>
          <w:b/>
        </w:rPr>
        <w:t>Available abstract (not full text):</w:t>
      </w:r>
      <w:r>
        <w:t xml:space="preserve"> In this paper, authors Sarah Bressan, Håvard Mokleiv Nygård, and Dominic Seefeldt present the evolution and state of the art of both quantitative forecasting and scenario-based foresight methods that can be applied to help prevent governance breakdown and violent conflict in Europe’s neighbourhood. In the quantitative section, they describe the different phases of conflict forecasting in political science and outline which methodological gaps EU-LISTCO’s quantitative sub-national prediction tool will address to forecast tipping points for violent conflict and governance breakdown. The qualitative section explains EU-LISTCO’s scenario-based foresight methodology for identifying potential tipping points. After comparing both approaches, the authors discuss opportunities for methodological advancements across the boundaries of quantitative forecasting and scenario-based foresight, as well as how they can inform the design of strategic policy options.</w:t>
      </w:r>
    </w:p>
    <w:p>
      <w:pPr>
        <w:pStyle w:val="Heading2"/>
      </w:pPr>
      <w:r>
        <w:t>852.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2025:</w:t>
      </w:r>
      <w:r>
        <w:t xml:space="preserve"> A Group Delphi on economic perspectives on climate policy measures. A basis for informing a Citizen Forum — https://doi.org/10.14512/gaia.34.3.11</w:t>
      </w:r>
    </w:p>
    <w:p>
      <w:pPr/>
      <w:r>
        <w:rPr>
          <w:b/>
        </w:rPr>
        <w:t>Shared claim-specific concepts:</w:t>
      </w:r>
      <w:r>
        <w:t xml:space="preserve"> greenhouse, gas, basis, delphi, expert, asked; EU scope visible. This is a provisional connection, not an outcome finding.</w:t>
      </w:r>
    </w:p>
    <w:p>
      <w:pPr>
        <w:pStyle w:val="SourceNote"/>
      </w:pPr>
      <w:r>
        <w:rPr>
          <w:b/>
        </w:rPr>
        <w:t>Available abstract (not full text):</w:t>
      </w:r>
      <w:r>
        <w:t xml:space="preserve"> How do economic and consumer researchers assess the different EU policy options to reach net zero greenhouse gas emissions by 2050? The research team of the EU project REAL-DEAL convened twelve experts to evaluate economic measures to implement the Green Deal objectives. This information was one of the major inputs for a subsequent Citizen Forum in Berlin, Germany.As one component of the EU project, REAL-DEAL, the authors conducted a Group Delphi involving experts from economics and consumer research. Group Delphi processes represent participatory formats aimed at providing a more accurate, fair, and complete representation of expert judgments regarding a specific topic. During the Delphi process in Berlin, twelve experts, representing different schools of economic thought, were asked to assess and evaluate economic instruments and measures to implement the Green Deal objectives with a focus on transport, housing, nutrition, and overarching economic issues related to climate protection. The results of the Delphi revealed a large diversity among the experts, in particular on the issue of state interventions into the economy. However, there was broad consensus on rejecting subsidies that encourage non-sustainable practices, and on recommending effective carbon pricing. The outcome of the Delphi was used as information for a subsequent Citizen Forum with randomly selected citizens</w:t>
      </w:r>
    </w:p>
    <w:p>
      <w:pPr/>
      <w:r>
        <w:rPr>
          <w:b/>
        </w:rPr>
        <w:t>POSSIBLE 2025:</w:t>
      </w:r>
      <w:r>
        <w:t xml:space="preserve"> Freshwater restoration effects on biodiversity and ecosystem services: a Delphi survey — https://doi.org/10.1111/rec.70119</w:t>
      </w:r>
    </w:p>
    <w:p>
      <w:pPr/>
      <w:r>
        <w:rPr>
          <w:b/>
        </w:rPr>
        <w:t>Shared claim-specific concepts:</w:t>
      </w:r>
      <w:r>
        <w:t xml:space="preserve"> delphi, expert, use, methods; EU scope visible. This is a provisional connection, not an outcome finding.</w:t>
      </w:r>
    </w:p>
    <w:p>
      <w:pPr>
        <w:pStyle w:val="SourceNote"/>
      </w:pPr>
      <w:r>
        <w:rPr>
          <w:b/>
        </w:rPr>
        <w:t>Available abstract (not full text):</w:t>
      </w:r>
      <w:r>
        <w:t xml:space="preserve"> Abstract Introduction Freshwater ecosystem restoration is vital for halting biodiversity loss, enhancing resilience, and securing ecosystem services amid climate and land use change. With major initiatives like the United Nations Decade on Ecosystem Restoration and the European Union's Nature Restoration Regulation gaining momentum, identifying multifunctional restoration strategies is increasingly important. Objectives This study examines which restoration measures in rivers, peatlands, and other wetlands deliver consistent benefits for both biodiversity and ecosystem services—key goals under EU restoration policies. Methods A structured Delphi survey was conducted with European experts in ecological restoration and ecosystem services. Restoration measures were compiled from scientific and gray literature, categorized into standardized types, and screened for data gaps. Measures with limited evidence were prioritized for expert evaluation. Experts assessed the expected effects of each measure on biodiversity and 18 ecosystem services through two survey rounds. Results Most restoration measures—especially hydrological and morphological interventions in rivers and vegetation‐based actions in peatlands—were expected to strongly benefit biodiversity. Many also enhanced multiple ecosystem services, with river interventions such as restoring natural flow, channel structure, and habi</w:t>
      </w:r>
    </w:p>
    <w:p>
      <w:pPr/>
      <w:r>
        <w:rPr>
          <w:b/>
        </w:rPr>
        <w:t>POSSIBLE 2025:</w:t>
      </w:r>
      <w:r>
        <w:t xml:space="preserve"> An Eco‐Social Policy Mix for 1.5°C Lifestyles: A Multi‐Country Policy Delphi Analysis — https://doi.org/10.1111/rego.12655</w:t>
      </w:r>
    </w:p>
    <w:p>
      <w:pPr/>
      <w:r>
        <w:rPr>
          <w:b/>
        </w:rPr>
        <w:t>Shared claim-specific concepts:</w:t>
      </w:r>
      <w:r>
        <w:t xml:space="preserve"> reduction, delphi, about, approach; EU scope visible. This is a provisional connection, not an outcome finding.</w:t>
      </w:r>
    </w:p>
    <w:p>
      <w:pPr>
        <w:pStyle w:val="SourceNote"/>
      </w:pPr>
      <w:r>
        <w:rPr>
          <w:b/>
        </w:rPr>
        <w:t>Available abstract (not full text):</w:t>
      </w:r>
      <w:r>
        <w:t xml:space="preserve"> ABSTRACT Bridging the gap between welfare and climate policies is essential for simultaneously pursuing increased well‐being and reduced carbon emissions. This study uses a policy Delphi approach, involving experts and stakeholders from five European countries: Germany, Hungary, Latvia, Spain, and Sweden, to assess the perceived desirability and feasibility of six eco‐social policies for enabling 1.5°C lifestyles. The results show that eco‐social policies are challenged by current growth and work paradigms, which transcend welfare‐regime‐related, ideological, social, and institutional rationales. Of the selected policies, stakeholders found low‐efficiency housing retrofits the most desirable, but income caps the least desirable. Worktime reduction, job guarantees, and income ceilings raise deep concerns over work, motivation, and consumption. However, universal basic services, free public transport, and public renovation raise concerns about service efficiency, innovation incentives, and welfare entitlement. Stakeholders agreed that eco‐social policies are desirable and feasible, but only when combined in a way that balances social and environmental impacts. They believe it might be easier to address challenges in understanding and implementing these policies if they were part of a broader, coordinated approach at a supranational level, rather than isolated, single‐issue polici</w:t>
      </w:r>
    </w:p>
    <w:p>
      <w:pPr/>
      <w:r>
        <w:rPr>
          <w:b/>
        </w:rPr>
        <w:t>POSSIBLE 2024:</w:t>
      </w:r>
      <w:r>
        <w:t xml:space="preserve"> Factors Influencing Greenhouse Gas Reduction Measures in European Ports: Implications for Sustainable Investing — https://doi.org/10.3390/jrfm17080329</w:t>
      </w:r>
    </w:p>
    <w:p>
      <w:pPr/>
      <w:r>
        <w:rPr>
          <w:b/>
        </w:rPr>
        <w:t>Shared claim-specific concepts:</w:t>
      </w:r>
      <w:r>
        <w:t xml:space="preserve"> reduction, greenhouse, gas, used, methods; EU scope visible. This is a provisional connection, not an outcome finding.</w:t>
      </w:r>
    </w:p>
    <w:p>
      <w:pPr>
        <w:pStyle w:val="SourceNote"/>
      </w:pPr>
      <w:r>
        <w:rPr>
          <w:b/>
        </w:rPr>
        <w:t>Available abstract (not full text):</w:t>
      </w:r>
      <w:r>
        <w:t xml:space="preserve"> European Union cargo and container ports are under pressure to reduce GHG emissions and achieve carbon neutrality by 2050, as mandated by the European Commission. The pace of progress varies among ports. This study examined the characteristics influencing GHG reduction measures in European cargo and container ports and their implications for sustainable investing. The methods used in this study, such as linear regression models to analyze predictive variables, can be applied in sustainable investing to assess which factors most strongly predict a company’s environmental, social, and governance performance. Using linear regression models to analyze data from the 33 busiest European ports, we identified five predictive variables: port size, cargo mix, surrounding population density, access to the sea, and the economic wealth of the host country. Our findings revealed that the port size significantly correlates with the adoption of measures to reduce scope 1, 2, and 3 emissions. This study underscores the importance of contextual and operational factors in evaluating sustainability efforts across sectors. The results contribute to drawing parallels with the field of sustainable investing within finance. This offers valuable insights for sustainable investing, emphasizing the importance of considering various contextual and operational factors when evaluating the sustainability eff</w:t>
      </w:r>
    </w:p>
    <w:p>
      <w:pPr/>
      <w:r>
        <w:rPr>
          <w:b/>
        </w:rPr>
        <w:t>POSSIBLE 2024:</w:t>
      </w:r>
      <w:r>
        <w:t xml:space="preserve"> Greenhouse gas emission reduction potential in road tunnels – Can we reach the European Union goals with existing materials and technologies? — https://doi.org/10.1016/j.tust.2024.106011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To achieve the European Uniońs climate goals, the Norwegian transport sector has committed to decrease the Greenhouse gas (GHG) emissions by 2030. For infrastructure projects, the GHG emissions from construction must be reduced by 40 %, while the emissions from maintenance must be cut by 50%. This paper investigates how realistic the GHG emission reduction goals are, if available low carbon materials and technologies are fully adopted. To examine this, we have chosen a typical Norwegian road tunnel from which two carbon emission scenarios are presented. While tunnels represent a specific subset of road infrastructure, this study showcases that implementing sustainable practices in drill and blast tunnel construction can align with the European Union’s ambitious 2030 targets. Besides this, the findings can assist stakeholders to get advice on the environmental impacts of tunnel designs.</w:t>
      </w:r>
    </w:p>
    <w:p>
      <w:pPr/>
      <w:r>
        <w:rPr>
          <w:b/>
        </w:rPr>
        <w:t>POSSIBLE 2024:</w:t>
      </w:r>
      <w:r>
        <w:t xml:space="preserve"> Evolution and Impact of the European Union's Energy Policy: From Fossil Fuels to Renewable Energy and Greenhouse Gas Emissions Reduction — https://doi.org/10.35808/ersj/3352</w:t>
      </w:r>
    </w:p>
    <w:p>
      <w:pPr/>
      <w:r>
        <w:rPr>
          <w:b/>
        </w:rPr>
        <w:t>Shared claim-specific concepts:</w:t>
      </w:r>
      <w:r>
        <w:t xml:space="preserve"> reduction, greenhouse, gas, emission, further, approach; EU scope visible. This is a provisional connection, not an outcome finding.</w:t>
      </w:r>
    </w:p>
    <w:p>
      <w:pPr>
        <w:pStyle w:val="SourceNote"/>
      </w:pPr>
      <w:r>
        <w:rPr>
          <w:b/>
        </w:rPr>
        <w:t>Available abstract (not full text):</w:t>
      </w:r>
      <w:r>
        <w:t xml:space="preserve"> Purpose: This scientific work focuses on analyzing the energy transformation in the European Union (EU) from 2000 to 2021, considering the shift from fossil fuels to renewable energy sources and strategies for reducing greenhouse gas emissions.The research aims to understand how the EU's energy policy has influenced the structure of energy production and consumption, as well as the emission of greenhouse gases in its member states, with particular emphasis on key initiatives such as the Kyoto Protocol, the 2020 climate and energy package, and the European Green Deal.Design/methodology/approach: Utilizing a comprehensive dataset and a variety of research methods, this work provides empirical insights into the effects of the EU's energy policy.The analysis examines the impact of implemented initiatives and regulations on the energy mix, noting an increase in the share of renewable energy and a decrease in GHG emissions.Findings: The study revealed that these initiatives and regulations have contributed to a significant change in the energy mix, marking an increase in renewable energy's share and a decline in GHG emissions.However, the research also uncovers challenges and disparities in achieving these goals among different member states.Practical implications: This work makes a significant contribution to the discussion on the efficiency and future directions of the EU's energy </w:t>
      </w:r>
    </w:p>
    <w:p>
      <w:pPr>
        <w:pStyle w:val="Heading2"/>
      </w:pPr>
      <w:r>
        <w:t>853.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2021:</w:t>
      </w:r>
      <w:r>
        <w:t xml:space="preserve"> Assessing the Impact of Water Efficiency Policies on Qatar’s Electricity and Water Sectors — https://doi.org/10.3390/en14144348</w:t>
      </w:r>
    </w:p>
    <w:p>
      <w:pPr/>
      <w:r>
        <w:rPr>
          <w:b/>
        </w:rPr>
        <w:t>Shared claim-specific concepts:</w:t>
      </w:r>
      <w:r>
        <w:t xml:space="preserve"> different, water, policies, scarcity; EU scope not established. This is a provisional connection, not an outcome finding.</w:t>
      </w:r>
    </w:p>
    <w:p>
      <w:pPr>
        <w:pStyle w:val="SourceNote"/>
      </w:pPr>
      <w:r>
        <w:rPr>
          <w:b/>
        </w:rPr>
        <w:t>Available abstract (not full text):</w:t>
      </w:r>
      <w:r>
        <w:t xml:space="preserve"> Water and electricity have a unique relationship in the modern world as one requires the other in a complex system of networks to supply the utility to the customers. This energy–water interaction is especially peculiar in the Gulf Cooperation Council, where there are limited water resources, but extremely high use rates. Qatar provides a unique case in terms of extreme water scarcity and excessive water use. To understand the intricate network, this paper establishes an updated and comprehensive qualitative model of the water system in the country with the help of a water balance and system dynamics (causal loop diagram) methodology. Regression estimates are then used to estimate future water and energy consumption in addition to carbon dioxide emissions until the year 2050. Finally, system dynamics (stock and flow diagram) is used to determine the supply impacts of efficiency policies including limiting of groundwater abstraction to only 50 million m3, reduction of water consumption in the household, commercial and industrial sector by 10%, and gradual increase in the share of reverse osmosis (RO)-produced desalinated water to 50% in order to assess the supply volume, electricity consumption and CO2 emissions. The efficient use of water in different sectors of the economy results in a combined saving of 1222 GWh (8.1%) or 594,000 tons CO2. Furthermore, by moving to membrane-b</w:t>
      </w:r>
    </w:p>
    <w:p>
      <w:pPr/>
      <w:r>
        <w:rPr>
          <w:b/>
        </w:rPr>
        <w:t>POSSIBLE 2020:</w:t>
      </w:r>
      <w:r>
        <w:t xml:space="preserve"> A review of climate-change impact and adaptation studies for the water sector in Thailand — https://doi.org/10.1088/1748-9326/abce80</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Thailand plays a central economic and policy-making role in Southeast Asia. Although climate change adaptation is being mainstreamed in Thailand, a well-organized overview of the impacts of climate change and potential adaptation measures has been unavailable to date. Here we present a comprehensive review of climate-change impact studies that focused on the Thai water sector, based on a literature review of six sub-sectors: riverine hydrology, sediment erosion, coastal erosion, forest hydrology, agricultural hydrology, and urban hydrology. Our review examined the long-term availability of observational data, historical changes, projected changes in key variables, and the availability of economic assessments and their implications for adaptation actions. Although some basic hydrometeorological variables have been well monitored, specific historical changes due to climate change have seldom been detected. Furthermore, although numerous future projections have been proposed, the likely changes due to climate change remain unclear due to a general lack of systematic multi-model and multi-scenario assessments and limited spatiotemporal coverage of the study area. Several gaps in the research were identified, and ten research recommendations are presented. While the information contained herein contributes to state-of-the-art knowledge on the impact of climate change on the</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r>
        <w:rPr>
          <w:b/>
        </w:rPr>
        <w:t>POSSIBLE 2019:</w:t>
      </w:r>
      <w:r>
        <w:t xml:space="preserve"> Evaluation of a constructed wetland for wastewater treatment: Addressing emerging organic contaminants and antibiotic resistant bacteria — https://doi.org/10.1016/j.nbt.2019.05.006</w:t>
      </w:r>
    </w:p>
    <w:p>
      <w:pPr/>
      <w:r>
        <w:rPr>
          <w:b/>
        </w:rPr>
        <w:t>Shared claim-specific concepts:</w:t>
      </w:r>
      <w:r>
        <w:t xml:space="preserve"> several, constructed, evaluate, different, water; EU scope not established. This is a provisional connection, not an outcome finding.</w:t>
      </w:r>
    </w:p>
    <w:p>
      <w:pPr>
        <w:pStyle w:val="SourceNote"/>
      </w:pPr>
      <w:r>
        <w:rPr>
          <w:b/>
        </w:rPr>
        <w:t>Available abstract (not full text):</w:t>
      </w:r>
      <w:r>
        <w:t xml:space="preserve"> The occurrence of emerging organic contaminants (EOCs) in wastewaters and the inability of the conventional wastewater treatments plants to deal with them have been pointed out several times over the last few years. As a result, remnants of those compounds released into the aquatic environment present a potential risk for public health. Constructed wetlands (CWs) have been proposed as environmentally friendly, low-cost alternative systems with satisfactory results for different types of contaminants. This study aimed to evaluate the efficiency of a CW system, planted with the halophyte Juncus acutus, to eliminate bisphenol A (BPA) and two antibiotics, namely ciprofloxacin (CIP) and sulfamethoxazole (SMX) under different operating conditions. The behavior of Escherichia coli and enterococcal populations in terms of changes in their resistance profile for the selected antibiotics and the abundance of two resistance genes (qnrA and sul1) were also examined. BPA and CIP were significantly removed by the CW, with an overall removal of 76.2% and 93.9% respectively and with the plants playing a vital role. In contrast, SMX was not significantly eliminated. Moreover, fluctuations in the antibiotic resistance profile of bacteria were observed. Treatment processes affected the response of the two selected bacterial indicators, depending on the conditions employed in each case. Furthermor</w:t>
      </w:r>
    </w:p>
    <w:p>
      <w:pPr/>
      <w:r>
        <w:rPr>
          <w:b/>
        </w:rPr>
        <w:t>POSSIBLE 2018:</w:t>
      </w:r>
      <w:r>
        <w:t xml:space="preserve"> Cross-Sectoral Analysis of Water Usage in Thailand Using Input–Output Model — https://doi.org/10.4186/ej.2018.22.6.93</w:t>
      </w:r>
    </w:p>
    <w:p>
      <w:pPr/>
      <w:r>
        <w:rPr>
          <w:b/>
        </w:rPr>
        <w:t>Shared claim-specific concepts:</w:t>
      </w:r>
      <w:r>
        <w:t xml:space="preserve"> several, constructed, water, policies; EU scope not established. This is a provisional connection, not an outcome finding.</w:t>
      </w:r>
    </w:p>
    <w:p>
      <w:pPr>
        <w:pStyle w:val="SourceNote"/>
      </w:pPr>
      <w:r>
        <w:rPr>
          <w:b/>
        </w:rPr>
        <w:t>Available abstract (not full text):</w:t>
      </w:r>
      <w:r>
        <w:t xml:space="preserve"> Thailand currently ranks third among the most water-intensive countries in the world.The percentage shares of water demand in the country's agriculture, manufacturing, and service sectors, which are major economic sectors, are 75%, 3%, and 5%, respectively.With the continuous growth of the economy, the demand for water is steadily rising, while the expansion of water supply remains constrained by several factors and the water supply is also affected by climate change.This study uses the input-output model to examine the relationship between water usage and the economic system in Thailand in 2010.The constructed input-output model is the integration of the Leontief inverse matrix, the matrix of water usage, and the details of the gross domestic product (GDP).The model indicates the linkage between GDP expansion and water demand in both direct and indirect usage.The computation result obtained from the model indicates that the agricultural sector is the major water user, with its ratio of direct water use being the highest.The manufacturing sector records the highest ratio of indirect water use, which is influenced by its supply chain comprising the agriculture and service sectors.This model and its results may serve as the main foundation for the design of economic and environmental policies oriented toward optimizing water demand and supply.The model can also be extended and en</w:t>
      </w:r>
    </w:p>
    <w:p>
      <w:pPr/>
      <w:r>
        <w:rPr>
          <w:b/>
        </w:rPr>
        <w:t>POSSIBLE 2018:</w:t>
      </w:r>
      <w:r>
        <w:t xml:space="preserve"> Fostering Cross-Sector Collaboration to Promote Innovation in the Water Sector — https://doi.org/10.3390/su10114154</w:t>
      </w:r>
    </w:p>
    <w:p>
      <w:pPr/>
      <w:r>
        <w:rPr>
          <w:b/>
        </w:rPr>
        <w:t>Shared claim-specific concepts:</w:t>
      </w:r>
      <w:r>
        <w:t xml:space="preserve"> water, policies; EU scope visible. This is a provisional connection, not an outcome finding.</w:t>
      </w:r>
    </w:p>
    <w:p>
      <w:pPr>
        <w:pStyle w:val="SourceNote"/>
      </w:pPr>
      <w:r>
        <w:rPr>
          <w:b/>
        </w:rPr>
        <w:t>Available abstract (not full text):</w:t>
      </w:r>
      <w:r>
        <w:t xml:space="preserve"> Ongoing global climate change, growing population and the intensification of economic activities, increase pressure on water resources, a situation many see as a water governance crisis. Water-related issues are becoming a limiting factor for sustainable economic growth and require a collaborative and interdisciplinary approach, to foster innovative solutions. This paper provides an evidence-based contribution to understanding Triple Helix Model (THM) relations and the path to innovation policy in the water sector. The analysis focuses on the interaction between university–industry–government, with specific reference to the Murcia region in Southeast Spain. This region combines a chronic shortage of water and a leading role for agriculture. Starting from the experience of a researcher, working for the General Water Council of the Murcia Region, this paper is based on both desk research and in-depth personal interviews with representatives of THM actors. In addition, a questionnaire was forwarded to all those companies in charge of providing water services in the Murcia region. The study has found that stakeholders are not fully cooperative in seeking innovation. The main challenges are the renewal of water-related facilities and the improvement of remote control systems, denitrification and desalination technologies and achieving better energy efficiency. To this aim, THM appro</w:t>
      </w:r>
    </w:p>
    <w:p>
      <w:pPr/>
      <w:r>
        <w:rPr>
          <w:b/>
        </w:rPr>
        <w:t>POSSIBLE 2017:</w:t>
      </w:r>
      <w:r>
        <w:t xml:space="preserve"> Constructed Wetlands for Water Treatment: New Developments — https://doi.org/10.3390/w9060397</w:t>
      </w:r>
    </w:p>
    <w:p>
      <w:pPr/>
      <w:r>
        <w:rPr>
          <w:b/>
        </w:rPr>
        <w:t>Shared claim-specific concepts:</w:t>
      </w:r>
      <w:r>
        <w:t xml:space="preserve"> constructed, different, water; EU scope not established. This is a provisional connection, not an outcome finding.</w:t>
      </w:r>
    </w:p>
    <w:p>
      <w:pPr>
        <w:pStyle w:val="SourceNote"/>
      </w:pPr>
      <w:r>
        <w:rPr>
          <w:b/>
        </w:rPr>
        <w:t>Available abstract (not full text):</w:t>
      </w:r>
      <w:r>
        <w:t xml:space="preserve"> Constructed wetlands (CWs) are currently regarded as established eco-technologies to treat water pollution. Although considered near-natural systems, they are totally engineered solutions for which research has been actively developed over the past decades. This paper provides a brief meta-analysis on the latest scientific publications in the field and an overview of the special issue focused on the new developments in the use of CWs for water treatment. The selected papers cover a wide range of relevant developments in the field, including the use of different CW system designs, the capacity to treat different types of pollutants, and studies aiming at getting a better understanding of the treatment processes in CWs.</w:t>
      </w:r>
    </w:p>
    <w:p>
      <w:pPr/>
      <w:r>
        <w:rPr>
          <w:b/>
        </w:rPr>
        <w:t>POSSIBLE 2017:</w:t>
      </w:r>
      <w:r>
        <w:t xml:space="preserve"> Improved Efficiency of Constructed Wetlands for Oily Water Treatment with Aid of Microbubbles — https://doi.org/10.3303/cet1757090</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industrial sector has adopted practices for minimize the impacts of large water use on water resources. Among these practices, the treatment of effluents is the most important because ensures that wastewater will be properly disposed and allows its reuse. The constant use of oil in industry causes a significant generation of oily effluents which leads to the need for effective treatment for this type of pollutant. Constructed wetlands (CWs) are systems created for the purpose of treating anthropogenic such as municipal or industrial wastewater. CWs are a cost-effective and technically feasible approach to treating wastewater and runoff for several reasons like low expenses (build, operation and maintenance), operation and maintenance periodic only, on-site labor and water reuse and recycling facilitation. The extremely adaptable sizing of constructed wetlands allows modifications to improve this treatment efficiency. For oily wastewater treatment, CWs filled with floating macrophytes can receive microbubbles nozzles in order to improve the system, increasing the drag of oil to the surface and the supply of oxygen to the aerobic microorganisms. In this work, the increase of the efficiency of oily wastewater treatment in constructed wetlands by addition of microbubbles was evaluated. Computational fluid dynamics (CFD) simulations in the software ANSYS to validate the fluid dy</w:t>
      </w:r>
    </w:p>
    <w:p>
      <w:pPr>
        <w:pStyle w:val="Heading2"/>
      </w:pPr>
      <w:r>
        <w:t>854.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2023:</w:t>
      </w:r>
      <w:r>
        <w:t xml:space="preserve"> European Academy of Neurology/Peripheral Nerve Society Guideline on diagnosis and treatment of Guillain–Barré syndrome — https://doi.org/10.1111/ene.16073</w:t>
      </w:r>
    </w:p>
    <w:p>
      <w:pPr/>
      <w:r>
        <w:rPr>
          <w:b/>
        </w:rPr>
        <w:t>Shared claim-specific concepts:</w:t>
      </w:r>
      <w:r>
        <w:t xml:space="preserve"> specific, peripheral; EU scope visible. This is a provisional connection, not an outcome finding.</w:t>
      </w:r>
    </w:p>
    <w:p>
      <w:pPr>
        <w:pStyle w:val="SourceNote"/>
      </w:pPr>
      <w:r>
        <w:rPr>
          <w:b/>
        </w:rPr>
        <w:t>Available abstract (not full text):</w:t>
      </w:r>
      <w:r>
        <w:t xml:space="preserve"> Guillain-Barré syndrome (GBS) is an acute polyradiculoneuropathy. Symptoms may vary greatly in presentation and severity. Besides weakness and sensory disturbances, patients may have cranial nerve involvement, respiratory insufficiency, autonomic dysfunction and pain. To develop an evidence-based guideline for the diagnosis and treatment of GBS, using Grading of Recommendations, Assessment, Development and Evaluation (GRADE) methodology a Task Force (TF) of the European Academy of Neurology (EAN) and the Peripheral Nerve Society (PNS) constructed 14 Population/Intervention/Comparison/Outcome questions (PICOs) covering diagnosis, treatment and prognosis of GBS, which guided the literature search. Data were extracted and summarised in GRADE Summaries of Findings (for treatment PICOs) or Evidence Tables (for diagnostic and prognostic PICOs). Statements were prepared according to GRADE Evidence-to-Decision (EtD) frameworks. For the six intervention PICOs, evidence-based recommendations are made. For other PICOs, good practice points (GPPs) are formulated. For diagnosis, the principal GPPs are: GBS is more likely if there is a history of recent diarrhoea or respiratory infection; CSF examination is valuable, particularly when the diagnosis is less certain; electrodiagnostic testing is advised to support the diagnosis; testing for anti-ganglioside antibodies is of limited clinical va</w:t>
      </w:r>
    </w:p>
    <w:p>
      <w:pPr/>
      <w:r>
        <w:rPr>
          <w:b/>
        </w:rPr>
        <w:t>POSSIBLE 2023:</w:t>
      </w:r>
      <w:r>
        <w:t xml:space="preserve"> Rethinking regional attractiveness in the Balearic Islands region of Spain — https://doi.org/10.1787/47bf5ec1-en</w:t>
      </w:r>
    </w:p>
    <w:p>
      <w:pPr/>
      <w:r>
        <w:rPr>
          <w:b/>
        </w:rPr>
        <w:t>Shared claim-specific concepts:</w:t>
      </w:r>
      <w:r>
        <w:t xml:space="preserve"> region, sustainable, environment; EU scope visible. This is a provisional connection, not an outcome finding.</w:t>
      </w:r>
    </w:p>
    <w:p>
      <w:pPr>
        <w:pStyle w:val="SourceNote"/>
      </w:pPr>
      <w:r>
        <w:rPr>
          <w:b/>
        </w:rPr>
        <w:t>Available abstract (not full text):</w:t>
      </w:r>
      <w:r>
        <w:t xml:space="preserve"> The impact of the COVID-19 crisis, compounded by the consequences of Russia’s war of aggression against Ukraine and existing megatrends (e.g. climate change, globalisation, digitalisation and demographic change), continue to produce asymmetric effects within and between countries and regions, with the scope and scale depending on their unique characteristics. The OECD’s work on rethinking regional attractiveness policies in the new global environment, is undertaken with the support of the European Commission (DG REGIO) and is a priority activity of the Regional Development Policy Committee (RDPC). Working closely with 15 regions in 5 OECD member countries (Ireland, Italy, Portugal, Spain and Sweden), it aims to help regional and national policy-makers to better understand the position of regions in an evolving global context, including emerging challenges and opportunities, and identify the policy levers at their disposal to enhance the attractiveness of regions to the key international target groups of investors (including exporters), talent, and visitors. In doing so, it seeks to support regions transition towards new territorial development policies that promote inclusive, sustainable, and resilient development, while enhancing regional attractiveness.</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peripheral, local, used;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2021:</w:t>
      </w:r>
      <w:r>
        <w:t xml:space="preserve"> The winter urban heat island: Impacts on cold-related mortality in a highly urbanized European region for present and future climate — https://doi.org/10.1016/j.envint.2021.106530</w:t>
      </w:r>
    </w:p>
    <w:p>
      <w:pPr/>
      <w:r>
        <w:rPr>
          <w:b/>
        </w:rPr>
        <w:t>Shared claim-specific concepts:</w:t>
      </w:r>
      <w:r>
        <w:t xml:space="preserve"> island, region, potential, environment; EU scope visible. This is a provisional connection, not an outcome finding.</w:t>
      </w:r>
    </w:p>
    <w:p>
      <w:pPr>
        <w:pStyle w:val="SourceNote"/>
      </w:pPr>
      <w:r>
        <w:rPr>
          <w:b/>
        </w:rPr>
        <w:t>Available abstract (not full text):</w:t>
      </w:r>
      <w:r>
        <w:t xml:space="preserve"> Exposure to heat has a range of potential negative impacts on human health; hot weather may exacerbate cardiovascular and respiratory illness or lead to heat stroke and death. Urban populations are at increased risk due to the Urban Heat Island (UHI) effect (higher urban temperatures compared with rural ones). This has led to extensive investigation of the summertime UHI and its effects, whereas far less research focuses on the wintertime UHI. Exposure to low temperature also leads to a range of illnesses, and in fact, in the UK, annual cold-related mortality outweighs heat-related mortality. It is not clearly understood to what extent the wintertime UHI may protect against cold related mortality. In this study we quantify the UHI intensity in wintertime for a heavily urbanized UK region (West Midlands, including Birmingham) using a regional weather model, and for the first time, use a health impact assessment (HIA) to estimate the associated impact on cold-related mortality. We show that the population-weighted mean winter UHI intensity was +2.3 °C in Birmingham city center, and comparable with that of summer. Our results suggest a potential protective effect of the wintertime UHI, equivalent to 266 cold-related deaths avoided (~15% of total cold-related mortality over ~11 weeks). When including the impacts of climate change, our results suggest that the number of heat-related</w:t>
      </w:r>
    </w:p>
    <w:p>
      <w:pPr/>
      <w:r>
        <w:rPr>
          <w:b/>
        </w:rPr>
        <w:t>POSSIBLE 2020:</w:t>
      </w:r>
      <w:r>
        <w:t xml:space="preserve"> The EBRD, fail forward neoliberalism and the construction of the European periphery — https://doi.org/10.1177/1035304620916652</w:t>
      </w:r>
    </w:p>
    <w:p>
      <w:pPr/>
      <w:r>
        <w:rPr>
          <w:b/>
        </w:rPr>
        <w:t>Shared claim-specific concepts:</w:t>
      </w:r>
      <w:r>
        <w:t xml:space="preserve"> peripheral, region, external, environment; EU scope visible. This is a provisional connection, not an outcome finding.</w:t>
      </w:r>
    </w:p>
    <w:p>
      <w:pPr>
        <w:pStyle w:val="SourceNote"/>
      </w:pPr>
      <w:r>
        <w:rPr>
          <w:b/>
        </w:rPr>
        <w:t>Available abstract (not full text):</w:t>
      </w:r>
      <w:r>
        <w:t xml:space="preserve"> Abstract The European Bank for Reconstruction and Development is an institution, a set of programmes and policies designed to mark a number of important reforms not just in the post-Soviet space but in the wider European political economy. It is committed to developing a competitive business environment, foreign investment and private sector activity in the post-communist space. The European Bank for Reconstruction and Development is considered to be a key inter-state mechanism enabling member states to negotiate post-communist reforms. The paper reorients analysis of the European Bank for Reconstruction and Development, claiming that existing framings of the role of the EBRD ignore its tangible neoliberalising pressures. It argues that the EBRD works to fundamentally restructure states in the post-communist space in three ways: (1) the configuration of an ‘appropriately’ neoliberal economic space, (2) the construction of subaltern subjectivities in the regional space, and (3) the persistent dominance of expert knowledge and policy practice external to the state. This restructuring is intended to further neoliberalism in the economic space of the region. By uncoupling the European Bank for Reconstruction and Development from a state centric analysis, the paper reveals how the technical aspects of the European Bank for Reconstruction and Development activities configure particul</w:t>
      </w:r>
    </w:p>
    <w:p>
      <w:pPr/>
      <w:r>
        <w:rPr>
          <w:b/>
        </w:rPr>
        <w:t>POSSIBLE 2020:</w:t>
      </w:r>
      <w:r>
        <w:t xml:space="preserve"> RENEWABLE ENERGY PROJECTS ON ISOLATED ISLANDS IN EUROPE: A POLICY REVIEW — https://doi.org/10.32479/ijeep.9683</w:t>
      </w:r>
    </w:p>
    <w:p>
      <w:pPr/>
      <w:r>
        <w:rPr>
          <w:b/>
        </w:rPr>
        <w:t>Shared claim-specific concepts:</w:t>
      </w:r>
      <w:r>
        <w:t xml:space="preserve"> specific, island, local; EU scope visible. This is a provisional connection, not an outcome finding.</w:t>
      </w:r>
    </w:p>
    <w:p>
      <w:pPr>
        <w:pStyle w:val="SourceNote"/>
      </w:pPr>
      <w:r>
        <w:rPr>
          <w:b/>
        </w:rPr>
        <w:t>Available abstract (not full text):</w:t>
      </w:r>
      <w:r>
        <w:t xml:space="preserve"> Island territories that are not connected to the mainland grid have some peculiarities derived from their high level of isolation. For this reason, they are the subject of specific regulation in various European countries under the EU, national and local regulation. In order to deal with the high cost of energy on their territories, the lack of grid stability and the lack of autonomy, many initiatives that promote the introduction of energy self-sufficiency in isolated insular locations have emerged. The present paper is a policy review regarding islands non-interconnected with the mainland grid. The focus is on the key policy issues for the promotion of renewable energy as well as the outcomes of these policies in Greece, Portugal, Spain and France. A discussion of the unified price system, the creation of local markets and the special regulation for energy storage and the demand side management systems are some of the policy proposals cocluded from the present review. In order to overcome all the discussed barriers an approach that reaches across different governance levels with a special focus on the peculiarities of the island systems is needed.Keywords: Isolated electricity systems, Energy policies, Regulatory barriers, Islands, Southern Europe, ReviewJEL Classifications: Q4, Q42, O13DOI: https://doi.org/10.32479/ijeep.9683</w:t>
      </w:r>
    </w:p>
    <w:p>
      <w:pPr/>
      <w:r>
        <w:rPr>
          <w:b/>
        </w:rPr>
        <w:t>POSSIBLE 2019:</w:t>
      </w:r>
      <w:r>
        <w:t xml:space="preserve"> Follow-up of patients after revascularisation for peripheral arterial diseases: a consensus document from the European Society of Cardiology Working Group on Aorta and Peripheral Vascular Diseases and the European Society for Vascular Surgery — https://doi.org/10.1177/2047487319846999</w:t>
      </w:r>
    </w:p>
    <w:p>
      <w:pPr/>
      <w:r>
        <w:rPr>
          <w:b/>
        </w:rPr>
        <w:t>Shared claim-specific concepts:</w:t>
      </w:r>
      <w:r>
        <w:t xml:space="preserve"> specific, peripheral, local; EU scope visible. This is a provisional connection, not an outcome finding.</w:t>
      </w:r>
    </w:p>
    <w:p>
      <w:pPr>
        <w:pStyle w:val="SourceNote"/>
      </w:pPr>
      <w:r>
        <w:rPr>
          <w:b/>
        </w:rPr>
        <w:t>Available abstract (not full text):</w:t>
      </w:r>
      <w:r>
        <w:t xml:space="preserve"> Peripheral arterial diseases comprise different clinical presentations, from cerebrovascular disease down to lower extremity artery disease, from subclinical to disabling symptoms and events. According to clinical presentation, the patient's general condition, anatomical location and extension of lesions, revascularisation may be needed in addition to best medical treatment. The 2017 European Society of Cardiology guidelines in collaboration with the European Society for Vascular Surgery have addressed the indications for revascularisation. While most cases are amenable to either endovascular or surgical revascularisation, maintaining long-term patency is often challenging. Early and late procedural complications, but also local and remote recurrences frequently lead to revascularisation failure. The rationale for surveillance is to propose the accurate implementation of preventive strategies to avoid other cardiovascular events and disease progression and avoid recurrence of symptoms and the need for redo revascularisation. Combined with vascular history and physical examination, duplex ultrasound scanning is the pivotal imaging technique for identifying revascularisation failures. Other non-invasive examinations (ankle and toe brachial index, computed tomography scan, magnetic resonance imaging) at regular intervals can optimise surveillance in specific settings. Currently, o</w:t>
      </w:r>
    </w:p>
    <w:p>
      <w:pPr>
        <w:pStyle w:val="Heading2"/>
      </w:pPr>
      <w:r>
        <w:t>855.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r>
        <w:rPr>
          <w:b/>
        </w:rPr>
        <w:t>POSSIBLE 2016:</w:t>
      </w:r>
      <w:r>
        <w:t xml:space="preserve"> Comparative Susceptibility and Differential Effects on the Two European Courts: A Study of Grasstops Mobilizations around Religion — https://doi.org/10.1093/ojlr/rww050</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‘Grasstops mobilizations’ in the context of the European Court of Human Rights and the Court of Justice of the European Union refers to legal and political mobilization carried out by cause lawyers, NGOs, religious, secularist and humanist organizations, political figures and national governments, and by transnational networks which may develop within and between the above groups, depending on their stakes in a given issue. In the domain of religion, such grasstops mobilizations may seek to influence what religion-related issues get placed on a court’s agenda and the climate within which the Court takes its decisions on the latter; they are forces at the European and transnational levels potentially influencing the Court’s engagements with and ultimate handling of religion-related cases. This article draws on interviews carried out with various actors engaged with or impacted by mobilizations around the European courts to yield special insight into who mobilizes, for what reasons and to what effects, and into the conditions under which particular political, religious, or NGO actors are influential. Based upon the latter research as well as examination of certain structural differences between the two courts rendering them differently ‘open’ to various pressures, this contribution considers the comparative susceptibility of the two courts to such mobilizations.</w:t>
      </w:r>
    </w:p>
    <w:p>
      <w:pPr/>
      <w:r>
        <w:rPr>
          <w:b/>
        </w:rPr>
        <w:t>POSSIBLE 2016:</w:t>
      </w:r>
      <w:r>
        <w:t xml:space="preserve"> The new ambitions for 2014-2020 European structural and investment funds evaluation: pouring water in a leaking container? — https://openalex.org/W2552820326</w:t>
      </w:r>
    </w:p>
    <w:p>
      <w:pPr/>
      <w:r>
        <w:rPr>
          <w:b/>
        </w:rPr>
        <w:t>Shared claim-specific concepts:</w:t>
      </w:r>
      <w:r>
        <w:t xml:space="preserve"> structural, foreseen, article; EU scope visible. This is a provisional connection, not an outcome finding.</w:t>
      </w:r>
    </w:p>
    <w:p>
      <w:pPr>
        <w:pStyle w:val="SourceNote"/>
      </w:pPr>
      <w:r>
        <w:rPr>
          <w:b/>
        </w:rPr>
        <w:t>Available abstract (not full text):</w:t>
      </w:r>
      <w:r>
        <w:t xml:space="preserve"> One of the recurring criticisms that have been levied to EU Cohesion policy has been its inability to prove its effectiveness and value for money. These criticisms, and the parallel growing pressures to reduce the resources assigned to the policy in recent rounds of budget negotiations, have led to the introduction of changes in the regulatory obligations attached to funding. In the 2014-2020 regulations, efforts to improve the policy’s effectiveness have primarily related to a set of new obligations intended to improve the results-orientation of programme design and implementation, and to a strengthening of the purposefulness of evaluation activities, including through a shift from evaluating implementation to appraising impacts. This article focuses on the latter theme. It reviews the main evaluation obligations foreseen by the Common Provisions Regulations (CPR) and the change in evaluation focus advocated by DG REGIO, the preparation of Evaluation Plans in selected EU programmes and these plans’ coverage, focus, objectives and resources. The article concludes with some reflections on the challenges that the new regulatory framework entails for managing authorities. It argues that the new CPR and Commission guidance notes are addressing past weaknesses by adding new demands to old ones without having sufficiently addressed the problems behind the partly ineffectual responses</w:t>
      </w:r>
    </w:p>
    <w:p>
      <w:pPr>
        <w:pStyle w:val="Heading2"/>
      </w:pPr>
      <w:r>
        <w:t>856.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2023:</w:t>
      </w:r>
      <w:r>
        <w:t xml:space="preserve"> Implications of COVID-19 policies on the sustainable corporate practices of European firms — https://doi.org/10.1108/k-07-2022-1014</w:t>
      </w:r>
    </w:p>
    <w:p>
      <w:pPr/>
      <w:r>
        <w:rPr>
          <w:b/>
        </w:rPr>
        <w:t>Shared claim-specific concepts:</w:t>
      </w:r>
      <w:r>
        <w:t xml:space="preserve"> implications, firms, during, period; EU scope visible. This is a provisional connection, not an outcome finding.</w:t>
      </w:r>
    </w:p>
    <w:p>
      <w:pPr>
        <w:pStyle w:val="SourceNote"/>
      </w:pPr>
      <w:r>
        <w:rPr>
          <w:b/>
        </w:rPr>
        <w:t>Available abstract (not full text):</w:t>
      </w:r>
      <w:r>
        <w:t xml:space="preserve"> Purpose This study aims to analyze how mixes of COVID-19 policy responses are shaping the context in which companies will compete in the following years, defining how the crisis might impact firms’ ability to keep their commitments to sustainable practices. Design/methodology/approach European country-performance data for the years 2019 and 2020 were grouped into indicators of macro sustainability, then cross-analyzed against the policies adopted during the period (also grouped based on their impacts on sustainability pillars), using correlations, factor analysis and clustering. Findings The influence of traditional sustainability determinants was reframed according to the novel context shaped by the policy responses to the pandemic crisis. The social and digitalization aspects gained the most relevance and appeared interconnected, with digitalization of employment attaining overall more traction. Moreover, changes in the leadership within sustainability domains were observed for each identified country-cluster, due to newly implemented emergency policies. In fact, environmental innovation, digitalization and social support policies appeared to be the main variables to be impacted by the intensity of the policy efforts. Practical implications Businesses monitoring the developments of sustainability policies closely, will observe novel trends in technological applications. Socia</w:t>
      </w:r>
    </w:p>
    <w:p>
      <w:pPr/>
      <w:r>
        <w:rPr>
          <w:b/>
        </w:rPr>
        <w:t>POSSIBLE 2023:</w:t>
      </w:r>
      <w:r>
        <w:t xml:space="preserve"> Women in CEO duality and firm performance in Europe — https://doi.org/10.1007/s10997-023-09669-6</w:t>
      </w:r>
    </w:p>
    <w:p>
      <w:pPr/>
      <w:r>
        <w:rPr>
          <w:b/>
        </w:rPr>
        <w:t>Shared claim-specific concepts:</w:t>
      </w:r>
      <w:r>
        <w:t xml:space="preserve"> implications, sample, firms, countries, period; EU scope visible. This is a provisional connection, not an outcome finding.</w:t>
      </w:r>
    </w:p>
    <w:p>
      <w:pPr>
        <w:pStyle w:val="SourceNote"/>
      </w:pPr>
      <w:r>
        <w:rPr>
          <w:b/>
        </w:rPr>
        <w:t>Available abstract (not full text):</w:t>
      </w:r>
      <w:r>
        <w:t xml:space="preserve"> Abstract This paper investigates gender dimensions in the relationship between CEO duality and firm performance, combining feminist theories and stewardship arguments. Using a large sample of listed firms from 23 European countries in the 2014–2020 period, we have found that CEO duality has a positive effect on corporate performance when a woman holds both the roles of CEO and board chair. These findings highlight the ‘bright side’ of women in governance, suggesting the presence of women in double leadership positions can amplify benefits and/or limits costs related to CEO duality. Having a woman in CEO-chair leadership could optimize a firm’s use of its resources and more effectively contribute to improving performance. Directions for future research could include a better understanding of women in leadership in the organizational domain. Our results have a number of managerial and political implications.</w:t>
      </w:r>
    </w:p>
    <w:p>
      <w:pPr/>
      <w:r>
        <w:rPr>
          <w:b/>
        </w:rPr>
        <w:t>POSSIBLE 2022:</w:t>
      </w:r>
      <w:r>
        <w:t xml:space="preserve"> The implications of globalization on COVID-19 vaccination in Europe — https://doi.org/10.1038/s41598-022-21493-w</w:t>
      </w:r>
    </w:p>
    <w:p>
      <w:pPr/>
      <w:r>
        <w:rPr>
          <w:b/>
        </w:rPr>
        <w:t>Shared claim-specific concepts:</w:t>
      </w:r>
      <w:r>
        <w:t xml:space="preserve"> implications, countries, lack, period, international; EU scope visible. This is a provisional connection, not an outcome finding.</w:t>
      </w:r>
    </w:p>
    <w:p>
      <w:pPr>
        <w:pStyle w:val="SourceNote"/>
      </w:pPr>
      <w:r>
        <w:rPr>
          <w:b/>
        </w:rPr>
        <w:t>Available abstract (not full text):</w:t>
      </w:r>
      <w:r>
        <w:t xml:space="preserve"> Although globalization has left its mark on economic dynamism, causing conditionalities among various aspects (market openness, production networks, technological and information developments, migratory flows, international cooperation, humanitarian support, etc.), the less pleasant side of it should not be omitted, i.e. the emergence of the framework for the faster diffusion of epidemiological diseases. Thus, with the onset of the SARS-CoV-2 virus, its widespread circulation is a serious challenge for the provision of efficient solutions to combat it, especially in countries with fragile health systems, poor institutional quality and lack of resources. In this paper we aim to investigate the implications of globalization on the COVID-19 vaccination of the population. The period under analysis is January 1, 2021-January 1, 2022, using montly data, and the object of our study are 48 European states. To capture the relationship between globalization and the vaccination rate, we applied regression models, including a number of factors that may influence the progress of vaccination. In order to test the robustness of the results, the two-stage least squares (2SLS) regressions was used. The regression models developed underlined that globalization impacts the degree of vaccination. More globalized economies are more competitive in COVID-19 management, and the significance of this ef</w:t>
      </w:r>
    </w:p>
    <w:p>
      <w:pPr/>
      <w:r>
        <w:rPr>
          <w:b/>
        </w:rPr>
        <w:t>POSSIBLE 2022:</w:t>
      </w:r>
      <w:r>
        <w:t xml:space="preserve"> Firms’ distance to the European productivity frontier — https://doi.org/10.1007/s40821-022-00207-2</w:t>
      </w:r>
    </w:p>
    <w:p>
      <w:pPr/>
      <w:r>
        <w:rPr>
          <w:b/>
        </w:rPr>
        <w:t>Shared claim-specific concepts:</w:t>
      </w:r>
      <w:r>
        <w:t xml:space="preserve"> firms, other, period; EU scope visible. This is a provisional connection, not an outcome finding.</w:t>
      </w:r>
    </w:p>
    <w:p>
      <w:pPr>
        <w:pStyle w:val="SourceNote"/>
      </w:pPr>
      <w:r>
        <w:rPr>
          <w:b/>
        </w:rPr>
        <w:t>Available abstract (not full text):</w:t>
      </w:r>
      <w:r>
        <w:t xml:space="preserve"> Abstract In this article we explore the factors contributing to reduce the distance of laggard firms to the European frontier, focusing on institutional factors. To characterize Total Factor Productivity frontier firms within industries for the European Union we use firm level data from AMADEUS for the period 2003–2014. Our findings provide evidence on the importance of governance quality and easiness in getting credit in explaining the distance of laggard firms to the European productivity frontier. We also find that other factors at the country level -tertiary education, R&amp;D stock, and trade openness- and at the firm level -size, age, and capital-intensity- influence the distance of laggards to the frontier. In addition, we examine the role of the Great Recession in moderating the contribution of all these factors to reduce firms’ distance to the European productivity frontier.</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sample, composed, firms, international, different;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2021:</w:t>
      </w:r>
      <w:r>
        <w:t xml:space="preserve"> Economic implications of a connected and automated mobility in Europe — https://doi.org/10.1016/j.retrec.2021.101072</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Connected and Automated Mobility will disrupt the road transport sector which has remained substantially unchanged since the vehicle became mass produced in the first half of the twentieth century. Given the central role of mobility for our society and economy, the implications of a transformation in the transport sector will not be limited to transport but will regard many other aspects of our society. The aim of this paper is to analyse the possible future socio-economic implications of such a disruption in the road transport sector. It builds upon a set of future road transport scenarios and aims to identify the main impacts in different economic sectors mostly from a qualitative perspective. Results show that the deployment of Connected and Automated Vehicles could provide profitable opportunities for sectors like automotive, electronics and software, telecommunication, data services, digital media and freight transport; but other sectors including insurance and maintenance and repair are identified as businesses that might suffer revenue decreases in the future. In all scenarios, the policy implications of the transformation can be strong, which implies that the evolution of the transport system has to be carefully monitored in order to promptly cope with possible future effects.</w:t>
      </w:r>
    </w:p>
    <w:p>
      <w:pPr/>
      <w:r>
        <w:rPr>
          <w:b/>
        </w:rPr>
        <w:t>POSSIBLE 2021:</w:t>
      </w:r>
      <w:r>
        <w:t xml:space="preserve"> Implications of COVID-19 lockdowns on surface passenger mobility and related CO2 emission changes in Europe — https://doi.org/10.1016/j.apenergy.2021.117396</w:t>
      </w:r>
    </w:p>
    <w:p>
      <w:pPr/>
      <w:r>
        <w:rPr>
          <w:b/>
        </w:rPr>
        <w:t>Shared claim-specific concepts:</w:t>
      </w:r>
      <w:r>
        <w:t xml:space="preserve"> implications, countries, during, period; EU scope visible. This is a provisional connection, not an outcome finding.</w:t>
      </w:r>
    </w:p>
    <w:p>
      <w:pPr>
        <w:pStyle w:val="SourceNote"/>
      </w:pPr>
      <w:r>
        <w:rPr>
          <w:b/>
        </w:rPr>
        <w:t>Available abstract (not full text):</w:t>
      </w:r>
      <w:r>
        <w:t xml:space="preserve"> The coronavirus pandemic has severely affected our daily lives, with direct consequences on passenger transport. This in turn has strongly impacted the energy demand of the transport sector and associated CO2 emissions. We analyse near real-time passenger mobility and related emission trends in Europe between 21 January and 21 September 2020. We compiled a dataset of country-, sector- and lockdown- specific values, representing daily activity changes in private, public, and active passenger transport. In the aggregate, surface passenger transport emissions fell by 11.2% corresponding to 40.3 MtCO2 in Europe. This decline was predominantly due to the reduction of private passenger transport in five European countries (France, Germany, Italy, Spain, and the UK). During the first lockdown in April 2020, CO2 emissions from surface passenger transport declined by 50% in Europe, resulting in a 7.1% reduction in total CO2 emissions. After April 2020, private passenger travel recovered rapidly, while public passenger flows remained low. Solely prompted by the private sector, a rebound in total emissions and surface passenger transport emissions of 1.5% and 10.7%, respectively, was estimated at the end of the study period. The resulting situation of increased private and decreased public passenger transport is in contradiction to major climate goals, and without reversing these trends, </w:t>
      </w:r>
    </w:p>
    <w:p>
      <w:pPr>
        <w:pStyle w:val="Heading2"/>
      </w:pPr>
      <w:r>
        <w:t>857.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r>
        <w:rPr>
          <w:b/>
        </w:rPr>
        <w:t>POSSIBLE 2016:</w:t>
      </w:r>
      <w:r>
        <w:t xml:space="preserve"> Right-Wing Extremism and Terrorism in Europe: Current Developments and Issues for the Future — https://openalex.org/W2994049625</w:t>
      </w:r>
    </w:p>
    <w:p>
      <w:pPr/>
      <w:r>
        <w:rPr>
          <w:b/>
        </w:rPr>
        <w:t>Shared claim-specific concepts:</w:t>
      </w:r>
      <w:r>
        <w:t xml:space="preserve"> stark, contrast, white, show, almost, compared; EU scope visible. This is a provisional connection, not an outcome finding.</w:t>
      </w:r>
    </w:p>
    <w:p>
      <w:pPr>
        <w:pStyle w:val="SourceNote"/>
      </w:pPr>
      <w:r>
        <w:rPr>
          <w:b/>
        </w:rPr>
        <w:t>Available abstract (not full text):</w:t>
      </w:r>
      <w:r>
        <w:t xml:space="preserve"> Europe has experienced a revival of groups, networks, and incidents in recent years, with a surge of anti-immigration and Islamophobic violence, as well as anti-government attacks and assaults on political opponents, ethnic minorities, and homosexuals. Although not as significant as in Europe, the United States has also seen an upsurge in political violence considered to be right-wing extremist in nature (for example, supremacist, neo-Nazi, racist, or anti-government sovereign citizen). For the international audience, only a few of these incidents gained broad media attention; attacks are seen mostly as isolated events when compared with other attacks, such as those by Islamist terrorists. In Germany, a terrorist group calling itself the National Socialist Underground was discovered in 2011. Despite having assassinated at least 10 people and committed 2 bombings over the course of almost 14 years, it had gone undetected. That same year, Anders Behring Breivik killed 77 people in a bomb attack in Oslo and a mass shooting in Ut0ya, Norway. In the United States, supremacist Michael Page shot and killed six people and wounded four others in an attack against a Wisconsin Sikh temple in August 2012. Only one day after Charles Kurzman had argued in the New York Times that terrorism might be the most severe security threat in the United States, Dylann Roof killed nine people in his sho</w:t>
      </w:r>
    </w:p>
    <w:p>
      <w:pPr>
        <w:pStyle w:val="Heading2"/>
      </w:pPr>
      <w:r>
        <w:t>858.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2023:</w:t>
      </w:r>
      <w:r>
        <w:t xml:space="preserve"> The role of the marine research infrastructures in the European marine observation landscape: present and future perspectives — https://doi.org/10.3389/fmars.2023.1047251</w:t>
      </w:r>
    </w:p>
    <w:p>
      <w:pPr/>
      <w:r>
        <w:rPr>
          <w:b/>
        </w:rPr>
        <w:t>Shared claim-specific concepts:</w:t>
      </w:r>
      <w:r>
        <w:t xml:space="preserve"> marine, play, significant, role, long-term, system; EU scope visible. This is a provisional connection, not an outcome finding.</w:t>
      </w:r>
    </w:p>
    <w:p>
      <w:pPr>
        <w:pStyle w:val="SourceNote"/>
      </w:pPr>
      <w:r>
        <w:rPr>
          <w:b/>
        </w:rPr>
        <w:t>Available abstract (not full text):</w:t>
      </w:r>
      <w:r>
        <w:t xml:space="preserve"> The ocean regulates the exchange, storage of carbon dioxide, plays a key role in global control of Earth climate and life, absorbs most of the heat excess from greenhouse gas emissions and provides a remarkable number of resources for the human being. Most of the geo-hazards occur in oceanic areas. Thus, high-quality systematic observations are necessary tools for improving our understanding, and subsequent assimilation to provide early warning systems. A holistic scientific approach for the understanding of the ocean’s interrelated processes requires coordinated and complementary monitoring and observation programmes. Research Infrastructures (RIs) are large-scale facilities that provide resources and services for the scientific communities to conduct high-level research and foster innovation. RIs benefit from strong governance and multi-annual funding from their member states with operational life spans in decades. RIs promote knowledge, outreach and education to public, private, and policy stakeholders, and they play a key role in enabling and developing research in all scientific domains and currently represent a growing share of coordinated investment in research, and also in providing essential observations to operational services such as Copernicus. They are strategically important for Europe to lead a global movement towards a data-driven, interconnected, open digital t</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2021:</w:t>
      </w:r>
      <w:r>
        <w:t xml:space="preserve"> The Essentials of Marine Biotechnology — https://doi.org/10.3389/fmars.2021.629629</w:t>
      </w:r>
    </w:p>
    <w:p>
      <w:pPr/>
      <w:r>
        <w:rPr>
          <w:b/>
        </w:rPr>
        <w:t>Shared claim-specific concepts:</w:t>
      </w:r>
      <w:r>
        <w:t xml:space="preserve"> marine, energy, resources, field, technology; EU scope visible. This is a provisional connection, not an outcome finding.</w:t>
      </w:r>
    </w:p>
    <w:p>
      <w:pPr>
        <w:pStyle w:val="SourceNote"/>
      </w:pPr>
      <w:r>
        <w:rPr>
          <w:b/>
        </w:rPr>
        <w:t>Available abstract (not full text):</w:t>
      </w:r>
      <w:r>
        <w:t xml:space="preserve"> Coastal countries have traditionally relied on the existing marine resources (e.g., fishing, food, transport, recreation, and tourism) as well as tried to support new economic endeavors (ocean energy, desalination for water supply, and seabed mining). Modern societies and lifestyle resulted in an increased demand for dietary diversity, better health and well-being, new biomedicines, natural cosmeceuticals, environmental conservation, and sustainable energy sources. These societal needs stimulated the interest of researchers on the diverse and underexplored marine environments as promising and sustainable sources of biomolecules and biomass, and they are addressed by the emerging field of marine (blue) biotechnology. Blue biotechnology provides opportunities for a wide range of initiatives of commercial interest for the pharmaceutical, biomedical, cosmetic, nutraceutical, food, feed, agricultural, and related industries. This article synthesizes the essence, opportunities, responsibilities, and challenges encountered in marine biotechnology and outlines the attainment and valorization of directly derived or bio-inspired products from marine organisms. First, the concept of bioeconomy is introduced. Then, the diversity of marine bioresources including an overview of the most prominent marine organisms and their potential for biotechnological uses are described. This is followed b</w:t>
      </w:r>
    </w:p>
    <w:p>
      <w:pPr/>
      <w:r>
        <w:rPr>
          <w:b/>
        </w:rPr>
        <w:t>POSSIBLE 2021:</w:t>
      </w:r>
      <w:r>
        <w:t xml:space="preserve"> Marine Energy in the United States: An Overview of Opportunities — https://doi.org/10.2172/1766861</w:t>
      </w:r>
    </w:p>
    <w:p>
      <w:pPr/>
      <w:r>
        <w:rPr>
          <w:b/>
        </w:rPr>
        <w:t>Shared claim-specific concepts:</w:t>
      </w:r>
      <w:r>
        <w:t xml:space="preserve"> marine, energy, resources, performed, technology; EU scope not established. This is a provisional connection, not an outcome finding.</w:t>
      </w:r>
    </w:p>
    <w:p>
      <w:pPr>
        <w:pStyle w:val="SourceNote"/>
      </w:pPr>
      <w:r>
        <w:rPr>
          <w:b/>
        </w:rPr>
        <w:t>Available abstract (not full text):</w:t>
      </w:r>
      <w:r>
        <w:t xml:space="preserve"> This report provides a concise and consolidated overview of the Unites States’ marine energy resources . The results reported herein are primarily based on U.S. Department of Energy (DOE)-funded marine energy resource assessments in the following technology areas: wave, tidal currents, ocean currents, ocean thermal gradients, and river currents. This report also incorporates recent updates and refinements to the U.S. wave and tidal resource assessments performed by the national labs. Many of these refinements were undertaken to address feedback from the National Research Council’s evaluation of the original resource assessments (National Research Council 2013). Further, this report refines the analysis that has been published to date by identifying the marine energy resources available in each U.S. state or region to the extent practical. In short, this report summarizes the best available data on U.S. marine energy resources at the state, regional, and national scales.</w:t>
      </w:r>
    </w:p>
    <w:p>
      <w:pPr/>
      <w:r>
        <w:rPr>
          <w:b/>
        </w:rPr>
        <w:t>POSSIBLE 2021:</w:t>
      </w:r>
      <w:r>
        <w:t xml:space="preserve"> Legal and Political Barriers and Enablers to the Deployment of Marine Renewable Energy — https://doi.org/10.3390/en14164896</w:t>
      </w:r>
    </w:p>
    <w:p>
      <w:pPr/>
      <w:r>
        <w:rPr>
          <w:b/>
        </w:rPr>
        <w:t>Shared claim-specific concepts:</w:t>
      </w:r>
      <w:r>
        <w:t xml:space="preserve"> marine, energy, performed, technology, current; EU scope visible. This is a provisional connection, not an outcome finding.</w:t>
      </w:r>
    </w:p>
    <w:p>
      <w:pPr>
        <w:pStyle w:val="SourceNote"/>
      </w:pPr>
      <w:r>
        <w:rPr>
          <w:b/>
        </w:rPr>
        <w:t>Available abstract (not full text):</w:t>
      </w:r>
      <w:r>
        <w:t xml:space="preserve"> Ocean energy is a promising source of clean renewable energy, with clear development targets set by the European Commission. However, the ocean energy sector faces non-technological challenges and opportunities that are frequently overlooked in deployment plans. The present study aimed to provide a critical evaluation of the ocean energy sector’s legal, institutional, and political frameworks with an identification and analysis of both barriers and enabling features for the deployment of ocean energy. In the first stage, a literature review on the current political and regulatory frameworks of a set of European countries was carried out, setting the basis for the main challenges and enabling factors faced by the sector. Secondly, a critical analysis of the main non-technological barriers and enablers was performed, which was supported by questionnaires sent to regulators, technology developers, and test-site managers. This questionnaire allowed us to collect and integrate the views, perceptions, and personal experiences of the main stakeholders of the ocean energy sector in the analysis. The most relevant insights were collected to guide future policy instruments, supports, and consenting measures in a more informed and effective manner and to help accelerate the development of the sector.</w:t>
      </w:r>
    </w:p>
    <w:p>
      <w:pPr/>
      <w:r>
        <w:rPr>
          <w:b/>
        </w:rPr>
        <w:t>POSSIBLE 2021:</w:t>
      </w:r>
      <w:r>
        <w:t xml:space="preserve"> A Decision Support Tool for Long-Term Planning of Marine Operations in Ocean Energy Projects — https://doi.org/10.3390/jmse9080810</w:t>
      </w:r>
    </w:p>
    <w:p>
      <w:pPr/>
      <w:r>
        <w:rPr>
          <w:b/>
        </w:rPr>
        <w:t>Shared claim-specific concepts:</w:t>
      </w:r>
      <w:r>
        <w:t xml:space="preserve"> marine, energy, long-term, performed; EU scope not established. This is a provisional connection, not an outcome finding.</w:t>
      </w:r>
    </w:p>
    <w:p>
      <w:pPr>
        <w:pStyle w:val="SourceNote"/>
      </w:pPr>
      <w:r>
        <w:rPr>
          <w:b/>
        </w:rPr>
        <w:t>Available abstract (not full text):</w:t>
      </w:r>
      <w:r>
        <w:t xml:space="preserve"> Ocean energy is a relevant source of clean renewable energy, and as it is still facing challenges related to its above grid-parity costs, tariffs intended to support in a structured and coherent way are of great relevance and potential impact. The logistics and marine operations required for installing and maintaining these systems are major cost drivers of marine renewable energy projects. Planning the logistics of marine energy projects is a highly complex and intertwined process, and to date, limited advances have been made in the development of decision support tools suitable for ocean energy farm design. The present paper describes the methodology of a novel, opensource, logistic and marine operation planning tool, integrated within DTOceanPlus suite of design tools, and responsible for producing logistic solutions comprised of optimal selections of vessels, port terminals, equipment, as well as operation plans, for ocean energy projects. Infrastructure selection logistic functions were developed to select vessels, ports, and equipment for specific projects. A statistical weather window model was developed to estimate operation delays due to weather. A vessel charter rate modeling approach, based on an in-house vessel database and industry experience, is described in detail. The overall operation assumptions and underlying operating principles of the statistical weather wi</w:t>
      </w:r>
    </w:p>
    <w:p>
      <w:pPr/>
      <w:r>
        <w:rPr>
          <w:b/>
        </w:rPr>
        <w:t>POSSIBLE 2021:</w:t>
      </w:r>
      <w:r>
        <w:t xml:space="preserve"> Biological Consequences of Marine Energy Development on Marine Animals — https://doi.org/10.3390/en14248460</w:t>
      </w:r>
    </w:p>
    <w:p>
      <w:pPr/>
      <w:r>
        <w:rPr>
          <w:b/>
        </w:rPr>
        <w:t>Shared claim-specific concepts:</w:t>
      </w:r>
      <w:r>
        <w:t xml:space="preserve"> marine, energy, system; EU scope not established. This is a provisional connection, not an outcome finding.</w:t>
      </w:r>
    </w:p>
    <w:p>
      <w:pPr>
        <w:pStyle w:val="SourceNote"/>
      </w:pPr>
      <w:r>
        <w:rPr>
          <w:b/>
        </w:rPr>
        <w:t>Available abstract (not full text):</w:t>
      </w:r>
      <w:r>
        <w:t xml:space="preserve"> Marine energy devices harness power from attributes of ocean water to form a sustainable energy source. Knowledge gaps remain about whether marine energy systems can affect the environment, adding another threat to animal populations and habitats already under pressure from climate change and anthropogenic activities. To date, potential environmental effects have been studied under the scope of stressor–receptor interactions, where moving parts of, or emissions from, a system could harm the animals, habitats, and natural processes. While crucial for understanding effects and identifying knowledge gaps, this approach misses a holistic view of what animals may experience in the presence of marine energy systems. We look at six biological consequences and forces that drive the health of an animal population and the effects expected from marine energy development: success of early life stages; changes in competitive capabilities; growth and survival based on food availability; susceptibility to predators; injury or death; and reproductive success. We use case studies to develop this approach, focusing on a variety of marine animals. An approximate level of risk is assigned for each interaction based on the biological consequences. This work highlights the need to examine the effects of marine energy development on animal populations within their natural habitats.</w:t>
      </w:r>
    </w:p>
    <w:p>
      <w:pPr>
        <w:pStyle w:val="Heading2"/>
      </w:pPr>
      <w:r>
        <w:t>859.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r>
        <w:rPr>
          <w:b/>
        </w:rPr>
        <w:t>POSSIBLE 2022:</w:t>
      </w:r>
      <w:r>
        <w:t xml:space="preserve"> Summary from the 1st AIAA Ice Prediction Workshop — https://doi.org/10.2514/6.2022-3398</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View Video Presentation: https://doi.org/10.2514/6.2022-3398.vid The AIAA 1st ice prediction workshop focused on establishing current 2D and 3D simulation capabilities towards ice accretion on aircraft by bringing together scientists from diverse backgrounds such as code developers, experimentalists and users. To that end, experimentally and publicly available rime and glaze ice accretion data were provided for a wide range of applications. The geometries include single and multi-element airfoils, wings, engine inlet and horizontal tail configurations in flow with different droplet size distributions including Supercooled Large Droplets. In addition to ice accretion, data such as pressure distribution, ice mass and collection efficiency were provided, when available. Results from various Computational Fluid Dynamics workflows were provided by academia, research/federal centers and industries. The submitted data is analyzed via code-to-code and code-to-experiment comparison plots. While the many comparisons are now publicly available, the paper presents the detailed analysis on some selected baseline and optional cases. A methodology and technology gap assessment concludes on the current state-of-the-art and presents possible future workshops directions to improve our understanding and modeling of the various phenomena at play.</w:t>
      </w:r>
    </w:p>
    <w:p>
      <w:pPr/>
      <w:r>
        <w:rPr>
          <w:b/>
        </w:rPr>
        <w:t>POSSIBLE 2021:</w:t>
      </w:r>
      <w:r>
        <w:t xml:space="preserve"> A 2021 Online Workshop for the Review of Two Modules on Methodology for Using English as a Medium of Instruction in Rwanda: Opportunities and Challenges — https://doi.org/10.33422/ejte.v3i4.554</w:t>
      </w:r>
    </w:p>
    <w:p>
      <w:pPr/>
      <w:r>
        <w:rPr>
          <w:b/>
        </w:rPr>
        <w:t>Shared claim-specific concepts:</w:t>
      </w:r>
      <w:r>
        <w:t xml:space="preserve"> workshop, methodology, used, showed; EU scope not established. This is a provisional connection, not an outcome finding.</w:t>
      </w:r>
    </w:p>
    <w:p>
      <w:pPr>
        <w:pStyle w:val="SourceNote"/>
      </w:pPr>
      <w:r>
        <w:rPr>
          <w:b/>
        </w:rPr>
        <w:t>Available abstract (not full text):</w:t>
      </w:r>
      <w:r>
        <w:t xml:space="preserve"> Since the outbreak of the COVID-19 pandemic in Wuhan in China and its rapid spread around the globe, people’s life and work styles have changed. Governments have installed and implemented lockdowns, social distancing, and stay home preventive measures that have forced most people to work from their homes. Research units and higher learning institutions were not spared as well. International conferences that were to take place in 2020 were turned into virtual presentations and until recently nothing has changed. To handle the crisis, the University of Rwanda also thought of transforming its work ethos. In this regard a two-phase online workshop was held in January and February 2021 to review two modules produced during a face-to face workshop in October 2021. These were modules on methodologies to help pre-primary, primary and lower secondary school teachers to effectively deliver their subject content through English, the medium of instruction, and promote learners’ proficiency in this language. As this online review was the first virtual workshop experience of the kind for most participants, the researchers decided to investigate the opportunities it offered them and the challenges faced. Theories on online work and of quantitative and qualitative research paradigms were used. The research tools were a questionnaire and observations. Graphs were utilised and emerging themes gr</w:t>
      </w:r>
    </w:p>
    <w:p>
      <w:pPr/>
      <w:r>
        <w:rPr>
          <w:b/>
        </w:rPr>
        <w:t>POSSIBLE 2021:</w:t>
      </w:r>
      <w:r>
        <w:t xml:space="preserve"> Workshop methodology design: Innovation-oriented participatory processes for sustainability — https://doi.org/10.1016/j.annals.2021.103251</w:t>
      </w:r>
    </w:p>
    <w:p>
      <w:pPr/>
      <w:r>
        <w:rPr>
          <w:b/>
        </w:rPr>
        <w:t>Shared claim-specific concepts:</w:t>
      </w:r>
      <w:r>
        <w:t xml:space="preserve"> workshop, methodology, used, structures; EU scope not established. This is a provisional connection, not an outcome finding.</w:t>
      </w:r>
    </w:p>
    <w:p>
      <w:pPr>
        <w:pStyle w:val="SourceNote"/>
      </w:pPr>
      <w:r>
        <w:rPr>
          <w:b/>
        </w:rPr>
        <w:t>Available abstract (not full text):</w:t>
      </w:r>
      <w:r>
        <w:t xml:space="preserve"> Workshop methodologies based on overarching knowledge structures are necessary for a shift of the tourism sector towards sustainability. We adopted a participatory action research approach and designed a workshop methodology based on the main tenets and tools of the theory of change, design thinking, and sustainable business models. We tested this methodology within a project initiated by a destination management organisation to promote innovation during the covid-19 crisis and used the results to identify improvements and recommendations for future applications. Although further tests are needed, the study proved that the developed methodology has great potential for promoting the systemic change, creativity, collaboration, empathy, and empowerment that are necessary for a sustainability shift.</w:t>
      </w:r>
    </w:p>
    <w:p>
      <w:pPr>
        <w:pStyle w:val="Heading2"/>
      </w:pPr>
      <w:r>
        <w:t>860.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2024:</w:t>
      </w:r>
      <w:r>
        <w:t xml:space="preserve"> Innovations and inspirations of EU strategic foresight methods — https://doi.org/10.3724/j.issn.1671-4342.20240107</w:t>
      </w:r>
    </w:p>
    <w:p>
      <w:pPr/>
      <w:r>
        <w:rPr>
          <w:b/>
        </w:rPr>
        <w:t>Shared claim-specific concepts:</w:t>
      </w:r>
      <w:r>
        <w:t xml:space="preserve"> foresight, system, strategic, directions, innovative, technological; EU scope visible. This is a provisional connection, not an outcome finding.</w:t>
      </w:r>
    </w:p>
    <w:p>
      <w:pPr>
        <w:pStyle w:val="SourceNote"/>
      </w:pPr>
      <w:r>
        <w:rPr>
          <w:b/>
        </w:rPr>
        <w:t>Available abstract (not full text):</w:t>
      </w:r>
      <w:r>
        <w:t xml:space="preserve"> In the face of complex and diversified future scenarios, strategic foresight has become a powerful tool to support decision-making. Through in-depth study of EU strategic foresight research results, this paper summarizes the EU's innovative practices in strategic foresight, and elaborates in detail on the strategic foresight methodology system of the EU, with horizon scan, megatrends hub, and scenario exploration system as its backbone tools, as well as its optimization design in specific methods and processes. Combined with the future-oriented development trend of strategic research methodology and the EU's innovative practice in strategic foresight methodology, furthermore, it provides a summary of the development characteristics and advantages of the EU's strategic foresight research methodology trends and directions, with a goal of providing inspiration for China's scientific and technological strategic research, policy research tools and methodological.</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r>
        <w:rPr>
          <w:b/>
        </w:rPr>
        <w:t>POSSIBLE 2023:</w:t>
      </w:r>
      <w:r>
        <w:t xml:space="preserve"> Foresight as a tool for implementing the directions of new industrialization — https://doi.org/10.26425/1816-4277-2023-2-48-56</w:t>
      </w:r>
    </w:p>
    <w:p>
      <w:pPr/>
      <w:r>
        <w:rPr>
          <w:b/>
        </w:rPr>
        <w:t>Shared claim-specific concepts:</w:t>
      </w:r>
      <w:r>
        <w:t xml:space="preserve"> foresight, directions, innovative; EU scope not established. This is a provisional connection, not an outcome finding.</w:t>
      </w:r>
    </w:p>
    <w:p>
      <w:pPr>
        <w:pStyle w:val="SourceNote"/>
      </w:pPr>
      <w:r>
        <w:rPr>
          <w:b/>
        </w:rPr>
        <w:t>Available abstract (not full text):</w:t>
      </w:r>
      <w:r>
        <w:t xml:space="preserve"> The subjectof the study is the process of reindustrialization in the old industrial region, where the main development resources are preserved, but the activity level of innovative processes is insufficient. The purposeof the study is the possibility of applying foresight methods in the implementation of neoindustrialization projects in the region. The methodologyincludes a monographic study of the industrialization processes dynamics, a comparative analysis of procedures for changing the structure of industrial production, and a foresight conducting methodology. The main resultof the study is the substantiation of the choice of the most effective method of applying foresight, as well as the construction of a reindustrialization roadmap on the example of the Voronezh region. The application of these results is possible in other territorial entities (region, municipal unit) involved in the implementation of foresight projects for the development of industry. Prospects:research development - creation of a model methodology for the use of foresights in the implementation of large-scale complex projects at the regional level. Conclusions:the use of foresight in determining the prospects for the revival of the high-tech industry will help to increase the efficiency of decisions to attract resources to the development of priority benchmark, industrial production.</w:t>
      </w:r>
    </w:p>
    <w:p>
      <w:pPr/>
      <w:r>
        <w:rPr>
          <w:b/>
        </w:rPr>
        <w:t>POSSIBLE 2022:</w:t>
      </w:r>
      <w:r>
        <w:t xml:space="preserve"> Education as a System: The Content of the Foresight Methodology — https://doi.org/10.25205/2541-7517-2022-20-2-68-78</w:t>
      </w:r>
    </w:p>
    <w:p>
      <w:pPr/>
      <w:r>
        <w:rPr>
          <w:b/>
        </w:rPr>
        <w:t>Shared claim-specific concepts:</w:t>
      </w:r>
      <w:r>
        <w:t xml:space="preserve"> foresight, system, society; EU scope not established. This is a provisional connection, not an outcome finding.</w:t>
      </w:r>
    </w:p>
    <w:p>
      <w:pPr>
        <w:pStyle w:val="SourceNote"/>
      </w:pPr>
      <w:r>
        <w:rPr>
          <w:b/>
        </w:rPr>
        <w:t>Available abstract (not full text):</w:t>
      </w:r>
      <w:r>
        <w:t xml:space="preserve"> The article reveals the substantive aspects of the Foresight methodology of social forecasting of the devel­opment of the education system as a complex, dynamic, open system from the point of view of a systematic approach. It is assumed that the education system is a central social institution, which, being associated with the transmission of knowledge, has to, in order to form a holistic personality of human beings, also support its own systemic complexity, as well as correspond to the complexity of the entire structure of society. The paper emphasizes some substantive difficulties in the work of experts in the framework of Foresight studies, as well as the need to take into account the value aspect when predicting the education of the future.</w:t>
      </w:r>
    </w:p>
    <w:p>
      <w:pPr/>
      <w:r>
        <w:rPr>
          <w:b/>
        </w:rPr>
        <w:t>POSSIBLE 2022:</w:t>
      </w:r>
      <w:r>
        <w:t xml:space="preserve"> Foresight as a Strategic Management Tool in the ICT Industry — https://doi.org/10.32983/2222-4459-2022-10-225-230</w:t>
      </w:r>
    </w:p>
    <w:p>
      <w:pPr/>
      <w:r>
        <w:rPr>
          <w:b/>
        </w:rPr>
        <w:t>Shared claim-specific concepts:</w:t>
      </w:r>
      <w:r>
        <w:t xml:space="preserve"> foresight, system, expert, strategic, innovative, identification; EU scope not established. This is a provisional connection, not an outcome finding.</w:t>
      </w:r>
    </w:p>
    <w:p>
      <w:pPr>
        <w:pStyle w:val="SourceNote"/>
      </w:pPr>
      <w:r>
        <w:rPr>
          <w:b/>
        </w:rPr>
        <w:t>Available abstract (not full text):</w:t>
      </w:r>
      <w:r>
        <w:t xml:space="preserve"> Foresight, as one of the most effective tools of strategic management, logically fits into the system of strategizing, which determines the relevance and actuality of the presented study. The desire to exchange traditions and management practices, along with consideration of scale, also contribute to the development of strategic management, in particular, foresight management. The purpose of the publication is to identify the essence of the available foresight studies and the possibilities of introducing their results in practice, in particular at the enterprises of the ICT industry. To achieve the purpose, general and special methods were used, such as methods of system analysis, analysis and synthesis, empirical methods of comparison and generalization, case method. The task is set as follows: studying the practice of application of foresight methodology in the ICT industry. The article considers the content and features of foresight as a tool of strategic management of enterprise development used to ensure their competitiveness. The purpose of the practical application of foresight is the implementation of strategic long-term forecasting, which is formed on the basis of expert opinions, analyses of factors, identification of stakeholders, displaying alternative trends in the development of enterprise, allowing to form development scenarios and implement the chosen strategy. </w:t>
      </w:r>
    </w:p>
    <w:p>
      <w:pPr/>
      <w:r>
        <w:rPr>
          <w:b/>
        </w:rPr>
        <w:t>POSSIBLE 2022:</w:t>
      </w:r>
      <w:r>
        <w:t xml:space="preserve"> Exploring future research and innovation directions for a sustainable blue economy — https://doi.org/10.1016/j.marpol.2022.105433</w:t>
      </w:r>
    </w:p>
    <w:p>
      <w:pPr/>
      <w:r>
        <w:rPr>
          <w:b/>
        </w:rPr>
        <w:t>Shared claim-specific concepts:</w:t>
      </w:r>
      <w:r>
        <w:t xml:space="preserve"> foresight, strategic, directions, innovative, economy; EU scope visible. This is a provisional connection, not an outcome finding.</w:t>
      </w:r>
    </w:p>
    <w:p>
      <w:pPr>
        <w:pStyle w:val="SourceNote"/>
      </w:pPr>
      <w:r>
        <w:rPr>
          <w:b/>
        </w:rPr>
        <w:t>Available abstract (not full text):</w:t>
      </w:r>
      <w:r>
        <w:t xml:space="preserve"> The blue economy integrates commercial, research and innovation activities across diverse industrial sectors. Achieving a sustainable blue economy requires unlocking the potential of science and innovation to develop innovative ocean sustainability solutions. This study explores the role of foresight in co-creating alternative, preferred futures for a sustainable blue economy looking towards 2030 and in establishing an interdisciplinary dialogue about research and innovation opportunities to achieve these futures. To this end, a foresight exercise is conducted with marine scientists and researchers in 6 countries in Europe. The exercise is designed in three stages: scanning, scenario-building and strategic orientation, and uses a combination of foresight methods to encourage creative thinking and exploration. The scenarios developed in the study describe alternative future worlds built on the establishment of self-sustaining communities and engaged societies; the diffusion of digitalisation and growth of blue biotechnologies; booming ecosystem services and open and collaborative research infrastructures that impact different sectors of the blue economy. A portfolio of research and innovation areas is developed that aims to inspire new research directions in four domains: (i) integrated ocean management tools; (ii) closed loop, circular polyculture systems; (iii) co-creation of </w:t>
      </w:r>
    </w:p>
    <w:p>
      <w:pPr/>
      <w:r>
        <w:rPr>
          <w:b/>
        </w:rPr>
        <w:t>POSSIBLE 2021:</w:t>
      </w:r>
      <w:r>
        <w:t xml:space="preserve"> On the Application of Foresight in Education for Sustainable Development — https://doi.org/10.21209/2658-7114-2021-16-4-55-64</w:t>
      </w:r>
    </w:p>
    <w:p>
      <w:pPr/>
      <w:r>
        <w:rPr>
          <w:b/>
        </w:rPr>
        <w:t>Shared claim-specific concepts:</w:t>
      </w:r>
      <w:r>
        <w:t xml:space="preserve"> foresight, system, directions, innovative, technological; EU scope not established. This is a provisional connection, not an outcome finding.</w:t>
      </w:r>
    </w:p>
    <w:p>
      <w:pPr>
        <w:pStyle w:val="SourceNote"/>
      </w:pPr>
      <w:r>
        <w:rPr>
          <w:b/>
        </w:rPr>
        <w:t>Available abstract (not full text):</w:t>
      </w:r>
      <w:r>
        <w:t xml:space="preserve"> Education is the most important mechanism for achieving the Sustainable Development Goals (SDGs). One of the methodological difficulties in the implementation of education for sustainable development (ESD) is associated with its proactive, predictive nature. In this regard, when designing ESD, it seems appropriate to use technologies of futurology, particularly, the technology of foresight. The article considers the main features of foresight and examples of its application in Russian education. The results of the foresight session on the design of ESD as an innovative pedagogical system and the development of a “roadmap” for the implementation of ESD in the Russian Federation for the period until 2030 are presented. 14 experts took part in this work (21 % are with D. Sc. degree, 50 % are with Ph. D. degree; average teaching experience is 17,4 years, including 12,6 years in the field of ESD). During the STEEPV analysis, we identified the main social, technological, economic, environmental, political, and value-based factors that will affect both the education system in general and ESD in particular. The SWOT analysis allowed us to determine the characteristic features of ESD, regarding its strengths and weaknesses, opportunities, and threats. In the brainstorming mode, the main elements of the ESD roadmap for the next 10 years (trends, technologies, formats / social practices, </w:t>
      </w:r>
    </w:p>
    <w:p>
      <w:pPr/>
      <w:r>
        <w:rPr>
          <w:b/>
        </w:rPr>
        <w:t>POSSIBLE 2021:</w:t>
      </w:r>
      <w:r>
        <w:t xml:space="preserve"> FORESIGHT IN THE SYSTEM OF STRATEGIC PUBLIC SECURITY MANAGEMENT OF THE COUNTRY — https://doi.org/10.32689/2618-0065-2021-3(9)-87-101</w:t>
      </w:r>
    </w:p>
    <w:p>
      <w:pPr/>
      <w:r>
        <w:rPr>
          <w:b/>
        </w:rPr>
        <w:t>Shared claim-specific concepts:</w:t>
      </w:r>
      <w:r>
        <w:t xml:space="preserve"> foresight, system, strategic, innovative, technological; EU scope not established. This is a provisional connection, not an outcome finding.</w:t>
      </w:r>
    </w:p>
    <w:p>
      <w:pPr>
        <w:pStyle w:val="SourceNote"/>
      </w:pPr>
      <w:r>
        <w:rPr>
          <w:b/>
        </w:rPr>
        <w:t>Available abstract (not full text):</w:t>
      </w:r>
      <w:r>
        <w:t xml:space="preserve"> The article analyzes the innovative form of foresight forecasting. The author substantiates that foresight in the system of strategic management of public security of the country is a process of creative assessment, which applies the available knowledge and forecast analysis to the potential future development of the public security system. In the article of implementation of such process can occur and be implemented within the body of state power or external organization of the management system. The author notes that foresight is the most effective technology that can detect emerging trends in the early stages and predict possible scenarios for future problems. This technology gives the state the opportunity to "play ahead", thereby acting proactively, rather than eliminating the effects of new crises. The author determined that foresight in the public safety system is carried out in three stages: At the first stage, promising trends in scientific and technological development in the field of public safety, which are classified by clusters. They cover various areas (personnel, logistical, financial, innovative, organizational and other public security) and are interdisciplinary. In the second stage, trends are analyzed to form "pictures of the future" based on them, and current topics for building scenarios and concepts of development are identified. At the third stage, on th</w:t>
      </w:r>
    </w:p>
    <w:p>
      <w:pPr>
        <w:pStyle w:val="Heading2"/>
      </w:pPr>
      <w:r>
        <w:t>861.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2020:</w:t>
      </w:r>
      <w:r>
        <w:t xml:space="preserve"> Bitten or struck by dog: A rising number of fatalities in Europe, 1995–2016 — https://doi.org/10.1016/j.forsciint.2020.110592</w:t>
      </w:r>
    </w:p>
    <w:p>
      <w:pPr/>
      <w:r>
        <w:rPr>
          <w:b/>
        </w:rPr>
        <w:t>Shared claim-specific concepts:</w:t>
      </w:r>
      <w:r>
        <w:t xml:space="preserve"> number, people, between; EU scope visible. This is a provisional connection, not an outcome finding.</w:t>
      </w:r>
    </w:p>
    <w:p>
      <w:pPr>
        <w:pStyle w:val="SourceNote"/>
      </w:pPr>
      <w:r>
        <w:rPr>
          <w:b/>
        </w:rPr>
        <w:t>Available abstract (not full text):</w:t>
      </w:r>
      <w:r>
        <w:t xml:space="preserve"> We analyzed fatal dog attacks in Europe 1995-2016 using official death cause data from Eurostat. The data comprised the number of fatalities assigned The International Statistical Classification of Diseases and Related Health Problems, Tenth Revision (ICD-10) code W54 "bitten or struck by dog", which includes deaths due to direct attacks but which excludes many complications following dog bites, such as rabies. In 2016, dogs killed 45 Europeans, which translates to an incidence of 0.009 per 100,000 inhabitants. This is comparable to estimates from the USA (0.011), and Canada (0.007), but higher than Australia (0.004). The number of European fatalities due to dog attacks increased significantly at a rate of several percent per year. This increase could not be explained by increases in the human or the dog populations. By taking all fatalities reported 1995-2016 into account, we investigated the effects of age, gender and geography. First, children, including infants, were common victims, but also middle-aged and the elderly, while people between ages 10 and 39 were rarely killed by dogs. Second, boys and men were overrepresented, but only in certain age groups and in certain parts of Europe. Third, there were large national and regional differences, both in the effects of gender and in incidences, which ranged from 0 to 0.045 per 100,000 inhabitants. This study of dog-related fa</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r>
        <w:rPr>
          <w:b/>
        </w:rPr>
        <w:t>POSSIBLE 2019:</w:t>
      </w:r>
      <w:r>
        <w:t xml:space="preserve"> Inclusion of Unemployed People at Social Risk and Private Training Markets in Ireland, Portugal, and Spain — https://doi.org/10.1007/978-3-319-94532-3_108</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Social protection and activation for the unemployed — https://doi.org/10.4324/9781315198422-16</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importance of the level of social protection during unemployment, in terms of the willingness of the unemployed to take up work, is by no means uncontroversial. Activation for the unemployed has become increasingly important in recent years, both in Germany and in numerous other European countries. There are a number of different approaches and strategies regarding activation for the unemployed; primarily these focus either on material pressures and constraints, or on effective advice and support for the unemployed. The fundamentally existing starting points and strategies that play a role in the context of activation for the unemployed will be analyzed in a more differentiated fashion. A further approach in the activation for the unemployed is the intensive advice and guidance provided for unemployed people. The increased involvement of third parties already envisaged in the Job-AQTIV law is to contribute to expanding the capacity for employee placement and advice for the unemployed.</w:t>
      </w:r>
    </w:p>
    <w:p>
      <w:pPr/>
      <w:r>
        <w:rPr>
          <w:b/>
        </w:rPr>
        <w:t>POSSIBLE 2018:</w:t>
      </w:r>
      <w:r>
        <w:t xml:space="preserve"> Inclusion of Unemployed People at Social Risk and Private Training Markets in Ireland, Portugal, and Spain — https://doi.org/10.1007/978-3-319-49789-1_108-1</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Measles and human movement in Europe — https://doi.org/10.1093/jtm/tay091</w:t>
      </w:r>
    </w:p>
    <w:p>
      <w:pPr/>
      <w:r>
        <w:rPr>
          <w:b/>
        </w:rPr>
        <w:t>Shared claim-specific concepts:</w:t>
      </w:r>
      <w:r>
        <w:t xml:space="preserve"> recent, number, expected, between; EU scope visible. This is a provisional connection, not an outcome finding.</w:t>
      </w:r>
    </w:p>
    <w:p>
      <w:pPr>
        <w:pStyle w:val="SourceNote"/>
      </w:pPr>
      <w:r>
        <w:rPr>
          <w:b/>
        </w:rPr>
        <w:t>Available abstract (not full text):</w:t>
      </w:r>
      <w:r>
        <w:t xml:space="preserve"> To the Editor-in-Chief Many regions of the world where infectious diseases had ceased to be important public health issues have recently reported the resurgence of some emerging and re-emerging infectious diseases that were introduced by infected travellers. Human movement is playing an increasing role in the spread of communicable diseases, both at the international and national level and even between different districts within countries. The highest risk for global health is the indisputable fact that a traveller with an infectious disease can reach virtually any part of the world within 24 h. The current staggering volume, speed, and reach of travel are unprecedented, showing a virtually uninterrupted growth—from 25 million in 1950 to 278 million in 1980, 528 million in 1995, and 1087 million in 2013.1 International tourist arrivals worldwide are expected to increase by 3.3% per year from 2010 to 2030 to reach 1.8 billion by 2030, according to UNWTO’s long-term forecast Tourism Towards 2030.1 Therefore, travellers are not only at individual risk but also serve as means for introducing and disseminating diseases2 and as sentinel marker.3 Situations where a relatively small number of infected individuals travel to previously disease-free areas have been particularly critical in Europe. In such cases, the deterministic formulation of risk is not sufficient and hence the necessi</w:t>
      </w:r>
    </w:p>
    <w:p>
      <w:pPr/>
      <w:r>
        <w:rPr>
          <w:b/>
        </w:rPr>
        <w:t>POSSIBLE 2017:</w:t>
      </w:r>
      <w:r>
        <w:t xml:space="preserve"> Self-placement of the Unemployed in the Social Hierarchy. Evidence from European Countries — https://openalex.org/W2908493705</w:t>
      </w:r>
    </w:p>
    <w:p>
      <w:pPr/>
      <w:r>
        <w:rPr>
          <w:b/>
        </w:rPr>
        <w:t>Shared claim-specific concepts:</w:t>
      </w:r>
      <w:r>
        <w:t xml:space="preserve"> recent, unemployed, people; EU scope visible. This is a provisional connection, not an outcome finding.</w:t>
      </w:r>
    </w:p>
    <w:p>
      <w:pPr>
        <w:pStyle w:val="SourceNote"/>
      </w:pPr>
      <w:r>
        <w:rPr>
          <w:b/>
        </w:rPr>
        <w:t>Available abstract (not full text):</w:t>
      </w:r>
      <w:r>
        <w:t xml:space="preserve"> Unemployment has risen during the recent recession. However, the experience of unemployment varies considerably across European countries (Gallie 2013b). To study the \nunemployment experience in different European countries, a social exclusion approach was combined with a social stratification approach utilizing a measure of subjective social position which indicates how people perceive their relative position in the social hierarchy. In evaluating their social position people make comparisons within societal contexts. We hypothesize that the country-level economic and institutional context impacts the experience of unemployment, the way people interpret it, and thus affects the subjective social position of the unemployed. Our main goal was to study the impact of different macro-level economic and social characteristics on the subjective social position of the unemployed. We focused on a comparison of the subjective social position of unemployed persons against the remaining populations of 18 European countries using data from the International Social Survey Programme (ISSP) 2009 Social Inequality module.</w:t>
      </w:r>
    </w:p>
    <w:p>
      <w:pPr/>
      <w:r>
        <w:rPr>
          <w:b/>
        </w:rPr>
        <w:t>POSSIBLE 2017:</w:t>
      </w:r>
      <w:r>
        <w:t xml:space="preserve"> Extensive recent secondary contacts between four European white oak species — https://doi.org/10.1111/nph.14413</w:t>
      </w:r>
    </w:p>
    <w:p>
      <w:pPr/>
      <w:r>
        <w:rPr>
          <w:b/>
        </w:rPr>
        <w:t>Shared claim-specific concepts:</w:t>
      </w:r>
      <w:r>
        <w:t xml:space="preserve"> recent, four, between; EU scope visible. This is a provisional connection, not an outcome finding.</w:t>
      </w:r>
    </w:p>
    <w:p>
      <w:pPr>
        <w:pStyle w:val="SourceNote"/>
      </w:pPr>
      <w:r>
        <w:rPr>
          <w:b/>
        </w:rPr>
        <w:t>Available abstract (not full text):</w:t>
      </w:r>
      <w:r>
        <w:t xml:space="preserve"> Historical trajectories of tree species during the late Quaternary have been well reconstructed through genetic and palaeobotanical studies. However, many congeneric tree species are interfertile, and the timing and contribution of introgression to species divergence during their evolutionary history remains largely unknown. We quantified past and current gene flow events between four morphologically divergent oak species (Quercus petraea, Q. robur, Q. pyrenaica, Q. pubescens), by two independent inference methods: diffusion approximation to the joint frequency spectrum (∂a∂i) and approximate Bayesian computation (ABC). For each pair of species, alternative scenarios of speciation allowing gene flow over different timescales were evaluated. Analyses of 3524 single nucleotide polymorphisms (SNPs) randomly distributed in the genome, showed that these species evolved in complete isolation for most of their history, but recently came into secondary contact, probably facilitated by the most recent period of postglacial warming. We demonstrated that: there was sufficient genetic differentiation before secondary contact for the accumulation of barriers to gene flow; and current European white oak genomes are a mosaic of genes that have crossed species boundaries and genes impermeable to gene flow.</w:t>
      </w:r>
    </w:p>
    <w:p>
      <w:pPr>
        <w:pStyle w:val="Heading2"/>
      </w:pPr>
      <w:r>
        <w:t>862.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2023:</w:t>
      </w:r>
      <w:r>
        <w:t xml:space="preserve"> Integrated assessment modelling of degrowth scenarios for Australia — https://doi.org/10.1080/09535314.2023.2245544</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Empirical evidence increasingly indicates that to achieve sufficiently rapid decarbonisation, high-income economies may need to adopt degrowth policies, scaling down less-necessary forms of production and demand, in addition to rapid deployment of renewables. Calls have been made for degrowth climate mitigation scenarios. However, so far these have not been modelled within the established Integrated Assessment Models (IAMs) for future scenario analysis of the energy-economy-emission nexus, partly because the architecture of these IAMs has growth ‘baked in’. In this work, we modify one of the common IAMs – MESSAGEix – to make it compatible with degrowth scenarios. We simulate scenarios featuring low and negative growth in a high-income economy (Australia). We achieve this by detaching MESSAGEix from its monotonically growing utility function, and by formulating an alternative utility function based on non-monotonic preferences. The outcomes from such modified scenarios reflect some characteristics of degrowth futures, including reduced aggregate production and declining energy and emissions. However, further work is needed to explore other key degrowth features such as sectoral differentiation, redistribution, and provisioning system transformation.</w:t>
      </w:r>
    </w:p>
    <w:p>
      <w:pPr/>
      <w:r>
        <w:rPr>
          <w:b/>
        </w:rPr>
        <w:t>POSSIBLE 2022:</w:t>
      </w:r>
      <w:r>
        <w:t xml:space="preserve"> The health potential of urban water: Future scenarios on local risks and opportunities — https://doi.org/10.1016/j.cities.2022.103639</w:t>
      </w:r>
    </w:p>
    <w:p>
      <w:pPr/>
      <w:r>
        <w:rPr>
          <w:b/>
        </w:rPr>
        <w:t>Shared claim-specific concepts:</w:t>
      </w:r>
      <w:r>
        <w:t xml:space="preserve"> integrated, health, impacts, explores, population, climate; EU scope visible. This is a provisional connection, not an outcome finding.</w:t>
      </w:r>
    </w:p>
    <w:p>
      <w:pPr>
        <w:pStyle w:val="SourceNote"/>
      </w:pPr>
      <w:r>
        <w:rPr>
          <w:b/>
        </w:rPr>
        <w:t>Available abstract (not full text):</w:t>
      </w:r>
      <w:r>
        <w:t xml:space="preserve"> Although cities can be characterised as sources of economic, environmental and social challenges, they can also be part of the solution for healthy and sustainable societies. While most cities are situated close to water, whether inland waterways, lakes, or the sea, these blue spaces are not integrated into urban planning to their full potential and their public health impacts are not always recognised by planning authorities. Furthermore, cities face future challenges regarding climate change, socio-economic developments like tourism, urbanization, and rising social inequalities. The development of healthy blue spaces can support cities in their pursuit of ways to confront these challenges. Interdisciplinary and transdisciplinary analyses of the local impacts of these trends and promising interventions have been scarce to date. This study explores the use of such methodology by presenting experiences related to five European cities: Amsterdam, Barcelona, Plymouth, Tallinn and Thessaloniki, using an interactive and participative approach with local experts and stakeholders. Future scenarios have been developed based on the question: How can blue spaces contribute to a healthier city population, given the long term trends? The results highlight the importance of addressing the local context when seeking sustainable solutions for cities. The future scenarios deliver information t</w:t>
      </w:r>
    </w:p>
    <w:p>
      <w:pPr/>
      <w:r>
        <w:rPr>
          <w:b/>
        </w:rPr>
        <w:t>POSSIBLE 2021:</w:t>
      </w:r>
      <w:r>
        <w:t xml:space="preserve"> Tracking progress on health and climate change in Europe — https://doi.org/10.1016/s2468-2667(21)00207-3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Left unabated, climate change will have catastrophic effects on the health of present and future generations. Such effects are already seen in Europe, through more frequent and severe extreme weather events, alterations to water and food systems, and changes in the environmental suitability for infectious diseases. As one of the largest current and historical contributors to greenhouse gases and the largest provider of financing for climate change mitigation and adaptation, Europe's response is crucial, for both human health and the planet. To ensure that health and wellbeing are protected in this response it is essential to build the capacity to understand, monitor, and quantify health impacts of climate change and the health co-benefits of accelerated action. Responding to this need, the Lancet Countdown in Europe is established as a transdisciplinary research collaboration for monitoring progress on health and climate change in Europe. With the wealth of data and academic expertise available in Europe, the collaboration will develop region-specific indicators to address the main challenges and opportunities of Europe's response to climate change for health. The indicators produced by the collaboration will provide information to health and climate policy decision making, and will also contribute to the European Observatory on Climate and Health.</w:t>
      </w:r>
    </w:p>
    <w:p>
      <w:pPr/>
      <w:r>
        <w:rPr>
          <w:b/>
        </w:rPr>
        <w:t>POSSIBLE 2021:</w:t>
      </w:r>
      <w:r>
        <w:t xml:space="preserve"> The European Blueprint on Digital Transformation of Health and Care for the Ageing Society — https://doi.org/10.5334/ijic.icic20404</w:t>
      </w:r>
    </w:p>
    <w:p>
      <w:pPr/>
      <w:r>
        <w:rPr>
          <w:b/>
        </w:rPr>
        <w:t>Shared claim-specific concepts:</w:t>
      </w:r>
      <w:r>
        <w:t xml:space="preserve"> integrated, health, population; EU scope visible. This is a provisional connection, not an outcome finding.</w:t>
      </w:r>
    </w:p>
    <w:p>
      <w:pPr>
        <w:pStyle w:val="SourceNote"/>
      </w:pPr>
      <w:r>
        <w:rPr>
          <w:b/>
        </w:rPr>
        <w:t>Available abstract (not full text):</w:t>
      </w:r>
      <w:r>
        <w:t xml:space="preserve"> The European Blueprint on Digital Transformation of Health and Care for the Ageing Society, funded as part of the WE4AHA project under the European Commission's digital single market strategy, reflects a shared policy vision on how innovation can transform health and care provision in our ageing society. The Blueprint has centred its work on 12 personas, which were developed to enable the European Innovation Partnership on Active and Healthy Ageing (EIP on AHA) to envision realistic health and care needs of particular groups in society. The concept of “personas” was initially used by technology providers to enable the design of user-friendly solutions based on a deeper understanding of how a target user will interact with particular technologies . The Blueprint furthered this concept by developing an approach that encompasses the perspective of different actors, beginning with the perspective of the citizen or patient rather the industry representatives. The resulting persona profiles include not only their health and care needs at their particular life stage, but also their personal aspects such as family, interests and hobbies, and daily living, as well as behavioural characteristics, which have been found to affect both short- and long-term success with interventions directed toward managing a disease or adopting wellness . The Blueprint personas have already been successful</w:t>
      </w:r>
    </w:p>
    <w:p>
      <w:pPr/>
      <w:r>
        <w:rPr>
          <w:b/>
        </w:rPr>
        <w:t>POSSIBLE 2021:</w:t>
      </w:r>
      <w:r>
        <w:t xml:space="preserve"> Exploring the possibility space: taking stock of the diverse capabilities and gaps in integrated assessment models — https://doi.org/10.1088/1748-9326/abe5d8</w:t>
      </w:r>
    </w:p>
    <w:p>
      <w:pPr/>
      <w:r>
        <w:rPr>
          <w:b/>
        </w:rPr>
        <w:t>Shared claim-specific concepts:</w:t>
      </w:r>
      <w:r>
        <w:t xml:space="preserve"> integrated, assessment, due, climate; EU scope not established. This is a provisional connection, not an outcome finding.</w:t>
      </w:r>
    </w:p>
    <w:p>
      <w:pPr>
        <w:pStyle w:val="SourceNote"/>
      </w:pPr>
      <w:r>
        <w:rPr>
          <w:b/>
        </w:rPr>
        <w:t>Available abstract (not full text):</w:t>
      </w:r>
      <w:r>
        <w:t xml:space="preserve"> Abstract Integrated assessment models (IAMs) have emerged as key tools for building and assessing long term climate mitigation scenarios. Due to their central role in the recent IPCC assessments, and international climate policy analyses more generally, and the high uncertainties related to future projections, IAMs have been critically assessed by scholars from different fields receiving various critiques ranging from adequacy of their methods to how their results are used and communicated. Although IAMs are conceptually diverse and evolved in very different directions, they tend to be criticised under the umbrella of ‘IAMs’. Here we first briefly summarise the IAM landscape and how models differ from each other. We then proceed to discuss six prominent critiques emerging from the recent literature, reflect and respond to them in the light of IAM diversity and ongoing work and suggest ways forward. The six critiques relate to (a) representation of heterogeneous actors in the models, (b) modelling of technology diffusion and dynamics, (c) representation of capital markets, (d) energy-economy feedbacks, (e) policy scenarios, and (f) interpretation and use of model results.</w:t>
      </w:r>
    </w:p>
    <w:p>
      <w:pPr/>
      <w:r>
        <w:rPr>
          <w:b/>
        </w:rPr>
        <w:t>POSSIBLE 2021:</w:t>
      </w:r>
      <w:r>
        <w:t xml:space="preserve"> pyam: Analysis and visualisation of integrated assessment and macro-energy scenarios — https://doi.org/10.12688/openreseurope.13633.1</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The open-source Python package pyam provides a suite of features and methods for the analysis, validation and visualization of reference data and scenario results generated by integrated assessment models, macro-energy tools and other frameworks in the domain of energy transition, climate change mitigation and sustainable development. It bridges the gap between scenario processing and visualisation solutions that are "hard-wired" to specific modelling frameworks and generic data analysis or plotting packages. The package aims to facilitate reproducibility and reliability of scenario processing, validation and analysis by providing well-tested and documented methods for working with timeseries data in the context of climate policy and energy systems. It supports various data formats, including sub-annual resolution using continuous time representation and "representative timeslices". The pyam package can be useful for modelers generating scenario results using their own tools as well as researchers and analysts working with existing scenario ensembles such as those supporting the IPCC reports or produced in research projects. It is structured in a way that it can be applied irrespective of a user's domain expertise or level of Python knowledge, supporting experts as well as novice users. The code base is implemented following best practices of collaborative scientific-software d</w:t>
      </w:r>
    </w:p>
    <w:p>
      <w:pPr/>
      <w:r>
        <w:rPr>
          <w:b/>
        </w:rPr>
        <w:t>POSSIBLE 2020:</w:t>
      </w:r>
      <w:r>
        <w:t xml:space="preserve"> The Impact of Decarbonization Scenarios on Air Quality and Human Health in Poland—Analysis of Scenarios up to 2050 — https://doi.org/10.3390/atmos11111222</w:t>
      </w:r>
    </w:p>
    <w:p>
      <w:pPr/>
      <w:r>
        <w:rPr>
          <w:b/>
        </w:rPr>
        <w:t>Shared claim-specific concepts:</w:t>
      </w:r>
      <w:r>
        <w:t xml:space="preserve"> integrated, health, impacts, population, heat, three; EU scope visible. This is a provisional connection, not an outcome finding.</w:t>
      </w:r>
    </w:p>
    <w:p>
      <w:pPr>
        <w:pStyle w:val="SourceNote"/>
      </w:pPr>
      <w:r>
        <w:rPr>
          <w:b/>
        </w:rPr>
        <w:t>Available abstract (not full text):</w:t>
      </w:r>
      <w:r>
        <w:t xml:space="preserve"> Poland faces two great challenges in the field of environment and atmosphere protection: improving air quality, especially by reducing particulate matter (PM) emissions, and reducing relatively high greenhouse gas emissions. The aim of this research was to investigate how the fuel and technological transformations in the power, road transport, and household and tertiary sectors aimed at reducing carbon dioxide (CO2) emissions in Poland would affect air quality, human health, and the associated external costs. The study was conducted for 2050 while considering 2015 as the base year. Ambient PM2.5 (particles with a diameter of less than 2.5 µm) concentration was used as a proxy air quality indicator. The analysis was based on decarbonization scenarios developed within the REFLEX Project (Analysis of the European energy system under the aspects of flexibility and technological progress). The three scenarios of the REFLEX Project focused on the reduction of CO2 emissions up to 2050 from various sectors, mainly by the means of fuel and technological switches. This also led to the changes in the emission levels of pollutants that directly affect air quality, which were calculated with the use of fuel- and technology-specific emission factors. Next, for each emission scenario, ambient concentrations of PM2.5 and others pollutants were calculated with the use of the Polyphemus—an Euler</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integrated, assessment, climate;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pStyle w:val="Heading2"/>
      </w:pPr>
      <w:r>
        <w:t>863.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2023:</w:t>
      </w:r>
      <w:r>
        <w:t xml:space="preserve"> The impact of extensive agricultural water drainage on the hydrology of the Kleine Nete watershed, Belgium — https://doi.org/10.1016/j.scitotenv.2023.163903</w:t>
      </w:r>
    </w:p>
    <w:p>
      <w:pPr/>
      <w:r>
        <w:rPr>
          <w:b/>
        </w:rPr>
        <w:t>Shared claim-specific concepts:</w:t>
      </w:r>
      <w:r>
        <w:t xml:space="preserve"> catchment, hydrology, soil, water, integrated, drainage; EU scope visible. This is a provisional connection, not an outcome finding.</w:t>
      </w:r>
    </w:p>
    <w:p>
      <w:pPr>
        <w:pStyle w:val="SourceNote"/>
      </w:pPr>
      <w:r>
        <w:rPr>
          <w:b/>
        </w:rPr>
        <w:t>Available abstract (not full text):</w:t>
      </w:r>
      <w:r>
        <w:t xml:space="preserve"> Agricultural water drainage can significantly lower groundwater levels and affect catchment hydrology. Therefore, building models with and without these features can indicate an adverse impact on the geohydrological process. Therefore, the standalone Soil Water Assessment Tool (SWAT+) model was initially developed to simulate streamflow at the Kleine Nete catchment outlet. Next, a physically based and spatially distributed groundwater module (gwflow) was integrated into the SWAT+ model and calibrated for stream discharge at the catchment outlet. Finally, the same model was calibrated for both streamflow and groundwater heads. These final model parameters are used to investigate the basin-wide hydrologic fluxes with and without including agricultural drainage systems in the model scheme. The result suggested that the standalone SWAT+ model poorly represented the stream discharge and attained low NSE values of 0.18 and 0.37 during the calibration and validation periods, respectively. Integrating the gwflow module to SWAT+ improved the model representation of stream discharge (NSE = 0.91 and 0.65 for calibration and validation periods, respectively) and groundwater heads. However, calibrating the model for only streamflow resulted in a high root mean square error (above 1 m) for groundwater head, and the seasonality is not captured. On the other hand, calibrating the coupled model</w:t>
      </w:r>
    </w:p>
    <w:p>
      <w:pPr/>
      <w:r>
        <w:rPr>
          <w:b/>
        </w:rPr>
        <w:t>POSSIBLE 2023:</w:t>
      </w:r>
      <w:r>
        <w:t xml:space="preserve"> A simple stacked ensemble machine learning model to predict naturalized catchment hydrology and allocation status — https://doi.org/10.48550/arxiv.2312.01649</w:t>
      </w:r>
    </w:p>
    <w:p>
      <w:pPr/>
      <w:r>
        <w:rPr>
          <w:b/>
        </w:rPr>
        <w:t>Shared claim-specific concepts:</w:t>
      </w:r>
      <w:r>
        <w:t xml:space="preserve"> probable, catchment, hydrology, water; EU scope not established. This is a provisional connection, not an outcome finding.</w:t>
      </w:r>
    </w:p>
    <w:p>
      <w:pPr>
        <w:pStyle w:val="SourceNote"/>
      </w:pPr>
      <w:r>
        <w:rPr>
          <w:b/>
        </w:rPr>
        <w:t>Available abstract (not full text):</w:t>
      </w:r>
      <w:r>
        <w:t xml:space="preserve"> New Zealand legislation requires that Regional Councils set limits for water resource usage to manage the effects of abstractions in over-allocated catchments. We propose a simple stacked ensemble machine learning model to predict the probable naturalized hydrology and allocation status across 317 anthropogenically stressed gauged catchments and across 18,612 ungauged river reaches in Otago. The training and testing of ensemble machine learning models provides unbiased results characterized as very good (R2 &gt; 0.8) to extremely good (R2 &gt; 0.9) when predicting naturalized mean annual low flow and Mean flow. Statistical 5-fold stacking identifies varying levels of risk for managing water-resource sustainability in over-allocated catchments; for example, at the respective 5th, 25th, 50th, 75th, and 95th percentiles the number of overallocated catchments are 73, 57, 44, 23, and 22. The proposed model can be applied to inform sustainable stream management in other regional catchments across New Zealand and worldwide.</w:t>
      </w:r>
    </w:p>
    <w:p>
      <w:pPr/>
      <w:r>
        <w:rPr>
          <w:b/>
        </w:rPr>
        <w:t>POSSIBLE 2023:</w:t>
      </w:r>
      <w:r>
        <w:t xml:space="preserve"> Recent advancements of landslide hydrology — https://doi.org/10.1002/wat2.1675</w:t>
      </w:r>
    </w:p>
    <w:p>
      <w:pPr/>
      <w:r>
        <w:rPr>
          <w:b/>
        </w:rPr>
        <w:t>Shared claim-specific concepts:</w:t>
      </w:r>
      <w:r>
        <w:t xml:space="preserve"> climate, hydrology, soil, water, drainage; EU scope not established. This is a provisional connection, not an outcome finding.</w:t>
      </w:r>
    </w:p>
    <w:p>
      <w:pPr>
        <w:pStyle w:val="SourceNote"/>
      </w:pPr>
      <w:r>
        <w:rPr>
          <w:b/>
        </w:rPr>
        <w:t>Available abstract (not full text):</w:t>
      </w:r>
      <w:r>
        <w:t xml:space="preserve"> Abstract Occurrence of rainfall‐induced landslides is increasing worldwide, owing to land use and climate changes. Although the connection between hydrology and rainfall‐induced landslides might seem obvious, hydrological processes have been only marginally considered in landslide research for decades. In 2016, an advanced review paper published in WIREs Water [Bogaard and Greco (2016), WIREs Water, 3(3), 439–459] pointed out several challenging issues for landslide hydrology research: considering large‐scale hydrological processes in the assessment of slope water balance; including antecedent hydrological information in landslide hazard assessment; understanding and quantifying the feedbacks between deformation and infiltration/drainage processes; overcoming the conceptual mismatch of soil mechanics models and hydrological models. While little progress has been made on the latter two issues, a variety of studies have been published, focusing on the role of hydrological processes in landslide initiation and prediction. The importance of the identification of the origin of water to understand the processes leading to landslide activation is largely acknowledged. Techniques and methodologies for the definition of landslide catchments and for the assessment of landslide water balance are progressing fast, often considering the hydraulic effect of vegetation. The use of hydrologica</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probable, climate;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A probabilistic climate change assessment for Europe — https://doi.org/10.1002/joc.7604</w:t>
      </w:r>
    </w:p>
    <w:p>
      <w:pPr/>
      <w:r>
        <w:rPr>
          <w:b/>
        </w:rPr>
        <w:t>Shared claim-specific concepts:</w:t>
      </w:r>
      <w:r>
        <w:t xml:space="preserve"> impacts, climate, four;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Impact of climate change on catchment nutrient dynamics: insights from around the world — https://doi.org/10.1139/er-2021-0109</w:t>
      </w:r>
    </w:p>
    <w:p>
      <w:pPr/>
      <w:r>
        <w:rPr>
          <w:b/>
        </w:rPr>
        <w:t>Shared claim-specific concepts:</w:t>
      </w:r>
      <w:r>
        <w:t xml:space="preserve"> impacts, climate, catchment, hydrology, water, areas; EU scope not established. This is a provisional connection, not an outcome finding.</w:t>
      </w:r>
    </w:p>
    <w:p>
      <w:pPr>
        <w:pStyle w:val="SourceNote"/>
      </w:pPr>
      <w:r>
        <w:rPr>
          <w:b/>
        </w:rPr>
        <w:t>Available abstract (not full text):</w:t>
      </w:r>
      <w:r>
        <w:t xml:space="preserve"> This study is a meta-analysis of global articles on hydrological nutrient dynamics to determine trends and consensus on: (1) the effects of climate change-induced hydrological and temperature drivers on nutrient dynamics and how these effects vary along the catchment continuum from land to river to lake; (2) the convergence of climate change impacts with other anthropogenic pressures (agriculture, urbanization) in nutrient dynamics; and (3) regional variability in the effects of climate change on nutrient dynamics and water-quality impairment across different climate zones. An innovative web crawler tool was employed to help critically synthesize the information in the literature. The literature suggests that climate change will impact nutrient dynamics around the globe and exacerbate contemporary water-quality challenges. Nutrient leaching and overland flow transport are projected to increase globally, promoted by extreme precipitation. Seasonal variations in streamflow are expected to emulate changing precipitation patterns, but the specific local impacts of climate change on hydrology and nutrient dynamics will vary both seasonally and regionally. Plant activity may reduce some of this load in nonagricultural soils if the expected increase in plant uptake of nutrients prompted by increased temperatures can compensate for greater nitrogen (N) and phosphorus (P) mineralization</w:t>
      </w:r>
    </w:p>
    <w:p>
      <w:pPr/>
      <w:r>
        <w:rPr>
          <w:b/>
        </w:rPr>
        <w:t>POSSIBLE 2021:</w:t>
      </w:r>
      <w:r>
        <w:t xml:space="preserve"> Economic impacts of tipping points in the climate system — https://doi.org/10.1073/pnas.2103081118</w:t>
      </w:r>
    </w:p>
    <w:p>
      <w:pPr/>
      <w:r>
        <w:rPr>
          <w:b/>
        </w:rPr>
        <w:t>Shared claim-specific concepts:</w:t>
      </w:r>
      <w:r>
        <w:t xml:space="preserve"> probable, impacts, climate, integrated; EU scope not established. This is a provisional connection, not an outcome finding.</w:t>
      </w:r>
    </w:p>
    <w:p>
      <w:pPr>
        <w:pStyle w:val="SourceNote"/>
      </w:pPr>
      <w:r>
        <w:rPr>
          <w:b/>
        </w:rPr>
        <w:t>Available abstract (not full text):</w:t>
      </w:r>
      <w:r>
        <w:t xml:space="preserve"> Climate scientists have long emphasized the importance of climate tipping points like thawing permafrost, ice sheet disintegration, and changes in atmospheric circulation. Yet, save for a few fragmented studies, climate economics has either ignored them or represented them in highly stylized ways. We provide unified estimates of the economic impacts of all eight climate tipping points covered in the economic literature so far using a meta-analytic integrated assessment model (IAM) with a modular structure. The model includes national-level climate damages from rising temperatures and sea levels for 180 countries, calibrated on detailed econometric evidence and simulation modeling. Collectively, climate tipping points increase the social cost of carbon (SCC) by ∼25% in our main specification. The distribution is positively skewed, however. We estimate an ∼10% chance of climate tipping points more than doubling the SCC. Accordingly, climate tipping points increase global economic risk. A spatial analysis shows that they increase economic losses almost everywhere. The tipping points with the largest effects are dissociation of ocean methane hydrates and thawing permafrost. Most of our numbers are probable underestimates, given that some tipping points, tipping point interactions, and impact channels have not been covered in the literature so far; however, our method of structural </w:t>
      </w:r>
    </w:p>
    <w:p>
      <w:pPr/>
      <w:r>
        <w:rPr>
          <w:b/>
        </w:rPr>
        <w:t>POSSIBLE 2021:</w:t>
      </w:r>
      <w:r>
        <w:t xml:space="preserve"> Climate service derived indicators to assess the impact of climate change on local river assimilative capacity — https://doi.org/10.1016/j.cliser.2021.100250</w:t>
      </w:r>
    </w:p>
    <w:p>
      <w:pPr/>
      <w:r>
        <w:rPr>
          <w:b/>
        </w:rPr>
        <w:t>Shared claim-specific concepts:</w:t>
      </w:r>
      <w:r>
        <w:t xml:space="preserve"> probable, climate, water; EU scope visible. This is a provisional connection, not an outcome finding.</w:t>
      </w:r>
    </w:p>
    <w:p>
      <w:pPr>
        <w:pStyle w:val="SourceNote"/>
      </w:pPr>
      <w:r>
        <w:rPr>
          <w:b/>
        </w:rPr>
        <w:t>Available abstract (not full text):</w:t>
      </w:r>
      <w:r>
        <w:t xml:space="preserve"> Continental climate services provide information on essential climate variables and indicators, which can further be used to address challenges at the local scale. Climate impact indicators are the core data for evaluating the change of the assimilative capacity of the river systems under future projection scenarios. Here, the indicators from the Copernicus pan-European climate service are used to develop and showcase a water management information service for the Asopos River, Greece. River flow indicators are incorporated in the estimation of emission limit values which serve as environmental pressure indicators, for the reference and two future periods (early- and mid-century). Assimilative capacity is evaluated for six heavy metals, namely Cr, Cd, Cu, Pb, Ni and Zn. Socioeconomic indicators are also utilized to incorporate changes of economic activities in the assessment. Results from the large ensemble of 209 scenarios, consisting of different global circulation, regional climatic and impact model combinations as well as industrial activity evolution, indicate that a decrease (up to 33% of 209 scenarios) of assimilative capacity is more probable than an increase (up to 18% of the scenarios) in a future climate. Local industrial activity evolution also has an effect on the uncertainty of the results for the early-century period. We conclude that although climate impact indi</w:t>
      </w:r>
    </w:p>
    <w:p>
      <w:pPr/>
      <w:r>
        <w:rPr>
          <w:b/>
        </w:rPr>
        <w:t>POSSIBLE 2020:</w:t>
      </w:r>
      <w:r>
        <w:t xml:space="preserve"> A Review of the Potential Climate Change Impacts and Adaptation Options for European Viticulture — https://doi.org/10.3390/app10093092</w:t>
      </w:r>
    </w:p>
    <w:p>
      <w:pPr/>
      <w:r>
        <w:rPr>
          <w:b/>
        </w:rPr>
        <w:t>Shared claim-specific concepts:</w:t>
      </w:r>
      <w:r>
        <w:t xml:space="preserve"> impacts, climate; EU scope visible. This is a provisional connection, not an outcome finding.</w:t>
      </w:r>
    </w:p>
    <w:p>
      <w:pPr>
        <w:pStyle w:val="SourceNote"/>
      </w:pPr>
      <w:r>
        <w:rPr>
          <w:b/>
        </w:rPr>
        <w:t>Available abstract (not full text):</w:t>
      </w:r>
      <w:r>
        <w:t xml:space="preserve"> Viticulture and winemaking are important socioeconomic sectors in many European regions. Climate plays a vital role in the terroir of a given wine region, as it strongly controls canopy microclimate, vine growth, vine physiology, yield, and berry composition, which together determine wine attributes and typicity. New challenges are, however, predicted to arise from climate change, as grapevine cultivation is deeply dependent on weather and climate conditions. Changes in viticultural suitability over the last decades, for viticulture in general or the use of specific varieties, have already been reported for many wine regions. Despite spatially heterogeneous impacts, climate change is anticipated to exacerbate these recent trends on suitability for wine production. These shifts may reshape the geographical distribution of wine regions, while wine typicity may also be threatened in most cases. Changing climates will thereby urge for the implementation of timely, suitable, and cost-effective adaptation strategies, which should also be thoroughly planned and tuned to local conditions for an effective risk reduction. Although the potential of the different adaptation options is not yet fully investigated, deserving further research activities, their adoption will be of utmost relevance to maintain the socioeconomic and environmental sustainability of the highly valued viticulture an</w:t>
      </w:r>
    </w:p>
    <w:p>
      <w:pPr>
        <w:pStyle w:val="Heading2"/>
      </w:pPr>
      <w:r>
        <w:t>864.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2022:</w:t>
      </w:r>
      <w:r>
        <w:t xml:space="preserve"> Assessment of extreme winds over Europe in Regional Climate Models — https://doi.org/10.5194/ems2022-365</w:t>
      </w:r>
    </w:p>
    <w:p>
      <w:pPr/>
      <w:r>
        <w:rPr>
          <w:b/>
        </w:rPr>
        <w:t>Shared claim-specific concepts:</w:t>
      </w:r>
      <w:r>
        <w:t xml:space="preserve"> regional, climate, used, period;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r>
        <w:rPr>
          <w:b/>
        </w:rPr>
        <w:t>POSSIBLE 2022:</w:t>
      </w:r>
      <w:r>
        <w:t xml:space="preserve"> Afforestation impact on soil temperature in regional climate model simulations over Europe — https://doi.org/10.5194/gmd-15-595-2022</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regional, climate, used, potential;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2021:</w:t>
      </w:r>
      <w:r>
        <w:t xml:space="preserve"> Precipitation–temperature relationships over Europe in CORDEX regional climate models — https://doi.org/10.1002/joc.7508</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Abstract We studied spatial and temporal patterns of precipitation–temperature (P–T) relationships through correlations between monthly standardized precipitation index (SPI) and monthly temperature anomalies in individual climatic seasons over Europe. In the observed data (represented by E‐OBS), positive correlations (wet–warm/dry–cold relationships) prevail during winter over most of Europe, while negative values (dry–warm/wet–cold) are dominant in summer. In the next step, an ensemble of seven regional climate models (RCMs) from the CORDEX project driven by the ERA‐Interim reanalysis were examined as to their reproduction of the regional patterns of the P–T correlations. In winter, the RCMs yielded overly strong positive P–T correlations over northern Europe, while the correlations were too weak in the south compared to observed data. During summer, the biases were generally larger; the RCMs were able to capture the overall negative P–T correlations but these tended to be too weak over northern Europe. This deficiency was found to be linked to simulated differences in shortwave radiation (a proxy for cloud cover) between dry and wet months. In western, central, and southeastern Europe, by contrast, most RCMs yielded too strong negative correlations in summer, and overly large decreases of relative humidity during dry months probably contributed to these errors. The results p</w:t>
      </w:r>
    </w:p>
    <w:p>
      <w:pPr/>
      <w:r>
        <w:rPr>
          <w:b/>
        </w:rPr>
        <w:t>POSSIBLE 2021:</w:t>
      </w:r>
      <w:r>
        <w:t xml:space="preserve"> Afforestation impact on soil temperature in regional climate model simulations over Europe — https://doi.org/10.5194/gmd-2021-69</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Abstract. In the context of the first phase of the Euro-CORDEX Flagship Plot Study (FPS) Land Use and Climate Across Scales (LUCAS), we investigate the afforestation impact on the seasonal cycle of soil temperature over the European continent with an ensemble of ten regional climate models (RCMs). For this purpose, each ensemble member performed two idealized land cover experiments in which Europe is covered either by forests or grasslands. The multi-model mean exhibits a reduction of the annual amplitude of soil temperature (AAST) over all European regions, although this not a robust feature among the models. In Mediterranean, the simulated AAST response to afforestation is between −4 K and +2 K while in Scandinavia the inter-model spread ranges from −7 K to +1 K. We then examine the role of changes in the annual amplitude of ground heat flux (AAGHF) and summer soil moisture content (SMC) in determining the effect of afforestation on AAST response. In contrast with the diverging results in AAST, all the models consistently indicate a widespread AAGHF decrease and summer SMC decline due to afforestation. The AAGHF changes effectively explain the largest part of the inter-model variance in AAST response in most regions, while the changes in summer SMC determine the sign of AAST response within a group of three simulations sharing the same land surface model. Finally, we pair FLU</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regional, climate, investigate, period;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2021:</w:t>
      </w:r>
      <w:r>
        <w:t xml:space="preserve"> Regionalized climate footprints of battery electric vehicles in Europe — https://doi.org/10.1016/j.jclepro.2021.129052</w:t>
      </w:r>
    </w:p>
    <w:p>
      <w:pPr/>
      <w:r>
        <w:rPr>
          <w:b/>
        </w:rPr>
        <w:t>Shared claim-specific concepts:</w:t>
      </w:r>
      <w:r>
        <w:t xml:space="preserve"> climate, used, investigate; EU scope visible. This is a provisional connection, not an outcome finding.</w:t>
      </w:r>
    </w:p>
    <w:p>
      <w:pPr>
        <w:pStyle w:val="SourceNote"/>
      </w:pPr>
      <w:r>
        <w:rPr>
          <w:b/>
        </w:rPr>
        <w:t>Available abstract (not full text):</w:t>
      </w:r>
      <w:r>
        <w:t xml:space="preserve"> The climate mitigation benefits of battery electric vehicles (BEVs) relative to internal combustion engine vehicles (ICEVs) are highly dependent on the carbon intensity of the electricity consumed during their production and use-phase. A consistent and dynamic approach to grid-mix regionalization of BEV life-cycle assessments in Europe is therefore necessary to offer accurate guidance to consumers and policy makers. To this end, we present ReDyFEV, a simple open-source software tool that can be used to calculate attributional, regionalized lifecycle climate impacts of BEVs in Europe for user-defined time periods, including near real-time. We determine the national lifecycle carbon footprints across all EU states for four BEV size segments and compare them to those of fossil-fuelled vehicles of similar sizes. Simplified sensitivity analyses investigate the effect of lifetime assumptions, electricity demand in battery production, and of relocating battery production to Europe on the carbon footprints of BEVs.</w:t>
      </w:r>
    </w:p>
    <w:p>
      <w:pPr>
        <w:pStyle w:val="Heading2"/>
      </w:pPr>
      <w:r>
        <w:t>865.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r>
        <w:rPr>
          <w:b/>
        </w:rPr>
        <w:t>POSSIBLE 2020:</w:t>
      </w:r>
      <w:r>
        <w:t xml:space="preserve"> Central and Peripheral Neuromuscular Adaptations to Ageing — https://doi.org/10.3390/jcm9030741</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Ageing is accompanied by a severe muscle function decline presumably caused by structural and functional adaptations at the central and peripheral level. Although researchers have reported an extensive analysis of the alterations involving muscle intrinsic properties, only a limited number of studies have recognised the importance of the central nervous system, and its reorganisation, on neuromuscular decline. Neural changes, such as degeneration of the human cortex and function of spinal circuitry, as well as the remodelling of the neuromuscular junction and motor units, appear to play a fundamental role in muscle quality decay and culminate with considerable impairments in voluntary activation and motor performance. Modern diagnostic techniques have provided indisputable evidence of a structural and morphological rearrangement of the central nervous system during ageing. Nevertheless, there is no clear insight on how such structural reorganisation contributes to the age-related functional decline and whether it is a result of a neural malfunction or serves as a compensatory mechanism to preserve motor control and performance in the elderly population. Combining leading-edge techniques such as high-density surface electromyography (EMG) and improved diagnostic procedures such as functional magnetic resonance imaging (fMRI) or high-resolution electroencephalography (EEG) could </w:t>
      </w:r>
    </w:p>
    <w:p>
      <w:pPr/>
      <w:r>
        <w:rPr>
          <w:b/>
        </w:rPr>
        <w:t>POSSIBLE 2020:</w:t>
      </w:r>
      <w:r>
        <w:t xml:space="preserve"> Influence of NAD+ as an ageing-related immunomodulator on COVID 19 infection: A hypothesis — https://doi.org/10.1016/j.jiph.2020.06.004</w:t>
      </w:r>
    </w:p>
    <w:p>
      <w:pPr/>
      <w:r>
        <w:rPr>
          <w:b/>
        </w:rPr>
        <w:t>Shared claim-specific concepts:</w:t>
      </w:r>
      <w:r>
        <w:t xml:space="preserve"> ageing, severe, because, system; EU scope not established. This is a provisional connection, not an outcome finding.</w:t>
      </w:r>
    </w:p>
    <w:p>
      <w:pPr>
        <w:pStyle w:val="SourceNote"/>
      </w:pPr>
      <w:r>
        <w:rPr>
          <w:b/>
        </w:rPr>
        <w:t>Available abstract (not full text):</w:t>
      </w:r>
      <w:r>
        <w:t xml:space="preserve"> The aging-associated decline of biological functions represents an important contributor to the increase in morbidity and mortality of human beings. Of these biological functions deterioration; there is a significant decline in the heart function, impairments in the lungs gas exchange, and impairments in the immune function. Many alterations in the body humeral and cellular immune response were observed with ageing process: The circulating pro-inflammatory cytokines are increased, the naive lymphocytes are decreased, the numbers of the antigen-presenting cells areelevated and the overall response is impaired. In addition, ageing is associated with a progressive restriction in the telomere length. Telomeres are located at chromosomes ends and play an essential role in preserving chromosome stability. Also, telomere length is very important to the immune system, because of the high sensitivity of the immune cells to the shortening of telomeres. Telomeres shortening adversely affect the immune cells' function and developments. These adverse changes increased the susceptibility for severe infection, risk of hospitalization, and even death. Elderly COVID-19 patients are at a real risk of complications due to impaired immune function, cytokine storm and defective respiratory function. Administration of anti-ageing immunomodulation factors like Nicotinamide Adenine Dinucleotide NAD+ c</w:t>
      </w:r>
    </w:p>
    <w:p>
      <w:pPr/>
      <w:r>
        <w:rPr>
          <w:b/>
        </w:rPr>
        <w:t>POSSIBLE 2019:</w:t>
      </w:r>
      <w:r>
        <w:t xml:space="preserve"> Food Allergies and Ageing — https://doi.org/10.3390/ijms20225580</w:t>
      </w:r>
    </w:p>
    <w:p>
      <w:pPr/>
      <w:r>
        <w:rPr>
          <w:b/>
        </w:rPr>
        <w:t>Shared claim-specific concepts:</w:t>
      </w:r>
      <w:r>
        <w:t xml:space="preserve"> ageing, problem, age, system, until; EU scope not established. This is a provisional connection, not an outcome finding.</w:t>
      </w:r>
    </w:p>
    <w:p>
      <w:pPr>
        <w:pStyle w:val="SourceNote"/>
      </w:pPr>
      <w:r>
        <w:rPr>
          <w:b/>
        </w:rPr>
        <w:t>Available abstract (not full text):</w:t>
      </w:r>
      <w:r>
        <w:t xml:space="preserve"> All over the world, there is an increase in the overall survival of the population and the number of elderly people. The incidence of allergic reactions is also rising worldwide. Until recently, allergies, and in particular food allergies (FAs), was regarded as a pediatric problem, since some of them start in early childhood and may spontaneously disappear in adulthood. It is being discovered that, on the contrary, these problems are increasingly affecting even the elderly. Along with other diseases that are considered characteristics of advanced age, such as cardiovascular, dysmetabolic, autoimmune, neurodegenerative, and oncological diseases, even FAs are increasingly frequent in the elderly. An FA is a pleiomorphic and multifactorial disease, characterized by an abnormal immune response and an impaired gut barrier function. The elderly exhibit distinct FA phenotypes, and diagnosis is difficult due to frequent co-morbidities and uncertainty in the interpretation of in vitro and in vivo tests. Several factors render the elderly susceptible to FAs, including the physiological changes of aging, a decline in gut barrier function, the skewing of adaptive immunity to a Th2 response, dysregulation of innate immune cells, and age-related changes of gut microbiota. Aging is accompanied by a progressive remodeling of immune system functions, leading to an increased pro-inflammatory sta</w:t>
      </w:r>
    </w:p>
    <w:p>
      <w:pPr/>
      <w:r>
        <w:rPr>
          <w:b/>
        </w:rPr>
        <w:t>POSSIBLE 2018:</w:t>
      </w:r>
      <w:r>
        <w:t xml:space="preserve"> On loneliness and the ageing process* — https://doi.org/10.4324/9780429476266-2</w:t>
      </w:r>
    </w:p>
    <w:p>
      <w:pPr/>
      <w:r>
        <w:rPr>
          <w:b/>
        </w:rPr>
        <w:t>Shared claim-specific concepts:</w:t>
      </w:r>
      <w:r>
        <w:t xml:space="preserve"> ageing, severe, because; EU scope not established. This is a provisional connection, not an outcome finding.</w:t>
      </w:r>
    </w:p>
    <w:p>
      <w:pPr>
        <w:pStyle w:val="SourceNote"/>
      </w:pPr>
      <w:r>
        <w:rPr>
          <w:b/>
        </w:rPr>
        <w:t>Available abstract (not full text):</w:t>
      </w:r>
      <w:r>
        <w:t xml:space="preserve"> Pearl King, at the 31st International Congress, pointed out that it was the first time that a paper on the problems concerned with the psychoanalysis of elderly patients had been arranged. She indicated that researches in the theory and practice of psychoanalysis over the past few decades have necessitated a re-evaluation of psychoanalysts&amp;s; attitudes, and the criteria they use for the selection of such patients. Among such researches, the author particularly refers to the changes in psychoanalytic understanding and technique that have facilitated clinical exploration of severe narcissistic disorders. Psychoanalysts find themselves confronted with severe narcissistic patients frequently when patients are middle-aged and later, because the very nature of their disorder has not allowed them to seek help earlier. The author illustrates the general points of loneliness of mind by reference to case material of an ageing patient, who presented with a traumatized history and severe narcissistic problems.</w:t>
      </w:r>
    </w:p>
    <w:p>
      <w:pPr/>
      <w:r>
        <w:rPr>
          <w:b/>
        </w:rPr>
        <w:t>POSSIBLE 2018:</w:t>
      </w:r>
      <w:r>
        <w:t xml:space="preserve"> Ageing Process and Physiological Changes — https://doi.org/10.5772/intechopen.76249</w:t>
      </w:r>
    </w:p>
    <w:p>
      <w:pPr/>
      <w:r>
        <w:rPr>
          <w:b/>
        </w:rPr>
        <w:t>Shared claim-specific concepts:</w:t>
      </w:r>
      <w:r>
        <w:t xml:space="preserve"> ageing, age, place; EU scope not established. This is a provisional connection, not an outcome finding.</w:t>
      </w:r>
    </w:p>
    <w:p>
      <w:pPr>
        <w:pStyle w:val="SourceNote"/>
      </w:pPr>
      <w:r>
        <w:rPr>
          <w:b/>
        </w:rPr>
        <w:t>Available abstract (not full text):</w:t>
      </w:r>
      <w:r>
        <w:t xml:space="preserve"> Ageing is a natural process. Everyone must undergo this phase of life at his or her own time and pace. In the broader sense, ageing reflects all the changes taking place over the course of life. These changes start from birth—one grows, develops and attains maturity. To the young, ageing is exciting. Middle age is the time when people notice the age-related changes like greying of hair, wrinkled skin and a fair amount of physical decline. Even the healthiest, aesthetically fit cannot escape these changes. Slow and steady physical impairment and functional disability are noticed resulting in increased dependency in the period of old age. According to World Health Organization, ageing is a course of biological reality which starts at conception and ends with death. It has its own dynamics, much beyond human control. However, this process of ageing is also subject to the constructions by which each society makes sense of old age. In most of the developed countries, the age of 60 is considered equivalent to retirement age and it is said to be the beginning of old age. In this chapter, you understand the details of ageing processes and associated physiological changes.</w:t>
      </w:r>
    </w:p>
    <w:p>
      <w:pPr/>
      <w:r>
        <w:rPr>
          <w:b/>
        </w:rPr>
        <w:t>POSSIBLE 2017:</w:t>
      </w:r>
      <w:r>
        <w:t xml:space="preserve"> Chronic kidney disease and ageing — https://openalex.org/W3208943687</w:t>
      </w:r>
    </w:p>
    <w:p>
      <w:pPr/>
      <w:r>
        <w:rPr>
          <w:b/>
        </w:rPr>
        <w:t>Shared claim-specific concepts:</w:t>
      </w:r>
      <w:r>
        <w:t xml:space="preserve"> ageing, severe, problem, because, system; EU scope not established. This is a provisional connection, not an outcome finding.</w:t>
      </w:r>
    </w:p>
    <w:p>
      <w:pPr>
        <w:pStyle w:val="SourceNote"/>
      </w:pPr>
      <w:r>
        <w:rPr>
          <w:b/>
        </w:rPr>
        <w:t>Available abstract (not full text):</w:t>
      </w:r>
      <w:r>
        <w:t xml:space="preserve"> In recent decades, life expectancy has significantly extended, and the number of elderly people in each populationincreases significantly during the subsequent years. Ageing is associated with a physiological deteriorationof kidney function, however, in patients with additional diseases such as diabetes, hypertension andobesity, there is often stronger severity of kidney damage. It has been estimated that the prevalence of chronickidney disease (CKD) in the older population is several times higher than in the general population. It is consideredthat in addition to the mentioned above comorbid the socio-economic factors also increases prevalenceof CKD. The occurrence of CKD significantly increases the mortality, deteriorating the quality of life of thesesubjects and is also severe financial problem for the health care system because of the high costs of renal replacementtherapy. For this reason, renal replacement therapy in elderly patients is expensive and not alwaysbrings measurable benefits.</w:t>
      </w:r>
    </w:p>
    <w:p>
      <w:pPr/>
      <w:r>
        <w:rPr>
          <w:b/>
        </w:rPr>
        <w:t>POSSIBLE 2017:</w:t>
      </w:r>
      <w:r>
        <w:t xml:space="preserve"> Skeletal muscle performance and ageing — https://doi.org/10.1002/jcsm.12238</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The world population is ageing rapidly. As society ages, the incidence of physical limitations is dramatically increasing, which reduces the quality of life and increases healthcare expenditures. In western society, ~30% of the population over 55 years is confronted with moderate or severe physical limitations. These physical limitations increase the risk of falls, institutionalization, co-morbidity, and premature death. An important cause of physical limitations is the age-related loss of skeletal muscle mass, also referred to as sarcopenia. Emerging evidence, however, clearly shows that the decline in skeletal muscle mass is not the sole contributor to the decline in physical performance. For instance, the loss of muscle strength is also a strong contributor to reduced physical performance in the elderly. In addition, there is ample data to suggest that motor coordination, excitation-contraction coupling, skeletal integrity, and other factors related to the nervous, muscular, and skeletal systems are critically important for physical performance in the elderly. To better understand the loss of skeletal muscle performance with ageing, we aim to provide a broad overview on the underlying mechanisms associated with elderly skeletal muscle performance. We start with a system level discussion and continue with a discussion on the influence of lifestyle, biological, and psychosocia</w:t>
      </w:r>
    </w:p>
    <w:p>
      <w:pPr/>
      <w:r>
        <w:rPr>
          <w:b/>
        </w:rPr>
        <w:t>POSSIBLE 2017:</w:t>
      </w:r>
      <w:r>
        <w:t xml:space="preserve"> Ageing, dental caries and periodontal diseases — https://doi.org/10.1111/jcpe.12683</w:t>
      </w:r>
    </w:p>
    <w:p>
      <w:pPr/>
      <w:r>
        <w:rPr>
          <w:b/>
        </w:rPr>
        <w:t>Shared claim-specific concepts:</w:t>
      </w:r>
      <w:r>
        <w:t xml:space="preserve"> ageing, age; EU scope visible. This is a provisional connection, not an outcome finding.</w:t>
      </w:r>
    </w:p>
    <w:p>
      <w:pPr>
        <w:pStyle w:val="SourceNote"/>
      </w:pPr>
      <w:r>
        <w:rPr>
          <w:b/>
        </w:rPr>
        <w:t>Available abstract (not full text):</w:t>
      </w:r>
      <w:r>
        <w:t xml:space="preserve"> AIM: To review the burden of caries and periodontitis in the elderly, changes with age that can explain this burden, and the vulnerability to disease of elderly populations. METHODS: An assessment of surveys in two populations was conducted. Indicators for caries were identified by updating a systematic review. Secular trends for smoking and type 2 diabetes were discussed. RESULTS: Changes in the susceptibility to periodontitis with age may be explained by exposure to pro-inflammatory conditions and changes in the healing capacity of cells and tissues. Due to accumulated periodontal destruction, the number of surfaces at risk for caries increases. The sequels of restorative treatment contribute to an increased susceptibility for caries development. Population-based surveys in the United States and Germany demonstrate a high caries experience among elderly people. A comparison of surveys demonstrates a relative improvement of periodontal health among elderly during the last few decades. Nevertheless, prevalence estimates for periodontitis remain high. Risk indicators for root caries include caries experience, the number of surfaces at risk and poor oral hygiene. Secular trends of main risk factors for periodontitis and their likely influence on the future periodontitis burden in the elderly are discussed. CONCLUSION: Caries and periodontitis burden in the elderly remain high.</w:t>
      </w:r>
    </w:p>
    <w:p>
      <w:pPr>
        <w:pStyle w:val="Heading2"/>
      </w:pPr>
      <w:r>
        <w:t>866.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r>
        <w:rPr>
          <w:b/>
        </w:rPr>
        <w:t>POSSIBLE 2022:</w:t>
      </w:r>
      <w:r>
        <w:t xml:space="preserve"> A Reference Model for Common Understanding of Capabilities and Skills in Manufacturing — https://doi.org/10.48550/arxiv.2209.09632</w:t>
      </w:r>
    </w:p>
    <w:p>
      <w:pPr/>
      <w:r>
        <w:rPr>
          <w:b/>
        </w:rPr>
        <w:t>Shared claim-specific concepts:</w:t>
      </w:r>
      <w:r>
        <w:t xml:space="preserve"> common, understanding, industry; EU scope not established. This is a provisional connection, not an outcome finding.</w:t>
      </w:r>
    </w:p>
    <w:p>
      <w:pPr>
        <w:pStyle w:val="SourceNote"/>
      </w:pPr>
      <w:r>
        <w:rPr>
          <w:b/>
        </w:rPr>
        <w:t>Available abstract (not full text):</w:t>
      </w:r>
      <w:r>
        <w:t xml:space="preserve"> In manufacturing, many use cases of Industry 4.0 require vendor-neutral and machine-readable information models to describe, implement and execute resource functions. Such models have been researched under the terms capabilities and skills. Standardization of such models is required, but currently not available. This paper presents a reference model developed jointly by members of various organizations in a working group of the Plattform Industrie 4.0. This model covers definitions of most important aspects of capabilities and skills. It can be seen as a basis for further standardization efforts.</w:t>
      </w:r>
    </w:p>
    <w:p>
      <w:pPr/>
      <w:r>
        <w:rPr>
          <w:b/>
        </w:rPr>
        <w:t>POSSIBLE 2021:</w:t>
      </w:r>
      <w:r>
        <w:t xml:space="preserve"> What We All Know: Community in Moore's "A Defence of Common Sense" — https://doi.org/10.1353/hph.2021.0064</w:t>
      </w:r>
    </w:p>
    <w:p>
      <w:pPr/>
      <w:r>
        <w:rPr>
          <w:b/>
        </w:rPr>
        <w:t>Shared claim-specific concepts:</w:t>
      </w:r>
      <w:r>
        <w:t xml:space="preserve"> common, understanding, all; EU scope not established. This is a provisional connection, not an outcome finding.</w:t>
      </w:r>
    </w:p>
    <w:p>
      <w:pPr>
        <w:pStyle w:val="SourceNote"/>
      </w:pPr>
      <w:r>
        <w:rPr>
          <w:b/>
        </w:rPr>
        <w:t>Available abstract (not full text):</w:t>
      </w:r>
      <w:r>
        <w:t xml:space="preserve"> I defend an account of Moore's conception of Common Sense—as it figures in "A Defence of Common Sense"—according to which it is based in a vision of the community of human beings as bound and unified by a settled common understanding of the meaning of our words and statements. This, for Moore, is our inalienable starting point in philosophy. When Moore invokes Common Sense against idealist (and skeptical) philosophers, he is reminding them that they too are bound by this common understanding, which cannot just be left behind as they confusedly believe. On Moore's conception, Common Sense becomes nothing other than the affirmation that there is such a common understanding—that there is Common Sense—which yields a specific body of Common Sense knowledge. This yields a more principled account of Common Sense than a mere tallying of what contingently happens to be believed (or known) by all.</w:t>
      </w:r>
    </w:p>
    <w:p>
      <w:pPr/>
      <w:r>
        <w:rPr>
          <w:b/>
        </w:rPr>
        <w:t>POSSIBLE 2021:</w:t>
      </w:r>
      <w:r>
        <w:t xml:space="preserve"> Understanding the common mechanisms of heart and skeletal muscle wasting in cancer cachexia — https://doi.org/10.1038/s41389-020-00288-6</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Cachexia is a severe complication of cancer that adversely affects the course of the disease, with currently no effective treatments. It is characterized by a progressive atrophy of skeletal muscle and adipose tissue, resulting in weight loss, a reduced quality of life, and a shortened life expectancy. Although the cachectic condition primarily affects the skeletal muscle, a tissue that accounts for ~40% of total body weight, cachexia is considered a multi-organ disease that involves different tissues and organs, among which the cardiac muscle stands out for its relevance. Patients with cancer often experience severe cardiac abnormalities and manifest symptoms that are indicative of chronic heart failure, including fatigue, shortness of breath, and impaired exercise tolerance. Furthermore, cardiovascular complications are among the major causes of death in cancer patients who experienced cachexia. The lack of effective treatments for cancer cachexia underscores the need to improve our understanding of the underlying mechanisms. Increasing evidence links the wasting of the cardiac and skeletal muscles to metabolic alterations, primarily increased energy expenditure, and to increased proteolysis, ensuing from activation of the major proteolytic machineries of the cell, including ubiquitin-dependent proteolysis and autophagy. This review aims at providing an overview of the key me</w:t>
      </w:r>
    </w:p>
    <w:p>
      <w:pPr>
        <w:pStyle w:val="Heading2"/>
      </w:pPr>
      <w:r>
        <w:t>867.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2022:</w:t>
      </w:r>
      <w:r>
        <w:t xml:space="preserve"> Climate services for the railway sector: A synthesis of adaptation information needs in Europe — https://doi.org/10.3389/fclim.2022.968298</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Given that climate variability and change present unprecedented challenges to the rail sector, efforts to produce relevant climate data/information for climate risk management and adaptive decision making in the rail sector are gaining traction. However, inadequate understanding of climate change impact and information needs raises several concerns for the sector. This paper addressed the question: What climate risk information services are needed to support the adaptation needs of the rail sector? Data from interviews, literature reviews, and workshops were used. The results show that changes in precipitation, temperature, sea-level rise, and thunderstorms are the top drivers of climate risk in the sector. Additionally, the need for tailor-made climate information to manage these changes is in high demand. Although insufficient, rail organizations use special protocols to manage climate risk. Understudied countries have operational and design standards formulated in metrics and codes related to specific critical weather conditions as part of their Natural Hazard Management process. However, desirable adjustments in the standards are currently based on past events rather than future climate conditions. Future climate change information is relevant for medium- to longer-term decisions, strategy, and policymaking. For operational and design standards, weather and climate informat</w:t>
      </w:r>
    </w:p>
    <w:p>
      <w:pPr/>
      <w:r>
        <w:rPr>
          <w:b/>
        </w:rPr>
        <w:t>POSSIBLE 2021:</w:t>
      </w:r>
      <w:r>
        <w:t xml:space="preserve"> Climate change, adaptation, and global jobs: Lessons and urgent policy options for Africa — https://doi.org/10.35877/454ri.qems298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Climate change remains one of the world’s greatest challenge in the 21st century. It causes inevitable changes that alter human activities. Adaptation to climate change creates and at the same time limits opportunities that support human existence. While United States of America, Europe, China, India and other countries are maximizing the opportunities climate change adaptation offers especially in areas of green technology, energy and agriculture, that of Africa who are more vulnerable to climate change are complacent and at most show less commitment. As the negative impacts of climate change increases and livelihoods erode, and as jobs continue to disappear leading to conflicts and upheavals in Africa, governments across the continent need policy options that will enable them to mitigate and adapt to climate change while at the same time address the problem of unemployment and create new patterns of livelihood. This paper, therefore, explores options that support these objectives. It offered policy suggestions in green energy and agriculture where Africa have a comparative advantage over other nations, and which also has the capacity of employing 90 per cent of the continent's workforce. It makes suggestions on how Lake Chad and other water sources affected by climate change in Africa can be revived to support agricultural activities and hydropower industry as well as create </w:t>
      </w:r>
    </w:p>
    <w:p>
      <w:pPr/>
      <w:r>
        <w:rPr>
          <w:b/>
        </w:rPr>
        <w:t>POSSIBLE 2021:</w:t>
      </w:r>
      <w:r>
        <w:t xml:space="preserve"> CLIMADA v1.4.1: towards a globally consistent adaptation options appraisal tool — https://doi.org/10.5194/gmd-14-351-2021</w:t>
      </w:r>
    </w:p>
    <w:p>
      <w:pPr/>
      <w:r>
        <w:rPr>
          <w:b/>
        </w:rPr>
        <w:t>Shared claim-specific concepts:</w:t>
      </w:r>
      <w:r>
        <w:t xml:space="preserve"> adaptation, options, assessment; EU scope not established. This is a provisional connection, not an outcome finding.</w:t>
      </w:r>
    </w:p>
    <w:p>
      <w:pPr>
        <w:pStyle w:val="SourceNote"/>
      </w:pPr>
      <w:r>
        <w:rPr>
          <w:b/>
        </w:rPr>
        <w:t>Available abstract (not full text):</w:t>
      </w:r>
      <w:r>
        <w:t xml:space="preserve"> Abstract. Climate change is a fact and adaptation to a changing environment therefore a necessity. Adaptation is ultimately local, yet similar challenges pose themselves to decision-makers all across the globe and on all levels. The Economics of Climate Adaptation (ECA) methodology established an economic framework to fully integrate risk and reward perspectives of different 10 stakeholders, underpinned by the CLIMADA impact modelling platform. We present an extension of the latter to appraise adaption options in a consistent fashion in order to provide decision-makers from the local to the global level with the necessary facts to identify the most effective instruments to meet the adaptation challenge. We apply the open-source methodology and its Python implementation to a case study in the Caribbean, which allows to prioritize a small basked of adaptation options, namely green and grey infrastructure options as well as behavioural measures, and permits inter-island comparisons. In 15 Anguilla, for example, mangroves avert simulated damages more than 4 times the cost estimated for restoration, while enforcement of building codes shows to be effective in the Turks and Caicos islands. For all islands, cost-effective measures reduce the cost of risk transfer, which covers damage of high impact events that cannot be cost-effectively prevented by other measures. This extended versi</w:t>
      </w:r>
    </w:p>
    <w:p>
      <w:pPr/>
      <w:r>
        <w:rPr>
          <w:b/>
        </w:rPr>
        <w:t>POSSIBLE 2021:</w:t>
      </w:r>
      <w:r>
        <w:t xml:space="preserve"> Rethinking urban heat stress: Assessing risk and adaptation options across socioeconomic groups in Bonn, Germany — https://doi.org/10.1016/j.uclim.2021.100857</w:t>
      </w:r>
    </w:p>
    <w:p>
      <w:pPr/>
      <w:r>
        <w:rPr>
          <w:b/>
        </w:rPr>
        <w:t>Shared claim-specific concepts:</w:t>
      </w:r>
      <w:r>
        <w:t xml:space="preserve"> adaptation, options, between, integrated; EU scope visible. This is a provisional connection, not an outcome finding.</w:t>
      </w:r>
    </w:p>
    <w:p>
      <w:pPr>
        <w:pStyle w:val="SourceNote"/>
      </w:pPr>
      <w:r>
        <w:rPr>
          <w:b/>
        </w:rPr>
        <w:t>Available abstract (not full text):</w:t>
      </w:r>
      <w:r>
        <w:t xml:space="preserve"> With climate change and socioeconomic trends expected to exacerbate the risk of urban heat stress, implementing adaptation measures is paramount to limit adverse impacts of heat on urban inhabitants. Identification of the best options needs to be based on sound, localised assessments of risk, understood as the interaction of hazard, exposure and vulnerability. Yet a review of the literature reveals that minimal research to date considers the perceived impacts of heat among urban residents. Based on a household survey in Bonn, Germany, this paper adopts an integrated approach to assess how different socioeconomic groups are affected by heat stress and explores the connections between perceived impacts of heat and indicators of exposure and vulnerability across groups. Results indicate that all socioeconomic groups are at risk of urban heat stress, though to differing extents and for different reasons. Exposure was found to be lowest in groups typically considered to be of higher risk, such as older respondents, who at the same time have the highest susceptibility. Students and other younger respondents, on the other hand, face comparably high exposure and have the lowest coping and adaptive capacities. At the same time, each group has its own capacities with the potential to mitigate risk. The study shows that urban inhabitants beyond “classic risk groups” usually addressed in l</w:t>
      </w:r>
    </w:p>
    <w:p>
      <w:pPr/>
      <w:r>
        <w:rPr>
          <w:b/>
        </w:rPr>
        <w:t>POSSIBLE 2021:</w:t>
      </w:r>
      <w:r>
        <w:t xml:space="preserve"> Feasibility assessment of climate change adaptation options across Africa: an evidence-based review — https://doi.org/10.1088/1748-9326/ac092d</w:t>
      </w:r>
    </w:p>
    <w:p>
      <w:pPr/>
      <w:r>
        <w:rPr>
          <w:b/>
        </w:rPr>
        <w:t>Shared claim-specific concepts:</w:t>
      </w:r>
      <w:r>
        <w:t xml:space="preserve"> adaptation, options, but, trade-offs, assessment, ecosystem; EU scope not established. This is a provisional connection, not an outcome finding.</w:t>
      </w:r>
    </w:p>
    <w:p>
      <w:pPr>
        <w:pStyle w:val="SourceNote"/>
      </w:pPr>
      <w:r>
        <w:rPr>
          <w:b/>
        </w:rPr>
        <w:t>Available abstract (not full text):</w:t>
      </w:r>
      <w:r>
        <w:t xml:space="preserve"> Abstract Considering the feasibility and effectiveness of adaptation options is essential for guiding responses to climate change that reduce risk. Here, we assessed the feasibility of adaptation options for the African context. Using the Global Adaptation Mapping Initiative, a stocktake of adaptation-related responses to climate change from the peer-reviewed literature in 2013–2020, we found 827 records of adaptation actions in Africa. We categorised and evaluated 24 adaptation options and for each option, six dimensions of feasibility were considered: economic, environmental, social, institutional, technological, and evidence of effectiveness. Over half (51%) of all adaptation actions were reported in the food sector where sustainable water management (SWM) was the most reported option. The fewest actions were reported for cities (5%). The majority of actions (53%) were recorded in just six countries: Ghana, Ethiopia, Kenya, Tanzania, Nigeria and South Africa. Encouragingly, effectiveness was assessed as medium or high for 95% of adaptation options. However, no options had high feasibility on any other dimension. Technological and institutional factors present major barriers to implementation. Crop management, SWM, sustainable agricultural practices, agroforestry, livelihood diversification, ecosystem governance and planning, health governance and planning, infrastructure and</w:t>
      </w:r>
    </w:p>
    <w:p>
      <w:pPr/>
      <w:r>
        <w:rPr>
          <w:b/>
        </w:rPr>
        <w:t>POSSIBLE 2021:</w:t>
      </w:r>
      <w:r>
        <w:t xml:space="preserve"> A review of adaptation options in fisheries management to support resilience and transition under socio-ecological change — https://doi.org/10.1093/icesjms/fsab146</w:t>
      </w:r>
    </w:p>
    <w:p>
      <w:pPr/>
      <w:r>
        <w:rPr>
          <w:b/>
        </w:rPr>
        <w:t>Shared claim-specific concepts:</w:t>
      </w:r>
      <w:r>
        <w:t xml:space="preserve"> adaptation, options, assessment, importance; EU scope visible. This is a provisional connection, not an outcome finding.</w:t>
      </w:r>
    </w:p>
    <w:p>
      <w:pPr>
        <w:pStyle w:val="SourceNote"/>
      </w:pPr>
      <w:r>
        <w:rPr>
          <w:b/>
        </w:rPr>
        <w:t>Available abstract (not full text):</w:t>
      </w:r>
      <w:r>
        <w:t xml:space="preserve"> Abstract Social-ecological systems dependent on fisheries must be resilient or adapt to remain viable in the face of change. Here, we identified possible interventions (termed “adaptation options”) from published literature, aimed at supporting social or ecological resilience and/or aiding adaptation to changes induced by environmental or social stressors. Our searches centered on nations/regions across North America, Europe, and the South Pacific, encompassing fisheries literature with and without a climate change focus, to compare how, when, and by whom interventions are currently or potentially implemented. We expected that adaptation options within a climate change context would have a greater focus on enhancing social resilience due to a connection with climate change adaptation assessment methodology. Instead, we found a greater focus on ecological resilience, likely indicating a focus on management adaptation. This pattern, along with the more extensive use of social adaptation options responsively and outside the context of climate change, along with an importance in bottom-up influences in implementing them, suggests a general lack of centralized planning and organization with regards to adaptation of stakeholders. Determining how adaptation options are created, chosen, and implemented is a crucial step within or external to ecosystem-based management, especially if pl</w:t>
      </w:r>
    </w:p>
    <w:p>
      <w:pPr/>
      <w:r>
        <w:rPr>
          <w:b/>
        </w:rPr>
        <w:t>POSSIBLE 2020:</w:t>
      </w:r>
      <w:r>
        <w:t xml:space="preserve"> Assessing the feasibility of adaptation options: methodological advancements and directions for climate adaptation research and practice — https://doi.org/10.1007/s10584-020-02762-x</w:t>
      </w:r>
    </w:p>
    <w:p>
      <w:pPr/>
      <w:r>
        <w:rPr>
          <w:b/>
        </w:rPr>
        <w:t>Shared claim-specific concepts:</w:t>
      </w:r>
      <w:r>
        <w:t xml:space="preserve"> adaptation, options, offer, trade-offs, assessment; EU scope not established. This is a provisional connection, not an outcome finding.</w:t>
      </w:r>
    </w:p>
    <w:p>
      <w:pPr>
        <w:pStyle w:val="SourceNote"/>
      </w:pPr>
      <w:r>
        <w:rPr>
          <w:b/>
        </w:rPr>
        <w:t>Available abstract (not full text):</w:t>
      </w:r>
      <w:r>
        <w:t xml:space="preserve"> Abstract The Paris Agreement put adaptation prominently on the global climate action agenda. Despite a surge in research and praxis-based knowledge on adaptation, a critical policy roadblock is synthesizing and assessing this burgeoning evidence. We develop an approach to assess the multidimensional feasibility of adaptation options in a robust and transparent manner, providing direction for global climate policy and identifying knowledge gaps to further future climate research. The approach, which was tested in the IPCC Special Report on 1.5 °C (SR1.5) to assess 23 adaptation options, is underpinned by a systematic review of recent literature, expert elicitation, and iterative peer review. It responds to the challenge of limited agreement on adaptation indicators, lack of fine-scale adaptation data, and challenges of assessing synergies and trade-offs with mitigation. The findings offer methodological insights into how future assessments such as the IPCC Assessment Report (AR) six and regional, national, and sectoral assessment exercises could assess adaptation feasibility and synthesize the growing body of knowledge on climate change adaptation.</w:t>
      </w:r>
    </w:p>
    <w:p>
      <w:pPr/>
      <w:r>
        <w:rPr>
          <w:b/>
        </w:rPr>
        <w:t>POSSIBLE 2019:</w:t>
      </w:r>
      <w:r>
        <w:t xml:space="preserve"> Plantation forests in Europe: challenges and opportunities — https://doi.org/10.36333/fs09</w:t>
      </w:r>
    </w:p>
    <w:p>
      <w:pPr/>
      <w:r>
        <w:rPr>
          <w:b/>
        </w:rPr>
        <w:t>Shared claim-specific concepts:</w:t>
      </w:r>
      <w:r>
        <w:t xml:space="preserve"> adaptation, options, significant, opportunities, but, between;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pStyle w:val="Heading2"/>
      </w:pPr>
      <w:r>
        <w:t>868.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2023:</w:t>
      </w:r>
      <w:r>
        <w:t xml:space="preserve"> Harnessing on the potential of migrants in the socio-economic development of the Republic of Moldova — https://doi.org/10.53486/2537-6179.9-1.01</w:t>
      </w:r>
    </w:p>
    <w:p>
      <w:pPr/>
      <w:r>
        <w:rPr>
          <w:b/>
        </w:rPr>
        <w:t>Shared claim-specific concepts:</w:t>
      </w:r>
      <w:r>
        <w:t xml:space="preserve"> socio-economic, population, current, currently; EU scope visible. This is a provisional connection, not an outcome finding.</w:t>
      </w:r>
    </w:p>
    <w:p>
      <w:pPr>
        <w:pStyle w:val="SourceNote"/>
      </w:pPr>
      <w:r>
        <w:rPr>
          <w:b/>
        </w:rPr>
        <w:t>Available abstract (not full text):</w:t>
      </w:r>
      <w:r>
        <w:t xml:space="preserve"> Migration is an important component of the development of the Republic of Moldova at the current stage. The economic and social instability that followed after obtaining political independence in 1991, the inefficiency of reforms in several socio-economic fields, the institutional uncertainty led the population to migrate, this being a strategy to adapt it to the created conjuncture situation. The increase in intensity migration was also influenced by the processes of liberalization of entry and exit procedures from the territory of the Republic of Moldova. Currently, our country represents one of the countries in the world with the largest shares of the migrant working population, as well as the share of remittances in GDP, the effects of migration being felt in all areas of social-economic life in the country. Concern for the support of migrants over time has materialized through the creation of governmental structures with the aim of monitoring and launching various strategies, programs, projects addressed to citizens outside the country's borders. Ensuring the reintegration of returned migrants, after a migratory experience of work or life abroad, is of great importance both for citizens and for the state authorities that have the duty to support emigrant citizens regardless of their options to return or settle in the adoptive country. Through this scientific approach, the </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coherent, between, climate;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2022:</w:t>
      </w:r>
      <w:r>
        <w:t xml:space="preserve"> THE INFLUENCE OF ECONOMIC MENTALITY ON SOCIO-ECONOMIC DEVELOPMENT — https://doi.org/10.55643/fcaptp.1.42.2022.3670</w:t>
      </w:r>
    </w:p>
    <w:p>
      <w:pPr/>
      <w:r>
        <w:rPr>
          <w:b/>
        </w:rPr>
        <w:t>Shared claim-specific concepts:</w:t>
      </w:r>
      <w:r>
        <w:t xml:space="preserve"> socio-economic, between, current; EU scope not established. This is a provisional connection, not an outcome finding.</w:t>
      </w:r>
    </w:p>
    <w:p>
      <w:pPr>
        <w:pStyle w:val="SourceNote"/>
      </w:pPr>
      <w:r>
        <w:rPr>
          <w:b/>
        </w:rPr>
        <w:t>Available abstract (not full text):</w:t>
      </w:r>
      <w:r>
        <w:t xml:space="preserve"> Abstract. The current stage of socio-economic development is characterized by structural reforms connected with forming of competitive market environment, development of various forms of ownership, formation of qualitatively new forms of economic activity organization, deepening integration processes. Authors underline inconsistenciesbetween the interaction of the formal and historically formed informal institutions actualizes the role of economic mentality, since it directly influences the general vector of socio-economic system development. The article draws attention to the informal component of the institutional environment — economic mentality, which haracterizes the historically formed values, motives and models of economic behavior of individual and collective actors that directly affect the overall vector of socio-economic system development and transformation.It is determined that economic mentality determines the dynamics of the institutional environment development of by influencing the effectiveness of formal and informal institutions interaction, ensuring the performance of complementary functions; mediates the process of institutionalization of historically determined values, stereotypes and models of economic behavior in the system of formal norms and rules; provides under the influence of other socio-economic factors adaptability and dynamism of nstitutional str</w:t>
      </w:r>
    </w:p>
    <w:p>
      <w:pPr/>
      <w:r>
        <w:rPr>
          <w:b/>
        </w:rPr>
        <w:t>POSSIBLE 2022:</w:t>
      </w:r>
      <w:r>
        <w:t xml:space="preserve"> Political Leadership and Socio-economic Development of Rivers State — https://doi.org/10.51699/cajssh.v3i4.283</w:t>
      </w:r>
    </w:p>
    <w:p>
      <w:pPr/>
      <w:r>
        <w:rPr>
          <w:b/>
        </w:rPr>
        <w:t>Shared claim-specific concepts:</w:t>
      </w:r>
      <w:r>
        <w:t xml:space="preserve"> socio-economic, population, compared; EU scope not established. This is a provisional connection, not an outcome finding.</w:t>
      </w:r>
    </w:p>
    <w:p>
      <w:pPr>
        <w:pStyle w:val="SourceNote"/>
      </w:pPr>
      <w:r>
        <w:rPr>
          <w:b/>
        </w:rPr>
        <w:t>Available abstract (not full text):</w:t>
      </w:r>
      <w:r>
        <w:t xml:space="preserve"> The paper examined the role of political leadership on socio-economic development of Rivers State. The study raised two research questions and two corresponding objectives. Elite theory was adopted as the theoretical frame work. Both primary and secondary data were utilized. The population for this study is 7,303,924 based on 2022 city projected population. A sample of 400 respondents was drawn with the aid of Taro Yamene formula. The study adopted stratified sampling and purposive sampling technique to administer the research instrument to the respondents. The study generated data from primary and secondary sources. A questionnaire instrument was used in this study titled; “Role of Political Leadership on Socio-economic Development Questionnaire (RPLSEDQ)”. The study employed the test-re-test method. This method allowed the researcher to assess the survey instrument by applying two separate measurements on the same elements at different times with the same methods. The outcome of the pilot survey was compared with that of the final survey to confirm if the results are the same. The data generated were analyzed with Mean and Standard Deviation through the aid of SPSS version 25. The criterion mean was 2.5 which implied that any item found equal or above 2.5 was accounted as Agreed, while item means lesser than 2.5 were interpreted to be disagreed. The study found that the polit</w:t>
      </w:r>
    </w:p>
    <w:p>
      <w:pPr/>
      <w:r>
        <w:rPr>
          <w:b/>
        </w:rPr>
        <w:t>POSSIBLE 2022:</w:t>
      </w:r>
      <w:r>
        <w:t xml:space="preserve"> REMITTANCE OF INDIAN IMMIGRANTS: CATALYTIC FOR SOCIO-ECONOMIC DEVELOPMENT — https://doi.org/10.47509/ijaeb.2023.v05i01.09</w:t>
      </w:r>
    </w:p>
    <w:p>
      <w:pPr/>
      <w:r>
        <w:rPr>
          <w:b/>
        </w:rPr>
        <w:t>Shared claim-specific concepts:</w:t>
      </w:r>
      <w:r>
        <w:t xml:space="preserve"> socio-economic, population, range, annual; EU scope not established. This is a provisional connection, not an outcome finding.</w:t>
      </w:r>
    </w:p>
    <w:p>
      <w:pPr>
        <w:pStyle w:val="SourceNote"/>
      </w:pPr>
      <w:r>
        <w:rPr>
          <w:b/>
        </w:rPr>
        <w:t>Available abstract (not full text):</w:t>
      </w:r>
      <w:r>
        <w:t xml:space="preserve"> Immigrants have become an integral component of socio-economic development, and play a diverse set of roles, preserving a range of influences on the economy of their origin. International migration, usually network-driven is a natural consequence of capitalist market formation in the developing world penetrating peripheral regions. Every year 2.5 million (25 lakh) Indians migrate overseas, which is the highest annual number of migrants in the world. Indians represent the second largest U.S. immigrant group, after Mexicans and ahead of Chinese and Filipinos. The 2.7 million Indianimmigrants residing in the United States as of 2021 made up 6 per cent of the total foreignborn population, and their numbers continue to expand. USA ranks second on the list with so many growth opportunities accessible for Indians in the spheres of technology and biological sciences. Based on secondary sources of data, the present research assesses the trend, major flow of immigrants and their contribution to the development of Indian economy, which concludes that with the help of remittances, immigration can contribute positively to the developmental activity of a country, including employment, economic growth, poverty reduction, social empowerment, and technological progress.</w:t>
      </w:r>
    </w:p>
    <w:p>
      <w:pPr/>
      <w:r>
        <w:rPr>
          <w:b/>
        </w:rPr>
        <w:t>POSSIBLE 2022:</w:t>
      </w:r>
      <w:r>
        <w:t xml:space="preserve"> A comprehensive socio-economic assessment of EU climate policy pathways — https://doi.org/10.1016/j.ecolecon.2022.107660</w:t>
      </w:r>
    </w:p>
    <w:p>
      <w:pPr/>
      <w:r>
        <w:rPr>
          <w:b/>
        </w:rPr>
        <w:t>Shared claim-specific concepts:</w:t>
      </w:r>
      <w:r>
        <w:t xml:space="preserve"> socio-economic, pathways, assessment, climate; EU scope visible. This is a provisional connection, not an outcome finding.</w:t>
      </w:r>
    </w:p>
    <w:p>
      <w:pPr>
        <w:pStyle w:val="SourceNote"/>
      </w:pPr>
      <w:r>
        <w:rPr>
          <w:b/>
        </w:rPr>
        <w:t>Available abstract (not full text):</w:t>
      </w:r>
      <w:r>
        <w:t xml:space="preserve"> The European Green Deal aims to put the EU on track towards climate neutrality by 2050. One of the key elements is a more stringent greenhouse gas emission reduction target of 55% below 1990 levels by 2030. We analyse the socio-economic consequences of alternative policy pathways to reach that target, either relying more on regulatory standards, on carbon pricing, or a mix of both. We develop a modelling framework that captures macro-economic and sectoral impacts and closely aligns economic and energy system modelling. We further decompose aggregate labour market outcomes into skill and occupation types, and downscale representative household results to micro-level household data to evaluate the distributional effects across income groups with heterogeneous expenditure patterns. By combining models and datasets, our framework enables incorporating a high degree of technological detail while revealing socio-economic aspects of the transition that may go unnoticed in coarse, aggregate assessments. In particular, our results highlight the heterogeneous impacts of climate policy across sectors, worker skill types and income groups, which may require particular attention in climate policy design and corresponding complementary measures to ensure a fair transition to a low-carbon economy.</w:t>
      </w:r>
    </w:p>
    <w:p>
      <w:pPr/>
      <w:r>
        <w:rPr>
          <w:b/>
        </w:rPr>
        <w:t>POSSIBLE 2022:</w:t>
      </w:r>
      <w:r>
        <w:t xml:space="preserve"> Assessment Framework for Measuring Socio-Economic Returns from Climate-Smart Farming Practices — https://doi.org/10.32628/gisrrj203357</w:t>
      </w:r>
    </w:p>
    <w:p>
      <w:pPr/>
      <w:r>
        <w:rPr>
          <w:b/>
        </w:rPr>
        <w:t>Shared claim-specific concepts:</w:t>
      </w:r>
      <w:r>
        <w:t xml:space="preserve"> socio-economic, assessment, between, climate; EU scope not established. This is a provisional connection, not an outcome finding.</w:t>
      </w:r>
    </w:p>
    <w:p>
      <w:pPr>
        <w:pStyle w:val="SourceNote"/>
      </w:pPr>
      <w:r>
        <w:rPr>
          <w:b/>
        </w:rPr>
        <w:t>Available abstract (not full text):</w:t>
      </w:r>
      <w:r>
        <w:t xml:space="preserve"> The adoption of climate-smart farming (CSF) practices presents an opportunity to strengthen agricultural resilience, mitigate greenhouse gas emissions, and enhance rural livelihoods. However, quantifying the socio-economic returns of these interventions remains a critical gap in sustainable development research and policy evaluation. This study proposes an assessment framework for measuring the socio-economic returns from climate-smart farming practices, integrating environmental sustainability, economic viability, and social inclusivity dimensions. The framework is structured around three analytical pillars: productivity enhancement, adaptive capacity, and livelihood diversification. Each pillar encompasses measurable indicators such as yield gains, input efficiency, carbon intensity reduction, income stability, labor utilization, and gender participation. A mixed-methods approach combining cost-benefit analysis (CBA), multi-criteria decision analysis (MCDA), and social return on investment (SROI) is employed to capture both tangible and intangible benefits. The framework incorporates life-cycle thinking to account for upstream and downstream effects, linking farm-level interventions to community-level outcomes. Data are collected through household surveys, participatory rural appraisals, and satellite-derived productivity mapping to ensure spatial and temporal accuracy. Weigh</w:t>
      </w:r>
    </w:p>
    <w:p>
      <w:pPr/>
      <w:r>
        <w:rPr>
          <w:b/>
        </w:rPr>
        <w:t>POSSIBLE 2021:</w:t>
      </w:r>
      <w:r>
        <w:t xml:space="preserve"> Modern trends in the socio-economic development of the Moscow region — https://doi.org/10.25634/mirbis.2021.4.15</w:t>
      </w:r>
    </w:p>
    <w:p>
      <w:pPr/>
      <w:r>
        <w:rPr>
          <w:b/>
        </w:rPr>
        <w:t>Shared claim-specific concepts:</w:t>
      </w:r>
      <w:r>
        <w:t xml:space="preserve"> socio-economic, population, current; EU scope not established. This is a provisional connection, not an outcome finding.</w:t>
      </w:r>
    </w:p>
    <w:p>
      <w:pPr>
        <w:pStyle w:val="SourceNote"/>
      </w:pPr>
      <w:r>
        <w:rPr>
          <w:b/>
        </w:rPr>
        <w:t>Available abstract (not full text):</w:t>
      </w:r>
      <w:r>
        <w:t xml:space="preserve"> Насущной проблемой развития отечественной экономики является переход к устойчивому экономическому росту, который будет способствовать закреплению России в составе государств, освоивших шестой технологический уклад. В нынешних условиях концепция управления социальноэкономическим развитием, нацеленная на повышение эффективности экономики трансформируется в вектор, направленный на существенное преобразование параметров и требований к повышению качества условий жизнедеятельности гражданина страны. Важно отметить при этом, что именно от региональных властей требуется проведение политики, направленной на всеобъемлющее повышение качественных параметров уровня жизни населения. В статье рассматриваются особенности развития Московской области, возможности устойчивой прогрессивной динамики по ключевым параметрам в долгосрочной перспективе. Анализируются управленческие решения органов региональной власти по определению приоритетов и направлений прогресса социальной и экономической систем, характеризуются достижения субъекта Федерации в рамках стратегии социально-экономического развития до 2030 год. This An urgent problem in the development of the domestic economy is the transition to sustainable economic growth, which will contribute to the consolidation of Russia among the states that have mastered the sixth technological mode. In the current conditions, the concept of managing socio-econ</w:t>
      </w:r>
    </w:p>
    <w:p>
      <w:pPr>
        <w:pStyle w:val="Heading2"/>
      </w:pPr>
      <w:r>
        <w:t>869.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870.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2022:</w:t>
      </w:r>
      <w:r>
        <w:t xml:space="preserve"> Development of Photovoltaic Energy in EU Countries as an Alternative to Fossil Fuels — https://doi.org/10.3390/en15020662</w:t>
      </w:r>
    </w:p>
    <w:p>
      <w:pPr/>
      <w:r>
        <w:rPr>
          <w:b/>
        </w:rPr>
        <w:t>Shared claim-specific concepts:</w:t>
      </w:r>
      <w:r>
        <w:t xml:space="preserve"> energy, used, climate, long-term; EU scope visible. This is a provisional connection, not an outcome finding.</w:t>
      </w:r>
    </w:p>
    <w:p>
      <w:pPr>
        <w:pStyle w:val="SourceNote"/>
      </w:pPr>
      <w:r>
        <w:rPr>
          <w:b/>
        </w:rPr>
        <w:t>Available abstract (not full text):</w:t>
      </w:r>
      <w:r>
        <w:t xml:space="preserve"> The aim of the article is to present the development of photovoltaic energy in the EU countries as one of the alternatives to fossil fuels. The article was prepared on the basis of secondary information and statistical data on the photovoltaic energy market in EU countries, and three hypotheses were formulated: H1—There is a statistically significant correlation between a country’s long-term orientation and its use of photovoltaic energy in European Union countries; H2—There is a statistically significant correlation between GDP per capita and photovoltaic energy use in European Union countries; and H3—There is a relationship between climate and photovoltaic energy use in European Union countries. Correlation coefficients and the Guilford classification were used to analyse the data. Data analysis has shown that photovoltaic energy is the second fastest-growing energy source in the EU, after wind energy. In 2020, 134 TWh of solar energy was produced in the EU countries. Based on the analysis, it can be concluded that there is a statistically significant correlation between the production of photovoltaic energy per person and the level of GDP per capita in the EU countries (Hypothesis 2). Germany and the Netherlands produce the most solar energy. The studies did not confirm Hypothesis 3; however, it can be seen that countries such as Germany, Belgium and the Netherlands have the</w:t>
      </w:r>
    </w:p>
    <w:p>
      <w:pPr/>
      <w:r>
        <w:rPr>
          <w:b/>
        </w:rPr>
        <w:t>POSSIBLE 2021:</w:t>
      </w:r>
      <w:r>
        <w:t xml:space="preserve"> Second bottom-up model simulations : Deliverably D3.5 — https://openalex.org/W3211137343</w:t>
      </w:r>
    </w:p>
    <w:p>
      <w:pPr/>
      <w:r>
        <w:rPr>
          <w:b/>
        </w:rPr>
        <w:t>Shared claim-specific concepts:</w:t>
      </w:r>
      <w:r>
        <w:t xml:space="preserve"> bottom-up, system, role; EU scope visible. This is a provisional connection, not an outcome finding.</w:t>
      </w:r>
    </w:p>
    <w:p>
      <w:pPr>
        <w:pStyle w:val="SourceNote"/>
      </w:pPr>
      <w:r>
        <w:rPr>
          <w:b/>
        </w:rPr>
        <w:t>Available abstract (not full text):</w:t>
      </w:r>
      <w:r>
        <w:t xml:space="preserve"> Models play a crucial role in the quantification of GHG emissions. They can extrapolate and interpolate measurements spatially and temporally. Different models are designed for different purposes, from data-driven models that make the most efficient use of existing data, to process-based models which provide increased resolution of underlying driving mechanisms. VERIFY incorporates a wide variety of different model types to enable the system to respond to a far-reaching host of questions.Therefore, the aim of this WP is to simulate terrestrial carbon fluxes in both natural and anthropogenic systems. Using harmonized input data collected and reported on in D3.2, WP3 produced a variety of gridded flux and stock estimates of carbon within Europe. This particular deliverable shows carbon dioxide emissions from croplands, grasslands, and forests across the continent, using a variety of approaches. These approaches include models making extensive use of country-level statistics, those aiming for comprehensive descriptions of ecosystem processes, and statistical upscaling of site-level results to the continental scale.This deliverable provides details about the results of the second round of simulations from the bottom-up land models. Simulation methods will be improved during the course of the project, reflecting new scientific and technical understanding.</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2021:</w:t>
      </w:r>
      <w:r>
        <w:t xml:space="preserve"> Tightening EU ETS targets in line with the European Green Deal: Impacts on the decarbonization of the EU power sector — https://doi.org/10.1016/j.apenergy.2021.116914</w:t>
      </w:r>
    </w:p>
    <w:p>
      <w:pPr/>
      <w:r>
        <w:rPr>
          <w:b/>
        </w:rPr>
        <w:t>Shared claim-specific concepts:</w:t>
      </w:r>
      <w:r>
        <w:t xml:space="preserve"> system, hydrogen, climate, current; EU scope visible. This is a provisional connection, not an outcome finding.</w:t>
      </w:r>
    </w:p>
    <w:p>
      <w:pPr>
        <w:pStyle w:val="SourceNote"/>
      </w:pPr>
      <w:r>
        <w:rPr>
          <w:b/>
        </w:rPr>
        <w:t>Available abstract (not full text):</w:t>
      </w:r>
      <w:r>
        <w:t xml:space="preserve"> The EU Green Deal calls for climate neutrality by 2050 and emission reductions of 50–55% in 2030 in comparison to 1990. Achieving these reductions requires a substantial tightening of the regulations of the EU emissions trading system (EU ETS). This paper explores how the power sector would have to change in reaction to a tighter EU ETS target, and analyses the technological and economic implications. To cover the major ETS sectors, we combine a detailed power sector model with a marginal-abatement cost curve representation of industry emission abatement. We find that tightening the target would speed up the transformation by 3–17 years for different parts of the electricity system, with renewables contributing 74% of the electricity in 2030, EU-wide coal use almost completely phased-out by 2030 instead of 2045, and zero electricity generation emissions reached by 2040. Carbon prices within the EU ETS would more than triple to 129€/tCO2 in 2030, reducing cumulated power sector emissions from 2017 to 2057 by 54% compared to a scenario with the current target. This transformation would come at limited costs: total discounted power system costs would only increase by 5%. We test our findings against a number of sensitivities: an increased electricity demand, which might arise from sector coupling, increases deployment of wind and solar and prolongs gas usage. Not allowing transmis</w:t>
      </w:r>
    </w:p>
    <w:p>
      <w:pPr/>
      <w:r>
        <w:rPr>
          <w:b/>
        </w:rPr>
        <w:t>POSSIBLE 2021:</w:t>
      </w:r>
      <w:r>
        <w:t xml:space="preserve"> The open source electricity Model Base for Europe - An engagement framework for open and transparent European energy modelling — https://doi.org/10.1016/j.energy.2021.121973</w:t>
      </w:r>
    </w:p>
    <w:p>
      <w:pPr/>
      <w:r>
        <w:rPr>
          <w:b/>
        </w:rPr>
        <w:t>Shared claim-specific concepts:</w:t>
      </w:r>
      <w:r>
        <w:t xml:space="preserve"> energy, system, used; EU scope visible. This is a provisional connection, not an outcome finding.</w:t>
      </w:r>
    </w:p>
    <w:p>
      <w:pPr>
        <w:pStyle w:val="SourceNote"/>
      </w:pPr>
      <w:r>
        <w:rPr>
          <w:b/>
        </w:rPr>
        <w:t>Available abstract (not full text):</w:t>
      </w:r>
      <w:r>
        <w:t xml:space="preserve"> The transition to a low carbon energy system as laid out in the Paris Agreement and the European Green Deal presents challenges that involve society at all levels from planners to consumers. A key challenge is the communication across these levels. Tools to foster engagement and discussion between the different actors are open-source models with a low threshold for uptake. This paper presents the Open-Source electricity Model Base for Europe an electricity sector engagement model covering all member states of the EU, Norway, Switzerland and the United Kingdom. Built in OSeMOSYS and available on GitHub, the model provides a starting point into energy systems modelling and can be further developed in a collaborative manner. It enables non-experts to develop an understanding of energy systems models and energy planning. Thereby, it can serve as an engagement tool to carry the debate on the future of the European power system beyond the academy, which might contribute to finding societal consensus on how to decarbonise our energy system. The model allows dynamic power sector expansion analysis of the European power system till 2050. It can be used for scenario analysis and is expandable to other sectors to analyse the benefits of sector coupling.</w:t>
      </w:r>
    </w:p>
    <w:p>
      <w:pPr/>
      <w:r>
        <w:rPr>
          <w:b/>
        </w:rPr>
        <w:t>POSSIBLE 2021:</w:t>
      </w:r>
      <w:r>
        <w:t xml:space="preserve"> How EU policies could reduce nutrient pollution in European inland and coastal waters — https://doi.org/10.1016/j.gloenvcha.2021.102281</w:t>
      </w:r>
    </w:p>
    <w:p>
      <w:pPr/>
      <w:r>
        <w:rPr>
          <w:b/>
        </w:rPr>
        <w:t>Shared claim-specific concepts:</w:t>
      </w:r>
      <w:r>
        <w:t xml:space="preserve"> system, current; EU scope visible. This is a provisional connection, not an outcome finding.</w:t>
      </w:r>
    </w:p>
    <w:p>
      <w:pPr>
        <w:pStyle w:val="SourceNote"/>
      </w:pPr>
      <w:r>
        <w:rPr>
          <w:b/>
        </w:rPr>
        <w:t>Available abstract (not full text):</w:t>
      </w:r>
      <w:r>
        <w:t xml:space="preserve"> Intensive agriculture and densely populated areas represent major sources of nutrient pollution for European inland and coastal waters, altering the aquatic ecosystems and affecting their capacity to provide ecosystem services and support economic activities. Ambitious water policies are in place in the European Union (EU) for protecting and restoring aquatic ecosystems under the Water Framework Directive and the Marine Strategy Framework Directive. This research quantified the current pressures of point and diffuse nitrogen and phosphorus emissions to European fresh and coastal waters (2005-2012), and analysed the effects of three policy scenarios of nutrient reduction: 1) the application of measures currently planned in the Rural Development Programmes and under the Urban Waste Water Treatment Directive (UWWTD); 2) the full implementation of the UWWTD and the absence of derogations in the Nitrates Directive; 3) high reduction of nutrient, using best technologies in wastewaters treatment and optimal fertilisation in agriculture. The results of the study show that for the period 2005-2012, the nitrogen load to European seas was 3.3-4.1 TgN/y and the phosphorus load was 0.26-0.30 TgP/y. Policy measures supporting technological improvements (third scenario) could decrease the nutrient export to the seas up to 14% for nitrogen and 20% for phosphorus, improving the ecological statu</w:t>
      </w:r>
    </w:p>
    <w:p>
      <w:pPr/>
      <w:r>
        <w:rPr>
          <w:b/>
        </w:rPr>
        <w:t>POSSIBLE 2020:</w:t>
      </w:r>
      <w:r>
        <w:t xml:space="preserve"> Classification and challenges of bottom-up energy system models - A review — https://doi.org/10.1016/j.rser.2020.109917</w:t>
      </w:r>
    </w:p>
    <w:p>
      <w:pPr/>
      <w:r>
        <w:rPr>
          <w:b/>
        </w:rPr>
        <w:t>Shared claim-specific concepts:</w:t>
      </w:r>
      <w:r>
        <w:t xml:space="preserve"> bottom-up, energy, system, used, current, long-term; EU scope not established. This is a provisional connection, not an outcome finding.</w:t>
      </w:r>
    </w:p>
    <w:p>
      <w:pPr>
        <w:pStyle w:val="SourceNote"/>
      </w:pPr>
      <w:r>
        <w:rPr>
          <w:b/>
        </w:rPr>
        <w:t>Available abstract (not full text):</w:t>
      </w:r>
      <w:r>
        <w:t xml:space="preserve"> This paper reviews the classification schemes used for bottom-up energy system modelling and proposes a novel one as re-elaboration of the previous schemes. Moreover, this paper identifies that the main challenges of this research field rotate around the concept of resolution. A matrix of challenges in which four main fields are identified: resolution in time, in space, in techno-economic detail and in sector-coupling. These main fields are divided into different levels of resolution: low, medium and high. The use of a low resolution introduces errors in the modelling as demonstrated by different studies. Several existing bottom-up energy system models are reviewed in order to classify them according to the proposed approach and map them through the proposed matrix. 13 different models are analyzed in the category of bottom-up short-term and 9 as bottom-up long-term energy system models. The following mapping shows how several models reach a high level of resolution in one or more than one area. However, the ultimate challenge is the simultaneous achievement of high resolution in all these fields. The literature review has shown how this final aim is not reached by any model at the current stage and it highlights the gap and weaknesses of this branch of research and the direction versus which is important to work to improve this type of modelling.</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energy, climate, become;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2020:</w:t>
      </w:r>
      <w:r>
        <w:t xml:space="preserve"> HERMESv3, a stand-alone multi-scale atmospheric emission modelling framework – Part 2: The bottom–up module — https://doi.org/10.5194/gmd-13-873-2020</w:t>
      </w:r>
    </w:p>
    <w:p>
      <w:pPr/>
      <w:r>
        <w:rPr>
          <w:b/>
        </w:rPr>
        <w:t>Shared claim-specific concepts:</w:t>
      </w:r>
      <w:r>
        <w:t xml:space="preserve"> bottom-up, system, two; EU scope visible. This is a provisional connection, not an outcome finding.</w:t>
      </w:r>
    </w:p>
    <w:p>
      <w:pPr>
        <w:pStyle w:val="SourceNote"/>
      </w:pPr>
      <w:r>
        <w:rPr>
          <w:b/>
        </w:rPr>
        <w:t>Available abstract (not full text):</w:t>
      </w:r>
      <w:r>
        <w:t xml:space="preserve"> Abstract. We describe the bottom-up module of the High-Elective Resolution Modelling Emission System version 3 (HERMESv3), a python-based and multiscale modelling tool intended for the processing and computation of atmospheric emissions for air quality modelling. HERMESv3 is composed of two separate modules: the global_regional module and the bottom_up module. In a companion paper (Part 1, Guevara et al., 2019) we presented the global_regional module. The bottom_up module described in this contribution is an emission model that estimates anthropogenic emissions at high spatial (e.g. road link level) and temporal (hourly) resolution using state-of-the-art calculation methods that combine local activity and emission factors along with meteorological data. The model computes bottom-up emissions from point sources, road transport, residential and commercial combustion, other mobile sources and agricultural activities. The computed pollutants include main criteria pollutants (i.e. NOx, CO, NMVOC, SOx, NH3, PM10 and PM2.5) and greenhouse gases (i.e. CO2 and CH4, only related to combustion processes). Specific emission estimation methodologies are provided for each source, and are mostly based on (but not limited to) the calculation methodologies reported by the European EMEP/EEA air pollutant emission inventory guidebook. Meteorological-dependent functions are also included to take i</w:t>
      </w:r>
    </w:p>
    <w:p>
      <w:pPr>
        <w:pStyle w:val="Heading2"/>
      </w:pPr>
      <w:r>
        <w:t>871.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r>
        <w:rPr>
          <w:b/>
        </w:rPr>
        <w:t>POSSIBLE 2022:</w:t>
      </w:r>
      <w:r>
        <w:t xml:space="preserve"> Review of Smart Grid and Nascent Energy Policies: Pakistan as a Case Study — https://doi.org/10.3390/en15197044</w:t>
      </w:r>
    </w:p>
    <w:p>
      <w:pPr/>
      <w:r>
        <w:rPr>
          <w:b/>
        </w:rPr>
        <w:t>Shared claim-specific concepts:</w:t>
      </w:r>
      <w:r>
        <w:t xml:space="preserve"> smart, grid, energy, policies, electricity; EU scope not established. This is a provisional connection, not an outcome finding.</w:t>
      </w:r>
    </w:p>
    <w:p>
      <w:pPr>
        <w:pStyle w:val="SourceNote"/>
      </w:pPr>
      <w:r>
        <w:rPr>
          <w:b/>
        </w:rPr>
        <w:t>Available abstract (not full text):</w:t>
      </w:r>
      <w:r>
        <w:t xml:space="preserve"> Smart grid plays a vital role in energy management systems. It helps to mitigate the demand side management of electricity by managing the microgrid. In the modern era, the concept of hybrid microgrids emerged which helps the smart grid management of electricity. Additionally, the Internet of Things (IoT) technology is used to integrate the hybrid microgrid. Thus, various policies and topologies are employed to perform the task meticulously. Pakistan being an energy deficient country has recently introduced some new policies such as Energy Wheeling Policy (EWP), Energy Import Policy (EIP), and Net Metering/Distributed Generation Policy (NMP) to manage the electricity demand effectively. In addition, the Energy Efficiency and Conservation Act (EECA) has also been introduced. In this paper, we present the overview and impact of these policies in the context of the local energy market and modern information and communication mechanisms proposed for smart grids. These new policies primarily focus on energy demand–supply for various types of consumers such as the demand for bulk energy for industrial ventures and the distributed production by consumers. The EWP deals with obtaining power from remote areas within the country to ease the energy situation in populated load centers and the EIP highlights energy import guidelines from foreign countries. The NMP deals with the integration</w:t>
      </w:r>
    </w:p>
    <w:p>
      <w:pPr/>
      <w:r>
        <w:rPr>
          <w:b/>
        </w:rPr>
        <w:t>POSSIBLE 2022:</w:t>
      </w:r>
      <w:r>
        <w:t xml:space="preserve"> A review of behind-the-meter energy storage systems in smart grids — https://doi.org/10.1016/j.rser.2022.112573</w:t>
      </w:r>
    </w:p>
    <w:p>
      <w:pPr/>
      <w:r>
        <w:rPr>
          <w:b/>
        </w:rPr>
        <w:t>Shared claim-specific concepts:</w:t>
      </w:r>
      <w:r>
        <w:t xml:space="preserve"> smart, energy, policies, perspectives; EU scope not established. This is a provisional connection, not an outcome finding.</w:t>
      </w:r>
    </w:p>
    <w:p>
      <w:pPr>
        <w:pStyle w:val="SourceNote"/>
      </w:pPr>
      <w:r>
        <w:rPr>
          <w:b/>
        </w:rPr>
        <w:t>Available abstract (not full text):</w:t>
      </w:r>
      <w:r>
        <w:t xml:space="preserve"> The electric power industry is experiencing a paradigm shift towards a carbon-free smart system boosted by rising energy demand, depreciation of long-lived physical assets, as well as global environmental challenges. Recent advances in information and communications technology, as well as the widespread integration of renewable energy resources to the power distribution system, have introduced new opportunities and challenges for system operators and end-users alike. Energy storage systems (ESSs) can help make the most of the opportunities and mitigate the potential challenges. Hence, the installed capacity of ESSs is rapidly increasing, both in front-of-the-meter and behind-the-meter (BTM), accelerated by recent deep reductions in ESS costs. This work is focused on BTM ESSs installed in end-users ' premises and associated technologies, different billing and pricing policies, as well as their potential capabilities from both the system operators' and end-users’ perspectives. Furthermore, a brief but comprehensive overview of optimization solutions for BTM energy management problems and a quick summary of some BTM case studies are provided. Finally, challenges in the realization of BTM systems in today's power system are explored, and potential research areas and progressive solutions for future studies are identified.</w:t>
      </w:r>
    </w:p>
    <w:p>
      <w:pPr/>
      <w:r>
        <w:rPr>
          <w:b/>
        </w:rPr>
        <w:t>POSSIBLE 2021:</w:t>
      </w:r>
      <w:r>
        <w:t xml:space="preserve"> 2021 IEEE PES Innovative Smart Grid Technologies Europe (ISGT-Europe) — https://doi.org/10.1109/isgteurope52324.2021.9640224</w:t>
      </w:r>
    </w:p>
    <w:p>
      <w:pPr/>
      <w:r>
        <w:rPr>
          <w:b/>
        </w:rPr>
        <w:t>Shared claim-specific concepts:</w:t>
      </w:r>
      <w:r>
        <w:t xml:space="preserve"> smart, grid, energy, perspectives; EU scope visible. This is a provisional connection, not an outcome finding.</w:t>
      </w:r>
    </w:p>
    <w:p>
      <w:pPr>
        <w:pStyle w:val="SourceNote"/>
      </w:pPr>
      <w:r>
        <w:rPr>
          <w:b/>
        </w:rPr>
        <w:t>Available abstract (not full text):</w:t>
      </w:r>
      <w:r>
        <w:t xml:space="preserve"> Power grids are evolving into smart grids in order to create a sustainable energy system.Decentralized, intermittent generation and demand management needs, among other things, make the grid more dynamic and demanding, thus posing a management challenge.Communication and information technologies are used extensively to address this challenge.Wider penetration of open, public communication networks and information technologies induces vulnerabilities into the system.Furthermore, critical infrastructure assets, such as power grids, are primary targets in cyber warfare and cyber criminality.The panelists will share experiences on reliability and security of power grids with perspectives of resilience, cybersecurity, operation and control, data-driven approaches, and mobile communication.</w:t>
      </w:r>
    </w:p>
    <w:p>
      <w:pPr/>
      <w:r>
        <w:rPr>
          <w:b/>
        </w:rPr>
        <w:t>POSSIBLE 2021:</w:t>
      </w:r>
      <w:r>
        <w:t xml:space="preserve"> A Survey on Energy Efficiency in Smart Homes and Smart Grids — https://doi.org/10.3390/en14217273</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Empowered by the emergence of novel information and communication technologies (ICTs) such as sensors and high-performance digital communication systems, Europe has adapted its electricity distribution network into a modern infrastructure known as a smart grid (SG). The benefits of this new infrastructure include precise and real-time capacity for measuring and monitoring the different energy-relevant parameters on the various points of the grid and for the remote operation and optimization of distribution. Furthermore, a new user profile is derived from this novel infrastructure, known as a prosumer (a user that can produce and consume energy to/from the grid), who can benefit from the features derived from applying advanced analytics and semantic technologies in the rich amount of big data generated by the different subsystems. However, this novel, highly interconnected infrastructure also presents some significant drawbacks, like those related to information security (IS). We provide a systematic literature survey of the ICT-empowered environments that comprise SGs and homes, and the application of modern artificial intelligence (AI) related technologies with sensor fusion systems and actuators, ensuring energy efficiency in such systems. Furthermore, we outline the current challenges and outlook for this field. These address new developments on microgrids, and data-driven e</w:t>
      </w:r>
    </w:p>
    <w:p>
      <w:pPr/>
      <w:r>
        <w:rPr>
          <w:b/>
        </w:rPr>
        <w:t>POSSIBLE 2021:</w:t>
      </w:r>
      <w:r>
        <w:t xml:space="preserve"> A complex network approach for analyzing early evolution of smart grid innovations in Europe — https://doi.org/10.1016/j.apenergy.2021.117143</w:t>
      </w:r>
    </w:p>
    <w:p>
      <w:pPr/>
      <w:r>
        <w:rPr>
          <w:b/>
        </w:rPr>
        <w:t>Shared claim-specific concepts:</w:t>
      </w:r>
      <w:r>
        <w:t xml:space="preserve"> smart, grid, energy, policies; EU scope visible. This is a provisional connection, not an outcome finding.</w:t>
      </w:r>
    </w:p>
    <w:p>
      <w:pPr>
        <w:pStyle w:val="SourceNote"/>
      </w:pPr>
      <w:r>
        <w:rPr>
          <w:b/>
        </w:rPr>
        <w:t>Available abstract (not full text):</w:t>
      </w:r>
      <w:r>
        <w:t xml:space="preserve"> This paper investigates how the strategic decisions of innovative firms to collaborate with other firms in research and development projects shape the early evolution of smart grid technologies as an emerging technological system across Europe. The early innovations and developments in an emerging technological system are crucial for understanding further developments of the system. This early stage is highly influenced by the strategic decisions and lobbying power of the firms experimenting with different technological innovations, and the policies trying to maintain competition and steer the direction of innovative activities. Therefore, it is important to analyze how innovative firms behave in terms of collaborating with other firms and doing research on specific energy solutions, which reflect their strategic priorities. By taking a complex network approach, this paper investigates a network of smart grid R&amp;D projects to analyze the convergence of smart grid research activities towards a stream of innovative solutions, and the variety of innovative activities branching out from these solutions. The results verify the convergence of smart grid activities towards one specific stream of innovations, and reveal the existence of four variations centered around different technological applications. The results can guide strategy development in innovative firms to take part in res</w:t>
      </w:r>
    </w:p>
    <w:p>
      <w:pPr/>
      <w:r>
        <w:rPr>
          <w:b/>
        </w:rPr>
        <w:t>POSSIBLE 2021:</w:t>
      </w:r>
      <w:r>
        <w:t xml:space="preserve"> ROAD MAP ON MODERNIZATION AND DEVELOPMENT OF ENERGY SMART GRID: EUROPEAN EXPERIENCE — https://doi.org/10.21272/1817-9215.2021.2-5</w:t>
      </w:r>
    </w:p>
    <w:p>
      <w:pPr/>
      <w:r>
        <w:rPr>
          <w:b/>
        </w:rPr>
        <w:t>Shared claim-specific concepts:</w:t>
      </w:r>
      <w:r>
        <w:t xml:space="preserve"> smart, grid, energy, introduction, electricity, first; EU scope visible. This is a provisional connection, not an outcome finding.</w:t>
      </w:r>
    </w:p>
    <w:p>
      <w:pPr>
        <w:pStyle w:val="SourceNote"/>
      </w:pPr>
      <w:r>
        <w:rPr>
          <w:b/>
        </w:rPr>
        <w:t>Available abstract (not full text):</w:t>
      </w:r>
      <w:r>
        <w:t xml:space="preserve"> Countries around the world are developing roadmaps for the modernization and development of energy networks in order to increase energy and economic efficiency, the introduction of tools for rational energy consumption, improving the reliability, sustainability and quality of electricity. At the same time, special interest is paid to the base of using innovative technologies and renewable energy sources. This article provides a bibliographic review of publications in the field of European experience in developing a roadmap for the modernization and development of energy grids. During the analysis, a selection of papers for 2010-2021 was selected from the Scopus® database, which contains bibliographic information about scientific publications in peer-reviewed journals, books and conferences.With the help of VOSviewer software were identified five clusters of research in the context of forming a roadmap for the modernization and development of energy grids. The first cluster is related to energy efficiency issues. This cluster has the most relationships with other clusters. The cluster contains key concepts such as roadmap, international roadmap technology and Smart Grid technology. The second cluster was formed on the basis of research on different types of energy resources. In the third cluster, most connections are found in terms of «sustainable development». The fourth cluste</w:t>
      </w:r>
    </w:p>
    <w:p>
      <w:pPr>
        <w:pStyle w:val="Heading2"/>
      </w:pPr>
      <w:r>
        <w:t>872.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following;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2018:</w:t>
      </w:r>
      <w:r>
        <w:t xml:space="preserve"> Prevalence and incidence of myalgic encephalomyelitis/chronic fatigue syndrome in Europe—the Euro-epiME study from the European network EUROMENE: a protocol for a systematic review — https://doi.org/10.1136/bmjopen-2017-020817</w:t>
      </w:r>
    </w:p>
    <w:p>
      <w:pPr/>
      <w:r>
        <w:rPr>
          <w:b/>
        </w:rPr>
        <w:t>Shared claim-specific concepts:</w:t>
      </w:r>
      <w:r>
        <w:t xml:space="preserve"> discuss, sections, methodological, applied; EU scope visible. This is a provisional connection, not an outcome finding.</w:t>
      </w:r>
    </w:p>
    <w:p>
      <w:pPr>
        <w:pStyle w:val="SourceNote"/>
      </w:pPr>
      <w:r>
        <w:rPr>
          <w:b/>
        </w:rPr>
        <w:t>Available abstract (not full text):</w:t>
      </w:r>
      <w:r>
        <w:t xml:space="preserve"> INTRODUCTION: Myalgic encephalomyelitis/chronic fatigue syndrome (ME/CFS) is a chronic disease involving central nervous system and immune system disorders, as well as cardiovascular abnormalities. ME/CFS is characterised by severe chronic fatigue lasting for at least 6 months, including clinical symptoms such as tender cervical or axillary lymph nodes, muscle pain, joint pain without swelling or redness, post-exertional malaise for more than 24 hours and unrefreshing sleep. Studies on the epidemiology of ME/CFS in Europe only include single countries and, therefore, the prevalence and incidence of ME/CFS in Europe (as a whole) is unknown. One of the purposes of the European Network on ME/CFS (EUROMENE; European Union-funded COST Action; Reference number: 15111) is to address this gap in knowledge. We will systematically review the literature reporting figures from European countries to provide a robust summary and identify new challenges. METHODS AND ANALYSIS: We will systematically search the literature databases Scopus, PubMed and Web of Science for studies published in the last 10 years (ie, after 2007). No language restriction will be applied. Two independent reviewers will search, screen and select studies as well as extract data about their main characteristics and evaluate their methodological and reporting quality. When disagreements emerge, the reviewers will discuss </w:t>
      </w:r>
    </w:p>
    <w:p>
      <w:pPr/>
      <w:r>
        <w:rPr>
          <w:b/>
        </w:rPr>
        <w:t>POSSIBLE 2018:</w:t>
      </w:r>
      <w:r>
        <w:t xml:space="preserve"> Innovating in less developed regions: What drives patenting in the lagging regions of Europe and North America — https://doi.org/10.1111/grow.12280</w:t>
      </w:r>
    </w:p>
    <w:p>
      <w:pPr/>
      <w:r>
        <w:rPr>
          <w:b/>
        </w:rPr>
        <w:t>Shared claim-specific concepts:</w:t>
      </w:r>
      <w:r>
        <w:t xml:space="preserve"> approach, developed, design; EU scope visible. This is a provisional connection, not an outcome finding.</w:t>
      </w:r>
    </w:p>
    <w:p>
      <w:pPr>
        <w:pStyle w:val="SourceNote"/>
      </w:pPr>
      <w:r>
        <w:rPr>
          <w:b/>
        </w:rPr>
        <w:t>Available abstract (not full text):</w:t>
      </w:r>
      <w:r>
        <w:t xml:space="preserve"> Abstract Not all economically disadvantaged—“less developed” or “lagging”—regions are the same. They are, however, often bundled together for the purposes of innovation policy design and implementation. This paper attempts to determine whether such bundling is warranted by conducting a regional level investigation for Canada, the United States, on the one hand, and Europe, on the other, to (a) identify the structural and socioeconomic factors that drive patenting in the less developed regions of North America and Europe, respectively; and (b) explore how these factors differ between the two contexts. The empirical analysis, estimated using a mixed‐model approach, reveals that, while there are similarities between the drivers of innovation in North America's and Europe's lagging regions, a number of important differences between the two continents prevail. The analysis also indicates that the territorial processes of innovation in North America's and Europe's less developed regions are more similar to those of their more developed counterparts than to one another.</w:t>
      </w:r>
    </w:p>
    <w:p>
      <w:pPr/>
      <w:r>
        <w:rPr>
          <w:b/>
        </w:rPr>
        <w:t>POSSIBLE 2017:</w:t>
      </w:r>
      <w:r>
        <w:t xml:space="preserve"> Recovery, reintegration, abstinence, harm reduction: the role of different goals within the drug treatment in the European context. — https://openalex.org/W2766289510</w:t>
      </w:r>
    </w:p>
    <w:p>
      <w:pPr/>
      <w:r>
        <w:rPr>
          <w:b/>
        </w:rPr>
        <w:t>Shared claim-specific concepts:</w:t>
      </w:r>
      <w:r>
        <w:t xml:space="preserve"> purpose, discuss, planning; EU scope visible. This is a provisional connection, not an outcome finding.</w:t>
      </w:r>
    </w:p>
    <w:p>
      <w:pPr>
        <w:pStyle w:val="SourceNote"/>
      </w:pPr>
      <w:r>
        <w:rPr>
          <w:b/>
        </w:rPr>
        <w:t>Available abstract (not full text):</w:t>
      </w:r>
      <w:r>
        <w:t xml:space="preserve"> The purpose of this paper is to discuss the different goals of ‘drug treatment’ within a European context and the key implications for those planning or delivering health and social responses. The heterogeneity of people who use drugs and the diversity in severity and complexity of drug taking and drug problems in Europe mean that a single goal or paradigm such as ‘harm reduction’, ‘recovery’ or ‘abstinence’ is no longer adequate to meet the diverse needs we face.</w:t>
      </w:r>
    </w:p>
    <w:p>
      <w:pPr>
        <w:pStyle w:val="Heading2"/>
      </w:pPr>
      <w:r>
        <w:t>873.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r>
        <w:rPr>
          <w:b/>
        </w:rPr>
        <w:t>POSSIBLE 2019:</w:t>
      </w:r>
      <w:r>
        <w:t xml:space="preserve"> An Information-Theoretic Explanation for the Adversarial Fragility of AI Classifiers — https://doi.org/10.1109/isit.2019.8849757</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We present a simple hypothesis about a compression property of artificial intelligence (AI) classifiers and present theoretical arguments to show that this hypothesis successfully accounts for the observed fragility of AI classifiers to small adversarial perturbations. We also propose a new method for detecting when small input perturbations cause classifier errors, and show theoretical guarantees for the performance of this detection method. We present experimental results with a voice recognition system to demonstrate this method. The ideas in this paper are motivated by a simple analogy between AI classifiers and the standard Shannon model of a communication system1.</w:t>
      </w:r>
    </w:p>
    <w:p>
      <w:pPr/>
      <w:r>
        <w:rPr>
          <w:b/>
        </w:rPr>
        <w:t>POSSIBLE 2018:</w:t>
      </w:r>
      <w:r>
        <w:t xml:space="preserve"> Theoretical Explanation of Enterprise Diversification — https://doi.org/10.25236/icallh.2018.20</w:t>
      </w:r>
    </w:p>
    <w:p>
      <w:pPr/>
      <w:r>
        <w:rPr>
          <w:b/>
        </w:rPr>
        <w:t>Shared claim-specific concepts:</w:t>
      </w:r>
      <w:r>
        <w:t xml:space="preserve"> shows, theoretical, explanation, practical; EU scope not established. This is a provisional connection, not an outcome finding.</w:t>
      </w:r>
    </w:p>
    <w:p>
      <w:pPr>
        <w:pStyle w:val="SourceNote"/>
      </w:pPr>
      <w:r>
        <w:rPr>
          <w:b/>
        </w:rPr>
        <w:t>Available abstract (not full text):</w:t>
      </w:r>
      <w:r>
        <w:t xml:space="preserve"> In strategic management research, enterprise diversification has become a major study content.And in the enterprise management practice, diversified behavior has become a common practice.It shows that the diversity has an important position in enterprise strategic management.Based on the survey of the domestic and international enterprise diversification of practical experience and literature, from market forces theory, resource theory and agency theory of enterprises, diversified behavior is analyzed in detail.This has a vital significance to enhance China 's enterprises diversification theory accomplishment and practice scientificity.</w:t>
      </w:r>
    </w:p>
    <w:p>
      <w:pPr>
        <w:pStyle w:val="Heading2"/>
      </w:pPr>
      <w:r>
        <w:t>874.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2022:</w:t>
      </w:r>
      <w:r>
        <w:t xml:space="preserve"> PaLM: Scaling Language Modeling with Pathways — https://doi.org/10.48550/arxiv.2204.02311</w:t>
      </w:r>
    </w:p>
    <w:p>
      <w:pPr/>
      <w:r>
        <w:rPr>
          <w:b/>
        </w:rPr>
        <w:t>Shared claim-specific concepts:</w:t>
      </w:r>
      <w:r>
        <w:t xml:space="preserve"> pathways, achieve, increased, significant;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2021:</w:t>
      </w:r>
      <w:r>
        <w:t xml:space="preserve"> Co-productive agility and four collaborative pathways to sustainability transformations — https://doi.org/10.1016/j.gloenvcha.2021.102422</w:t>
      </w:r>
    </w:p>
    <w:p>
      <w:pPr/>
      <w:r>
        <w:rPr>
          <w:b/>
        </w:rPr>
        <w:t>Shared claim-specific concepts:</w:t>
      </w:r>
      <w:r>
        <w:t xml:space="preserve"> four, pathways, production; EU scope not established. This is a provisional connection, not an outcome finding.</w:t>
      </w:r>
    </w:p>
    <w:p>
      <w:pPr>
        <w:pStyle w:val="SourceNote"/>
      </w:pPr>
      <w:r>
        <w:rPr>
          <w:b/>
        </w:rPr>
        <w:t>Available abstract (not full text):</w:t>
      </w:r>
      <w:r>
        <w:t xml:space="preserve"> Co-production, the collaborative weaving of research and practice by diverse societal actors, is argued to play an important role in sustainability transformations. Yet, there is still poor understanding of how to navigate the tensions that emerge in these processes. Through analyzing 32 initiatives worldwide that co-produced knowledge and action to foster sustainable social-ecological relations, we conceptualize ‘co-productive agility’ as an emergent feature vital for turning tensions into transformations. Co-productive agility refers to the willingness and ability of diverse actors to iteratively engage in reflexive dialogues to grow shared ideas and actions that would not have been possible from the outset. It relies on embedding knowledge production within processes of change to constantly recognize, reposition, and navigate tensions and opportunities. Co-productive agility opens up multiple pathways to transformation through: (1) elevating marginalized agendas in ways that maintain their integrity and broaden struggles for justice; (2) questioning dominant agendas by engaging with power in ways that challenge assumptions, (3) navigating conflicting agendas to actively transform interlinked paradigms, practices, and structures; (4) exploring diverse agendas to foster learning and mutual respect for a plurality of perspectives. We explore six process considerations that vary</w:t>
      </w:r>
    </w:p>
    <w:p>
      <w:pPr/>
      <w:r>
        <w:rPr>
          <w:b/>
        </w:rPr>
        <w:t>POSSIBLE 2021:</w:t>
      </w:r>
      <w:r>
        <w:t xml:space="preserve"> It Is Still Possible to Achieve the Paris Climate Agreement: Regional, Sectoral, and Land-Use Pathways — https://doi.org/10.3390/en14082103</w:t>
      </w:r>
    </w:p>
    <w:p>
      <w:pPr/>
      <w:r>
        <w:rPr>
          <w:b/>
        </w:rPr>
        <w:t>Shared claim-specific concepts:</w:t>
      </w:r>
      <w:r>
        <w:t xml:space="preserve"> four, pathways, achieve, energy, climate, increased; EU scope not established. This is a provisional connection, not an outcome finding.</w:t>
      </w:r>
    </w:p>
    <w:p>
      <w:pPr>
        <w:pStyle w:val="SourceNote"/>
      </w:pPr>
      <w:r>
        <w:rPr>
          <w:b/>
        </w:rPr>
        <w:t>Available abstract (not full text):</w:t>
      </w:r>
      <w:r>
        <w:t xml:space="preserve"> It is still possible to comply with the Paris Climate Agreement to maintain a global temperature ‘well below +2.0 °C’ above pre-industrial levels. We present two global non-overshoot pathways (+2.0 °C and +1.5 °C) with regional decarbonization targets for the four primary energy sectors—power, heating, transportation, and industry—in 5-year steps to 2050. We use normative scenarios to illustrate the effects of efficiency measures and renewable energy use, describe the roles of increased electrification of the final energy demand and synthetic fuels, and quantify the resulting electricity load increases for 72 sub-regions. Non-energy scenarios include a phase-out of net emissions from agriculture, forestry, and other land uses, reductions in non-carbon greenhouse gases, and land restoration to scale up atmospheric CO2 removal, estimated at −377 Gt CO2 to 2100. An estimate of the COVID-19 effects on the global energy demand is included and a sensitivity analysis describes the impacts if implementation is delayed by 5, 7, or 10 years, which would significantly reduce the likelihood of achieving the 1.5 °C goal. The analysis applies a model network consisting of energy system, power system, transport, land-use, and climate models.</w:t>
      </w:r>
    </w:p>
    <w:p>
      <w:pPr/>
      <w:r>
        <w:rPr>
          <w:b/>
        </w:rPr>
        <w:t>POSSIBLE 2021:</w:t>
      </w:r>
      <w:r>
        <w:t xml:space="preserve"> Carbon‐Neutral Pathways for the United States — https://doi.org/10.1029/2020av000284</w:t>
      </w:r>
    </w:p>
    <w:p>
      <w:pPr/>
      <w:r>
        <w:rPr>
          <w:b/>
        </w:rPr>
        <w:t>Shared claim-specific concepts:</w:t>
      </w:r>
      <w:r>
        <w:t xml:space="preserve"> four, pathways, target, energy, climate, all; EU scope not established. This is a provisional connection, not an outcome finding.</w:t>
      </w:r>
    </w:p>
    <w:p>
      <w:pPr>
        <w:pStyle w:val="SourceNote"/>
      </w:pPr>
      <w:r>
        <w:rPr>
          <w:b/>
        </w:rPr>
        <w:t>Available abstract (not full text):</w:t>
      </w:r>
      <w:r>
        <w:t xml:space="preserve"> Abstract The Intergovernmental Panel on Climate Change (IPCC) Special Report on Global Warming of 1.5°C points to the need for carbon neutrality by mid‐century. Achieving this in the United States in only 30 years will be challenging, and practical pathways detailing the technologies, infrastructure, costs, and tradeoffs involved are needed. Modeling the entire U.S. energy and industrial system with new analysis tools that capture synergies not represented in sector‐specific or integrated assessment models, we created multiple pathways to net zero and net negative CO 2 emissions by 2050. They met all forecast U.S. energy needs at a net cost of 0.2–1.2% of GDP in 2050, using only commercial or near‐commercial technologies, and requiring no early retirement of existing infrastructure. Pathways with constraints on consumer behavior, land use, biomass use, and technology choices (e.g., no nuclear) met the target but at higher cost. All pathways employed four basic strategies: energy efficiency, decarbonized electricity, electrification, and carbon capture. Least‐cost pathways were based on &gt;80% wind and solar electricity plus thermal generation for reliability. A 100% renewable primary energy system was feasible but had higher cost and land use. We found multiple feasible options for supplying low‐carbon fuels for non‐electrifiable end uses in industry, freight, and aviation, which</w:t>
      </w:r>
    </w:p>
    <w:p>
      <w:pPr/>
      <w:r>
        <w:rPr>
          <w:b/>
        </w:rPr>
        <w:t>POSSIBLE 2021:</w:t>
      </w:r>
      <w:r>
        <w:t xml:space="preserve"> Four Isotope-Labeled Recombination Pathways of Ozone Formation — https://doi.org/10.3390/molecules26051289</w:t>
      </w:r>
    </w:p>
    <w:p>
      <w:pPr/>
      <w:r>
        <w:rPr>
          <w:b/>
        </w:rPr>
        <w:t>Shared claim-specific concepts:</w:t>
      </w:r>
      <w:r>
        <w:t xml:space="preserve"> four, pathways, developed, all, but; EU scope not established. This is a provisional connection, not an outcome finding.</w:t>
      </w:r>
    </w:p>
    <w:p>
      <w:pPr>
        <w:pStyle w:val="SourceNote"/>
      </w:pPr>
      <w:r>
        <w:rPr>
          <w:b/>
        </w:rPr>
        <w:t>Available abstract (not full text):</w:t>
      </w:r>
      <w:r>
        <w:t xml:space="preserve"> A theoretical approach is developed for the description of all possible recombination pathways in the ozone forming reaction, without neglecting any process a priori, and without decoupling the individual pathways one from another. These pathways become physically distinct when a rare isotope of oxygen is introduced, such as 18O, which represents a sensitive probe of the ozone forming reaction. Each isotopologue of O3 contains two types of physically distinct entrance channels and two types of physically distinct product wells, creating four recombination pathways. Calculations are done for singly and doubly substituted isotopologues of ozone, eight rate coefficients total. Two pathways for the formation of asymmetric ozone isotopomer exhibit rather different rate coefficients, indicating large isotope effect driven by ΔZPE-difference. Rate coefficient for the formation of symmetric isotopomer of ozone (third pathway) is found to be in between of those two, while the rate of insertion pathway is smaller by two orders of magnitude. These trends are in good agreement with experiments, for both singly and doubly substituted ozone. The total formation rates for asymmetric isotopomers are found to be somewhat larger than those for symmetric isotopomers, but not as much as in the experiment. Overall, the distribution of lifetimes is found to be very similar for the metastable states </w:t>
      </w:r>
    </w:p>
    <w:p>
      <w:pPr/>
      <w:r>
        <w:rPr>
          <w:b/>
        </w:rPr>
        <w:t>POSSIBLE 2020:</w:t>
      </w:r>
      <w:r>
        <w:t xml:space="preserve"> Four pathways for hydatid pulmonary embolism — https://doi.org/10.1111/jocs.14754</w:t>
      </w:r>
    </w:p>
    <w:p>
      <w:pPr/>
      <w:r>
        <w:rPr>
          <w:b/>
        </w:rPr>
        <w:t>Shared claim-specific concepts:</w:t>
      </w:r>
      <w:r>
        <w:t xml:space="preserve"> four, pathways, department, but; EU scope not established. This is a provisional connection, not an outcome finding.</w:t>
      </w:r>
    </w:p>
    <w:p>
      <w:pPr>
        <w:pStyle w:val="SourceNote"/>
      </w:pPr>
      <w:r>
        <w:rPr>
          <w:b/>
        </w:rPr>
        <w:t>Available abstract (not full text):</w:t>
      </w:r>
      <w:r>
        <w:t xml:space="preserve"> INTRODUCTION: Hydatid pulmonary embolism (HPE) is rare but remains an etiology that needs to be considered and kept in mind, especially in endemic areas, as regards nonthrombotic embolism. METHODS: Between 2000 and 2014, 10 patients were treated in our department for the presence of hydatid material in the pulmonary arterial circulation. Through these 10 cases, we try to assess the radioclinical characteristics and results of the surgical treatment. RESULTS: The study included six men and four women, average age 28 years. Discovery of HPE was made following the exploration of cardiorespiratory symptoms in nine cases and was incidental in a single patient. Computed tomography angiography (CTA) of the chest directly visualized the hydatid material in the pulmonary arteries in nine cases. Surgery consisted of an embolectomy under cardiopulmonary bypass in nine cases. This embolectomy was preceded by the treatment of an embolic hydatid cyst (HC) in seven cases (HCs of the right heart chambers in six cases and a liver HC ruptured in the inferior vena cava in one case), whereas for only one patient, who presented a HC pedunculated in the right ventricle and protruding into the pulmonary artery, the cure of the cardiac location was sufficient. Only one patient died on the third postoperative day. CONCLUSION: Endoluminal hydatid involvement of pulmonary arteries is extremely rare. CTA </w:t>
      </w:r>
    </w:p>
    <w:p>
      <w:pPr>
        <w:pStyle w:val="Heading2"/>
      </w:pPr>
      <w:r>
        <w:t>875.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2022:</w:t>
      </w:r>
      <w:r>
        <w:t xml:space="preserve"> Energy and Climate Changes Along the Last Two Hundred Years: Logistic Modeling — https://doi.org/10.1007/978-3-031-16470-5_10</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Mathematical Model of the Energy Balance for Two Configurations of Trapezoidal Box-type Solar Cooker Tested under Saharan Climate — https://doi.org/10.1109/sienr50924.2021.9631884</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This article presents a mathematical model for two configurations of a box type solar cooker with trapezoidal shape: the cooker will be eqquiped with an additional reflector at first time and will be removed later, the aim is to determine the behavior in both cases depending on the the available solar energy. The energy balance equations have been solved by a Matlab program developed for this purpose. To validate the mathematical model, the values of the theoretical temperatures values were compared with the experimental results obtained from cooker tests carried out under the Saharan climatic conditions of the Ghardaia site. The tests were carried out with the cooker filled with one or two liters of water from 9:00 AM. to 5:00 PM. A good agreement was found between the measured values and that estimated by the proposed model. The model was then used to simulate the performance of the solar cooker throughout the national territory. Several temperature maps were obtained for different days of the year (winter and summer). It has been found that the temperatures obtained when the cooker is fitted with its reflector are much higher than that obtained without a reflector. The large area of Algeria allows the operation of the cooker without or with reflector in different locations and in particular months for each one of the configurations depending on the amount of solar energy rec</w:t>
      </w:r>
    </w:p>
    <w:p>
      <w:pPr/>
      <w:r>
        <w:rPr>
          <w:b/>
        </w:rPr>
        <w:t>POSSIBLE 2021:</w:t>
      </w:r>
      <w:r>
        <w:t xml:space="preserve"> Climate change impacts on renewable energy supply — https://doi.org/10.1038/s41558-020-00949-9</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Understanding the links between climate feedbacks, variability and change using a two-layer energy balance model — https://doi.org/10.1007/s00382-020-05189-3</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Modelling and Validation of two Heat and Mass Transfer Model of Living Walls and Evaluation of Their Impact on the Energy Performance of a Supermarket in a Semiarid Climate — https://doi.org/10.26868/25222708.2019.211051</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There are about 35 heat and mass transfer green roof models up to date. However, there are only four living wall models. Furthermore, there are very few studies on the impact of living walls on the building energy performance of buildings. Moreover, none of the living wall models has been validated under semiarid climate conditions and there is a lack of studies about the cooling potential of living walls in retail buildings such as supermarkets. This paper aims to adapt two well-known green roof models to be able to model the heat and mass transfer through living walls, validate both models under semiarid climate conditions, and couple both adapted and validated models to EnergyPlus. Therefore, the impact of living walls on the energy performance of an ASHRAE prototype supermarket located in Santiago of Chile is evaluated. The results show that living walls can reduce up to 24% the cooling loads of a supermarket, and the wall thermal insulation significantly diminishes the impact of the living wall</w:t>
      </w:r>
    </w:p>
    <w:p>
      <w:pPr/>
      <w:r>
        <w:rPr>
          <w:b/>
        </w:rPr>
        <w:t>POSSIBLE 2020:</w:t>
      </w:r>
      <w:r>
        <w:t xml:space="preserve"> The Importance of Weather and Climate to Energy Systems: A Workshop on Next Generation Challenges in Energy–Climate Modeling — https://doi.org/10.1175/bams-d-20-0256.1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What: Over 80 international participants, representing weather, climate, and energy systems research, joined two 4-h remote sessions to highlight and prioritize ongoing and future challenges in energy–climate modeling. The workshop had two primary goals: to build a deeper engagement across the “energy” and “climate” research communities, and to identify and begin to address the scientific challenges associated with modeling climate risk in energy systems. When: 22–23 June 2020. Where: Online via Zoom, hosted by the University of Reading</w:t>
      </w:r>
    </w:p>
    <w:p>
      <w:pPr>
        <w:pStyle w:val="Heading2"/>
      </w:pPr>
      <w:r>
        <w:t>876.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2023:</w:t>
      </w:r>
      <w:r>
        <w:t xml:space="preserve"> Analysis of Environmental and Energy Policies in Turkey, the European Union and the United States — https://doi.org/10.9734/ijecc/2023/v13i123685</w:t>
      </w:r>
    </w:p>
    <w:p>
      <w:pPr/>
      <w:r>
        <w:rPr>
          <w:b/>
        </w:rPr>
        <w:t>Shared claim-specific concepts:</w:t>
      </w:r>
      <w:r>
        <w:t xml:space="preserve"> united, states, environmental, union, production; EU scope visible. This is a provisional connection, not an outcome finding.</w:t>
      </w:r>
    </w:p>
    <w:p>
      <w:pPr>
        <w:pStyle w:val="SourceNote"/>
      </w:pPr>
      <w:r>
        <w:rPr>
          <w:b/>
        </w:rPr>
        <w:t>Available abstract (not full text):</w:t>
      </w:r>
      <w:r>
        <w:t xml:space="preserve"> Energy consumption plays a pivotal role in the development of societies. Sustainable Energy Resources are vital inputs for daily life, and energy and industrial products are essential for economic growth (Ministry of Energy and Natural Resources, 2022). Consequently, those responsible for managing a country's energy sector must ensure the uninterrupted, reliable, timely, clean, and affordable supply of energy, as well as diversify energy sources to enhance energy security. The concept of "sustainable development" has emerged in response to the need to prevent irreversible environmental damage caused by conventional energy sources and outdated technologies while ensuring access to energy as a fundamental human right under optimal conditions (Pamir, N 2005). Developed societies have transitioned from planning based solely on energy source acquisition and production to a planning approach that carefully considers the energy-economy-ecology balance (3E) while taking into account resource diversity and geopolitical realities (Energy Policies and Global Developments, emo.org.tr). Turkey remains heavily dependent on energy imports, accounting for approximately 74% of its energy needs (Ministry of Energy and Natural Resources, 2023). The multifaceted nature of Turkey's energy strategy and its energy dependence emphasize the importance of international relations in this field. U.S. ener</w:t>
      </w:r>
    </w:p>
    <w:p>
      <w:pPr/>
      <w:r>
        <w:rPr>
          <w:b/>
        </w:rPr>
        <w:t>POSSIBLE 2023:</w:t>
      </w:r>
      <w:r>
        <w:t xml:space="preserve"> Efforts to ban lead ammunition: a comparison between Europe and the United States — https://doi.org/10.1002/wsb.1449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Abstract The human health impacts of lead have been known for millennia but the environmental impacts of lead ammunition have only received attention during the past 100 years. To a large extent the United States provided leadership in identifying and researching these effects and then spearheading campaigns to transition away from lead shotgun ammunition for waterfowl hunting. However, the appetite for further federal transition has largely stalled in the U.S. except for apparently limited action linked to individual states, charismatic species, and specific sites. Europe, on the other hand, though generally rather late to the table with regard to lead shotgun ammunition and waterfowl hunting, is now pushing ahead with several initiatives that are likely to see substantial partial, if not total, restrictions on the use of all lead ammunition (for shotguns and rifles) within 5 to 10 years. We discuss the policy drivers behind these moves, summarize the key attitudes and perceived constraints to transition, and provide (cautious) timetables and limited recommendations for future changes. Our discussion will include comparisons between efforts in the U.S. and those in Europe.</w:t>
      </w:r>
    </w:p>
    <w:p>
      <w:pPr/>
      <w:r>
        <w:rPr>
          <w:b/>
        </w:rPr>
        <w:t>POSSIBLE 2022:</w:t>
      </w:r>
      <w:r>
        <w:t xml:space="preserve"> Criminal Enforcement of Environmental Law in the European Union and the United States — https://doi.org/10.1016/b978-0-12-824315-2.00051-8</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Energy Transition and Environmental Sustainability: Evaluation of Europe, Canada and United States of America — https://doi.org/10.2139/ssrn.4138109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The Impact of COVID‐19 on the Initiation of Clinical Trials in Europe and the United States — https://doi.org/10.1002/cpt.2534</w:t>
      </w:r>
    </w:p>
    <w:p>
      <w:pPr/>
      <w:r>
        <w:rPr>
          <w:b/>
        </w:rPr>
        <w:t>Shared claim-specific concepts:</w:t>
      </w:r>
      <w:r>
        <w:t xml:space="preserve"> united, states, increase, relative, compared, indicate; EU scope visible. This is a provisional connection, not an outcome finding.</w:t>
      </w:r>
    </w:p>
    <w:p>
      <w:pPr>
        <w:pStyle w:val="SourceNote"/>
      </w:pPr>
      <w:r>
        <w:rPr>
          <w:b/>
        </w:rPr>
        <w:t>Available abstract (not full text):</w:t>
      </w:r>
      <w:r>
        <w:t xml:space="preserve"> The coronavirus disease 2019 (COVID-19) pandemic has a major impact not only on public health and daily living, but also on clinical trials worldwide. To investigate the potential impact of the COVID-19 pandemic on the initiation of clinical trials, we have descriptively analyzed the longitudinal change in phase II and III interventional clinical trials initiated in Europe and in the United States. Based on the public clinical trial register EU Clinical Trials Register and clinicaltrials.gov, we conducted (i) a yearly comparison of the number of initiated trials from 2010 to 2020 and (ii) a monthly comparison from January 2020 to February 2021 of the number of initiated trials. The analyses indicate that the COVID-19 pandemic affected both the initiation of clinical trials overall and the initiation of non-COVID-19 trials. An increase in the overall numbers of clinical trials could be observed both in Europe and the United States in 2020 as compared with 2019. However, the number of non-COVID-19 trials initiated is reduced as compared with the previous decade, with a slightly larger relative decrease in the United States as compared to Europe. Additionally, the monthly trend for the initiation of non-COVID-19 trials differs between regions. In the United States, after a sharp decrease in April 2020, trial numbers reached the levels of 2019 from June 2020 onward. In Europe, the </w:t>
      </w:r>
    </w:p>
    <w:p>
      <w:pPr/>
      <w:r>
        <w:rPr>
          <w:b/>
        </w:rPr>
        <w:t>POSSIBLE 2022:</w:t>
      </w:r>
      <w:r>
        <w:t xml:space="preserve"> Are Trends in Convective Parameters over the United States and Europe Consistent between Reanalyses and Observations? — https://doi.org/10.1175/jcli-d-21-0135.1</w:t>
      </w:r>
    </w:p>
    <w:p>
      <w:pPr/>
      <w:r>
        <w:rPr>
          <w:b/>
        </w:rPr>
        <w:t>Shared claim-specific concepts:</w:t>
      </w:r>
      <w:r>
        <w:t xml:space="preserve"> united, states, whereas, relative, compared, indicate; EU scope visible. This is a provisional connection, not an outcome finding.</w:t>
      </w:r>
    </w:p>
    <w:p>
      <w:pPr>
        <w:pStyle w:val="SourceNote"/>
      </w:pPr>
      <w:r>
        <w:rPr>
          <w:b/>
        </w:rPr>
        <w:t>Available abstract (not full text):</w:t>
      </w:r>
      <w:r>
        <w:t xml:space="preserve"> Abstract In this work, long-term trends in convective parameters are compared between ERA5, MERRA-2, and observed rawinsonde profiles over Europe and the United States including surrounding areas. A 39-yr record (1980–2018) with 2.07 million quality-controlled measurements from 84 stations at 0000 and 1200 UTC is used for the comparison, along with collocated reanalysis profiles. Overall, reanalyses provide signals that are similar to observations, but ERA5 features lower biases. Over Europe, agreement in the trend signal between rawinsondes and the reanalyses is better, particularly with respect to instability (lifted index), low-level moisture (mixing ratio), and 0–3-km lapse rates as compared with mixed trends in the United States. However, consistent signals for all three datasets and both domains are found for robust increases in convective inhibition (CIN), downdraft CAPE (DCAPE), and decreases in mean 0–4-km relative humidity. Despite differing trends between continents, the reanalyses capture well changes in 0–6-km wind shear and 1–3-km mean wind with modest increases in the United States and decreases in Europe. However, these changes are mostly insignificant. All datasets indicate consistent warming of almost the entire tropospheric profile, which over Europe is the fastest near ground whereas across the Great Plains it is generally between 2 and 3 km above ground lev</w:t>
      </w:r>
    </w:p>
    <w:p>
      <w:pPr/>
      <w:r>
        <w:rPr>
          <w:b/>
        </w:rPr>
        <w:t>POSSIBLE 2022:</w:t>
      </w:r>
      <w:r>
        <w:t xml:space="preserve"> Consumption and Hours in the United States and Europe — https://doi.org/10.24149/wp2216</w:t>
      </w:r>
    </w:p>
    <w:p>
      <w:pPr/>
      <w:r>
        <w:rPr>
          <w:b/>
        </w:rPr>
        <w:t>Shared claim-specific concepts:</w:t>
      </w:r>
      <w:r>
        <w:t xml:space="preserve"> united, states, substantially, production; EU scope visible. This is a provisional connection, not an outcome finding.</w:t>
      </w:r>
    </w:p>
    <w:p>
      <w:pPr>
        <w:pStyle w:val="SourceNote"/>
      </w:pPr>
      <w:r>
        <w:rPr>
          <w:b/>
        </w:rPr>
        <w:t>Available abstract (not full text):</w:t>
      </w:r>
      <w:r>
        <w:t xml:space="preserve"> We document large differences between the United States and Europe in allocations of expenditures and time for both market and home activities.Using a life-cycle model with home production and endogenous retirement, we find that the cross-country differences in consumption tax, social security system, income tax, and TFP together can account for 68-95 percent of the cross-country variations and more than half of the average differences between Europe and the United States in aggregate hours and expenditures.These factors can also account well for the cross-country differences in allocations by age and generate substantially lower market hours in Europe for the age group of sixty and above as in the data.All the factors, except income tax, are quantitatively important for determining cross-country differences in expenditure allocations.While the differences in social security system and income tax are crucial in explaining the difference in market hours around retirement ages, TFP and consumption tax are more important for the difference in market hours for prime ages.</w:t>
      </w:r>
    </w:p>
    <w:p>
      <w:pPr>
        <w:pStyle w:val="Heading2"/>
      </w:pPr>
      <w:r>
        <w:t>877.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r>
        <w:rPr>
          <w:b/>
        </w:rPr>
        <w:t>POSSIBLE 2023:</w:t>
      </w:r>
      <w:r>
        <w:t xml:space="preserve"> Air-conditioning adoption and electricity demand highlight climate change mitigation–adaptation tradeoffs — https://doi.org/10.1038/s41598-023-31469-z</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We elucidate mid-century climate change impacts on electricity demand accounting for endogenous adoption of residential air-conditioning (AC) in affluent, cooler countries in Europe, and in poorer, hotter states in India. By 2050, in a high-warming scenario (SSP585) AC prevalence grows twofold in Europe and fourfold in India, reaching around 40% in both regions. We document a mitigation-adaptation tradeoff: AC expansion reduces daily heat exposures by 150 million and 3.8 billion person degree-days (PDDs), but increases annual electricity demand by 34 TWh and 168 TWh in Europe and India, respectively (corresponding to 2% and 15% of today's consumption). The increase in adoption and use of AC would result in an additional 130 MMTCO2, of which 120 MMTCO2 in India alone, if the additional electricity generated were produced with today's power mix. The tradeoff varies geographically and across income groups: a one PDD reduction in heat exposure in Europe versus India necessitates five times more electricity (0.53 kWh vs 0.1 kWh) and two times more emissions (0.16 kgCO[Formula: see text] vs 0.09 kgCO[Formula: see text]), on average. The decomposition of demand drivers offers important insights on how such tradeoff can be moderated through policies promoting technology-based and behavioral-based adaptation strategies.</w:t>
      </w:r>
    </w:p>
    <w:p>
      <w:pPr/>
      <w:r>
        <w:rPr>
          <w:b/>
        </w:rPr>
        <w:t>POSSIBLE 2023:</w:t>
      </w:r>
      <w:r>
        <w:t xml:space="preserve"> Might future electricity generation suffice to meet the global demand? — https://doi.org/10.1016/j.esr.2023.101080</w:t>
      </w:r>
    </w:p>
    <w:p>
      <w:pPr/>
      <w:r>
        <w:rPr>
          <w:b/>
        </w:rPr>
        <w:t>Shared claim-specific concepts:</w:t>
      </w:r>
      <w:r>
        <w:t xml:space="preserve"> electricity, generation, expected, sectors, meet, greenhouse; EU scope not established. This is a provisional connection, not an outcome finding.</w:t>
      </w:r>
    </w:p>
    <w:p>
      <w:pPr>
        <w:pStyle w:val="SourceNote"/>
      </w:pPr>
      <w:r>
        <w:rPr>
          <w:b/>
        </w:rPr>
        <w:t>Available abstract (not full text):</w:t>
      </w:r>
      <w:r>
        <w:t xml:space="preserve"> Electricity supply is one of the critical issues in the energy field. Due to the high shares of greenhouse gases emissions, the electricity sector is experiencing a transition towards a progressively wider use of low-carbon technologies. At the same time, electrification of end-use sectors is identified as one of the most suitable mitigation strategies, although requiring larger electricity production. This paper relates the historical development trends for installed capacity of electricity production technologies to the theory of the S-curves, building a method to depict plausible developments in the electricity sector. Projections are performed considering the existence of an upper limit for industrial capacity development, and according to a path envisaging a revolutionary, an evolutionary and a maturity phase for technologies showing considerable growth trends. Oppositely, stagnation is taken into account for those not showing any remarkable progress. The computed curves are used to perform forecasts about electricity generation potentials until 2050, showing how the projected growth trend of electricity generation technologies would result in a production sufficient to meet the expected global demand, even excluding the contribution of fossil fuels in some cases. In perspective, the presented method can be applied to retrieve maximum capacity constraints for energy system</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r>
        <w:rPr>
          <w:b/>
        </w:rPr>
        <w:t>POSSIBLE 2022:</w:t>
      </w:r>
      <w:r>
        <w:t xml:space="preserve"> Prescribing Net Demand for Two-Stage Electricity Generation Scheduling — https://doi.org/10.2139/ssrn.4211573</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Assessment of Demand Side Flexibility in European Electricity Markets: A Country Level Review — https://doi.org/10.3390/en14082324</w:t>
      </w:r>
    </w:p>
    <w:p>
      <w:pPr/>
      <w:r>
        <w:rPr>
          <w:b/>
        </w:rPr>
        <w:t>Shared claim-specific concepts:</w:t>
      </w:r>
      <w:r>
        <w:t xml:space="preserve"> electricity, renewable, generation, significant; EU scope visible. This is a provisional connection, not an outcome finding.</w:t>
      </w:r>
    </w:p>
    <w:p>
      <w:pPr>
        <w:pStyle w:val="SourceNote"/>
      </w:pPr>
      <w:r>
        <w:rPr>
          <w:b/>
        </w:rPr>
        <w:t>Available abstract (not full text):</w:t>
      </w:r>
      <w:r>
        <w:t xml:space="preserve"> Power systems in many countries have recently undergone a significant transition towards renewable and carbon-free generation sources. Those sources pose new challenges to the grid operation due to their intermittency and uncertainty. Consequently, advanced policy strategies and technologies offering new flexibility solutions on the inelastic demand side are required to maintain the reliability of power systems. Given the diversity of situations, legislation and needs across European countries and the varying nature of distribution system operators, this article reviews the deployment of demand side flexibility at national level to identify best practices and main barriers. The analysis concerns European countries of different progress in solutions that leverage flexibility towards offering electricity grid services. The scope is to explore the operation principles of European electricity markets, to assess the participation of emerging flexible resources, and to propose new approaches that facilitate the integration of flexible assets in the distribution grid. The countries reviewed are the United Kingdom, Belgium, Italy and Greece. These countries were selected owing to their diversity in terms of generation mix and market design. Barriers for market access of flexibility resources are also identified in order to form relevant country-specific recommendations.</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electricity, generation;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2021:</w:t>
      </w:r>
      <w:r>
        <w:t xml:space="preserve"> The CO2 reduction potential of shore-side electricity in Europe — https://doi.org/10.1016/j.apenergy.2020.116425</w:t>
      </w:r>
    </w:p>
    <w:p>
      <w:pPr/>
      <w:r>
        <w:rPr>
          <w:b/>
        </w:rPr>
        <w:t>Shared claim-specific concepts:</w:t>
      </w:r>
      <w:r>
        <w:t xml:space="preserve"> electricity, generation, substantial; EU scope visible. This is a provisional connection, not an outcome finding.</w:t>
      </w:r>
    </w:p>
    <w:p>
      <w:pPr>
        <w:pStyle w:val="SourceNote"/>
      </w:pPr>
      <w:r>
        <w:rPr>
          <w:b/>
        </w:rPr>
        <w:t>Available abstract (not full text):</w:t>
      </w:r>
      <w:r>
        <w:t xml:space="preserve"> Shore-side electricity can drastically reduce the emissions from fossil fuel-powered auxiliary engines of ships at berth. Data scarcity on the auxiliary power demand at berth has limited the scope and temporal resolution of previous studies to few ports and ships. We establish a novel method to estimate the auxiliary power demand at berth for 714 major ports in the European Economic Area (EEA) and the United Kingdom (UK). Therefore, emission report data from the Monitoring, Reporting and Verification scheme of the European Union and ship tracking data from the Automatic Identification System are combined. Annual emissions of 3 Mt (/ 5 Mt) CO2 could be avoided if the auxiliary power demand at berth would be supplied from national grids (/ from CO2-neutral electricity). This equals an average reduction of overall shipping emissions by 2.2% (3.7%), and requires only 0.2% (6.4 TWh) of the current electricity generation capacity of the EEA and the UK. Using shore-side electricity from the grid can also contribute to substantial annual local air pollution reductions of 86,431 t NOx, 4,130 t SOx, 1,596 t PM10, 4,333 t CO, 94 t CH4, 4,818 t NMVOC, and 235 t N2O.</w:t>
      </w:r>
    </w:p>
    <w:p>
      <w:pPr>
        <w:pStyle w:val="Heading2"/>
      </w:pPr>
      <w:r>
        <w:t>878.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r>
        <w:rPr>
          <w:b/>
        </w:rPr>
        <w:t>POSSIBLE 2022:</w:t>
      </w:r>
      <w:r>
        <w:t xml:space="preserve"> Impact of PM2.5 and PM10 Emissions on Changes of Their Concentration Levels in Lithuania: A Case Study — https://doi.org/10.3390/atmos13111793</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Due to negative effects on human health and visibility, atmospheric particulate matter (PM) is a prioritized contaminant for urban air pollution management. Over the past few decades, managing emissions have been a top priority. This paper investigated PM national inventory data and mass concentration trends for Lithuania. This analysis considers primary (sum of filterable and condensable) PM2.5 and PM10 emissions from point, mobile on-road and off-road, industry, agriculture, and waste sectors. In this study, by examining both the emissions and the mass concentrations of PM10, the effects of emissions decreasing with a concentration decrease were revealed. The slower decreasing tendency of PM10 and BC (0.03 Gg/year) than that of PM2.5 (0.1 Gg/year) should be noted. Furthermore, the correlation analysis also finds that the increase in PM10 from stationary and mobile combustion sources is closely related to the increase in the contribution to the pollution level.</w:t>
      </w:r>
    </w:p>
    <w:p>
      <w:pPr/>
      <w:r>
        <w:rPr>
          <w:b/>
        </w:rPr>
        <w:t>POSSIBLE 2022:</w:t>
      </w:r>
      <w:r>
        <w:t xml:space="preserve"> Statistical Analysis of PM10 Concentration in the Monterrey Metropolitan Area, Mexico (2010–2018) — https://doi.org/10.3390/atmos13020297</w:t>
      </w:r>
    </w:p>
    <w:p>
      <w:pPr/>
      <w:r>
        <w:rPr>
          <w:b/>
        </w:rPr>
        <w:t>Shared claim-specific concepts:</w:t>
      </w:r>
      <w:r>
        <w:t xml:space="preserve"> furthermore, pm10, concentrations, applying; EU scope not established. This is a provisional connection, not an outcome finding.</w:t>
      </w:r>
    </w:p>
    <w:p>
      <w:pPr>
        <w:pStyle w:val="SourceNote"/>
      </w:pPr>
      <w:r>
        <w:rPr>
          <w:b/>
        </w:rPr>
        <w:t>Available abstract (not full text):</w:t>
      </w:r>
      <w:r>
        <w:t xml:space="preserve"> Air-quality monitoring and analysis are initial parts of a comprehensive strategy to prevent air pollution in cities. In such a context, statistical tools play an important role in determining the time-series trends, locating areas with high pollutant concentrations, and building predictive models. In this work, we analyzed the spatio-temporal behavior of the pollutant PM10 in the Monterrey Metropolitan Area (MMA), Mexico during the period 2010–2018 by applying statistical analysis to the time series of seven environmental stations. First, we used experimental variograms and scientific visualization to determine the general trends and variability in time. Then, fractal exponents (the Hurst rescaled range and Higuchi algorithm) were used to analyze the long-term dependence of the time series and characterize the study area by correlating that dependence with the geographical parameters of each environmental station. The results suggest a linear decrease in PM10 concentration, which showed an annual cyclicity. The autumn-winter period was the most polluted and the spring-summer period was the least. Furthermore, it was found that the highest average concentrations are located in the western and high-altitude zones of the MMA, and that average concentration is related in a quadratic way to the Hurst and Higuchi exponents, which in turn are related to some geographic parameters. Th</w:t>
      </w:r>
    </w:p>
    <w:p>
      <w:pPr/>
      <w:r>
        <w:rPr>
          <w:b/>
        </w:rPr>
        <w:t>POSSIBLE 2021:</w:t>
      </w:r>
      <w:r>
        <w:t xml:space="preserve"> Contribution of anthropogenic and natural sources in PM10 during North African dust events in Southern Europe — https://doi.org/10.1016/j.envpol.2021.118065</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The influence of North African (NAF) dust events on the air quality at the regional level (12 representative monitoring stations) in Southern Europe during a long time series (2007–2014) was studied. PM10 levels and chemical composition were separated by Atlantic (ATL) and NAF air masses. An increase in the average PM10 concentrations was observed on sampling days with NAF dust influence (42 μg m−3) when compared to ATL air masses (29 μg m−3). Major compounds such as crustal components and secondary inorganic compounds (SIC), as well as toxic trace elements derived from industrial emissions, also showed higher concentrations of NAF events. A source contribution analysis using positive matrix factorisation (PMF) 5.0 of the PM10 chemical data, discriminating ATL and NAF air mass origins, allowed the identification of five sources: crustal, sea salt, traffic, regional, and industrial. A higher contribution (74%) of the natural sources to PM10 concentrations was confirmed under NAF episodes compared with ATL. Furthermore, there was an increase in anthropogenic sources during these events (51%), indicating the important influence of the NAF air masses on these sources. The results of this study highlight that environmental managers should take appropriate actions to reduce local emissions during NAF events to ensure good air quality.</w:t>
      </w:r>
    </w:p>
    <w:p>
      <w:pPr/>
      <w:r>
        <w:rPr>
          <w:b/>
        </w:rPr>
        <w:t>POSSIBLE 2021:</w:t>
      </w:r>
      <w:r>
        <w:t xml:space="preserve"> Assessment of Machine Learning Algorithms in Short-term Forecasting of PM10 and PM2.5 Concentrations in Selected Polish Agglomerations — https://doi.org/10.4209/aaqr.200586</w:t>
      </w:r>
    </w:p>
    <w:p>
      <w:pPr/>
      <w:r>
        <w:rPr>
          <w:b/>
        </w:rPr>
        <w:t>Shared claim-specific concepts:</w:t>
      </w:r>
      <w:r>
        <w:t xml:space="preserve"> pm10, concentrations, best; EU scope visible. This is a provisional connection, not an outcome finding.</w:t>
      </w:r>
    </w:p>
    <w:p>
      <w:pPr>
        <w:pStyle w:val="SourceNote"/>
      </w:pPr>
      <w:r>
        <w:rPr>
          <w:b/>
        </w:rPr>
        <w:t>Available abstract (not full text):</w:t>
      </w:r>
      <w:r>
        <w:t xml:space="preserve"> Air pollution continues to have a significant impact on Europeans living in urban areas, and episodes of elevated PMx are responsible for a large number of premature deaths (mostly due to heart disease and stroke) each year. According to the annual EEA reports, Poland is one of the most polluted countries in Europe, experiencing high PMx concentrations during winter that mostly result from large emissions and unfavourable weather conditions in combination with environmental features. Thus, in addition to implementing municipal mitigation strategies, alerting residents to pollution episodes through accurate PMx forecasting is necessary. This research aimed to assess the feasibility of short-term PMx forecasting via machine learning (ML) and the subsequent identification of the primary meteorological covariates. The data comprised 10 years of hourly winter PM10 and PM2.5 concentrations measured at 11 urban air quality monitoring stations, including background, traffic, and industrial sites, in four large Polish agglomerations, viz., Poznań, Kraków, Łódź, and Gdańsk, which cover areas with high population density and diverse environments that extend from the Baltic Sea coast (Tricity) through the lowlands (Poznań and Łódź) to the highlands (Kraków). We tested four ML models: AIC-based stepwise regression, two tree-based algorithms (random forests and XGBoost), and neural networks.</w:t>
      </w:r>
    </w:p>
    <w:p>
      <w:pPr/>
      <w:r>
        <w:rPr>
          <w:b/>
        </w:rPr>
        <w:t>POSSIBLE 2021:</w:t>
      </w:r>
      <w:r>
        <w:t xml:space="preserve"> PM10 and PM2.5 real-time prediction models using an interpolated convolutional neural network — https://doi.org/10.1038/s41598-021-91253-9</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In this paper, we propose a real-time prediction model that can respond to particulate matters (PM) in the air, which are an indication of poor air quality. The model applies interpolation to air quality and weather data and then uses a Convolutional Neural Network (CNN) to predict PM concentrations. The interpolation transforms the irregular spatial data into an equally spaced grid, which the model requires. This combination creates the interpolated CNN (ICNN) model that we use to predict PM10 and PM2.5 concentrations. The PM10 and PM2.5 evaluation results show an effective prediction performance with an R-squared higher than 0.97 and a root mean square error (RMSE) of approximately 16% of the standard deviation. Furthermore, both PM10 and PM2.5 prediction models forecast high concentrations with high reliability, with a probability of detection higher than 0.90 and a critical success index exceeding 0.85. The proposed ICNN prediction model achieves a high prediction performance using spatio-temporal information and presents a new direction in the prediction field.</w:t>
      </w:r>
    </w:p>
    <w:p>
      <w:pPr/>
      <w:r>
        <w:rPr>
          <w:b/>
        </w:rPr>
        <w:t>POSSIBLE 2019:</w:t>
      </w:r>
      <w:r>
        <w:t xml:space="preserve"> Distribution trends of European dragonflies under climate change — https://doi.org/10.1111/ddi.12913</w:t>
      </w:r>
    </w:p>
    <w:p>
      <w:pPr/>
      <w:r>
        <w:rPr>
          <w:b/>
        </w:rPr>
        <w:t>Shared claim-specific concepts:</w:t>
      </w:r>
      <w:r>
        <w:t xml:space="preserve"> furthermore, predicted, different;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2018:</w:t>
      </w:r>
      <w:r>
        <w:t xml:space="preserve"> Bayesian geostatistical modelling of PM10 and PM2.5 surface level concentrations in Europe using high-resolution satellite-derived products — https://doi.org/10.1016/j.envint.2018.08.041</w:t>
      </w:r>
    </w:p>
    <w:p>
      <w:pPr/>
      <w:r>
        <w:rPr>
          <w:b/>
        </w:rPr>
        <w:t>Shared claim-specific concepts:</w:t>
      </w:r>
      <w:r>
        <w:t xml:space="preserve"> pm10, concentrations, available; EU scope visible. This is a provisional connection, not an outcome finding.</w:t>
      </w:r>
    </w:p>
    <w:p>
      <w:pPr>
        <w:pStyle w:val="SourceNote"/>
      </w:pPr>
      <w:r>
        <w:rPr>
          <w:b/>
        </w:rPr>
        <w:t>Available abstract (not full text):</w:t>
      </w:r>
      <w:r>
        <w:t xml:space="preserve"> Air quality monitoring across Europe is mainly based on in situ ground stations, which are too sparse to accurately assess the exposure effects of air pollution for the entire continent. The demand for precise predictive models that estimate gridded geophysical parameters of ambient air at high spatial resolution has rapidly grown. Here, we investigate the potential of satellite-derived products to improve particulate matter ( PM ) estimates. Bayesian geostatistical models addressing confounding between the spatial distribution of pollutants and remotely sensed predictors were developed to estimate yearly averages of both, fine ( PM 2.5 ) and coarse ( PM 10 ) surface PM concentrations, at 1 km 2 spatial resolution over 46 European countries. Model outcomes were compared to geostatistical, geographically weighted and land-use regression formulations. Rigorous model selection identified the Earth observation data which contribute most to pollutants' estimation. Geostatistical models outperformed the predictive ability of the frequently employed land-use regression. The resulting estimates of PM 10 and PM 2.5 , which represent the main air quality indicators for the urban Sustainable Development Goal, indicate that in 2016, 66.2% of the European population was breathing air above the WHO air quality guidelines thresholds. Our estimates are readily available to policy makers and sc</w:t>
      </w:r>
    </w:p>
    <w:p>
      <w:pPr>
        <w:pStyle w:val="Heading2"/>
      </w:pPr>
      <w:r>
        <w:t>879.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2023:</w:t>
      </w:r>
      <w:r>
        <w:t xml:space="preserve"> Observations from structural testing of full-scale tidal turbine blades — https://doi.org/10.36688/ewtec-2023-277</w:t>
      </w:r>
    </w:p>
    <w:p>
      <w:pPr/>
      <w:r>
        <w:rPr>
          <w:b/>
        </w:rPr>
        <w:t>Shared claim-specific concepts:</w:t>
      </w:r>
      <w:r>
        <w:t xml:space="preserve"> aim, combined, tidal, capacity, installed, energy; EU scope visible. This is a provisional connection, not an outcome finding.</w:t>
      </w:r>
    </w:p>
    <w:p>
      <w:pPr>
        <w:pStyle w:val="SourceNote"/>
      </w:pPr>
      <w:r>
        <w:rPr>
          <w:b/>
        </w:rPr>
        <w:t>Available abstract (not full text):</w:t>
      </w:r>
      <w:r>
        <w:t xml:space="preserve"> As the world shifts its reliance from fossil fuels to renewable energy, a reliable, predictable and dependable source of energy is vital; tidal energy provides such a solution. In 2021, the cumulative installed capacity of tidal stream energy in Europe, since 2010, reached 30.2 MW, which is roughly three times as much as the rest of the world. The total electricity produced in Europe from tidal energy increased by 8 GWh to a total of 68 GWh to date. The tidal turbine blades convert the energy in the tidal current to useful mechanical energy that can be converted to electricity. Therefore, the reliability of the blades is paramount to the success for the turbine. Structural testing of composite tidal turbine blades is performed to ensure the design and manufacturing processes [4] produce a reliable component that performs for its design life span. In recent years, a number of structural testing programmes have been performed on full-scale tidal turbine blades, as the sector strives for commercial viability. In this paper, observations during the structural (static, dynamic and fatigue) testing of full-scale tidal turbine blades are presented and discussed. These observations have been made from 5 testing campaigns on full-scale tidal turbine blades at the Large Structures Testing Laboratory in the SFI MaREI centre in the University of Galway. The length of these blades range fro</w:t>
      </w:r>
    </w:p>
    <w:p>
      <w:pPr/>
      <w:r>
        <w:rPr>
          <w:b/>
        </w:rPr>
        <w:t>POSSIBLE 2023:</w:t>
      </w:r>
      <w:r>
        <w:t xml:space="preserve"> Review and assessment of the German tidal energy resource — https://doi.org/10.1007/s40722-023-00309-7</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Abstract To mitigate climate change, a transformation of the energy sector towards a low-emission power generation is necessary. Tidal energy technology has matured in recent years and has the potential to balance Europe’s future power grid. While reviews of the tidal energy resource exist for a number of European countries, along the German North Sea coast is overlooked so far. This paper closes this gap and provides a comprehensive review and assessment of the German tidal energy resource. Germany’s North Sea coast is characterised by comparatively low current velocities and shallow waters. Using available data from the EasyGSH-DB North Sea Model, Germany’s practical tidal energy resource is estimated in a range between 66.6 and 565.8 GWh y $$^{-1}$$ - 1 to, excluding the most energetic sites in the estuaries of Elbe, Weser, and Ems. A stakeholder questionnaire aimed at tidal energy technology developers has shown that it is considered important to further develop the technology towards the use in shallow water and under low current velocities.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energy, role,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Tidal stream to mainstream: mechanical testing of composite tidal stream blades to de-risk operational design life — https://doi.org/10.1007/s40722-022-00223-4</w:t>
      </w:r>
    </w:p>
    <w:p>
      <w:pPr/>
      <w:r>
        <w:rPr>
          <w:b/>
        </w:rPr>
        <w:t>Shared claim-specific concepts:</w:t>
      </w:r>
      <w:r>
        <w:t xml:space="preserve"> tidal, capacity, energy, potential, role; EU scope visible. This is a provisional connection, not an outcome finding.</w:t>
      </w:r>
    </w:p>
    <w:p>
      <w:pPr>
        <w:pStyle w:val="SourceNote"/>
      </w:pPr>
      <w:r>
        <w:rPr>
          <w:b/>
        </w:rPr>
        <w:t>Available abstract (not full text):</w:t>
      </w:r>
      <w:r>
        <w:t xml:space="preserve"> Tidal energy has seen a surge of interest in recent years with several companies developing technology to harness the power of the world's oceans where the operational capacity in Europe was over 11 MW in 2020. One such developer is the partnership of SCHOTTEL Hydro (Germany) and Sustainable Marine (UK) who have developed a scalable multi-turbine device equipped with 70 kW turbines and capable of operating in arrays at sites around the world. The technology to harness tidal energy is still at a relatively early stage of development; hence, de-risking of component parts plays a vital role on the road to commercialisation. Despite this, the number of tidal energy blades undergoing test programmes remains small. Two different rotor diameters have been developed for the aforementioned device such that it can be optimised for sites of varying potential. In this paper, a blade from each of the 4.0 m and 6.3 m diameter devices was tested for their responses in natural frequency, static loading and fatigue loading under test standards IEC 62600-3:2020 and DNVGL-ST-0164. Testing saw the survival of a blade in fatigue at a lifetime-equivalent load and the generation of natural frequency, strain and displacement results for both blades. Data generated from the testing as a whole will contribute to the modelling and validation of future tidal blades.</w:t>
      </w:r>
    </w:p>
    <w:p>
      <w:pPr/>
      <w:r>
        <w:rPr>
          <w:b/>
        </w:rPr>
        <w:t>POSSIBLE 2022:</w:t>
      </w:r>
      <w:r>
        <w:t xml:space="preserve"> Tidal energy-path towards sustainable energy: A technical review — https://doi.org/10.1016/j.cles.2022.100041</w:t>
      </w:r>
    </w:p>
    <w:p>
      <w:pPr/>
      <w:r>
        <w:rPr>
          <w:b/>
        </w:rPr>
        <w:t>Shared claim-specific concepts:</w:t>
      </w:r>
      <w:r>
        <w:t xml:space="preserve"> wave, tidal, capacity, installed, energy, system; EU scope not established. This is a provisional connection, not an outcome finding.</w:t>
      </w:r>
    </w:p>
    <w:p>
      <w:pPr>
        <w:pStyle w:val="SourceNote"/>
      </w:pPr>
      <w:r>
        <w:rPr>
          <w:b/>
        </w:rPr>
        <w:t>Available abstract (not full text):</w:t>
      </w:r>
      <w:r>
        <w:t xml:space="preserve"> The continuous demand for electricity, greenhouse gas emission, and diminution of fossil fuels have led to increased electricity production through renewable energy sources. The challenges of solar and wind energy systems have mostly shown unpredictable nature, so some countries are going towards electricity generation through the tidal energy system. Another advantage of the tidal energy system is that it can be used without requiring lavish grid updates. It demonstrates that increasing the generation duration at the fastest flow velocities while limiting the tidal device's capacity increases the installed system's capacity factor. The economic viability and market competitiveness of tidal energy are also attractive for electricity generation. This paper offers a review of several aspects of the tidal energy system. The assessment is done based on the resource allocation, modeling of the tidal energy system, control system of the tidal energy system, reliability assessment of tidal energy system, and application of optimization techniques in the area of the tidal energy system. Now a day's, reliability assessment is most important to identify the tidal energy system's maintainability, availability and fault rate. This paper also shows future assessment aspects of the tidal energy system and identifies stochastic turbulence, wave speed, sea depth, wave height, and peak wave per</w:t>
      </w:r>
    </w:p>
    <w:p>
      <w:pPr/>
      <w:r>
        <w:rPr>
          <w:b/>
        </w:rPr>
        <w:t>POSSIBLE 2021:</w:t>
      </w:r>
      <w:r>
        <w:t xml:space="preserve"> Review of Works Combining GNSS and InSAR in Europe — https://doi.org/10.3390/rs13091684</w:t>
      </w:r>
    </w:p>
    <w:p>
      <w:pPr/>
      <w:r>
        <w:rPr>
          <w:b/>
        </w:rPr>
        <w:t>Shared claim-specific concepts:</w:t>
      </w:r>
      <w:r>
        <w:t xml:space="preserve"> combined, system, remote; EU scope visible. This is a provisional connection, not an outcome finding.</w:t>
      </w:r>
    </w:p>
    <w:p>
      <w:pPr>
        <w:pStyle w:val="SourceNote"/>
      </w:pPr>
      <w:r>
        <w:rPr>
          <w:b/>
        </w:rPr>
        <w:t>Available abstract (not full text):</w:t>
      </w:r>
      <w:r>
        <w:t xml:space="preserve"> The Global Navigation Satellite System (GNSS) and Synthetic Aperture Radar Interferometry (InSAR) can be combined to achieve different goals, owing to their main principles. Both enable the collection of information about ground deformation due to the differences of two consequent acquisitions. Their variable applications, even if strictly related to ground deformation and water vapor determination, have encouraged the scientific community to combine GNSS and InSAR data and their derivable products. In this work, more than 190 scientific contributions were collected spanning the whole European continent. The spatial and temporal distribution of such studies, as well as the distinction in different fields of application, were analyzed. Research in Italy, as the most represented nation, with 47 scientific contributions, has been dedicated to the spatial and temporal distribution of its studied phenomena. The state-of-the-art of the various applications of these two combined techniques can improve the knowledge of the scientific community and help in the further development of new approaches or additional applications in different fields. The demonstrated usefulness and versability of the combination of GNSS and InSAR remote sensing techniques for different purposes, as well as the availability of free data, EUREF and GMS (Ground Motion Service), and the possibility of overcoming </w:t>
      </w:r>
    </w:p>
    <w:p>
      <w:pPr/>
      <w:r>
        <w:rPr>
          <w:b/>
        </w:rPr>
        <w:t>POSSIBLE 2021:</w:t>
      </w:r>
      <w:r>
        <w:t xml:space="preserve"> A review of component and system reliability in tidal turbine deployments — https://doi.org/10.1016/j.rser.2021.111495</w:t>
      </w:r>
    </w:p>
    <w:p>
      <w:pPr/>
      <w:r>
        <w:rPr>
          <w:b/>
        </w:rPr>
        <w:t>Shared claim-specific concepts:</w:t>
      </w:r>
      <w:r>
        <w:t xml:space="preserve"> tidal, energy, potential, system; EU scope not established. This is a provisional connection, not an outcome finding.</w:t>
      </w:r>
    </w:p>
    <w:p>
      <w:pPr>
        <w:pStyle w:val="SourceNote"/>
      </w:pPr>
      <w:r>
        <w:rPr>
          <w:b/>
        </w:rPr>
        <w:t>Available abstract (not full text):</w:t>
      </w:r>
      <w:r>
        <w:t xml:space="preserve"> Tidal stream energy has the potential to contribute to global renewable energy generation, but this remains largely untapped. Technical developments have helped create a nascent industry with several pre-commercial installations. However, planned projects experience a cautious investment climate due to perceived risk of failure, and maintenance and repair cost. This paper reviews 58 tidal stream energy deployments between 2003 and August 2020. The analysis reviews commonalities, success and engineering issues, to inform current and future projects. The work classifies each deployment by type, rated power, number of devices, grid connection and foundation. In each case, project status and (if appropriate) failure mode is identified. Failure modes are compared to deployment classification to identify potential relationships. Most deployments were of horizontal axis turbines. The majority (54%) of deployments performed well. 18% failed, 14% were withdrawn from service, and 14% generated less power than planned. The most common failure cause was blade failure, followed by generator and monitoring failures. Ducted devices and devices in high velocity locations were more likely to fail, suggesting that flow velocity is a key factor. Most blade failures were attributed to underestimation of loads during design. Floating deployments were less likely to fail than fixed deployments, but </w:t>
      </w:r>
    </w:p>
    <w:p>
      <w:pPr/>
      <w:r>
        <w:rPr>
          <w:b/>
        </w:rPr>
        <w:t>POSSIBLE 2021:</w:t>
      </w:r>
      <w:r>
        <w:t xml:space="preserve"> Dispatchability, Energy Security, and Reduced Capital Cost in Tidal-Wind and Tidal-Solar Energy Farms — https://doi.org/10.3390/en14248504</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The global tidal energy resource for electricity generation is small, and converting tidal kinetic energy to electricity is expensive compared to solar-photovoltaic or land-based wind turbine generators. However, as the renewable energy content in electricity supplies grows, the need to stabilise these supplies increases. This paper describes tidal energy’s potential to reduce intermittency and variability in electricity supplied from solar and wind power farms while lowering the capital expenditure needed to improve dispatchability. The paper provides a model and hypothetical case studies to demonstrate how sharing energy storage between tidal stream power generators and wind or solar power generators can mitigate the level, frequency, and duration of power loss from wind or solar PV farms. The improvements in dispatchability use tidal energy’s innate regularity and take account of tidal asymmetry and extended duration low-velocity neap tides. The case studies are based on a national assessment of Australian tidal energy resources carried out from 2018 to 2021.</w:t>
      </w:r>
    </w:p>
    <w:p>
      <w:pPr>
        <w:pStyle w:val="Heading2"/>
      </w:pPr>
      <w:r>
        <w:t>880.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pPr/>
      <w:r>
        <w:rPr>
          <w:b/>
        </w:rPr>
        <w:t>POSSIBLE 2026:</w:t>
      </w:r>
      <w:r>
        <w:t xml:space="preserve"> Sustainability agreements in port terminals and competition policy: A European opening? — https://doi.org/10.1016/j.marpol.2026.107310</w:t>
      </w:r>
    </w:p>
    <w:p>
      <w:pPr/>
      <w:r>
        <w:rPr>
          <w:b/>
        </w:rPr>
        <w:t>Shared claim-specific concepts:</w:t>
      </w:r>
      <w:r>
        <w:t xml:space="preserve"> questions, posed, sustainability; EU scope visible. This is a provisional connection, not an outcome finding.</w:t>
      </w:r>
    </w:p>
    <w:p>
      <w:pPr>
        <w:pStyle w:val="SourceNote"/>
      </w:pPr>
      <w:r>
        <w:rPr>
          <w:b/>
        </w:rPr>
        <w:t>Available abstract (not full text):</w:t>
      </w:r>
      <w:r>
        <w:t xml:space="preserve"> This paper analyses the European Commission’s first informal opinion on a sustainability agreement between competing port terminal operators, representing a landmark case aimed at reconciling decarbonisation objectives with European competition law. Our study focuses on a specific project involving APM Terminals and its competitors in jointly purchasing and standardising electrical container handling equipment. This cooperation is presented as a necessary response to rising costs and the oligopolistic nature of the equipment supplier market. We contribute to the literature by providing an in-depth analysis of the European Regulator’s first public application of its 2023 Guidelines on Sustainability Agreements, highlighting the legal challenges posed by this horizontal cooperation under Article 101 of the Treaty on the Functioning of the European Union. Our analysis demonstrates that the Commission did not grant the benefit of an informal ‘soft safe harbour’ to the agreement but ultimately issued a favourable opinion following an individual case assessment. This intervention signals a complex yet significant shift in European competition policy, explicitly accommodating collective decarbonisation efforts. However, this decision leaves important questions unanswered, such as the evaluation of societal benefits arising from sustainability agreements, and suggests the possible infl</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Design Policy Mapping in Europe — https://openalex.org/W7215223829</w:t>
      </w:r>
    </w:p>
    <w:p>
      <w:pPr/>
      <w:r>
        <w:rPr>
          <w:b/>
        </w:rPr>
        <w:t>Shared claim-specific concepts:</w:t>
      </w:r>
      <w:r>
        <w:t xml:space="preserve"> sustainability, two;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2024:</w:t>
      </w:r>
      <w:r>
        <w:t xml:space="preserve"> The European Commission as a Policy Entrepreneur in Addressing Overtourism — https://doi.org/10.12681/hapscpbs.40783</w:t>
      </w:r>
    </w:p>
    <w:p>
      <w:pPr/>
      <w:r>
        <w:rPr>
          <w:b/>
        </w:rPr>
        <w:t>Shared claim-specific concepts:</w:t>
      </w:r>
      <w:r>
        <w:t xml:space="preserve"> sustainability, role; EU scope visible. This is a provisional connection, not an outcome finding.</w:t>
      </w:r>
    </w:p>
    <w:p>
      <w:pPr>
        <w:pStyle w:val="SourceNote"/>
      </w:pPr>
      <w:r>
        <w:rPr>
          <w:b/>
        </w:rPr>
        <w:t>Available abstract (not full text):</w:t>
      </w:r>
      <w:r>
        <w:t xml:space="preserve"> Overtourism poses a significant challenge for the European Union, calling into question the traditional model of tourism development. Despite its limitations, the European Commission seeks to address this issue by acting as a policy entrepreneur. This article, through the process of incorporating overtourism into the EU agenda and using Kingdon's multiple streams framework, seeks to better understand the Commission's role as a policy entrepreneur and how it manages to extend its ambitions beyond its established competences, shaping reform-oriented conditions. Despite the challenges, the Commission leverages windows of opportunity to promote sustainable tourism as a response to overtourism. Through new strategies, it aims to balance economic growth with environmental sustainability by utilizing the green and digital transitions. Acting as a successful policy entrepreneur, the Commission not only addresses overtourism but also lays the groundwork for a more collaborative and cohesive tourism policy at the European Union level.</w:t>
      </w:r>
    </w:p>
    <w:p>
      <w:pPr/>
      <w:r>
        <w:rPr>
          <w:b/>
        </w:rPr>
        <w:t>POSSIBLE 2023:</w:t>
      </w:r>
      <w:r>
        <w:t xml:space="preserve"> Unraveling the European Agricultural Policy Sustainable Development Trajectory — https://doi.org/10.3390/land12091749</w:t>
      </w:r>
    </w:p>
    <w:p>
      <w:pPr/>
      <w:r>
        <w:rPr>
          <w:b/>
        </w:rPr>
        <w:t>Shared claim-specific concepts:</w:t>
      </w:r>
      <w:r>
        <w:t xml:space="preserve"> context, sustainability, role, two;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r>
        <w:rPr>
          <w:b/>
        </w:rPr>
        <w:t>POSSIBLE 2023:</w:t>
      </w:r>
      <w:r>
        <w:t xml:space="preserve"> Sustainability and Competition Policy in Europe: Recent Developments — https://doi.org/10.1093/jeclap/lpad032</w:t>
      </w:r>
    </w:p>
    <w:p>
      <w:pPr/>
      <w:r>
        <w:rPr>
          <w:b/>
        </w:rPr>
        <w:t>Shared claim-specific concepts:</w:t>
      </w:r>
      <w:r>
        <w:t xml:space="preserve"> questions, context, sustainability, lead;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Sustainable energy policy with an environmental dimension – towards decarbonization — https://doi.org/10.15290/oes.2023.01.111.10</w:t>
      </w:r>
    </w:p>
    <w:p>
      <w:pPr/>
      <w:r>
        <w:rPr>
          <w:b/>
        </w:rPr>
        <w:t>Shared claim-specific concepts:</w:t>
      </w:r>
      <w:r>
        <w:t xml:space="preserve"> posed, context, role, trends, purpose, alternative; EU scope visible. This is a provisional connection, not an outcome finding.</w:t>
      </w:r>
    </w:p>
    <w:p>
      <w:pPr>
        <w:pStyle w:val="SourceNote"/>
      </w:pPr>
      <w:r>
        <w:rPr>
          <w:b/>
        </w:rPr>
        <w:t>Available abstract (not full text):</w:t>
      </w:r>
      <w:r>
        <w:t xml:space="preserve"> Purpose – The article poses a research question: Is decarbonization an alternative or a necessity? In view of the current problems with coal supplies on the one hand, and the need to take care of the environment on the other, the question posed takes on a deeper meaning. Particularly when sustainable management of natural resources and broad energy policies appear in the background. Therefore, the research hypothesis is: “decarbonization, as one of the recently imposed trends, is indicated from the point of view of sustainable management of natural resources as part of the energy policy and and as a desirable solution in order to to take care of the environment and current problems with coal supplies”. Research method – The article uses several research methods: literature studies, secondary data analysis, analysis of figures in the economic aspect or elements of comparatism. Results – The analysis shows that decarbonization is desirable (it is supported by economic and environmental considerations). Moreover, it is a necessity and follows from the adopted national energy strategy, which is influenced by the EU’s climate and energy policy, based on the pursuit of climate neutrality of the EU by 2050. Originality / value / implications / recommendations – The presented point of view, supported by a preliminary analysis of available statistical data, can be considered as the auth</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2020:</w:t>
      </w:r>
      <w:r>
        <w:t xml:space="preserve"> The Latest Stage of the German Question: Pax Germanica in the New Europe — https://doi.org/10.4324/9781003100737-7</w:t>
      </w:r>
    </w:p>
    <w:p>
      <w:pPr/>
      <w:r>
        <w:rPr>
          <w:b/>
        </w:rPr>
        <w:t>Shared claim-specific concepts:</w:t>
      </w:r>
      <w:r>
        <w:t xml:space="preserve"> posed, context, concerning, well; EU scope visible. This is a provisional connection, not an outcome finding.</w:t>
      </w:r>
    </w:p>
    <w:p>
      <w:pPr>
        <w:pStyle w:val="SourceNote"/>
      </w:pPr>
      <w:r>
        <w:rPr>
          <w:b/>
        </w:rPr>
        <w:t>Available abstract (not full text):</w:t>
      </w:r>
      <w:r>
        <w:t xml:space="preserve"> This chapter argues that the problem posed concerning the ‘German question’ in its latest form is novel, not only in the context in which it has developed but in the form that it takes. Germany’s unification engendered the emergence of a new stage of the ‘German question’ that has dominated modern European political, economic and military relations for over a century. The traditional formulation of this problematique has always started from the working assumption that Germany’s elites have sought to expand their economic and territorial base beyond their universally-defined geographic borders. Arguments stressing benign effect of German unification for European security and economic development reflect one of three critical elements. Although they might combine aspects of more than one form, this intellectual approach is preponderantly functional, institutional or sociological. The debate between optimists and pessimists therefore really focuses on degree of German centrality in new European order, as well as implications for Germany’s position in Europe and for global stability.</w:t>
      </w:r>
    </w:p>
    <w:p>
      <w:pPr/>
      <w:r>
        <w:rPr>
          <w:b/>
        </w:rPr>
        <w:t>POSSIBLE 2020:</w:t>
      </w:r>
      <w:r>
        <w:t xml:space="preserve"> Forty questions of importance to the policy and practice of native oyster reef restoration in Europe — https://doi.org/10.1002/aqc.3462</w:t>
      </w:r>
    </w:p>
    <w:p>
      <w:pPr/>
      <w:r>
        <w:rPr>
          <w:b/>
        </w:rPr>
        <w:t>Shared claim-specific concepts:</w:t>
      </w:r>
      <w:r>
        <w:t xml:space="preserve"> questions, well, two; EU scope visible. This is a provisional connection, not an outcome finding.</w:t>
      </w:r>
    </w:p>
    <w:p>
      <w:pPr>
        <w:pStyle w:val="SourceNote"/>
      </w:pPr>
      <w:r>
        <w:rPr>
          <w:b/>
        </w:rPr>
        <w:t>Available abstract (not full text):</w:t>
      </w:r>
      <w:r>
        <w:t xml:space="preserve"> Abstract Oyster reefs are among the most threatened marine habitats globally. In Europe, oyster reefs have been extirpated from most locations within their historical range. Active restoration of the native oyster (Ostrea edulis) in Europe has grown substantially in recent years. In sharing experiences between oyster restoration projects in Europe at the Native Oyster Restoration Alliance conference, NORA2, in Edinburgh in May 2019, it became apparent that a number of similar barriers are experienced. This study identified the top 40 questions, which, if answered, would have the greatest influence on the policy and practice of oyster restoration in Europe. Initially 71 people were consulted across 28 institutions and 11 European countries to generate 194 questions. An established process of one round of pre‐workshop voting followed by a one‐day online workshop and two post‐workshop rounds of voting resulted in the final 40 questions. Questions were broadly grouped into the following 10 themes: baselines, site selection, restoration methods, quantifying benefits, disease management, biosecurity, genetic diversity and population differentiation, policy and management, novel technologies, and current and future threats. We anticipate that this list will provide a starting point for developing collaborative projects across the NORA network, as well as assisting policy makers and fu</w:t>
      </w:r>
    </w:p>
    <w:p>
      <w:pPr>
        <w:pStyle w:val="Heading2"/>
      </w:pPr>
      <w:r>
        <w:t>881.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r>
        <w:rPr>
          <w:b/>
        </w:rPr>
        <w:t>POSSIBLE 2021:</w:t>
      </w:r>
      <w:r>
        <w:t xml:space="preserve"> Innovating feeding strategies in dairy sheep farming can reduce environmental impact of ewe milk — https://doi.org/10.1080/1828051x.2021.2003726</w:t>
      </w:r>
    </w:p>
    <w:p>
      <w:pPr/>
      <w:r>
        <w:rPr>
          <w:b/>
        </w:rPr>
        <w:t>Shared claim-specific concepts:</w:t>
      </w:r>
      <w:r>
        <w:t xml:space="preserve"> average, milk, compared; EU scope visible. This is a provisional connection, not an outcome finding.</w:t>
      </w:r>
    </w:p>
    <w:p>
      <w:pPr>
        <w:pStyle w:val="SourceNote"/>
      </w:pPr>
      <w:r>
        <w:rPr>
          <w:b/>
        </w:rPr>
        <w:t>Available abstract (not full text):</w:t>
      </w:r>
      <w:r>
        <w:t xml:space="preserve"> Dairy sheep systems are relevant for the economy of many rural areas of the Mediterranean Basin and the optimisation of their productive factors is necessary to improve their competitiveness and to reduce their environmental impact. The objective of this study was to assess, through a farm-scale life cycle assessment (LCA) approach, the potential of reducing environmental impacts on ewe milk of an innovative farming system (IF), based on the adoption of a precision feeding approach to improve milk production and quality, compared with a conventional farming system (CF) in dairy sheep farms in Tuscany region, Italy. The LCA analysis was carried out through a cradle-to-farm-gate LCA, comparing three conventional farms with three innovative farms, using 1 kg of fat protein corrected milk (FPCM) as a functional unit. The Small Ruminants Module of Nutritional Dynamic System (NDS) software was used to estimate methane emissions due to enteric fermentation. The introduction of precision feeding strategy reduced the environmental impacts of ewe milk as a consequence of the increased milk production efficiency (+50%). Indeed, the environmental impact of ewe milk was reduced in IF by 42% as the average of the impact categories being significantly different between the two farming systems.HighlightsPrecision feeding is recognised as a strategy to mitigate the environmental impacts of rumi</w:t>
      </w:r>
    </w:p>
    <w:p>
      <w:pPr/>
      <w:r>
        <w:rPr>
          <w:b/>
        </w:rPr>
        <w:t>POSSIBLE 2021:</w:t>
      </w:r>
      <w:r>
        <w:t xml:space="preserve"> Whole Genome DNA Methylation Variations in Mammary Gland Tissues from Holstein Cattle Producing Milk with Various Fat and Protein Contents — https://doi.org/10.3390/genes12111727</w:t>
      </w:r>
    </w:p>
    <w:p>
      <w:pPr/>
      <w:r>
        <w:rPr>
          <w:b/>
        </w:rPr>
        <w:t>Shared claim-specific concepts:</w:t>
      </w:r>
      <w:r>
        <w:t xml:space="preserve"> milk, yield, respectively; EU scope not established. This is a provisional connection, not an outcome finding.</w:t>
      </w:r>
    </w:p>
    <w:p>
      <w:pPr>
        <w:pStyle w:val="SourceNote"/>
      </w:pPr>
      <w:r>
        <w:rPr>
          <w:b/>
        </w:rPr>
        <w:t>Available abstract (not full text):</w:t>
      </w:r>
      <w:r>
        <w:t xml:space="preserve"> Milk fat and protein contents are among key elements of milk quality, and they are attracting more attention in response to consumers′ demand for high-quality dairy products. To investigate the potential regulatory roles of DNA methylation underlying milk component yield, whole genome bisulfite sequencing was employed to profile the global DNA methylation patterns of mammary gland tissues from 17 Canada Holstein cows with various milk fat and protein contents. A total of 706, 2420 and 1645 differentially methylated CpG sites (DMCs) were found between high vs. low milk fat (HMF vs. LMF), high vs. low milk protein (HMP vs. LMP), and high vs. low milk fat and protein (HMFP vs. LMFP) groups, respectively (q value &lt; 0.1). Twenty-seven, 56 and 67 genes harboring DMCs in gene regions (denoted DMC genes) were identified for HMF vs. LMF, HMP vs. LMP and HMFP vs. LMFP, respectively. DMC genes from HMP vs. LMP and HMFP vs. LMFP comparisons were significantly overrepresented in GO terms related to aerobic electron transport chain and/or mitochondrial ATP (adenosine triphosphate) synthesis coupled electron transport. A total of 83 (HMF vs. LMF), 708 (HMP vs. LMP) and 408 (HMFP vs. LMFP) DMCs were co-located with 87, 147 and 158 quantitative trait loci (QTL) for milk component and yield traits, respectively. In conclusion, the identified methylation changes are potentially involved in the re</w:t>
      </w:r>
    </w:p>
    <w:p>
      <w:pPr/>
      <w:r>
        <w:rPr>
          <w:b/>
        </w:rPr>
        <w:t>POSSIBLE 2020:</w:t>
      </w:r>
      <w:r>
        <w:t xml:space="preserve"> European Agriculture after Brexit: Does Anyone Benefit from the Divorce? — https://doi.org/10.1111/1477-9552.12396</w:t>
      </w:r>
    </w:p>
    <w:p>
      <w:pPr/>
      <w:r>
        <w:rPr>
          <w:b/>
        </w:rPr>
        <w:t>Shared claim-specific concepts:</w:t>
      </w:r>
      <w:r>
        <w:t xml:space="preserve"> capri, increase; EU scope visible. This is a provisional connection, not an outcome finding.</w:t>
      </w:r>
    </w:p>
    <w:p>
      <w:pPr>
        <w:pStyle w:val="SourceNote"/>
      </w:pPr>
      <w:r>
        <w:rPr>
          <w:b/>
        </w:rPr>
        <w:t>Available abstract (not full text):</w:t>
      </w:r>
      <w:r>
        <w:t xml:space="preserve"> Abstract The UK exited the EU on 31 January 2020, with a transition period agreed as part of the Withdrawal Agreement. During this transition period the UK and the EU will decide on their future trading relationship. No matter what form this relationship takes, there will be disturbances to agri‐food markets. This study analyses four different scenarios with increasing barriers to trade, ranging from a very close relationship similar to the European Economic Area to a distant relationship in which the UK and EU trade on Most Favoured Nation terms, using the EU focused global agricultural sector model CAPRI. In the UK, food prices will increase in all scenarios, making consumers in the UK the biggest losers. Only in a free trade agreement scenario does the UK show an unambiguous positive net welfare gain in just the agri‐food sector. In the case of the European Economic Area scenario, which assumes continued access to the single market, the net welfare impact would depend on the size of the UK’s continued contribution to the EU. In the EU, declining food prices would benefit consumers but the sum of the loss in farmers’ incomes and the UK’s EU CAP contribution would be much greater than the consumer’s gain. These impacts in agricultural markets under different future trade arrangements will also be influenced by the UK’s agricultural policy changes in direct payments as well as </w:t>
      </w:r>
    </w:p>
    <w:p>
      <w:pPr/>
      <w:r>
        <w:rPr>
          <w:b/>
        </w:rPr>
        <w:t>POSSIBLE 2020:</w:t>
      </w:r>
      <w:r>
        <w:t xml:space="preserve"> Nitrogen Surplus—A Unified Indicator for Water Pollution in Europe? — https://doi.org/10.3390/w12041197</w:t>
      </w:r>
    </w:p>
    <w:p>
      <w:pPr/>
      <w:r>
        <w:rPr>
          <w:b/>
        </w:rPr>
        <w:t>Shared claim-specific concepts:</w:t>
      </w:r>
      <w:r>
        <w:t xml:space="preserve"> according, increase, data; EU scope visible. This is a provisional connection, not an outcome finding.</w:t>
      </w:r>
    </w:p>
    <w:p>
      <w:pPr>
        <w:pStyle w:val="SourceNote"/>
      </w:pPr>
      <w:r>
        <w:rPr>
          <w:b/>
        </w:rPr>
        <w:t>Available abstract (not full text):</w:t>
      </w:r>
      <w:r>
        <w:t xml:space="preserve">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data;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2017:</w:t>
      </w:r>
      <w:r>
        <w:t xml:space="preserve"> Lignocellulosic Crops in Europe: Integrating Crop Yield Potentials with Land Potentials — https://doi.org/10.6092/unibo/amsdottorato/7854</w:t>
      </w:r>
    </w:p>
    <w:p>
      <w:pPr/>
      <w:r>
        <w:rPr>
          <w:b/>
        </w:rPr>
        <w:t>Shared claim-specific concepts:</w:t>
      </w:r>
      <w:r>
        <w:t xml:space="preserve"> according, capri, yield, data; EU scope visible. This is a provisional connection, not an outcome finding.</w:t>
      </w:r>
    </w:p>
    <w:p>
      <w:pPr>
        <w:pStyle w:val="SourceNote"/>
      </w:pPr>
      <w:r>
        <w:rPr>
          <w:b/>
        </w:rPr>
        <w:t>Available abstract (not full text):</w:t>
      </w:r>
      <w:r>
        <w:t xml:space="preserve"> Given the ambitious EU targets to further decarbonise the economy, it can be expected that the demand for lignocellulosic biomass will continue to grow. Provisioning of part of this biomass by dedicated biomass crops becomes an option. This study presents integrated approach for crop allocation based on land availability and crop requirements. The model analysis to investigate the potential extension of unused land and its suitability for lignocellulosic crops was carried out in 37 European countries at the NUTS3 level. The CAPRI model predicts future land use changes and was used as a basic input to assess the agricultural biomass potentials in Europe. It was then identified the total land resource with a post-modeling assessment for three different potentials to the year 2020 and 2030, according to sustainability criteria formulated in the Renewable Energy directive (RED). Furthermore, crop-specific suitability maps were generated for each crop based on the variability of biophysical factors such as climate, soil properties and topographical aspects. The yields and cost levels that can be reached in Europe with different perennial crops in different climatic, soil and management situations. The AquaCrop model developed by FAO was used and fed with phenological parameters per crop and detailed weather data to simulate the crop growth in all European Nuts 3 regions. Yield level</w:t>
      </w:r>
    </w:p>
    <w:p>
      <w:pPr>
        <w:pStyle w:val="Heading2"/>
      </w:pPr>
      <w:r>
        <w:t>882.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A simple method for preserving pollen viability and longevity in wheat — https://doi.org/10.21203/rs.3.rs-2580944/v1</w:t>
      </w:r>
    </w:p>
    <w:p>
      <w:pPr/>
      <w:r>
        <w:rPr>
          <w:b/>
        </w:rPr>
        <w:t>Shared claim-specific concepts:</w:t>
      </w:r>
      <w:r>
        <w:t xml:space="preserve"> based, wheat, determine; EU scope not established. This is a provisional connection, not an outcome finding.</w:t>
      </w:r>
    </w:p>
    <w:p>
      <w:pPr>
        <w:pStyle w:val="SourceNote"/>
      </w:pPr>
      <w:r>
        <w:rPr>
          <w:b/>
        </w:rPr>
        <w:t>Available abstract (not full text):</w:t>
      </w:r>
      <w:r>
        <w:t xml:space="preserve"> Abstract Wheat pollen grains have very short longevity and are non-viable after ~30 minute at room temperature and ~60 minutes at 4°C. Pollen grain viability can be prolonged to ~24 hrs with existing anther preservation methods. Herein, we developed a new and very simple method of spike preservation to prolong pollen viability up to 1 week. The present study was evaluated to determine the effect of storage temperature and duration on the viability and in vitro germination of pollen grains of 50 spring wheat genotypes from two preservation methods of pollens viz, Anther preservation method and Spike preservation method. Pollens collected from both methods were stored at room temperature (22°C), fridge (4°C) for 0 and 1 week. Pollen viability were assessed using Alexander staining techniques with both methods at storage conditions 22°C and 4°C. In vitro germination was determined using liquid germination medium with both methods at 4°C. The results revealed that the pollen viability and in vitro germination as determined by Spike preservation method was highest when pollens were stored at 4°C up to 1 week. In addition, in vitro pollen germination and pollen viability significantly reduced as storage duration increased. It was recorded, that no pollen germination was observed under anther preservation method at storage conditions 4°C after 1 week while 2 to 14% pollen germination </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r>
        <w:rPr>
          <w:b/>
        </w:rPr>
        <w:t>POSSIBLE 2021:</w:t>
      </w:r>
      <w:r>
        <w:t xml:space="preserve"> Co-benefits of a flexitarian diet for air quality and human health in Europe — https://doi.org/10.1016/j.ecolecon.2021.107232</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Agriculture is a major source of air pollution in Europe, with adverse impacts on human health. Having recognized the serious health outcomes, and in direct response to public demand for a cleaner environment, European public policies are aiming to reduce air pollution. This study proposes a shift to more plant-based human diets to help achieve bold reduction targets for air pollution from agriculture. To assess the potential reduction in agricultural air pollution, we combine a large-scale partial equilibrium model for agriculture (CAPRI) with an atmospheric chemistry model (WRF-Chem). The health impacts from improved air quality are summarized as premature mortality rates, which are estimated from simulated changes in annual mean PM2.5 concentrations. We find that a shift to plant-based (flexitarian) diets would reduce ammonia emissions by 33% in the European Union (EU), generating significant co-benefits for air quality and human health. The economic benefits from improved human health would also largely mitigate the economic losses in the agricultural sector (39% in the EU and 49% in Europe as a whole). Our results suggest that, by shifting to plant-based human diets, European agriculture could significantly contribute to the targets in the EU Zero Pollution Action Plan.</w:t>
      </w:r>
    </w:p>
    <w:p>
      <w:pPr/>
      <w:r>
        <w:rPr>
          <w:b/>
        </w:rPr>
        <w:t>POSSIBLE 2020:</w:t>
      </w:r>
      <w:r>
        <w:t xml:space="preserve"> European Agriculture after Brexit: Does Anyone Benefit from the Divorce? — https://doi.org/10.1111/1477-9552.12396</w:t>
      </w:r>
    </w:p>
    <w:p>
      <w:pPr/>
      <w:r>
        <w:rPr>
          <w:b/>
        </w:rPr>
        <w:t>Shared claim-specific concepts:</w:t>
      </w:r>
      <w:r>
        <w:t xml:space="preserve"> capri, increase; EU scope visible. This is a provisional connection, not an outcome finding.</w:t>
      </w:r>
    </w:p>
    <w:p>
      <w:pPr>
        <w:pStyle w:val="SourceNote"/>
      </w:pPr>
      <w:r>
        <w:rPr>
          <w:b/>
        </w:rPr>
        <w:t>Available abstract (not full text):</w:t>
      </w:r>
      <w:r>
        <w:t xml:space="preserve"> Abstract The UK exited the EU on 31 January 2020, with a transition period agreed as part of the Withdrawal Agreement. During this transition period the UK and the EU will decide on their future trading relationship. No matter what form this relationship takes, there will be disturbances to agri‐food markets. This study analyses four different scenarios with increasing barriers to trade, ranging from a very close relationship similar to the European Economic Area to a distant relationship in which the UK and EU trade on Most Favoured Nation terms, using the EU focused global agricultural sector model CAPRI. In the UK, food prices will increase in all scenarios, making consumers in the UK the biggest losers. Only in a free trade agreement scenario does the UK show an unambiguous positive net welfare gain in just the agri‐food sector. In the case of the European Economic Area scenario, which assumes continued access to the single market, the net welfare impact would depend on the size of the UK’s continued contribution to the EU. In the EU, declining food prices would benefit consumers but the sum of the loss in farmers’ incomes and the UK’s EU CAP contribution would be much greater than the consumer’s gain. These impacts in agricultural markets under different future trade arrangements will also be influenced by the UK’s agricultural policy changes in direct payments as well as </w:t>
      </w:r>
    </w:p>
    <w:p>
      <w:pPr/>
      <w:r>
        <w:rPr>
          <w:b/>
        </w:rPr>
        <w:t>POSSIBLE 2020:</w:t>
      </w:r>
      <w:r>
        <w:t xml:space="preserve"> To Study the Heat Resistance Features of Bread Wheat Varieties and Species for the Southern Regions of the Republic of Uzbekistan — https://doi.org/10.24247/ijmperdjun20201342</w:t>
      </w:r>
    </w:p>
    <w:p>
      <w:pPr/>
      <w:r>
        <w:rPr>
          <w:b/>
        </w:rPr>
        <w:t>Shared claim-specific concepts:</w:t>
      </w:r>
      <w:r>
        <w:t xml:space="preserve"> wheat, yield, determine; EU scope not established. This is a provisional connection, not an outcome finding.</w:t>
      </w:r>
    </w:p>
    <w:p>
      <w:pPr>
        <w:pStyle w:val="SourceNote"/>
      </w:pPr>
      <w:r>
        <w:rPr>
          <w:b/>
        </w:rPr>
        <w:t>Available abstract (not full text):</w:t>
      </w:r>
      <w:r>
        <w:t xml:space="preserve"> Wheat (Triticum aestivum L.) is considered one of the world's most important cereal crops.Every year 704 million tons of grain is produced worldwide.Bread wheat croplands cover 17% of the total crop area.In recent years, sudden changes in air temperatures have a negative impact on the morphological, physiological, biochemical and molecular properties of wheat and grain yield.Therefore, it is important to create high-yielding and resistant varieties of bread wheat to abiotic factors and to develop its primary source in the condition of different regions.In the result of this study, the influence of high temperature which varied from 30°С and above continuously during spiking and maturation period of grain, especially in the period of grain filling, on grain quality and productivity has been studied thoroughly for southern parts of Uzbekistan.Mostly, winter bread wheat varieties are grown in these southern regions.The optimal sowing time in autumn season is the second decade of October.In order to determine the heat resistance of the winter wheat varieties that are mostly grown in the Republic and selected in the result of breeding, the experiments and observations were carried out on optimal and late sowing periods.The optimal planting time was found to be appropriate on the 15 th of October and for late sowing the 15 th of November.At the same time, late sown varieties and samp</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2019:</w:t>
      </w:r>
      <w:r>
        <w:t xml:space="preserve"> Significance of the CAPRI risk score to predict heart failure hospitalization post-TAVI: The CAPRI-HF study — https://doi.org/10.1016/j.ijcard.2019.08.033</w:t>
      </w:r>
    </w:p>
    <w:p>
      <w:pPr/>
      <w:r>
        <w:rPr>
          <w:b/>
        </w:rPr>
        <w:t>Shared claim-specific concepts:</w:t>
      </w:r>
      <w:r>
        <w:t xml:space="preserve"> capri, increase, aim; EU scope not established. This is a provisional connection, not an outcome finding.</w:t>
      </w:r>
    </w:p>
    <w:p>
      <w:pPr>
        <w:pStyle w:val="SourceNote"/>
      </w:pPr>
      <w:r>
        <w:rPr>
          <w:b/>
        </w:rPr>
        <w:t>Available abstract (not full text):</w:t>
      </w:r>
      <w:r>
        <w:t xml:space="preserve"> BACKGROUND: Predictors of heart failure (HF) hospitalization after transcatheter aortic valve implantation (TAVI) are not well defined. CAPRI is a score for predicting 1-year post-TAVI cardiovascular and all-cause mortality. The aim of the present study is to assess the prognostic significance of the CAPRI score for HF hospitalization 1 year after TAVI. METHODS AND RESULTS: CAPRI-HF is an ancillary study of the C4CAPRI trial, analyzing 409 consecutive patients treated by TAVI. The primary outcome was hospitalization for HF during the first year post-intervention. The prognostic value of the CAPRI score was assessed by multivariable analysis adjusted for diabetes, atrial fibrillation, vascular route, pacemaker implantation, post-TAVI aortic regurgitation, transfusion and pulmonary artery systolic pressure. A subanalysis focused on patients with low-gradient aortic stenosis (LGAS). At 1 year, HF hospitalization occurred in 78 (19.9%) patients. Patients with HF were more prone to have diabetes, atrial fibrillation, renal dysfunction, lower mean aortic gradient, higher logistic EuroSCORE and higher CAPRI score (p &lt; .05 for all associations). In the multivariable analysis, CAPRI score was the sole predictor of HF: hazard ratio (HR) for each 0.1 CAPRI score increase was 1.065, 95% confidence interval (CI) 1.021-1.110. This was confirmed when adjusted for EuroSCORE: HR 1.066, 95% CI 1</w:t>
      </w:r>
    </w:p>
    <w:p>
      <w:pPr>
        <w:pStyle w:val="Heading2"/>
      </w:pPr>
      <w:r>
        <w:t>883.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2021:</w:t>
      </w:r>
      <w:r>
        <w:t xml:space="preserve"> Retrospection, Regret, and Contingency in Dickens’s Late Midlives — https://doi.org/10.7146/ageculturehumanities.v5i.130863</w:t>
      </w:r>
    </w:p>
    <w:p>
      <w:pPr/>
      <w:r>
        <w:rPr>
          <w:b/>
        </w:rPr>
        <w:t>Shared claim-specific concepts:</w:t>
      </w:r>
      <w:r>
        <w:t xml:space="preserve"> publication, contingency, population, representations, two, demographic; EU scope not established. This is a provisional connection, not an outcome finding.</w:t>
      </w:r>
    </w:p>
    <w:p>
      <w:pPr>
        <w:pStyle w:val="SourceNote"/>
      </w:pPr>
      <w:r>
        <w:rPr>
          <w:b/>
        </w:rPr>
        <w:t>Available abstract (not full text):</w:t>
      </w:r>
      <w:r>
        <w:t xml:space="preserve"> This essay explores Dickens’s representations of male anxieties over aging and argues both that contingency—a character’s dawning recognition that their life might have been otherwise—haunts Dickens’s midlife narratives and that a developing cultural awareness of midlife as a life-stage is central to the Victorian fascination with unlived lives. It traces developments in Dickens’s own sense of midlife’s particularity to two sources: a recognition of the bodily changes that accompany the process of aging (such as his own graying hair, which he sought to disguise cosmetically through hair and moustache dyes) and his membership of a generation whose life chances were determined by a demographic bulge caused by a rapid expansion of Britain’s middle-aged and elderly population. Both of these circumstances engender an overwhelming sense of regret in the aging protagonists of novels such as David Copperfield (1849-1850), Great Expectations (1860-1861), and Our Mutual Friend (1864-1865), whose midlives are spent thinking, and sometimes writing, about the youthful choices that shaped their later lives. It is only with the publication of the late portmanteau tale “Mugby Junction” that Dickens finds himself able to imagine a midlife in which the aging individuals possess agency and are empowered to cast off the determining and contingent events of their Bildungsroman narratives and engage</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r>
        <w:rPr>
          <w:b/>
        </w:rPr>
        <w:t>POSSIBLE 2020:</w:t>
      </w:r>
      <w:r>
        <w:t xml:space="preserve"> Piercing Proverbial Crows’ Eyes: Theft and Publication in Renaissance France — https://doi.org/10.33137/rr.v43i3.35300</w:t>
      </w:r>
    </w:p>
    <w:p>
      <w:pPr/>
      <w:r>
        <w:rPr>
          <w:b/>
        </w:rPr>
        <w:t>Shared claim-specific concepts:</w:t>
      </w:r>
      <w:r>
        <w:t xml:space="preserve"> france, publication, thus; EU scope visible. This is a provisional connection, not an outcome finding.</w:t>
      </w:r>
    </w:p>
    <w:p>
      <w:pPr>
        <w:pStyle w:val="SourceNote"/>
      </w:pPr>
      <w:r>
        <w:rPr>
          <w:b/>
        </w:rPr>
        <w:t>Available abstract (not full text):</w:t>
      </w:r>
      <w:r>
        <w:t xml:space="preserve"> The ironic Latin proverb “cornicum oculos configere” was classically illustrated by the example of Gnaeus Flavius, celebrated for his theft and valuable but unauthorized publication of Rome’s legal secrets. Erasmus’s discussion of the proverb in the Adages consequently focuses on the tension within the transfer of knowledge between openness and secrecy, and on the fragile status of intellectual authority within a scholarly domain made increasingly public by the printing press. This article uses the example of Flavius to trace the idea of theft within Renaissance attitudes to the possession and dissemination of knowledge. It compares the reception of Flavius in three contexts: Erasmus’s ambivalence towards publication as a form of theft in the Adages; ancient criticisms of theft as social presumption; and the more positive representation of epistemological theft in the works of four Renaissance French jurists. It thus argues that Erasmus represents a turning point both in the reception history of Flavius and in attitudes to intellectual theft—and thereby to intellectual property—in the Renaissance.</w:t>
      </w:r>
    </w:p>
    <w:p>
      <w:pPr/>
      <w:r>
        <w:rPr>
          <w:b/>
        </w:rPr>
        <w:t>POSSIBLE 2020:</w:t>
      </w:r>
      <w:r>
        <w:t xml:space="preserve"> Negotiating French Wine and European Identities at the European Community — https://doi.org/10.1017/s0960777320000405</w:t>
      </w:r>
    </w:p>
    <w:p>
      <w:pPr/>
      <w:r>
        <w:rPr>
          <w:b/>
        </w:rPr>
        <w:t>Shared claim-specific concepts:</w:t>
      </w:r>
      <w:r>
        <w:t xml:space="preserve"> due, national, created, countries; EU scope visible. This is a provisional connection, not an outcome finding.</w:t>
      </w:r>
    </w:p>
    <w:p>
      <w:pPr>
        <w:pStyle w:val="SourceNote"/>
      </w:pPr>
      <w:r>
        <w:rPr>
          <w:b/>
        </w:rPr>
        <w:t>Available abstract (not full text):</w:t>
      </w:r>
      <w:r>
        <w:t xml:space="preserve"> This article examines the French role in creating an integrated wine policy at the European level and demonstrates that political negotiations over the policy revealed competing European conceptions of agriculture and identity. Drawing on research in EEC and French historical archives, this article argues that in spite of the risks involved in relinquishing sovereignty over a key national industry with deep cultural resonance, the French government was determined to transfer responsibility for much of the sector to the European Community due to continued domestic pressure. Further, it suggests that common values around the centrality of agriculture in the European project meant that countries were persistent in realising a wine policy even though wine was not a natural fit in the pantheon of other goods for which common markets were created.</w:t>
      </w:r>
    </w:p>
    <w:p>
      <w:pPr/>
      <w:r>
        <w:rPr>
          <w:b/>
        </w:rPr>
        <w:t>POSSIBLE 2018:</w:t>
      </w:r>
      <w:r>
        <w:t xml:space="preserve"> Evolution of the Population Structure of Staphylococcus pseudintermedius in France — https://doi.org/10.3389/fmicb.2018.03055</w:t>
      </w:r>
    </w:p>
    <w:p>
      <w:pPr/>
      <w:r>
        <w:rPr>
          <w:b/>
        </w:rPr>
        <w:t>Shared claim-specific concepts:</w:t>
      </w:r>
      <w:r>
        <w:t xml:space="preserve"> france, multiple, population, decline, due, created; EU scope visible. This is a provisional connection, not an outcome finding.</w:t>
      </w:r>
    </w:p>
    <w:p>
      <w:pPr>
        <w:pStyle w:val="SourceNote"/>
      </w:pPr>
      <w:r>
        <w:rPr>
          <w:b/>
        </w:rPr>
        <w:t>Available abstract (not full text):</w:t>
      </w:r>
      <w:r>
        <w:t xml:space="preserve"> (MRSP) in the early 2000s, which were additionally resistant to most veterinary-licensed antibiotics, drew specific attention to these pathogens due to the limitations created in veterinary therapeutic options. Multiple studies showed that the sequence type (ST)71 was the most frequently identified clone in Europe. A few years ago, several publications have suggested a decline of the ST71 clone and the emergence of the ST258 lineage in Northern Europe. In this study, we show that ST71 is also decreasing over time in France and that the non-ST71 population is highly heterogeneous. Globally, the non-ST71 clones are more susceptible to antibiotics, which might be good news for veterinarians. Two other lineages, ST258 and ST496, seem to be successful in France. These isolates, as well as representatives of the ST71 clone, underwent whole-genome sequence. This study shows that the ST71 and ST496 clusters are highly homogenous while the ST258 cluster is more diverse. Each ST possesses a specific pattern of resistance and virulence genes. The reasons for the apparent and simultaneous success of the ST258 and ST496 clones remain unclear. But the emergence of the ST496 clone will require monitoring given its multi-resistant genotype and threat to canine health.</w:t>
      </w:r>
    </w:p>
    <w:p>
      <w:pPr/>
      <w:r>
        <w:rPr>
          <w:b/>
        </w:rPr>
        <w:t>POSSIBLE 2017:</w:t>
      </w:r>
      <w:r>
        <w:t xml:space="preserve"> New insights into the burden and costs of multiple sclerosis in Europe — https://doi.org/10.1177/1352458517694432</w:t>
      </w:r>
    </w:p>
    <w:p>
      <w:pPr/>
      <w:r>
        <w:rPr>
          <w:b/>
        </w:rPr>
        <w:t>Shared claim-specific concepts:</w:t>
      </w:r>
      <w:r>
        <w:t xml:space="preserve"> multiple, population, countries; EU scope visible. This is a provisional connection, not an outcome finding.</w:t>
      </w:r>
    </w:p>
    <w:p>
      <w:pPr>
        <w:pStyle w:val="SourceNote"/>
      </w:pPr>
      <w:r>
        <w:rPr>
          <w:b/>
        </w:rPr>
        <w:t>Available abstract (not full text):</w:t>
      </w:r>
      <w:r>
        <w:t xml:space="preserve"> BACKGROUND: The current focus in multiple sclerosis (MS) is on early diagnosis and drug intervention, with a view to modifying disease progression. Consequently, healthcare costs have shifted from inpatient care and rehabilitation to outpatient care. OBJECTIVES: This European burden of illness study provides data that can be combined with other evidence to assess whether management approaches provide value to society. METHODS: A cross-sectional study was conducted in 16 countries. Patients reported on their disease, health-related quality of life (HRQoL) and resource consumption. Descriptive analyses were performed by disease severity. Costs are reported from a societal perspective in 2015€ PPP (adjusted for purchasing power parity). RESULTS: The 16,808 participants had a mean age of 51.5 years, and 52% had relapsing-remitting multiple sclerosis (RRMS). Work capacity declined from 82% to 8%, and utility declined from normal population values to less than zero with advancing disease. Mean costs were 22,800€ PPP in mild, 37,100€ PPP in moderate and 57,500€ PPP in severe disease; healthcare accounted for 68%, 47% and 26%, respectively. Fatigue and cognitive difficulties were reported by 95% and 71% of participants, respectively; both had a significant independent effect on utility. CONCLUSION: Costs and utility were highly correlated with disease severity, but resource consumption</w:t>
      </w:r>
    </w:p>
    <w:p>
      <w:pPr/>
      <w:r>
        <w:rPr>
          <w:b/>
        </w:rPr>
        <w:t>POSSIBLE 2016:</w:t>
      </w:r>
      <w:r>
        <w:t xml:space="preserve"> Raising European citizens: Constructing European identities in French and English textbooks — https://doi.org/10.5964/jspp.v4i1.350</w:t>
      </w:r>
    </w:p>
    <w:p>
      <w:pPr/>
      <w:r>
        <w:rPr>
          <w:b/>
        </w:rPr>
        <w:t>Shared claim-specific concepts:</w:t>
      </w:r>
      <w:r>
        <w:t xml:space="preserve"> national, representations, two, countries; EU scope visible. This is a provisional connection, not an outcome finding.</w:t>
      </w:r>
    </w:p>
    <w:p>
      <w:pPr>
        <w:pStyle w:val="SourceNote"/>
      </w:pPr>
      <w:r>
        <w:rPr>
          <w:b/>
        </w:rPr>
        <w:t>Available abstract (not full text):</w:t>
      </w:r>
      <w:r>
        <w:t xml:space="preserve"> Schools play a pivotal role in the formation of identities and in the political socialization of youth. This study explores the social representations of European integration in French and English school textbooks and shows how the social representations are discursively used to construct national and European identities. By analysing the history and civics textbooks of major educational publishers, this study aims to demonstrate how European integration is understood, made familiar and concretized in the school textbooks of the two influential but different European countries. The findings suggest some shared and some diverse patterns in the way the two European countries portray and construct the political project of European integration. These representations, constructed around French Europe in French textbooks and ambivalent Europe in English textbooks, share the images of a strong European economy and a French-led political Europe. However, they position themselves differently with respect to the United States, motivation for the European unification process and the significance of common values and heritage. In both countries textbooks draw upon memories that are important for group identity. While the French textbooks make European integration meaningful in reference to a shared post-war collective memory and to a cultural memory based on a more ancient idea of Europe, </w:t>
      </w:r>
    </w:p>
    <w:p>
      <w:pPr>
        <w:pStyle w:val="Heading2"/>
      </w:pPr>
      <w:r>
        <w:t>884.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r>
        <w:rPr>
          <w:b/>
        </w:rPr>
        <w:t>POSSIBLE 2023:</w:t>
      </w:r>
      <w:r>
        <w:t xml:space="preserve"> RETRACTED: Assessment of Building Materials in the European Residential Building Stock: An Analysis at EU27 Level — https://doi.org/10.3390/su15118840</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Reducing greenhouse gas (GHG) emissions and energy consumption in the building sector requires not only improving the energy efficiency of buildings but also minimising material requirements, embodied emissions, and waste generation. Circular Economy (CE) principles can be applied to minimize resource extraction and waste generation in the building industry. However, to implement effective CE strategies, quantification and evaluation of materials accumulated in buildings are required. This study aims to provide accurate data and a detailed analysis of the materials available in the EU27 residential building sector. By elaborating the data provided by the H2020 European projects Hotmaps and AmBIENCe, the different materials used for floors, roofs, walls, windows, and insulation layers in single-family houses, multifamily houses, and apartment blocks in the different construction periods were quantified for each EU27 country. Considering results at the EU27 level, concrete and brick characterize the largest part of the European residential building stock, whereas materials such as wood and different types of rock are used in much more limited amounts. These results form the basis for policymakers to monitor the status of the residential building sector, evaluate the potential of CE policies at a national level, and assess the environmental impact of building practices through lif</w:t>
      </w:r>
    </w:p>
    <w:p>
      <w:pPr/>
      <w:r>
        <w:rPr>
          <w:b/>
        </w:rPr>
        <w:t>POSSIBLE 2023:</w:t>
      </w:r>
      <w:r>
        <w:t xml:space="preserve"> Supplementary material to "The consolidated European synthesis of CO2 emissions and removals for EU27 and UK: 1990–2020" — https://doi.org/10.5194/essd-2022-412-supplement</w:t>
      </w:r>
    </w:p>
    <w:p>
      <w:pPr/>
      <w:r>
        <w:rPr>
          <w:b/>
        </w:rPr>
        <w:t>Shared claim-specific concepts:</w:t>
      </w:r>
      <w:r>
        <w:t xml:space="preserve"> eu27, products, land, increased; EU scope visible. This is a provisional connection, not an outcome finding.</w:t>
      </w:r>
    </w:p>
    <w:p>
      <w:pPr>
        <w:pStyle w:val="SourceNote"/>
      </w:pPr>
      <w:r>
        <w:rPr>
          <w:b/>
        </w:rPr>
        <w:t>Available abstract (not full text):</w:t>
      </w:r>
      <w:r>
        <w:t xml:space="preserve"> Quantification of land surface-atmosphere fluxes of carbon dioxide (CO2) fluxes and their trends and uncertainties is essential for monitoring progress of the EU27+UK bloc as it strives to meet ambitious targets determined by both international agreements and internal regulation.This study provides a consolidated synthesis of fossil sources (CO2 fossil) and natural sources and sinks over land (CO2 land) using bottom-up (BU) and top-down (TD) approaches for the European Union and United Kingdom (EU27+UK), updating earlier syntheses (Petrescu et al., 2020(Petrescu et al., , 2021b)).Given the wide scope of the work and the variety of approaches involved, this study aims to answer essential questions identified in the previous syntheses and understand the differences between datasets, particularly for poorly characterized fluxes from managed ecosystems.The work integrates updated emission inventory data, process-based model results, data-driven sectoral model results, and inverse modeling estimates, extending the previous period 1990-2018 to the year 2020 to the extent possible.BU and TD products are compared with European National Greenhouse Gas Inventories (NGHGIs) reported by Parties including the year 2019 under the United Nations Framework Convention on Climate Change (UNFCCC).The uncertainties of the EU27+UK NGHGI were evaluated using the standard deviation reported by the EU</w:t>
      </w:r>
    </w:p>
    <w:p>
      <w:pPr/>
      <w:r>
        <w:rPr>
          <w:b/>
        </w:rPr>
        <w:t>POSSIBLE 2023:</w:t>
      </w:r>
      <w:r>
        <w:t xml:space="preserve"> Reduced grazing and changes in the area of agroforestry in Europe — https://doi.org/10.3389/fenvs.2023.1258697</w:t>
      </w:r>
    </w:p>
    <w:p>
      <w:pPr/>
      <w:r>
        <w:rPr>
          <w:b/>
        </w:rPr>
        <w:t>Shared claim-specific concepts:</w:t>
      </w:r>
      <w:r>
        <w:t xml:space="preserve"> production, food, land, increased;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Temperate nuts by-products as animal feed: A review — https://doi.org/10.1016/j.anifeedsci.2023.115787</w:t>
      </w:r>
    </w:p>
    <w:p>
      <w:pPr/>
      <w:r>
        <w:rPr>
          <w:b/>
        </w:rPr>
        <w:t>Shared claim-specific concepts:</w:t>
      </w:r>
      <w:r>
        <w:t xml:space="preserve"> production, animal, products, health; EU scope not established. This is a provisional connection, not an outcome finding.</w:t>
      </w:r>
    </w:p>
    <w:p>
      <w:pPr>
        <w:pStyle w:val="SourceNote"/>
      </w:pPr>
      <w:r>
        <w:rPr>
          <w:b/>
        </w:rPr>
        <w:t>Available abstract (not full text):</w:t>
      </w:r>
      <w:r>
        <w:t xml:space="preserve"> Using agro-industrial by-products in replacement of conventional feedstuff is a strategy to reduce the environmental impact of feed production and transport, and the feed-food competition. This article reviews the effects of feeding nuts by-products on digestion, metabolism, and product quality in ruminant and monogastric animals. In particular, it focuses on nuts from temperate climate (mainly almond, pistachio, hazelnut, and walnut). These crops produce a variety of by-products of potential interest: hulls, skins (perisperm), oil cake, or mixtures of them. Nuts by-products generally have a low moisture content, making them easy to handle and store. They also contain moderate to high levels of phenolic compounds, which on the one hand have antinutritional properties, but on the other hand may exert positive effects on animal health and product quality. The composition of nuts by-products varies considerably from one species to another and within the same species, depending on variety, climatic and agronomic conditions, and processing. This, in combination with a lack of knowledge on production volumes, limits the current use of nuts by-products as animal feed to the farm level. However, some general considerations can be drawn. Almond hulls are rich in digestible fibre and can be used as energy feed for ruminants at doses up to 250 g/kg (dry matter basis). Nuts oil cake can pa</w:t>
      </w:r>
    </w:p>
    <w:p>
      <w:pPr/>
      <w:r>
        <w:rPr>
          <w:b/>
        </w:rPr>
        <w:t>POSSIBLE 2022:</w:t>
      </w:r>
      <w:r>
        <w:t xml:space="preserve"> EU27&amp;UK gas supply-storage-consumption and potential solutions to fill Russian gap with daily resolutions — https://doi.org/10.5281/zenodo.6833533</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Russia was the primary natural gas supplier to the EU before the 2022 invasion of Ukraine. The substantial reduction in Russian gas supplies to many EU countries precipitated a severe energy crisis across the EU27&amp;UK, leading to significant alterations in their natural gas supply, transmission, and consumption dynamics. To analyze these shifts, we updated our natural gas supply dataset, EUGasSC (originally described in version 1.0), incorporating daily country- and sector-specific supply sources. In version 2.0 of the dataset, we introduce EUGasNet, a newly constructed dataset detailing daily intra-EU natural gas transmission with specific supply sources, utilizing data from ENTSOG (European Network of Transmission System Operators for Gas) alongside EUGasSC data. Furthermore, we developed EUGasImpact, a daily dataset capturing sector-specific drivers of consumption changes based on change attribution models employing multiple open datasets. The EUGasSC and EUGasNet dataset was developed with a gas network flow simulation based on flow mass balance by combining data from multiple datasets including ENTSO-G, ENTSO-E, and Eurostat energy balance (annual and monthly). The EUGasSC dataset was validated with BP Statistical Review of World Energy and multiple Eurostat datasets. The EUGasSC shows the share of gas supplied by Russia in each country to analyze the ‘gap’ that would resul</w:t>
      </w:r>
    </w:p>
    <w:p>
      <w:pPr>
        <w:pStyle w:val="Heading2"/>
      </w:pPr>
      <w:r>
        <w:t>885.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here, data, globally, based;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climate, bioclimatic, data, two, predict;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The Capability of Deep Learning Model to Predict Ozone Across Continents in China, the United States and Europe — https://doi.org/10.1029/2023gl104928</w:t>
      </w:r>
    </w:p>
    <w:p>
      <w:pPr/>
      <w:r>
        <w:rPr>
          <w:b/>
        </w:rPr>
        <w:t>Shared claim-specific concepts:</w:t>
      </w:r>
      <w:r>
        <w:t xml:space="preserve"> here, data, predict, indicate; EU scope visible. This is a provisional connection, not an outcome finding.</w:t>
      </w:r>
    </w:p>
    <w:p>
      <w:pPr>
        <w:pStyle w:val="SourceNote"/>
      </w:pPr>
      <w:r>
        <w:rPr>
          <w:b/>
        </w:rPr>
        <w:t>Available abstract (not full text):</w:t>
      </w:r>
      <w:r>
        <w:t xml:space="preserve"> Abstract Data‐driven methods have been extensively applied to predict atmospheric compositions. Here, we explore the capability of a deep learning (DL) model to make ozone (O3) predictions across continents in China, the United States (US) and Europe. The DL model was trained and validated with surface O3 observations in China and the US in 2015–2018. The DL model was applied to predict hourly surface O3 over three continents in 2015–2022. Compared to baseline simulations using GEOS‐Chem (GC) model, our analysis exhibits mean biases of 2.6 and 4.8 μg/m3 with correlation coefficients of 0.94 and 0.93 (DL); and mean biases of 3.7 and 5.4 μg/m3 with correlation coefficients of 0.95 and 0.92 (GC) in Europe in 2015–2018 and 2019–2022, respectively. The comparable performances between DL and GC indicate the potential of DL to make reliable predictions over spatial and temporal domains where a wealth of local observations for training is not available.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r>
        <w:rPr>
          <w:b/>
        </w:rPr>
        <w:t>POSSIBLE 2022:</w:t>
      </w:r>
      <w:r>
        <w:t xml:space="preserve"> Predictive performance of multi-model ensemble forecasts of COVID-19 across European nations — https://doi.org/10.1101/2022.06.16.22276024</w:t>
      </w:r>
    </w:p>
    <w:p>
      <w:pPr/>
      <w:r>
        <w:rPr>
          <w:b/>
        </w:rPr>
        <w:t>Shared claim-specific concepts:</w:t>
      </w:r>
      <w:r>
        <w:t xml:space="preserve"> here, data, two, globally, based; EU scope visible. This is a provisional connection, not an outcome finding.</w:t>
      </w:r>
    </w:p>
    <w:p>
      <w:pPr>
        <w:pStyle w:val="SourceNote"/>
      </w:pPr>
      <w:r>
        <w:rPr>
          <w:b/>
        </w:rPr>
        <w:t>Available abstract (not full text):</w:t>
      </w:r>
      <w:r>
        <w:t xml:space="preserve"> Abstract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from a standardised source over the next one to four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and </w:t>
      </w:r>
    </w:p>
    <w:p>
      <w:pPr/>
      <w:r>
        <w:rPr>
          <w:b/>
        </w:rPr>
        <w:t>POSSIBLE 2022:</w:t>
      </w:r>
      <w:r>
        <w:t xml:space="preserve"> Predicting European cities’ climate mitigation performance using machine learning — https://doi.org/10.1038/s41467-022-35108-5</w:t>
      </w:r>
    </w:p>
    <w:p>
      <w:pPr/>
      <w:r>
        <w:rPr>
          <w:b/>
        </w:rPr>
        <w:t>Shared claim-specific concepts:</w:t>
      </w:r>
      <w:r>
        <w:t xml:space="preserve"> here, climate, data, predict; EU scope visible. This is a provisional connection, not an outcome finding.</w:t>
      </w:r>
    </w:p>
    <w:p>
      <w:pPr>
        <w:pStyle w:val="SourceNote"/>
      </w:pPr>
      <w:r>
        <w:rPr>
          <w:b/>
        </w:rPr>
        <w:t>Available abstract (not full text):</w:t>
      </w:r>
      <w:r>
        <w:t xml:space="preserve"> Although cities have risen to prominence as climate actors, emissions' data scarcity has been the primary challenge to evaluating their performance. Here we develop a scalable, replicable machine learning approach for evaluating the mitigation performance for nearly all local administrative areas in Europe from 2001-2018. By combining publicly available, spatially explicit environmental and socio-economic data with self-reported emissions data from European cities, we predict annual carbon dioxide emissions to explore trends in city-scale mitigation performance. We find that European cities participating in transnational climate initiatives have likely decreased emissions since 2001, with slightly more than half likely to have achieved their 2020 emissions reduction target. Cities who report emissions data are more likely to have achieved greater reductions than those who fail to report any data. Despite its limitations, our model provides a replicable, scalable starting point for understanding city-level climate emissions mitigation performance.</w:t>
      </w:r>
    </w:p>
    <w:p>
      <w:pPr/>
      <w:r>
        <w:rPr>
          <w:b/>
        </w:rPr>
        <w:t>POSSIBLE 2022:</w:t>
      </w:r>
      <w:r>
        <w:t xml:space="preserve"> A hydrological model to estimate pollution from combined sewer overflows at the regional scale: Application to Europe — https://doi.org/10.1016/j.ejrh.2022.101080</w:t>
      </w:r>
    </w:p>
    <w:p>
      <w:pPr/>
      <w:r>
        <w:rPr>
          <w:b/>
        </w:rPr>
        <w:t>Shared claim-specific concepts:</w:t>
      </w:r>
      <w:r>
        <w:t xml:space="preserve"> data, predict; EU scope visible. This is a provisional connection, not an outcome finding.</w:t>
      </w:r>
    </w:p>
    <w:p>
      <w:pPr>
        <w:pStyle w:val="SourceNote"/>
      </w:pPr>
      <w:r>
        <w:rPr>
          <w:b/>
        </w:rPr>
        <w:t>Available abstract (not full text):</w:t>
      </w:r>
      <w:r>
        <w:t xml:space="preserve"> Combined Sewer Overflows (CSO) of 671 Functional Urban Areas (FUAs) throughout the European Union + UK (EU28), representing almost half of the EU28 population. CSO loads can be quantified at the local scale through measurements, or with calibrated hydrological models. However, they are difficult to quantify at a large scale (e.g. regional or national), due to a lack of data, and the models used at local scale cannot be applied in the absence of knowledge of the combined sewer (CS) network. This paper presents a 6-parameter lumped hydrological model to simulate a CS network and its overflows, using population and rainfall data of 671 EU28 FUAs. When properly calibrated, the model can predict the CSO hydrographs as well as aggregated CSO descriptors of a catchment with known impervious surface area connected to a CS with a reasonable reliability. When model calibration is not possible, using default values of the parameters enables a first approximation estimate of CSOs, accurate within one order of magnitude, which can be used to support scenario analysis for regional and continental CSO management. At the EU28 scale, the estimated total CSO volume is 5.7·103 Mm3/y, with a dry weather flow content in CSOs of 460 Mm3/y (assuming a dry weather flow of 200 l/population equivalent (PE)/day including sanitary discharges, industrial discharge and infiltration). A collection of case st</w:t>
      </w:r>
    </w:p>
    <w:p>
      <w:pPr/>
      <w:r>
        <w:rPr>
          <w:b/>
        </w:rPr>
        <w:t>POSSIBLE 2021:</w:t>
      </w:r>
      <w:r>
        <w:t xml:space="preserve"> Climate and Society in Europe The Last Thousand Years — https://doi.org/10.2445/9783258482347</w:t>
      </w:r>
    </w:p>
    <w:p>
      <w:pPr/>
      <w:r>
        <w:rPr>
          <w:b/>
        </w:rPr>
        <w:t>Shared claim-specific concepts:</w:t>
      </w:r>
      <w:r>
        <w:t xml:space="preserve"> here, climate, data, two, leading, based; EU scope visible. This is a provisional connection, not an outcome finding.</w:t>
      </w:r>
    </w:p>
    <w:p>
      <w:pPr>
        <w:pStyle w:val="SourceNote"/>
      </w:pPr>
      <w:r>
        <w:rPr>
          <w:b/>
        </w:rPr>
        <w:t>Available abstract (not full text):</w:t>
      </w:r>
      <w:r>
        <w:t xml:space="preserve"> A richly illustrated book on the history of climate change in Europe. Two perspectives, one unique book: two leading experts, a historian and a climatologist, co-author a new standard work on climate history. An overview of the connection between climatic and social developments over the last 1000 years. For the first time, a historian and a climatologist with knowledge of climate history have worked closely together to create a unique book, combining climate reconstructions based on documented data in their human-historical context with temporally highly resolved analyses of climate and glaciers. "Here we can clearly see how changes in climate affected the environment and people of Europe over many centuries, with important lessons for the future. A wonderfully engaging and well-documented account by two of Europe's leading climate scientists." Prof. Dr.</w:t>
      </w:r>
    </w:p>
    <w:p>
      <w:pPr/>
      <w:r>
        <w:rPr>
          <w:b/>
        </w:rPr>
        <w:t>POSSIBLE 2021:</w:t>
      </w:r>
      <w:r>
        <w:t xml:space="preserve"> European transport simulator modeling of JET-ILW baseline plasmas: predictive code validation and DTE2 predictions — https://doi.org/10.1088/1741-4326/ac0b34</w:t>
      </w:r>
    </w:p>
    <w:p>
      <w:pPr/>
      <w:r>
        <w:rPr>
          <w:b/>
        </w:rPr>
        <w:t>Shared claim-specific concepts:</w:t>
      </w:r>
      <w:r>
        <w:t xml:space="preserve"> here, data, species; EU scope visible. This is a provisional connection, not an outcome finding.</w:t>
      </w:r>
    </w:p>
    <w:p>
      <w:pPr>
        <w:pStyle w:val="SourceNote"/>
      </w:pPr>
      <w:r>
        <w:rPr>
          <w:b/>
        </w:rPr>
        <w:t>Available abstract (not full text):</w:t>
      </w:r>
      <w:r>
        <w:t xml:space="preserve"> The European transport simulator is a fusion machine simulator useful for making predictions of high-performance fusion plasmas, in particular for DT reactors. Recent developments introducing self-consistent simulations of combined RF + NBI heating schemes in which majority, minority and beam ions are simultaneously heated is documented. The predictive simulations are first validated by comparison with the experimental data on a DD JET baseline plasma. In order to prepare the next JET DTE2 experimental campaign, extrapolations of fusion performance on DT plasma from DD plasma are made with a particular focus on ion cyclotron resonance heating (ICRH) computation. Traditional ion cyclotron range of frequency heating models do not permit the study of Coulomb collisional interaction of various ion species simultaneously including neutral beam injection ions, and generally forces one to consider only minority populations. Accounting for multi-population interaction is made possible here by solving coupled sets of Fokker–Planck equations for all ion species adopting the non-linear collision operator for arbitrary distribution functions, accounting for effects, such as the self-collisions of majority (or large minority) populations. To answer the question whether H minority scheme or 3 He minority ICRH scheme is better for boosting the DT fusion performance, minority concentration sca</w:t>
      </w:r>
    </w:p>
    <w:p>
      <w:pPr/>
      <w:r>
        <w:rPr>
          <w:b/>
        </w:rPr>
        <w:t>POSSIBLE 2021:</w:t>
      </w:r>
      <w:r>
        <w:t xml:space="preserve"> Predicting hotspots for invasive species introduction in Europe — https://doi.org/10.1088/1748-9326/ac2f19</w:t>
      </w:r>
    </w:p>
    <w:p>
      <w:pPr/>
      <w:r>
        <w:rPr>
          <w:b/>
        </w:rPr>
        <w:t>Shared claim-specific concepts:</w:t>
      </w:r>
      <w:r>
        <w:t xml:space="preserve"> here, climate, data, species, currently; EU scope visible. This is a provisional connection, not an outcome finding.</w:t>
      </w:r>
    </w:p>
    <w:p>
      <w:pPr>
        <w:pStyle w:val="SourceNote"/>
      </w:pPr>
      <w:r>
        <w:rPr>
          <w:b/>
        </w:rPr>
        <w:t>Available abstract (not full text):</w:t>
      </w:r>
      <w:r>
        <w:t xml:space="preserve"> Abstract Plant pest invasions cost billions of Euros each year in Europe. Prediction of likely places of pest introduction could greatly help focus efforts on prevention and control and thus reduce societal costs of pest invasions. Here, we test whether generic data-driven risk maps of pest introduction, valid for multiple species and produced by machine learning methods, could supplement the costly species-specific risk analyses currently conducted by governmental agencies. An elastic-net algorithm was trained on a dataset covering 243 invasive species to map risk of new introductions in Europe as a function of climate, soils, water, and anthropogenic factors. Results revealed that the BeNeLux states, Northern Italy, the Northern Balkans, and the United Kingdom, and areas around container ports such as Antwerp, London, Rijeka, and Saint Petersburg were at higher risk of introductions. Our analysis shows that machine learning can produce hotspot maps for pest introductions with a high predictive accuracy, but that systematically collected data on species’ presences and absences are required to further validate and improve these maps.</w:t>
      </w:r>
    </w:p>
    <w:p>
      <w:pPr>
        <w:pStyle w:val="Heading2"/>
      </w:pPr>
      <w:r>
        <w:t>886.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r>
        <w:rPr>
          <w:b/>
        </w:rPr>
        <w:t>POSSIBLE 2023:</w:t>
      </w:r>
      <w:r>
        <w:t xml:space="preserve"> Reviving Social Europe: a critical assessment of EU social policy in the wake of multiple crises — https://doi.org/10.17979/ejge.2023.12.2.9541</w:t>
      </w:r>
    </w:p>
    <w:p>
      <w:pPr/>
      <w:r>
        <w:rPr>
          <w:b/>
        </w:rPr>
        <w:t>Shared claim-specific concepts:</w:t>
      </w:r>
      <w:r>
        <w:t xml:space="preserve"> further, issues, focus, economy; EU scope visible. This is a provisional connection, not an outcome finding.</w:t>
      </w:r>
    </w:p>
    <w:p>
      <w:pPr>
        <w:pStyle w:val="SourceNote"/>
      </w:pPr>
      <w:r>
        <w:rPr>
          <w:b/>
        </w:rPr>
        <w:t>Available abstract (not full text):</w:t>
      </w:r>
      <w:r>
        <w:t xml:space="preserve"> The concept of "Social Europe" encompasses the European Union's social policy framework. This paper argues that the financial crisis of 2007-2009, the subsequent Euro crisis, and the ensuing austerity measures diverted significant attention away from Social Europe. This neglect led to declining living standards, reductions in public services, and the emergence of critical challenges such as the gig economy. In recent years, the COVID-19 pandemic has further exacerbated these issues, prompting a renewed focus on Social Europe by EU institutions. This paper conducts a chronological analysis of recent legislative (acquis) and non-legislative (soft power) instruments implemented to address these challenges and assesses the prospects of Social Europe in the near term.</w:t>
      </w:r>
    </w:p>
    <w:p>
      <w:pPr/>
      <w:r>
        <w:rPr>
          <w:b/>
        </w:rPr>
        <w:t>POSSIBLE 2021:</w:t>
      </w:r>
      <w:r>
        <w:t xml:space="preserve"> The state of innovative development and further steps towards the neo-economy of Ukraine in the first quarter of the XXI century — https://doi.org/10.33731/52020.233745</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Revutsky S. The state of innovative development and further steps towards the neo-economy of Ukraine in the first quarter of the XXI century. The article examines the state of innovative development in Ukraine in comparison with world leaders. Comparative analysis of goals, priorities and directions of development and modernization of public policy to achieve the level of neo-economy, which is formed under the influence of the new paradigm of scientific and technological development and technological revolution, which is now observed in many countries. From the above data we see that among the common shortcomings of our economic strategy and development program are: ambiguity and inconsistency of goals, mechanisms and objectives, sources of funding and general backwardness in approaches, which requires the use of European approaches to achieve the goal. Relying only on outdated methods of production and labor, the country loses competitiveness in the world market, lagging behind in technological development due to lack of innovation and research in the necessary areas, while the existing system is uncertain and has no financial or legal basis for efficient operation. When the whole world moves to new technological levels, raising its level to the fifth and sixth levels, our state, without a clear leadership and base, lags behind in innovation. That is why the article substantia</w:t>
      </w:r>
    </w:p>
    <w:p>
      <w:pPr/>
      <w:r>
        <w:rPr>
          <w:b/>
        </w:rPr>
        <w:t>POSSIBLE 2020:</w:t>
      </w:r>
      <w:r>
        <w:t xml:space="preserve"> Technological readiness in Europe — https://doi.org/10.4324/9780429057984-12</w:t>
      </w:r>
    </w:p>
    <w:p>
      <w:pPr/>
      <w:r>
        <w:rPr>
          <w:b/>
        </w:rPr>
        <w:t>Shared claim-specific concepts:</w:t>
      </w:r>
      <w:r>
        <w:t xml:space="preserve"> technological, industrial, issues; EU scope visible. This is a provisional connection, not an outcome finding.</w:t>
      </w:r>
    </w:p>
    <w:p>
      <w:pPr>
        <w:pStyle w:val="SourceNote"/>
      </w:pPr>
      <w:r>
        <w:rPr>
          <w:b/>
        </w:rPr>
        <w:t>Available abstract (not full text):</w:t>
      </w:r>
      <w:r>
        <w:t xml:space="preserve"> The technological and innovative developments promised by the next industrial revolution come with their corollaries of optimistic and pessimistic scenarios for our societies. Public policy is tackling digital transition issues; meanwhile, it is already acting on and anticipating the challenges and opportunities, and the risks and uncertainties, of the emerging Industry 4.0 paradigm. The qualitative analysis mainly relies upon official European Commission communications and European Union (EU) reports as well as thematic national and regional strategies. It brings together an updated and structured picture of some of the rationales and directions of I4.0-enabling policies in the EU. The initial efforts to develop key enabling technologies and advanced manufacturing as engines of the EU’s growth trajectory led to the identification of priority action lines for the EU’s industrial policy and investments into new technologies. The priority areas underlined in the previous communications also constituted important building blocks of the EU Regional and Cohesion Policy for the period 2014–2020.</w:t>
      </w:r>
    </w:p>
    <w:p>
      <w:pPr/>
      <w:r>
        <w:rPr>
          <w:b/>
        </w:rPr>
        <w:t>POSSIBLE 2020:</w:t>
      </w:r>
      <w:r>
        <w:t xml:space="preserve"> The sustainability transition in Europe in an age of demographic and technological change — https://doi.org/10.2800/571570</w:t>
      </w:r>
    </w:p>
    <w:p>
      <w:pPr/>
      <w:r>
        <w:rPr>
          <w:b/>
        </w:rPr>
        <w:t>Shared claim-specific concepts:</w:t>
      </w:r>
      <w:r>
        <w:t xml:space="preserve"> technological, industrial, economy; EU scope visible. This is a provisional connection, not an outcome finding.</w:t>
      </w:r>
    </w:p>
    <w:p>
      <w:pPr>
        <w:pStyle w:val="SourceNote"/>
      </w:pPr>
      <w:r>
        <w:rPr>
          <w:b/>
        </w:rPr>
        <w:t>Available abstract (not full text):</w:t>
      </w:r>
      <w:r>
        <w:t xml:space="preserve"> EU policy clearly recognises that achieving long-term sustainability will require fundamental transformation of the core socio-economic systems such as the food, energy and mobility systems. This understanding forms a key pillar of the new European Green Deal, as well as the growing body of complementary goals, strategies and tools, including the Energy Union, the New Industrial Strategy for Europe, the just transition mechanism and the proposal for a European Climate Law. In their different ways, these instruments all aim to enable society to meet its material and socio-economic needs while protecting and enhancing the environment in Europe and globally. Achieving this balance, as detailed in the European Environment Agency's recent five-yearly assessment, SOER 2020, represents a major governance challenge, characterised by widespread lock-ins, feedback loops, trade-offs and uncertainties. Achieving the sustainability transition will require that all areas and levels of government work together to enable the emergence and diffusion of new ways of living and working. Fiscal and financial policy tools have a critical role to play in each phase — from enabling experimentation and innovation, and correcting market incentives, to ensuring a fair sharing of the costs and benefits across society. Yet Europe's financial and fiscal systems themselves face significant disruption and cha</w:t>
      </w:r>
    </w:p>
    <w:p>
      <w:pPr/>
      <w:r>
        <w:rPr>
          <w:b/>
        </w:rPr>
        <w:t>POSSIBLE 2020:</w:t>
      </w:r>
      <w:r>
        <w:t xml:space="preserve"> Mechanisms of empowerment for the Roma in a New Social Europe — https://doi.org/10.51952/9781447357520.ch002</w:t>
      </w:r>
    </w:p>
    <w:p>
      <w:pPr/>
      <w:r>
        <w:rPr>
          <w:b/>
        </w:rPr>
        <w:t>Shared claim-specific concepts:</w:t>
      </w:r>
      <w:r>
        <w:t xml:space="preserve"> realm, focus, economy; EU scope visible. This is a provisional connection, not an outcome finding.</w:t>
      </w:r>
    </w:p>
    <w:p>
      <w:pPr>
        <w:pStyle w:val="SourceNote"/>
      </w:pPr>
      <w:r>
        <w:rPr>
          <w:b/>
        </w:rPr>
        <w:t>Available abstract (not full text):</w:t>
      </w:r>
      <w:r>
        <w:t xml:space="preserve"> Recent years have been turbulent for the European Union (EU), as evidenced by the UK’s departure (Brexit) and increasing levels of Euroscepticism that charge the body with excessive bureaucracy and centralization. However, critics from the progressive spectrum of politics feel that the EU has neglected the social dimension and has lacked the energy and impetus of the Delors-led European Commission (EC) of 1985–95 in the realm of social policy. Indeed, it was under Delors that the EC established a Social Charter of the European Community and sought to steer the EU away from just being a free-trade area towards an expansive social contract-based market economy. Although there was a security and economic focus in the early manifestations of the EU (the Schuman Plan and the Common Market), alongside this has been a social dimension, in particular, after the Treaty of Amsterdam in 1997 strengthened EU competences in employment and social policy. Reflecting the dominance of the centre-right in European politics, in particular, the European Peoples’ Party, the EU institutions can be characterized as cautious in the social sphere, and the concept of Social Europe appears to have gone neglected for much of the past two decades (Graziano and Hartlaap, 2019). In part, this results from the EU’s response to the financial and Eurozone crisis, and strategies within the EU centred on austerit</w:t>
      </w:r>
    </w:p>
    <w:p>
      <w:pPr>
        <w:pStyle w:val="Heading2"/>
      </w:pPr>
      <w:r>
        <w:t>887.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r>
        <w:rPr>
          <w:b/>
        </w:rPr>
        <w:t>POSSIBLE 2022:</w:t>
      </w:r>
      <w:r>
        <w:t xml:space="preserve"> Experimental study on basic mechanical properties of recycled steel fiber reinforced concrete — https://doi.org/10.1515/rams-2022-0041</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Abstract Recycled steel fiber (RSF)-reinforced concrete is not only an innovative research trend in the field of civil engineering materials, but also a new type of civil engineering composites under the trend of low-carbon development. This article deals with the experimental study of applying waste steel fibers to form recycled steel fiber concrete (RSFC). The main materials in this study are RSF, coarse and fine aggregate, fly ash, silica fume, and water reducer agent formed by machining surplus materials as the main materials. Three types of concrete were prepared. They were normal concrete, primary steel fiber concrete (PSFC), and RSFC with six different volume contents. The slump and air content of the three types of concrete are compared and analyzed. Then, the effects of the volume content of RSF on the cube compressive strength, splitting tensile strength, flexural strength, and axial compressive strength of RSFC are studied. Finally, the toughness of RSFC is discussed. The test results show that with the increase in the volume content of RSF, the slump of RSFC is significantly reduced, the compressive strength, tensile strength, and flexural strength are enhanced, the increase in tensile strength and flexural strength is significantly higher than the cube compressive strength, and the RSF has an obvious inhibitory effect on the development of concrete cracks which can</w:t>
      </w:r>
    </w:p>
    <w:p>
      <w:pPr/>
      <w:r>
        <w:rPr>
          <w:b/>
        </w:rPr>
        <w:t>POSSIBLE 2021:</w:t>
      </w:r>
      <w:r>
        <w:t xml:space="preserve"> Identifying and correcting spatial bias in opportunistic citizen science data for wild ungulates in Norway — https://doi.org/10.1002/ece3.8200</w:t>
      </w:r>
    </w:p>
    <w:p>
      <w:pPr/>
      <w:r>
        <w:rPr>
          <w:b/>
        </w:rPr>
        <w:t>Shared claim-specific concepts:</w:t>
      </w:r>
      <w:r>
        <w:t xml:space="preserve"> finally, rsf, use, level; EU scope visible. This is a provisional connection, not an outcome finding.</w:t>
      </w:r>
    </w:p>
    <w:p>
      <w:pPr>
        <w:pStyle w:val="SourceNote"/>
      </w:pPr>
      <w:r>
        <w:rPr>
          <w:b/>
        </w:rPr>
        <w:t>Available abstract (not full text):</w:t>
      </w:r>
      <w:r>
        <w:t xml:space="preserve"> Many publications make use of opportunistic data, such as citizen science observation data, to infer large-scale properties of species' distributions. However, the few publications that use opportunistic citizen science data to study animal ecology at a habitat level do so without accounting for spatial biases in opportunistic records or using methods that are difficult to generalize. In this study, we explore the biases that exist in opportunistic observations and suggest an approach to correct for them. We first examined the extent of the biases in opportunistic citizen science observations of three wild ungulate species in Norway by comparing them to data from GPS telemetry. We then quantified the extent of the biases by specifying a model of the biases. From the bias model, we sampled available locations within the species' home range. Along with opportunistic observations, we used the corrected availability locations to estimate a resource selection function (RSF). We tested this method with simulations and empirical datasets for the three species. We compared the results of our correction method to RSFs obtained using opportunistic observations without correction and to RSFs using GPS-telemetry data. Finally, we compared habitat suitability maps obtained using each of these models. Opportunistic observations are more affected by human access and visibility than locations </w:t>
      </w:r>
    </w:p>
    <w:p>
      <w:pPr/>
      <w:r>
        <w:rPr>
          <w:b/>
        </w:rPr>
        <w:t>POSSIBLE 2019:</w:t>
      </w:r>
      <w:r>
        <w:t xml:space="preserve"> Laminin-Coated Electrospun Regenerated Silk Fibroin Mats Promote Neural Progenitor Cell Proliferation, Differentiation, and Survival in vitro — https://doi.org/10.3389/fbioe.2019.00190</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Neural progenitor cell (NPC) transplantation is a promising technique for central nervous system (CNS) reconstruction and regeneration. Biomaterial scaffolds, frameworks, and platforms can support NPC proliferation and differentiation in vitro as well as serve as a temporary extracellular matrix after transplantation. However, further applications of biomaterials require improved biological attributes. Silk fibroin (SF), which is produced by Bombyx mori, is a widely used and studied protein polymer for biomaterial application. Here, we prepared aligned and random eletrospun regenerated SF (RSF) scaffolds, and evaluated their impact on the growth of NPCs. First, we isolated NPCs and then cultured them on either laminin-coated RSF mats or conventional laminin-coated coverslips for cell assays. We found that aligned and random RSF led to increases in NPC proliferation of 143.8 ± 13.3% and 156.3 ± 14.7%, respectively, compared to controls. Next, we investigated neuron differentiation and found that the aligned and the random RSF led to increases in increase in neuron differentiation of about 93.2 ± 6.4%, and 3167.1 ± 4.8%, respectively, compared to controls. Furthermore, we measured the survival of NPCs and found that RSF promoted NPC survival, and found there was no difference among those three groups. Finally, signaling pathways in cells cultured on RSF mats were studied for thei</w:t>
      </w:r>
    </w:p>
    <w:p>
      <w:pPr/>
      <w:r>
        <w:rPr>
          <w:b/>
        </w:rPr>
        <w:t>POSSIBLE 2018:</w:t>
      </w:r>
      <w:r>
        <w:t xml:space="preserve"> Have wolves (Canis lupus) finally scared moose (Alces alces) in Sweden — https://openalex.org/W2902161450</w:t>
      </w:r>
    </w:p>
    <w:p>
      <w:pPr/>
      <w:r>
        <w:rPr>
          <w:b/>
        </w:rPr>
        <w:t>Shared claim-specific concepts:</w:t>
      </w:r>
      <w:r>
        <w:t xml:space="preserve"> finally, use; EU scope visible. This is a provisional connection, not an outcome finding.</w:t>
      </w:r>
    </w:p>
    <w:p>
      <w:pPr>
        <w:pStyle w:val="SourceNote"/>
      </w:pPr>
      <w:r>
        <w:rPr>
          <w:b/>
        </w:rPr>
        <w:t>Available abstract (not full text):</w:t>
      </w:r>
      <w:r>
        <w:t xml:space="preserve"> Carnivores are coming back to Europe and the repercussions of their return on prey species is not fully understood. Research from North American studies suggests predators can indirectly affect how ungulates will select their habitat which can result in a change in vegetation growth as browsing pressure is relaxed in risky areas. The highly human dominated landscapes of European countries could limit the effect predators have, as humans alter so much of the environment, from forestry to hunting. I use resource selection functions to analyse 20 years of data collected in the Grimsö Wildlife Research Area (140 km2), in a before/after study design to see if the return of the wolf (Canis lupus) in Scandinavia has caused moose (Alces alces) to change how they select winter habitat. I show a change in moose habitat selection after wolf recolonization, but find no conclusive evidence of an indirect effect of wolves. A more likely explanation for the observed changes in moose habitat selection within the Grimsö Wildlife Research Area is a functional response between moose and forage availability.</w:t>
      </w:r>
    </w:p>
    <w:p>
      <w:pPr/>
      <w:r>
        <w:rPr>
          <w:b/>
        </w:rPr>
        <w:t>POSSIBLE 2018:</w:t>
      </w:r>
      <w:r>
        <w:t xml:space="preserve"> Integrating telemetry data into spatial capture–recapture modifies inferences on multi‐scale resource selection — https://doi.org/10.1002/ecs2.2203</w:t>
      </w:r>
    </w:p>
    <w:p>
      <w:pPr/>
      <w:r>
        <w:rPr>
          <w:b/>
        </w:rPr>
        <w:t>Shared claim-specific concepts:</w:t>
      </w:r>
      <w:r>
        <w:t xml:space="preserve"> rsf, use, integration; EU scope not established. This is a provisional connection, not an outcome finding.</w:t>
      </w:r>
    </w:p>
    <w:p>
      <w:pPr>
        <w:pStyle w:val="SourceNote"/>
      </w:pPr>
      <w:r>
        <w:rPr>
          <w:b/>
        </w:rPr>
        <w:t>Available abstract (not full text):</w:t>
      </w:r>
      <w:r>
        <w:t xml:space="preserve"> Abstract Estimating population size and resource selection functions ( RSF s) are common approaches in applied ecology for addressing wildlife conservation and management objectives. Traditionally such approaches have been undertaken separately with different sources of data. Spatial capture–recapture ( SCR ) provides a hierarchical framework for jointly estimating density and multi‐scale resource selection, and data integration techniques provide opportunities for improving inferences from SCR models. Despite the added benefits, there have been few applications of SCR ‐ RSF integration, potentially due to complexities of specifying and fitting such models. Here, we extend a previous integrated SCR ‐ RSF model to accommodate overlap of individuals between data sources and add the functionality to an open‐source R package ( oSCR ). We illustrate an application of the integrated model to a population of American marten ( Martes americana ) in alpine forests of northern New England. Spatial encounter data from camera traps were combined with telemetry locations from radio‐collared individuals to examine how density and space use varied with spatial environmental features. We compared multi‐model inferences between the integrated SCR ‐ RSF model with telemetry and a standard SCR model with no telemetry. The integrated SCR ‐ RSF model supported more complex relationships with spatia</w:t>
      </w:r>
    </w:p>
    <w:p>
      <w:pPr>
        <w:pStyle w:val="Heading2"/>
      </w:pPr>
      <w:r>
        <w:t>888.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need, across;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three, across;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Exploring Factors Associated with Parent Engagement in A Parenting Program in Southeastern Europe — https://doi.org/10.1007/s10826-022-02411-0</w:t>
      </w:r>
    </w:p>
    <w:p>
      <w:pPr/>
      <w:r>
        <w:rPr>
          <w:b/>
        </w:rPr>
        <w:t>Shared claim-specific concepts:</w:t>
      </w:r>
      <w:r>
        <w:t xml:space="preserve"> three, different, there; EU scope visible. This is a provisional connection, not an outcome finding.</w:t>
      </w:r>
    </w:p>
    <w:p>
      <w:pPr>
        <w:pStyle w:val="SourceNote"/>
      </w:pPr>
      <w:r>
        <w:rPr>
          <w:b/>
        </w:rPr>
        <w:t>Available abstract (not full text):</w:t>
      </w:r>
      <w:r>
        <w:t xml:space="preserve"> Abstract Parental engagement in parenting programs is essential for good outcomes but can be challenging for many families. In low- and middle-income countries, where resources are limited and there are fewer support services, there is little research examining the factors that influence engagement. This mixed-methods study explored factors associated with parent engagement, as well as barriers and supports, in a pilot evaluation of a parenting program with 140 parents in North Macedonia, Republic of Moldova, and Romania. The relationship between various quantitative types of engagement (e.g., premature drop-out, participation) and a range of demographic, personal, and implementation factors were examined. Qualitative parent interviews explored barriers and supports to program engagement. Implementation variables (e.g., phone calls with parents, program fidelity and text messages sent to parents) were consistently positively associated with different types of engagement after controlling for other factors. Parents of boys, being a victim of intimate partner violence, more children in the household and better parental well-being were positively associated with premature drop-out whilst having a child enrolled in school was positively associated with participation. Barriers included logistical factors such as timing and lack of childcare facilities. Factors that increased engagem</w:t>
      </w:r>
    </w:p>
    <w:p>
      <w:pPr/>
      <w:r>
        <w:rPr>
          <w:b/>
        </w:rPr>
        <w:t>POSSIBLE 2022:</w:t>
      </w:r>
      <w:r>
        <w:t xml:space="preserve"> Exploring scale in social licence to operate: European perspectives — https://doi.org/10.1016/j.jclepro.2022.135552</w:t>
      </w:r>
    </w:p>
    <w:p>
      <w:pPr/>
      <w:r>
        <w:rPr>
          <w:b/>
        </w:rPr>
        <w:t>Shared claim-specific concepts:</w:t>
      </w:r>
      <w:r>
        <w:t xml:space="preserve"> three, although, there; EU scope visible. This is a provisional connection, not an outcome finding.</w:t>
      </w:r>
    </w:p>
    <w:p>
      <w:pPr>
        <w:pStyle w:val="SourceNote"/>
      </w:pPr>
      <w:r>
        <w:rPr>
          <w:b/>
        </w:rPr>
        <w:t>Available abstract (not full text):</w:t>
      </w:r>
      <w:r>
        <w:t xml:space="preserve"> This article explores the issue of scale in the social licence to operate (SLO) which, to date, is understudied. The community-company relationship is the original, and still predominant, conceptualization of the term with the less tangible society-industry relationship still not typically in focus. Although the literature distinguishes between community and societal scales, there is no research on why the distinction is important, how the two scales are integrated or whether they interact with and influence one another. Exploring scale in SLO is important for theoretical clarification of the concept, for better empirical understanding of the role mining plays in host localities and the broader society and for the potential to incentivize industry toward more responsible and sustainable practices. Europe's multi-layered governance structure combined with its push for more domestic mining activities provides an ideal crucible for debates of scale to play out. To investigate the community and societal scales in the European context within a single study, three main research questions guide the work: how do orientations toward SLO differ at the community and societal scales; how do these orientations influence the acceptance of mining at both scales; and how do these orientations interact and influence one another? Through quantitative analyses, we found that site level factors te</w:t>
      </w:r>
    </w:p>
    <w:p>
      <w:pPr/>
      <w:r>
        <w:rPr>
          <w:b/>
        </w:rPr>
        <w:t>POSSIBLE 2021:</w:t>
      </w:r>
      <w:r>
        <w:t xml:space="preserve"> A dynamic factor model applied to investor sentiment in the European context — https://doi.org/10.21511/imfi.18(1).2021.25</w:t>
      </w:r>
    </w:p>
    <w:p>
      <w:pPr/>
      <w:r>
        <w:rPr>
          <w:b/>
        </w:rPr>
        <w:t>Shared claim-specific concepts:</w:t>
      </w:r>
      <w:r>
        <w:t xml:space="preserve"> factor, applied, three, like; EU scope visible. This is a provisional connection, not an outcome finding.</w:t>
      </w:r>
    </w:p>
    <w:p>
      <w:pPr>
        <w:pStyle w:val="SourceNote"/>
      </w:pPr>
      <w:r>
        <w:rPr>
          <w:b/>
        </w:rPr>
        <w:t>Available abstract (not full text):</w:t>
      </w:r>
      <w:r>
        <w:t xml:space="preserve"> This paper proposes an Investor Sentiment Index for the European market and tests its predictability power over returns and volatility. The constructed Investor Sentiment Index for Europe draws upon three well-established and two recent individual sentiment proxies through a novel dynamic factor modeling addressed to behavioral finance. The index is obtained through an extended period of analysis and validated with other sentiment index measures. The work relies on individual sentiment proxies based on a dynamic factor model and tests it using a TGARCH model for volatility and returns. It carries out an in-sample and out-of-sample analysis to examine this sentiment index’s forecasting power over returns sustained on a recursive rolling window prediction against Fama and French’s three-factor model. The findings demonstrate that the proposed index closely predicts STOXX600 variance and returns and confirms a strong spillover effect between European and US stock markets. This study also concludes that the proposed European Sentiment Index is a valid alternative method for investors to monitor and predict market behaviors. The developed sentiment measure is a vital market prediction movement tool for financial information providers, investors, bankers, and financial analysts. The research combines the sentiment index with a TGARCH approach over the extended period of analysis and </w:t>
      </w:r>
    </w:p>
    <w:p>
      <w:pPr/>
      <w:r>
        <w:rPr>
          <w:b/>
        </w:rPr>
        <w:t>POSSIBLE 2020:</w:t>
      </w:r>
      <w:r>
        <w:t xml:space="preserve"> Factors Influencing Human Mobility During The COVID-19 Pandemic in Selected Countries of Europe and North America — https://doi.org/10.1109/bigdata50022.2020.9377932</w:t>
      </w:r>
    </w:p>
    <w:p>
      <w:pPr/>
      <w:r>
        <w:rPr>
          <w:b/>
        </w:rPr>
        <w:t>Shared claim-specific concepts:</w:t>
      </w:r>
      <w:r>
        <w:t xml:space="preserve"> principal, component, applied; EU scope visible. This is a provisional connection, not an outcome finding.</w:t>
      </w:r>
    </w:p>
    <w:p>
      <w:pPr>
        <w:pStyle w:val="SourceNote"/>
      </w:pPr>
      <w:r>
        <w:rPr>
          <w:b/>
        </w:rPr>
        <w:t>Available abstract (not full text):</w:t>
      </w:r>
      <w:r>
        <w:t xml:space="preserve"> A novel coronavirus (COVID-19) was first reported in Wuhan, China in December 2109 and was declared a global pandemic by the World Health Organization on 11 March 2020. Identification of the critical factors that predict reduced mobility and human interaction is critical to developing successful transmission mitigation efforts globally. Governments and localities around the world have responded with wide-ranging policies related to containment and closure such as travel restrictions and stay-at-home-orders, as well as economic benefits, expanded testing, and public health education, among others. Anonymized GPS-enabled smartphone data is a novel tool to track human mobility and is becoming widely available. This study explores the relationships between containment and closure policies, disease trends, and human mobility patterns in 40 countries in Western, Eastern, Northern, and Southern Europe and North America. The principal component analysis was applied to reduce variable dimensions, followed by multivariate multiple regression. The model parameter estimations indicate that total cases, canceling activities (school, work, events), mask policies and the pandemic declaration all were significant predictors (p&lt;; .001) of change in workplace mobility from baseline.</w:t>
      </w:r>
    </w:p>
    <w:p>
      <w:pPr>
        <w:pStyle w:val="Heading2"/>
      </w:pPr>
      <w:r>
        <w:t>889.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2022:</w:t>
      </w:r>
      <w:r>
        <w:t xml:space="preserve"> Navigating the internationalization process: Strategic resources for early internationalizing firms — https://doi.org/10.1007/s10843-022-00308-z</w:t>
      </w:r>
    </w:p>
    <w:p>
      <w:pPr/>
      <w:r>
        <w:rPr>
          <w:b/>
        </w:rPr>
        <w:t>Shared claim-specific concepts:</w:t>
      </w:r>
      <w:r>
        <w:t xml:space="preserve"> recommendations, internationalization, based, process; EU scope not established. This is a provisional connection, not an outcome finding.</w:t>
      </w:r>
    </w:p>
    <w:p>
      <w:pPr>
        <w:pStyle w:val="SourceNote"/>
      </w:pPr>
      <w:r>
        <w:rPr>
          <w:b/>
        </w:rPr>
        <w:t>Available abstract (not full text):</w:t>
      </w:r>
      <w:r>
        <w:t xml:space="preserve"> Abstract Despite an increasing number of studies identifying factors that influence the internationalization process for early internationalizing firms (EIFs), it remains unclear which of these numerous factors could play a strategic role and, more specifically, when. This paper develops a new conceptual framework anchored in the resource-based view to identify strategic resources that can explain EIFs’ internationalization process accurately over time. Building on a systematic literature review based on 102 papers covering a period of 29 years, we methodically present a phase-by-phase observation of EIFs’ internationalization process to identify the strategic relevance of different influential resources. The results highlight the importance of the shift from individual to organizational resources, which occurs at a critical phase of transition from the entry to the post-entry phase. Studying the evolution of strategic resources along four phases allows us to determine that the progress of EIFs through the phases of their internationalization process is closely linked to their resources’ development process. This study suggests some promising research avenues, at theoretical and methodological levels, and results in a series of concrete recommendations intended for entrepreneurs and/or managers of EIFs.</w:t>
      </w:r>
    </w:p>
    <w:p>
      <w:pPr/>
      <w:r>
        <w:rPr>
          <w:b/>
        </w:rPr>
        <w:t>POSSIBLE 2022:</w:t>
      </w:r>
      <w:r>
        <w:t xml:space="preserve"> Management of inflammation in dry eye disease: Recommendations from a European panel of experts — https://doi.org/10.1177/11206721221141481</w:t>
      </w:r>
    </w:p>
    <w:p>
      <w:pPr/>
      <w:r>
        <w:rPr>
          <w:b/>
        </w:rPr>
        <w:t>Shared claim-specific concepts:</w:t>
      </w:r>
      <w:r>
        <w:t xml:space="preserve"> recommendations, education, based, experts, key, including; EU scope visible. This is a provisional connection, not an outcome finding.</w:t>
      </w:r>
    </w:p>
    <w:p>
      <w:pPr>
        <w:pStyle w:val="SourceNote"/>
      </w:pPr>
      <w:r>
        <w:rPr>
          <w:b/>
        </w:rPr>
        <w:t>Available abstract (not full text):</w:t>
      </w:r>
      <w:r>
        <w:t xml:space="preserve"> INTRODUCTION: Early initiation of anti-inflammatory therapies is recommended for dry eye disease (DED) to break the vicious cycle of pathophysiology. However, there is limited guidance on how to implement topical ciclosporin (CsA) and corticosteroid treatment into clinical practice. This expert-led consensus provides practical guidance on the management of DED, including when and how to use topical CsA. METHODS: A steering committee (SC) of seven European DED experts developed a questionnaire to gain information on the unmet needs and management of DED in clinical practice. Consensus statements on four key areas (disease severity and progression; patient management; efficacy, safety and tolerability of CsA; and patient education) were generated based on the responses. The SC and an expanded expert panel of 22 members used a nine-point scale (1 = strongly disagree; 9 = strongly agree) to rate statements; a consensus was reached if ≥75% of experts scored a statement ≥7. RESULTS: A stepwise approach to DED management is required in patients presenting with moderate corneal staining. Early topical CsA initiation, alone or with corticosteroids, should be considered in patients with clinical risk factors for severe DED. Patient education is required before and during treatment to manage expectations regarding efficacy and tolerability in order to optimise adherence. Follow-up visits </w:t>
      </w:r>
    </w:p>
    <w:p>
      <w:pPr/>
      <w:r>
        <w:rPr>
          <w:b/>
        </w:rPr>
        <w:t>POSSIBLE 2021:</w:t>
      </w:r>
      <w:r>
        <w:t xml:space="preserve"> European Recommendations on Robotics and Related Issues in Education in Different Countries — https://doi.org/10.1007/978-3-030-77040-2_34</w:t>
      </w:r>
    </w:p>
    <w:p>
      <w:pPr/>
      <w:r>
        <w:rPr>
          <w:b/>
        </w:rPr>
        <w:t>Shared claim-specific concepts:</w:t>
      </w:r>
      <w:r>
        <w:t xml:space="preserve"> recommendations, education, based; EU scope visible. This is a provisional connection, not an outcome finding.</w:t>
      </w:r>
    </w:p>
    <w:p>
      <w:pPr>
        <w:pStyle w:val="SourceNote"/>
      </w:pPr>
      <w:r>
        <w:rPr>
          <w:b/>
        </w:rPr>
        <w:t>Available abstract (not full text):</w:t>
      </w:r>
      <w:r>
        <w:t xml:space="preserve"> Abstract This short paper describes the preliminary phase in an innovative line of research comparing educational robotics in Italy and other countries, from the perspective of media education, and based on the European Parliament recommendations to the Commission on civil law rules on robotics. More specifically, all decision processes that affect digital citizenship should have the support of children and teenagers. For these reasons, this paper looks at the work of a group of Italian high school students in the fifth year of upper secondary school, who formulated a SWOT analysis to highlight their attitudes to robotics issues in relation to the European Union recommendations. This research started in 2018 and will be repeated this academic year with Italian and Congolese students—from the Institut Supérieur des Techniques Appliquées—with a qualitative analysis to establish student attitudes to robotics issues. Qualitative analysis was selected because the SWOT analysis is already divided into information categories, revealing a variety of concepts that are grouped together from the collected data. These results will be compared with any obtained in future years in Italy and other countries, to find further potential patterns.</w:t>
      </w:r>
    </w:p>
    <w:p>
      <w:pPr/>
      <w:r>
        <w:rPr>
          <w:b/>
        </w:rPr>
        <w:t>POSSIBLE 2020:</w:t>
      </w:r>
      <w:r>
        <w:t xml:space="preserve"> Collaboration and Internationalization of SMEs: Insights and Recommendations from a Systematic Review — https://doi.org/10.1111/ijmr.12238</w:t>
      </w:r>
    </w:p>
    <w:p>
      <w:pPr/>
      <w:r>
        <w:rPr>
          <w:b/>
        </w:rPr>
        <w:t>Shared claim-specific concepts:</w:t>
      </w:r>
      <w:r>
        <w:t xml:space="preserve"> recommendations, internationalization, process, key; EU scope not established. This is a provisional connection, not an outcome finding.</w:t>
      </w:r>
    </w:p>
    <w:p>
      <w:pPr>
        <w:pStyle w:val="SourceNote"/>
      </w:pPr>
      <w:r>
        <w:rPr>
          <w:b/>
        </w:rPr>
        <w:t>Available abstract (not full text):</w:t>
      </w:r>
      <w:r>
        <w:t xml:space="preserve"> Abstract This paper performs a systematic literature review of the undeniably diverse – and somewhat fragmented – current state of research on the collaborations and internationalization of small and medium‐sized enterprises (SMEs). We analyze key works and synthesize them into a framework that conceptually maps key antecedents, mediators, and moderators that influence the internationalization of SMEs. In addition, we highlight limitations of the literature, most notably in terms of theoretical fragmentation; extant theories are deployed and illustrated but rarely extended in a manner that significantly informs subsequent work. At an applied (but related) level, we argue the need for supplementary work that explores the distinct stages of internationalization – and the scope and scale of this process – rather than assuming closure around particular events. With this, we highlight the need for more rigorous and empirically informed explorations of contextual effects that take account of the consequences of developments in the global economic ecosystem.</w:t>
      </w:r>
    </w:p>
    <w:p>
      <w:pPr/>
      <w:r>
        <w:rPr>
          <w:b/>
        </w:rPr>
        <w:t>POSSIBLE 2020:</w:t>
      </w:r>
      <w:r>
        <w:t xml:space="preserve"> Make Banking Simple Again : A multiple case-study about the internationalization of the largest online retail banks in Europe — https://openalex.org/W3047438540</w:t>
      </w:r>
    </w:p>
    <w:p>
      <w:pPr/>
      <w:r>
        <w:rPr>
          <w:b/>
        </w:rPr>
        <w:t>Shared claim-specific concepts:</w:t>
      </w:r>
      <w:r>
        <w:t xml:space="preserve"> recommendations, internationalization, process, international, findings; EU scope visible. This is a provisional connection, not an outcome finding.</w:t>
      </w:r>
    </w:p>
    <w:p>
      <w:pPr>
        <w:pStyle w:val="SourceNote"/>
      </w:pPr>
      <w:r>
        <w:rPr>
          <w:b/>
        </w:rPr>
        <w:t>Available abstract (not full text):</w:t>
      </w:r>
      <w:r>
        <w:t xml:space="preserve"> Digitalization is increasing in our society and continues to move in that direction. The shift from traditional banks to online banks is becoming more popular, and with an online bank, the international markets open. Although previous research about internationalization exists, there is no in-depth research on the specific topic of online banks. This study aims to provide information regarding how online banks internationalize, to understand the underlying factors for the process better as well as provide recommendations for both online banks but also traditional banks. Factors such as motivators, the entrepreneur, and resources are investigated to find an answer to the given research question. The way of internationalization is connected to the already pre-existing strategies of global or regional markets. The third theoretical concept that is applied to understand the internationalization process is which path of internationalization is used, either Born Global or Born Regional. This thesis is a qualitative study with a deductive approach. The empirical findings are derived from case studies through semi-structured interviews, and the sampling selection is online retail banks operating in Europe, with more than one million customers. The selected cases are Revolut, N26, Monzo, and Monese, where one interview per bank is conducted. The interviewee’s understanding of the subjec</w:t>
      </w:r>
    </w:p>
    <w:p>
      <w:pPr/>
      <w:r>
        <w:rPr>
          <w:b/>
        </w:rPr>
        <w:t>POSSIBLE 2020:</w:t>
      </w:r>
      <w:r>
        <w:t xml:space="preserve"> Evidence‐based treatment recommendations for neck and low back pain across Europe: A systematic review of guidelines — https://doi.org/10.1002/ejp.1679</w:t>
      </w:r>
    </w:p>
    <w:p>
      <w:pPr/>
      <w:r>
        <w:rPr>
          <w:b/>
        </w:rPr>
        <w:t>Shared claim-specific concepts:</w:t>
      </w:r>
      <w:r>
        <w:t xml:space="preserve"> conclusions, recommendations, education, based; EU scope visible. This is a provisional connection, not an outcome finding.</w:t>
      </w:r>
    </w:p>
    <w:p>
      <w:pPr>
        <w:pStyle w:val="SourceNote"/>
      </w:pPr>
      <w:r>
        <w:rPr>
          <w:b/>
        </w:rPr>
        <w:t>Available abstract (not full text):</w:t>
      </w:r>
      <w:r>
        <w:t xml:space="preserve"> BACKGROUND AND OBJECTIVE: This systematic review synthesized evidence from European neck and low back pain (NLBP) clinical practice guidelines (CPGs) to identify recommended treatment options for use across Europe. DATABASES AND DATA TREATMENT: Comprehensive searches of thirteen databases were conducted, from 1st January 2013 to 4th May 2020 to identify up-to-date evidence-based European CPGs for primary care management of NLBP, issued by professional bodies/organizations. Data extracted included; aim and target population, methods for development and implementation and treatment recommendations. The AGREE II checklist was used to critically appraise guidelines. Criteria were devised to summarize and synthesize the direction and strength of recommendations across guidelines. RESULTS: Seventeen CPGs (11 low back; 5 neck; 1 both) from eight European countries were identified, of which seven were high quality. For neck pain, there were consistent weak or moderate strength recommendations for: reassurance, advice and education, manual therapy, referral for exercise therapy/programme, oral analgesics and topical medications, plus psychological therapies or multidisciplinary treatment for specific subgroups. Notable recommendation differences between back and neck pain included, i) analgesics for neck pain (not for back pain); ii) options for back pain-specific subgroups-work-based i</w:t>
      </w:r>
    </w:p>
    <w:p>
      <w:pPr/>
      <w:r>
        <w:rPr>
          <w:b/>
        </w:rPr>
        <w:t>POSSIBLE 2020:</w:t>
      </w:r>
      <w:r>
        <w:t xml:space="preserve"> Evidence-Based Policies in Education: Initiatives and Challenges in Europe — https://doi.org/10.1177/2096531120924670</w:t>
      </w:r>
    </w:p>
    <w:p>
      <w:pPr/>
      <w:r>
        <w:rPr>
          <w:b/>
        </w:rPr>
        <w:t>Shared claim-specific concepts:</w:t>
      </w:r>
      <w:r>
        <w:t xml:space="preserve"> education, process, findings; EU scope visible. This is a provisional connection, not an outcome finding.</w:t>
      </w:r>
    </w:p>
    <w:p>
      <w:pPr>
        <w:pStyle w:val="SourceNote"/>
      </w:pPr>
      <w:r>
        <w:rPr>
          <w:b/>
        </w:rPr>
        <w:t>Available abstract (not full text):</w:t>
      </w:r>
      <w:r>
        <w:t xml:space="preserve"> Purpose: This article examines the state of progress of evidence-based educational policies in Europe and identifies organizations for the generation and dissemination of evidence. Further, it discusses some of the most relevant challenges facing the development of evidence-informed education policies in Europe. Design/Approach/Methods: This article analyzes official documents by the European Commission (EC) and other organizations. Literature in the field of evidence-based education worldwide is examined to identify the primary challenges and issues related to the development of a culture of evidence in Europe’s education sector. Findings: The EC has recently prioritized evidence-informed policy and practice in education, increasingly encouraging member states to utilize evidence in the policy decision-making process. According to official documents, this process began in 2006 and has since enjoyed remarkable progress through several initiatives intended to spread a culture of evidence in education. However, several challenges and issues remain regarding the promotion of evidence-informed policymaking. Originality/Value: Having prioritized evidence-informed policy and practice, the EC strongly encourages the adoption of evidence in the policymaking process. This article provides a point of reference regarding the initiatives already undertaken and the challenges facing evidenc</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conclusions, recommendations, education, based, summary, key;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r>
        <w:rPr>
          <w:b/>
        </w:rPr>
        <w:t>POSSIBLE 2019:</w:t>
      </w:r>
      <w:r>
        <w:t xml:space="preserve"> Pathways of SME internationalization: a bibliometric and systematic review — https://doi.org/10.1007/s11187-019-00181-6</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Business is dynamic and rapidly changing. Global markets were previously the playing field of multinational corporations (MNCs), while small and medium enterprises (SMEs) were local; however, the removal of imposed barriers and recent technological advances in manufacturing, transportation, and communications have indorsed SMEs and international entrepreneurs (IEs) global access. SMEs and IEs are increasingly fueling economic growth and innovation, and these trends are presenting both opportunities and challenges to both MNCs and SMEs in the global arena. This review systematically examines comparative SME and IE research, analyzing (after fine-tuning) 762 articles published in leading journals from 1992 to September 2018. Our bibliometric and systematic review classifies SME and IE research findings into three echelons: (i) subjects, (ii) theories, and (iii) methods.</w:t>
      </w:r>
    </w:p>
    <w:p>
      <w:pPr>
        <w:pStyle w:val="Heading2"/>
      </w:pPr>
      <w:r>
        <w:t>890.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2022:</w:t>
      </w:r>
      <w:r>
        <w:t xml:space="preserve"> Persécution des juifs et espace urbain — https://doi.org/10.3917/rhu.062.0081</w:t>
      </w:r>
    </w:p>
    <w:p>
      <w:pPr/>
      <w:r>
        <w:rPr>
          <w:b/>
        </w:rPr>
        <w:t>Shared claim-specific concepts:</w:t>
      </w:r>
      <w:r>
        <w:t xml:space="preserve"> les, pour, une, article; EU scope not established. This is a provisional connection, not an outcome finding.</w:t>
      </w:r>
    </w:p>
    <w:p>
      <w:pPr>
        <w:pStyle w:val="SourceNote"/>
      </w:pPr>
      <w:r>
        <w:rPr>
          <w:b/>
        </w:rPr>
        <w:t>Available abstract (not full text):</w:t>
      </w:r>
      <w:r>
        <w:t xml:space="preserve"> Les relations sociales entre juifs et non-juifs pendant la Shoah ont fait l’objet de nombreux travaux depuis vingt ans. Dans ces études, la figure des « voisins » est très présente sans être circonscrite d’un point de vue géographique. L’article construit les termes de « voisin » et de « voisinage » pour faire de ces catégories des outils de compréhension de la persécution. À partir d’une vaste enquête concernant les réaffectations de logements de familles juives à Paris pendant l’Occupation sous l’égide de la préfecture de la Seine, les auteurs observent au plus près les relations sociales des Parisiens avec leurs voisins juifs et les caractéristiques spatiales de leur trajectoire résidentielle.</w:t>
      </w:r>
    </w:p>
    <w:p>
      <w:pPr/>
      <w:r>
        <w:rPr>
          <w:b/>
        </w:rPr>
        <w:t>POSSIBLE 2022:</w:t>
      </w:r>
      <w:r>
        <w:t xml:space="preserve"> The public stigma of facial disfigurement : investigating the relationships between visual attention, affective reactions and dehumanization — https://openalex.org/W7214250308</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Les personnes présentant une différence faciale (DF) sont stigmatisées. Cette stigmatisation semanifeste particulièrement par les réactions affectives des percevant·e·s, notamment par le dégout etla peur, émotions généralement associées au processus de déshumanisation d’autrui. Par ailleurs, entant que stigmate visible, la DF semble influencer la répartition de l’attention visuelle sur un visagemais peu de travaux ont associé ces champs. Ainsi, ce projet de thèse avait pour objectif de mieuxcomprendre la stigmatisation sociale de la DF, et plus particulièrement les liens entre perceptionvisuelle, réactions affectives stigmatisantes et déshumanisation. En se focalisant sur les réactionsaffectives, il s’agissait préalablement de proposer une typologie de ces réactions affectivesstigmatisantes, puis de mettre en lumière leurs liens avec les changements dans l’attention visuelle,pour finalement déterminer si ces réactions témoignent d’un processus de déshumanisation. Nosrésultats montrent que la DF modifie globalement la répartition de l’attention visuelle et influencel’émergence de réactions affectives stigmatisantes en engendrant moins de neutralité et plus desurprise, dégoût, peur et mépris. La perception visuelle de la DF semble déterminante puisque lamodification de l’attention visuelle était liée à la fois aux réactions affectives stigmatisantes et auxattributions déshumanisa</w:t>
      </w:r>
    </w:p>
    <w:p>
      <w:pPr/>
      <w:r>
        <w:rPr>
          <w:b/>
        </w:rPr>
        <w:t>POSSIBLE 2022:</w:t>
      </w:r>
      <w:r>
        <w:t xml:space="preserve"> Faire diaspora en ville, XIII e -XIX e siècle — https://doi.org/10.3917/rhu.064.0097</w:t>
      </w:r>
    </w:p>
    <w:p>
      <w:pPr/>
      <w:r>
        <w:rPr>
          <w:b/>
        </w:rPr>
        <w:t>Shared claim-specific concepts:</w:t>
      </w:r>
      <w:r>
        <w:t xml:space="preserve"> les, effets, pour, une, cet, article; EU scope not established. This is a provisional connection, not an outcome finding.</w:t>
      </w:r>
    </w:p>
    <w:p>
      <w:pPr>
        <w:pStyle w:val="SourceNote"/>
      </w:pPr>
      <w:r>
        <w:rPr>
          <w:b/>
        </w:rPr>
        <w:t>Available abstract (not full text):</w:t>
      </w:r>
      <w:r>
        <w:t xml:space="preserve"> La ville de Rouen, une des plus grandes du royaume, fut depuis sa fondation soumise aux aléas météorologiques tels que les excès de pluie, les froids intenses ou encore les tempêtes. Ces extrêmes climatiques avaient des conséquences directes (destructions d’édifices, rupture des communications) et indirectes (baisse des disponibilités alimentaires, apparition d’épidémies). Face à cette vulnérabilité les autorités mirent en place dès le Moyen Âge des parades plus ou moins efficientes pour atténuer en amont et en aval les effets négatifs de ces aléas. Au xviii e le courant intellectuel et scientifique des Lumières se diffusa à la ville de Rouen. Par la promotion de théories sanitaires, urbanistiques, agricoles et commerciales modernes, les hommes des Lumières se proposaient d’améliorer la résilience urbaine sous toutes ces facettes. L’objet de cet article est de percevoir le degré de pénétration et d’application des Lumières dans la société rouennaise.</w:t>
      </w:r>
    </w:p>
    <w:p>
      <w:pPr/>
      <w:r>
        <w:rPr>
          <w:b/>
        </w:rPr>
        <w:t>POSSIBLE 2022:</w:t>
      </w:r>
      <w:r>
        <w:t xml:space="preserve"> Des albums plurilingues à l’école pour les lecteurs… plurilingues ? — https://doi.org/10.63723/publije.202110161</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L’article propose une typologie des albums bi-, multi-, plurilingues en s’inspirant du fonctionnement du sujet plurilingue, ce qui conduit à distinguer les albums multilingues (langues cloisonnées) des albums plurilingues (langues en interaction). Il rend compte dans un second temps d’un atelier de formation initiale en INSPE, mené par les deux chercheuses avec un groupe de quinze professeures des écoles stagiaires. Ces stagiaires ont été amenées à mettre en œuvre des séquences dans les classes, à partir de 4 albums (un imagier multilingue, trois albums plurilingues), dans les 3 cycles de l’école primaire. Les séquences devaient mobiliser des objectifs d’apprentissage transversaux, langagiers et métalangagiers. Les deux chercheuses ont souhaité observé les formes d’appropriation par les professeures des écoles stagiaires des scénarios pédagogiques succincts proposés autour des albums, afin de voir comment des professeurs débutants dans le métier parvenaient à s’emparer de la question complexe du plurilinguisme. The article provides a typology of bi-, multi- and plurilingual picture books based on the functioning of the plurilingual subject, which leads to a distinction between multilingual picture books (partitioned languages) and plurilingual picture books (interacting languages). It then reports on an initial training workshop in INSPE, conducted by the two researchers with a</w:t>
      </w:r>
    </w:p>
    <w:p>
      <w:pPr/>
      <w:r>
        <w:rPr>
          <w:b/>
        </w:rPr>
        <w:t>POSSIBLE 2022:</w:t>
      </w:r>
      <w:r>
        <w:t xml:space="preserve"> Un virus mis en scène par son vaccin ? La prise en charge du HPV et des pathologies associées en belgique — https://doi.org/10.1684/sss.2021.0211</w:t>
      </w:r>
    </w:p>
    <w:p>
      <w:pPr/>
      <w:r>
        <w:rPr>
          <w:b/>
        </w:rPr>
        <w:t>Shared claim-specific concepts:</w:t>
      </w:r>
      <w:r>
        <w:t xml:space="preserve"> les, une, vers, cet, article; EU scope not established. This is a provisional connection, not an outcome finding.</w:t>
      </w:r>
    </w:p>
    <w:p>
      <w:pPr>
        <w:pStyle w:val="SourceNote"/>
      </w:pPr>
      <w:r>
        <w:rPr>
          <w:b/>
        </w:rPr>
        <w:t>Available abstract (not full text):</w:t>
      </w:r>
      <w:r>
        <w:t xml:space="preserve"> Cet article s’intéresse à la mise en place de la détection du papillomavirus humain (HPV) et aux conséquences qui en découlent en Belgique. L’établissement de technologies de détection et de prévention contre le cancer du col de l’utérus et l’agent infectieux – le HPV – ont redéfini les contours d’un problème de santé publique. La systématisation du test HPV en lien avec l’arrivée des vaccins témoigne du glissement de la prise en charge du cancer du col à la prévention du virus. Alors que le frottis utérin permet de détecter le cancer et des lésions précancéreuses, l’utilisation des vaccins anti-HPV est un pas vers une étape de prévention plus précoce qui induit des conséquences sanitaires et sociales. La compréhension de ce qui fait « pathologie » ou de ce qui peut être désigné comme « normal » s’est modifiée ignorant parfois certaines populations ou au contraire élargissant les caractéristiques des populations dites « à risque ». L’attention ou l’absence d’importance donnée à certains organes et populations laisse à voir des normes autour de la sexualité et du genre et contribue à construire des identités sexuelles et de genre affectées par certaines maladies – les hommes homosexuels par le cancer de l’anus et les femmes par le cancer du col utérin – alors que d’autres cancers comme celui de l’oropharynx sont semblablement présents. Parallèlement, bien que les inégalités soci</w:t>
      </w:r>
    </w:p>
    <w:p>
      <w:pPr/>
      <w:r>
        <w:rPr>
          <w:b/>
        </w:rPr>
        <w:t>POSSIBLE 2021:</w:t>
      </w:r>
      <w:r>
        <w:t xml:space="preserve"> Neuro-socio-cognitive approach of social perception : new perspectives for disability studies — https://openalex.org/W7214254807</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Approche neuro-socio-cognitive de la perception sociale : nouvelles perspectives pour la recherche sur le handicap — https://doi.org/10.70675/71d44d6az4a73z4885zb629za45d7782d05d</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Régulation et politique de la concurrence à l'ère numérique : essais en économie industrielle — https://doi.org/10.70675/bff4f604z556ez4d9dza30az2bd8c79f106c</w:t>
      </w:r>
    </w:p>
    <w:p>
      <w:pPr/>
      <w:r>
        <w:rPr>
          <w:b/>
        </w:rPr>
        <w:t>Shared claim-specific concepts:</w:t>
      </w:r>
      <w:r>
        <w:t xml:space="preserve"> tudie, les, effets, pour, une, conomie; EU scope not established. This is a provisional connection, not an outcome finding.</w:t>
      </w:r>
    </w:p>
    <w:p>
      <w:pPr>
        <w:pStyle w:val="SourceNote"/>
      </w:pPr>
      <w:r>
        <w:rPr>
          <w:b/>
        </w:rPr>
        <w:t>Available abstract (not full text):</w:t>
      </w:r>
      <w:r>
        <w:t xml:space="preserve"> Cette thèse aborde deux enjeux auxquels les régulateurs doivent faire face dans l’économie numérique : le défi informationnel généré par l'utilisation de nouvelles technologies d'intelligence artificielle et la problématique du pouvoir de marché des grandes plateformes numériques. Le premier chapitre de cette thèse étudie la mise en place d’un système d’audit (coûteux et imparfait) par un régulateur cherchant à réduire le risque de dommage généré par les technologies d’intelligence artificielle, tout en limitant le coût de la régulation. Les entreprises peuvent investir dans l'explicabilité de leurs technologies pour mieux comprendre leurs algorithmes et réduire leur coût de conformité à la réglementation. Lorsque l’explicabilité n’affecte pas l’efficacité des audits, la prise en compte du niveau d'explicabilité de la technologie dans la politique d’audit du régulateur induit davantage d'investissement en explicabilité et une conformité plus forte de la part des entreprises en comparaison d’une politique neutre à l’explicabilité. Si, au contraire, l'explicabilité facilite la détection d'une mauvaise conduite par le régulateur, les entreprises peuvent s’engager dans une stratégie d’opacification de leur technologie. Un comportement opportuniste de la part du régulateur décourage l'investissement dans l'explicabilité. Pour promouvoir l'explicabilité et la conformité, il peut être</w:t>
      </w:r>
    </w:p>
    <w:p>
      <w:pPr>
        <w:pStyle w:val="Heading2"/>
      </w:pPr>
      <w:r>
        <w:t>891.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r>
        <w:rPr>
          <w:b/>
        </w:rPr>
        <w:t>POSSIBLE 2024:</w:t>
      </w:r>
      <w:r>
        <w:t xml:space="preserve"> Machine learning for efficient segregation and labeling of potential biological sounds in long-term underwater recordings — https://doi.org/10.3389/frsen.2024.1390687</w:t>
      </w:r>
    </w:p>
    <w:p>
      <w:pPr/>
      <w:r>
        <w:rPr>
          <w:b/>
        </w:rPr>
        <w:t>Shared claim-specific concepts:</w:t>
      </w:r>
      <w:r>
        <w:t xml:space="preserve"> long-term, biological, provide, data, however; EU scope visible. This is a provisional connection, not an outcome finding.</w:t>
      </w:r>
    </w:p>
    <w:p>
      <w:pPr>
        <w:pStyle w:val="SourceNote"/>
      </w:pPr>
      <w:r>
        <w:rPr>
          <w:b/>
        </w:rPr>
        <w:t>Available abstract (not full text):</w:t>
      </w:r>
      <w:r>
        <w:t xml:space="preserve"> Studying marine soundscapes by detecting known sound events and quantifying their spatio-temporal patterns can provide ecologically relevant information. However, the exploration of underwater sound data to find and identify possible sound events of interest can be highly time-intensive for human analysts. To speed up this process, we propose a novel methodology that first detects all the potentially relevant acoustic events and then clusters them in an unsupervised way prior to manual revision. We demonstrate its applicability on a short deployment. To detect acoustic events, a deep learning object detection algorithm from computer vision (YOLOv8) is re-trained to detect any (short) acoustic event. This is done by converting the audio to spectrograms using sliding windows longer than the expected sound events of interest. The model detects any event present on that window and provides their time and frequency limits. With this approach, multiple events happening simultaneously can be detected. To further explore the possibilities to limit the human input needed to create the annotations to train the model, we propose an active learning approach to select the most informative audio files in an iterative manner for subsequent manual annotation. The obtained detection models are trained and tested on a dataset from the Belgian Part of the North Sea, and then further evaluated for</w:t>
      </w:r>
    </w:p>
    <w:p>
      <w:pPr/>
      <w:r>
        <w:rPr>
          <w:b/>
        </w:rPr>
        <w:t>POSSIBLE 2024:</w:t>
      </w:r>
      <w:r>
        <w:t xml:space="preserve"> Toward DNA-Based Recording of Biological Processes — https://doi.org/10.3390/ijms25179233</w:t>
      </w:r>
    </w:p>
    <w:p>
      <w:pPr/>
      <w:r>
        <w:rPr>
          <w:b/>
        </w:rPr>
        <w:t>Shared claim-specific concepts:</w:t>
      </w:r>
      <w:r>
        <w:t xml:space="preserve"> biological, recording, data; EU scope not established. This is a provisional connection, not an outcome finding.</w:t>
      </w:r>
    </w:p>
    <w:p>
      <w:pPr>
        <w:pStyle w:val="SourceNote"/>
      </w:pPr>
      <w:r>
        <w:rPr>
          <w:b/>
        </w:rPr>
        <w:t>Available abstract (not full text):</w:t>
      </w:r>
      <w:r>
        <w:t xml:space="preserve"> Exploiting the inherent compatibility of DNA-based data storage with living cells, various cellular recording approaches have been developed for recording and retrieving biologically relevant signals in otherwise inaccessible locations, such as inside the body. This review provides an overview of the current state of engineered cellular memory systems, highlighting their design principles, advantages, and limitations. We examine various technologies, including CRISPR-Cas systems, recombinases, retrons, and DNA methylation, that enable these recording systems. Additionally, we discuss potential strategies for improving recording accuracy, scalability, and durability to address current limitations in the field. This emerging modality of biological measurement will be key to gaining novel insights into diverse biological processes and fostering the development of various biotechnological applications, from environmental sensing to disease monitoring and beyond.</w:t>
      </w:r>
    </w:p>
    <w:p>
      <w:pPr/>
      <w:r>
        <w:rPr>
          <w:b/>
        </w:rPr>
        <w:t>POSSIBLE 2024:</w:t>
      </w:r>
      <w:r>
        <w:t xml:space="preserve"> Acute to long-term characteristics of impedance recordings during neurostimulation in humans — https://doi.org/10.1088/1741-2552/ad3416</w:t>
      </w:r>
    </w:p>
    <w:p>
      <w:pPr/>
      <w:r>
        <w:rPr>
          <w:b/>
        </w:rPr>
        <w:t>Shared claim-specific concepts:</w:t>
      </w:r>
      <w:r>
        <w:t xml:space="preserve"> long-term, biological, recording, data, other; EU scope not established. This is a provisional connection, not an outcome finding.</w:t>
      </w:r>
    </w:p>
    <w:p>
      <w:pPr>
        <w:pStyle w:val="SourceNote"/>
      </w:pPr>
      <w:r>
        <w:rPr>
          <w:b/>
        </w:rPr>
        <w:t>Available abstract (not full text):</w:t>
      </w:r>
      <w:r>
        <w:t xml:space="preserve"> Objective: This study aims to characterize the time course of impedance, a crucial electrophysiological property of brain tissue, in the human thalamus (THL), amygdala-hippocampus (AMG-HPC), and posterior hippocampus (post-HPC) over an extended period. Approach: Impedance was periodically sampled every 5-15 minutes over several months in five subjects with drug-resistant epilepsy using an experimental neuromodulation device. Initially, we employed descriptive piecewise and continuous mathematical models to characterize the impedance response for approximately three weeks post-electrode implantation. We then explored the temporal dynamics of impedance during periods when electrical stimulation was temporarily halted, observing a monotonic increase (rebound) in impedance before it stabilized at a higher value. Lastly, we assessed the stability of amplitude and phase over the 24-hour impedance cycle throughout the multi-month recording. Main results: Immediately post-implantation, the impedance decreased, reaching a minimum value in all brain regions within approximately two days, and then increased monotonically over about 14 days to a stable value. The models accounted for the variance in short-term impedance changes. Notably, the minimum impedance of the THL in the most epileptogenic hemisphere was significantly lower than in other regions. During the gaps in electrical stimula</w:t>
      </w:r>
    </w:p>
    <w:p>
      <w:pPr>
        <w:pStyle w:val="Heading2"/>
      </w:pPr>
      <w:r>
        <w:t>892.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2025:</w:t>
      </w:r>
      <w:r>
        <w:t xml:space="preserve"> Devolution and Industrial Relations: An Overview — https://doi.org/10.1111/irj.70007</w:t>
      </w:r>
    </w:p>
    <w:p>
      <w:pPr/>
      <w:r>
        <w:rPr>
          <w:b/>
        </w:rPr>
        <w:t>Shared claim-specific concepts:</w:t>
      </w:r>
      <w:r>
        <w:t xml:space="preserve"> abstract, industrial, relations; EU scope visible. This is a provisional connection, not an outcome finding.</w:t>
      </w:r>
    </w:p>
    <w:p>
      <w:pPr>
        <w:pStyle w:val="SourceNote"/>
      </w:pPr>
      <w:r>
        <w:rPr>
          <w:b/>
        </w:rPr>
        <w:t>Available abstract (not full text):</w:t>
      </w:r>
      <w:r>
        <w:t xml:space="preserve"> ABSTRACT This article presents an overview of how industrial relations have been shaped by constitutional devolution across the United Kingdom. It shows that the devolved national governments in Scotland, Wales and Northern Ireland and English regional authorities led by Metro Mayors, have developed distinctive industrial relations policies that have led to variation in labour market regulation. These policies have typically been developed under the rubric of ‘fair work’ and have been pursued through a variety of methods. The latter include acting as a ‘good employer’, legislation, public procurement, and soft forms of regulation such as good employment charters which have been widely adopted by devolved authorities. The article concludes by reviewing the debate over devolution within industrial relations and notes how political change might foster further experimentation in the future.</w:t>
      </w:r>
    </w:p>
    <w:p>
      <w:pPr/>
      <w:r>
        <w:rPr>
          <w:b/>
        </w:rPr>
        <w:t>POSSIBLE 2025:</w:t>
      </w:r>
      <w:r>
        <w:t xml:space="preserve"> Labour Market Policy and Industrial Relations in the Netherlands — https://doi.org/10.1093/oxfordhb/9780198875499.013.38</w:t>
      </w:r>
    </w:p>
    <w:p>
      <w:pPr/>
      <w:r>
        <w:rPr>
          <w:b/>
        </w:rPr>
        <w:t>Shared claim-specific concepts:</w:t>
      </w:r>
      <w:r>
        <w:t xml:space="preserve"> abstract, industrial, relations; EU scope visible. This is a provisional connection, not an outcome finding.</w:t>
      </w:r>
    </w:p>
    <w:p>
      <w:pPr>
        <w:pStyle w:val="SourceNote"/>
      </w:pPr>
      <w:r>
        <w:rPr>
          <w:b/>
        </w:rPr>
        <w:t>Available abstract (not full text):</w:t>
      </w:r>
      <w:r>
        <w:t xml:space="preserve"> Abstract This chapter provides an overview of the origin and the history of labour market policies and industrial relations, and shows that there have been profound, but not very consistent changes in labour market policies and industrial relations. It discusses how Dutch policies—and the changes made to them over time—compare internationally, how the Dutch system has always been difficult to categorize, and how the once relatively clear differences between labour market regimes have narrowed over time. It also demonstrates that there is little convincing evidence for the impact of these policies on labour market performance. It concludes by offering some challenges for the study of Dutch labour market policies and industrial relations in the future.</w:t>
      </w:r>
    </w:p>
    <w:p>
      <w:pPr/>
      <w:r>
        <w:rPr>
          <w:b/>
        </w:rPr>
        <w:t>POSSIBLE 2025:</w:t>
      </w:r>
      <w:r>
        <w:t xml:space="preserve"> INTERNATIONAL HUMAN RESOURCE MANAGEMENT IN CONTEXT INTERNATIONAL INDUSTRIAL RELATIONS: SYSTEMATIC LITERATURE REVIEW — https://doi.org/10.62567/micjo.v2i2.902</w:t>
      </w:r>
    </w:p>
    <w:p>
      <w:pPr/>
      <w:r>
        <w:rPr>
          <w:b/>
        </w:rPr>
        <w:t>Shared claim-specific concepts:</w:t>
      </w:r>
      <w:r>
        <w:t xml:space="preserve"> abstract, industrial, relations; EU scope not established. This is a provisional connection, not an outcome finding.</w:t>
      </w:r>
    </w:p>
    <w:p>
      <w:pPr>
        <w:pStyle w:val="SourceNote"/>
      </w:pPr>
      <w:r>
        <w:rPr>
          <w:b/>
        </w:rPr>
        <w:t>Available abstract (not full text):</w:t>
      </w:r>
      <w:r>
        <w:t xml:space="preserve"> Abstract This article aims to review the scholarly literature on the intersection of International Human Resource Management (IHRM) and International Industrial Relations (IIR). Through a systematic literature review of the articles, the study identifies key themes, dominant theoretical perspectives, key findings, and existing research gaps. The results of the review provide a comprehensive synthesis of the current knowledge on how IHRM practices interact with IIR dynamics in the global business environment. The conclusion of the study highlights the theoretical and practical implications of the findings and suggests directions for future research.</w:t>
      </w:r>
    </w:p>
    <w:p>
      <w:pPr/>
      <w:r>
        <w:rPr>
          <w:b/>
        </w:rPr>
        <w:t>POSSIBLE 2024:</w:t>
      </w:r>
      <w:r>
        <w:t xml:space="preserve"> European Works Councils: Their Impact on the Europeanization of Industrial Relations in an Era of Market Globalism — https://doi.org/10.3390/socsci13030171</w:t>
      </w:r>
    </w:p>
    <w:p>
      <w:pPr/>
      <w:r>
        <w:rPr>
          <w:b/>
        </w:rPr>
        <w:t>Shared claim-specific concepts:</w:t>
      </w:r>
      <w:r>
        <w:t xml:space="preserve"> industrial, relations; EU scope visible. This is a provisional connection, not an outcome finding.</w:t>
      </w:r>
    </w:p>
    <w:p>
      <w:pPr>
        <w:pStyle w:val="SourceNote"/>
      </w:pPr>
      <w:r>
        <w:rPr>
          <w:b/>
        </w:rPr>
        <w:t>Available abstract (not full text):</w:t>
      </w:r>
      <w:r>
        <w:t xml:space="preserve"> The European Works Council (EWC) Directive provides the establishment of a social partnership forum within Multinational Companies (MNCs). The directive gives employees the right to information and consultation with the supra-national group management. The aim of this concept paper is to contribute to the debate on the Europeanization of Industrial Relations (IR) in the European Union. Specifically, it assesses the influence that EWCs, a novel institution within certain Euro-companies, have on the convergence of industrial relations among the member states. This critical topic can be evaluated from the standpoint of the current theory and its practical implications in order to draw the perspectives for a European system of IR both within MNCs and the rest of the companies. Our conclusions indicate that EWCs contribute to Europeanization in several aspects of employee relations, although this contribution has been limited to those issues that are wished for by the MNCs.</w:t>
      </w:r>
    </w:p>
    <w:p>
      <w:pPr/>
      <w:r>
        <w:rPr>
          <w:b/>
        </w:rPr>
        <w:t>POSSIBLE 2024:</w:t>
      </w:r>
      <w:r>
        <w:t xml:space="preserve"> Industrial relations and policy working paper. Deliverable 2.2 — https://openalex.org/W7113737541</w:t>
      </w:r>
    </w:p>
    <w:p>
      <w:pPr/>
      <w:r>
        <w:rPr>
          <w:b/>
        </w:rPr>
        <w:t>Shared claim-specific concepts:</w:t>
      </w:r>
      <w:r>
        <w:t xml:space="preserve"> industrial, relations; EU scope visible. This is a provisional connection, not an outcome finding.</w:t>
      </w:r>
    </w:p>
    <w:p>
      <w:pPr>
        <w:pStyle w:val="SourceNote"/>
      </w:pPr>
      <w:r>
        <w:rPr>
          <w:b/>
        </w:rPr>
        <w:t>Available abstract (not full text):</w:t>
      </w:r>
      <w:r>
        <w:t xml:space="preserve"> sponsorship: European Commission Directorate-General for Employment, Social Affairs and Inclusion|101126530</w:t>
      </w:r>
    </w:p>
    <w:p>
      <w:pPr/>
      <w:r>
        <w:rPr>
          <w:b/>
        </w:rPr>
        <w:t>POSSIBLE 2024:</w:t>
      </w:r>
      <w:r>
        <w:t xml:space="preserve"> On the emergence of cooperative industrial and labour relations — https://doi.org/10.1111/bjir.12800</w:t>
      </w:r>
    </w:p>
    <w:p>
      <w:pPr/>
      <w:r>
        <w:rPr>
          <w:b/>
        </w:rPr>
        <w:t>Shared claim-specific concepts:</w:t>
      </w:r>
      <w:r>
        <w:t xml:space="preserve"> abstract, industrial, relations; EU scope visible. This is a provisional connection, not an outcome finding.</w:t>
      </w:r>
    </w:p>
    <w:p>
      <w:pPr>
        <w:pStyle w:val="SourceNote"/>
      </w:pPr>
      <w:r>
        <w:rPr>
          <w:b/>
        </w:rPr>
        <w:t>Available abstract (not full text):</w:t>
      </w:r>
      <w:r>
        <w:t xml:space="preserve"> Abstract We explore the long‐run determinants of current differences in the degree of co‐operative labour relations at the local level. We do this by estimating the effect of the medieval communes –that were established in certain cities in Centre‐Northern Italy towards the end of the 11th century – and that contributed to the emergence of a co‐operative attitude in the population on various proxies for current co‐operative labour relations. Conditional on a large set of firm and municipality level controls, as well as a full set of province fixed effects, we find that firms located in municipalities that had been a free medieval commune in the past have higher current probabilities to adopt two‐tier bargaining structures and to be unionized. We also report instrumental variables (IV) and propensity score estimates that confirm our main results.</w:t>
      </w:r>
    </w:p>
    <w:p>
      <w:pPr/>
      <w:r>
        <w:rPr>
          <w:b/>
        </w:rPr>
        <w:t>POSSIBLE 2024:</w:t>
      </w:r>
      <w:r>
        <w:t xml:space="preserve"> Government interference practices in realizing industrial relations for worker welfare/laborers — https://openalex.org/W7215630810</w:t>
      </w:r>
    </w:p>
    <w:p>
      <w:pPr/>
      <w:r>
        <w:rPr>
          <w:b/>
        </w:rPr>
        <w:t>Shared claim-specific concepts:</w:t>
      </w:r>
      <w:r>
        <w:t xml:space="preserve"> industrial, relations, workers; EU scope not established. This is a provisional connection, not an outcome finding.</w:t>
      </w:r>
    </w:p>
    <w:p>
      <w:pPr>
        <w:pStyle w:val="SourceNote"/>
      </w:pPr>
      <w:r>
        <w:rPr>
          <w:b/>
        </w:rPr>
        <w:t>Available abstract (not full text):</w:t>
      </w:r>
      <w:r>
        <w:t xml:space="preserve"> One dimension of the labor law system in Indonesia is industrial relations, so industrial relations are one of the national goals and objectives of labor law. The national goal is explicitly stated in Article 27, paragraph (2) of the 1945 Constitution, namely, "every citizen has the right to work and a decent living for humanity." This is a reference for the state and all parties in realizing national goals in the labor sector. The normative objectives of labor law have a very noble value in realizing harmonious, dynamic, and just industrial relations. Industrial relations between employers and workers are based on partnership and family so that problems that arise can be resolved through deliberation to reach a consensus. Interaction between the government, employers and workers unions must continue to be built and fostered in its implementation by involving existing components. The role of the government as a policyholder is very much needed to maintain the balance of bargaining position between employers and workers in order to create a conducive work situation for the sake of business continuity and work continuity for workers so as to foster welfare for all parties.</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2023:</w:t>
      </w:r>
      <w:r>
        <w:t xml:space="preserve"> Taylorism, Worker Resistance, and Industrial Relations in Sweden — https://doi.org/10.1017/s002085902300041x</w:t>
      </w:r>
    </w:p>
    <w:p>
      <w:pPr/>
      <w:r>
        <w:rPr>
          <w:b/>
        </w:rPr>
        <w:t>Shared claim-specific concepts:</w:t>
      </w:r>
      <w:r>
        <w:t xml:space="preserve"> abstract, industrial, relations, workers, according; EU scope visible. This is a provisional connection, not an outcome finding.</w:t>
      </w:r>
    </w:p>
    <w:p>
      <w:pPr>
        <w:pStyle w:val="SourceNote"/>
      </w:pPr>
      <w:r>
        <w:rPr>
          <w:b/>
        </w:rPr>
        <w:t>Available abstract (not full text):</w:t>
      </w:r>
      <w:r>
        <w:t xml:space="preserve"> Abstract This article explores the influence of worker resistance to Taylorism on industrial relations in Sweden. By analysing archival material from workers at the Separator Corporate Group, the Metal Workers’ Union, and the Swedish Trade Union Confederation, this article highlights the interplay between shop floor activism, discussions within trade unions, and central labour market relations. It demonstrates how rank-and-file activism compelled union leadership and the central labour market organizations to adopt a series of agreements in the 1940s aimed at addressing worker resistance to Taylorism. Despite worker discontent, scientific management spread during the 1930s and 1940s. This eventually contributed to the Metal Strike of 1945, which had significant impact on labour–capital relations. According to the metal workers, scientific management, particularly time-motion studies, reduced their bargaining power by concealing labour processes and methods for wage determination, thereby allowing management a monopoly on knowledge. Following the strike, negotiations between the Trade Union Confederation and the Swedish Employers’ Association resulted in the 1948 Work Studies Agreement. This agreement provided a platform for resolving conflicts and encouraging workers’ support of rationalization via the Work Studies Council. Worker resistance consequently drove Swedish labour ma</w:t>
      </w:r>
    </w:p>
    <w:p>
      <w:pPr/>
      <w:r>
        <w:rPr>
          <w:b/>
        </w:rPr>
        <w:t>POSSIBLE 2023:</w:t>
      </w:r>
      <w:r>
        <w:t xml:space="preserve"> European industrial policy for the green and digital revolution — https://doi.org/10.1093/scipol/scad018</w:t>
      </w:r>
    </w:p>
    <w:p>
      <w:pPr/>
      <w:r>
        <w:rPr>
          <w:b/>
        </w:rPr>
        <w:t>Shared claim-specific concepts:</w:t>
      </w:r>
      <w:r>
        <w:t xml:space="preserve"> abstract, industrial; EU scope visible. This is a provisional connection, not an outcome finding.</w:t>
      </w:r>
    </w:p>
    <w:p>
      <w:pPr>
        <w:pStyle w:val="SourceNote"/>
      </w:pPr>
      <w:r>
        <w:rPr>
          <w:b/>
        </w:rPr>
        <w:t>Available abstract (not full text):</w:t>
      </w:r>
      <w:r>
        <w:t xml:space="preserve"> Abstract The urgent need to accelerate on, and make a national success of, the green and digital transition is leading to widespread calls for greater government involvement in the economy, including by means of an active industrial policy. After reviewing several case studies, it becomes evident that, against conventional wisdom, nearly all countries have systematically engaged in some form of industrial policy, especially large economies like the USA and China, notwithstanding their very different economic models. The same is true for Europe, both at the national level and through European Union policies. After analysing these experiences, we draw six key policy lessons to inform future debates on how to shape a successful industrial policy in the years to come and mitigate its risks, while acting in a context of souring geopolitical tensions.</w:t>
      </w:r>
    </w:p>
    <w:p>
      <w:pPr/>
      <w:r>
        <w:rPr>
          <w:b/>
        </w:rPr>
        <w:t>POSSIBLE 2022:</w:t>
      </w:r>
      <w:r>
        <w:t xml:space="preserve"> INDUSTRIAL SOCIOLOGY, INDUSTRIAL RELATIONS AND HUMAN RESOURCE MANAGEMENT — https://doi.org/10.36108/njsa/2202.02.0290</w:t>
      </w:r>
    </w:p>
    <w:p>
      <w:pPr/>
      <w:r>
        <w:rPr>
          <w:b/>
        </w:rPr>
        <w:t>Shared claim-specific concepts:</w:t>
      </w:r>
      <w:r>
        <w:t xml:space="preserve"> industrial, relations, second, according; EU scope not established. This is a provisional connection, not an outcome finding.</w:t>
      </w:r>
    </w:p>
    <w:p>
      <w:pPr>
        <w:pStyle w:val="SourceNote"/>
      </w:pPr>
      <w:r>
        <w:rPr>
          <w:b/>
        </w:rPr>
        <w:t>Available abstract (not full text):</w:t>
      </w:r>
      <w:r>
        <w:t xml:space="preserve"> I consider it a privilege to have been invited to write the Foreword of this book entitled Industrial Sociology, Industrial Relations and Human Resources Management which is a compendium carefully put together by the Industrial Sociology arm of the Nigeria Anthropological and Sociological Practitioners Association (NASA).Such consideration was borne out of two reasons.One, according to my light, it is the maiden attempt at bringing together renown industrial sociologists in Nigeria to an intellectual harvest of such a magnitude and diversity.Second, because of what the book represents at a time that Nigeria is gasping for existential breath that finds expression in colossal mismanagement of Nigeria's super structure, which the economy is an essential part.At the macro-group level, I commend the industrial sociology unit of NASA for the apparent demonstration of unity of purpose that has culminated in this trail blazing effort.Indeed, responding to such a clarion call to conceptualise, analyse and proffer recommendations in the context of apparent governmental neglect of the education sector, although necessary, is particularly difficult.That these colleagues did not shy away from their sacred mandate, of knowledge production and dissemination, is a clear testimony of love for country and humanity.By this enviable effort, the unit has unwittingly thrown up a challenge for the me</w:t>
      </w:r>
    </w:p>
    <w:p>
      <w:pPr>
        <w:pStyle w:val="Heading2"/>
      </w:pPr>
      <w:r>
        <w:t>893.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2024:</w:t>
      </w:r>
      <w:r>
        <w:t xml:space="preserve"> DEVELOPMENT OF REMOTE BANKING SERVICES OF COMMERCIAL BANKS IS A REQUIREMENT OF THE TIME — https://doi.org/10.5281/zenodo.21413961</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 article examines the increase in capital of commercial banks and the factors influencing it on the basis of theoretical and practical data. Also, based on the study of foreign experience, it is argued that the increase in asset quality in banks will directly improve the quality of credit services provided by banks, reduce problem loans and the use of credit scoring system. A number of specific aspects of the use of credit scoring system in improving the quality of assets of commercial banks have been studied in detail on the basis of theoretical and practical data, scientific proposals and practical recommendations have been developed on the basis of author’s approaches.</w:t>
      </w:r>
    </w:p>
    <w:p>
      <w:pPr/>
      <w:r>
        <w:rPr>
          <w:b/>
        </w:rPr>
        <w:t>POSSIBLE 2024:</w:t>
      </w:r>
      <w:r>
        <w:t xml:space="preserve"> Study on the Application of "Time Bank" to College Students' Volunteer Service System in the Context of Rural Revitalization — https://doi.org/10.54097/pbf0y096</w:t>
      </w:r>
    </w:p>
    <w:p>
      <w:pPr/>
      <w:r>
        <w:rPr>
          <w:b/>
        </w:rPr>
        <w:t>Shared claim-specific concepts:</w:t>
      </w:r>
      <w:r>
        <w:t xml:space="preserve"> time, services, they, not; EU scope not established. This is a provisional connection, not an outcome finding.</w:t>
      </w:r>
    </w:p>
    <w:p>
      <w:pPr>
        <w:pStyle w:val="SourceNote"/>
      </w:pPr>
      <w:r>
        <w:rPr>
          <w:b/>
        </w:rPr>
        <w:t>Available abstract (not full text):</w:t>
      </w:r>
      <w:r>
        <w:t xml:space="preserve"> With the idea of inclusiveness gradually penetrating into the philosophy of governance of colleges and universities, college students' volunteer activities are gradually enriched, and college students have become the most energetic group in youth volunteer activities. Student organizations and associations at the college or school level have become the main field and position for college students to carry out volunteer service activities in various colleges and universities. They arouse students' interest and achieve the purpose of recruiting college students' volunteers by means of credit awards, personal enhancement, and outings, etc., and then carry out volunteer service activities on the basis of which they provide various services for others or the society to promote the development and progress of China's society. According to the survey, college student volunteers have reached 83.1% of the total number of volunteers, college students have been the main force in the body. However, from the current situation, the conditions of volunteer service are still lacking, the contemporary university volunteer group students do not have a comprehensive understanding of volunteer service, awareness is weak, and volunteer activities are mostly top-down type of promotion, passive volunteer service also deviates from the original intention of the spirit of volunteerism. Therefore, with </w:t>
      </w:r>
    </w:p>
    <w:p>
      <w:pPr/>
      <w:r>
        <w:rPr>
          <w:b/>
        </w:rPr>
        <w:t>POSSIBLE 2023:</w:t>
      </w:r>
      <w:r>
        <w:t xml:space="preserve"> Examining the Role of Motivation Cues from Narratives in Online Time Bank Participating Decisions — https://doi.org/10.21203/rs.3.rs-2694840/v1</w:t>
      </w:r>
    </w:p>
    <w:p>
      <w:pPr/>
      <w:r>
        <w:rPr>
          <w:b/>
        </w:rPr>
        <w:t>Shared claim-specific concepts:</w:t>
      </w:r>
      <w:r>
        <w:t xml:space="preserve"> time, banks, value; EU scope not established. This is a provisional connection, not an outcome finding.</w:t>
      </w:r>
    </w:p>
    <w:p>
      <w:pPr>
        <w:pStyle w:val="SourceNote"/>
      </w:pPr>
      <w:r>
        <w:rPr>
          <w:b/>
        </w:rPr>
        <w:t>Available abstract (not full text):</w:t>
      </w:r>
      <w:r>
        <w:t xml:space="preserve"> Abstract Time bank known as “Community/Neighborhood Pension”, provides a new solution to fulfill the unmet service needs of community members with idle community resources. The operation of time banks relies on the active participation of community members. Therefore, in this study we investigate the motivation of members to participate in web-based time banks from a service requirement narrative perspective. Drawing on grounded theory and self-determination theory, we built a model to assess how intrinsic and extrinsic cues underlying service requirement narratives affect time bank participation decisions of service providers. To test our hypotheses, we conducted a regression analysis of 12339 projects from the “Nansha Time Bank” (a web-based time bank) platform in China. We find that participants respond positively to time coin returns and narratives highlighting social connection and value fulfillment but respond negatively to service hour costs and empathy-altruism cues.</w:t>
      </w:r>
    </w:p>
    <w:p>
      <w:pPr/>
      <w:r>
        <w:rPr>
          <w:b/>
        </w:rPr>
        <w:t>POSSIBLE 2023:</w:t>
      </w:r>
      <w:r>
        <w:t xml:space="preserve"> How to develop the Time Bank for Old-Age Service in Less Developed Areas: A Comparison of Nanning and Nanjing — https://doi.org/10.54097/hbem.v8i.7259</w:t>
      </w:r>
    </w:p>
    <w:p>
      <w:pPr/>
      <w:r>
        <w:rPr>
          <w:b/>
        </w:rPr>
        <w:t>Shared claim-specific concepts:</w:t>
      </w:r>
      <w:r>
        <w:t xml:space="preserve"> time, address, not; EU scope not established. This is a provisional connection, not an outcome finding.</w:t>
      </w:r>
    </w:p>
    <w:p>
      <w:pPr>
        <w:pStyle w:val="SourceNote"/>
      </w:pPr>
      <w:r>
        <w:rPr>
          <w:b/>
        </w:rPr>
        <w:t>Available abstract (not full text):</w:t>
      </w:r>
      <w:r>
        <w:t xml:space="preserve"> With the rapid economic growth, China has officially entered into an aging society and is facing the severe challenge of a population aging crisis. China has begun implementing the Time Bank for old-age service to address the aging problem better. However, Time Bank is usually developed in economically developed regions, and Time Bank is not set in less developed areas. This paper compares and analyzes the operation mechanism of the Time Bank in Nanning from five perspectives: policy support and funding sources, operation model, volunteer team construction, Time Banking platform construction, and service projects. The proposed measures for developing Time Bank in less developed regions fill a problem gap. China needs to address the risk of population aging actively. This is important for China to solve its pension problem and deepen the understanding of Chinese academia on the development of time banking in less developed regions.</w:t>
      </w:r>
    </w:p>
    <w:p>
      <w:pPr/>
      <w:r>
        <w:rPr>
          <w:b/>
        </w:rPr>
        <w:t>POSSIBLE 2022:</w:t>
      </w:r>
      <w:r>
        <w:t xml:space="preserve"> Research on Time Bank Mutual Pension Model under the Background of Aging Population — https://doi.org/10.54097/fbem.v6i3.3312</w:t>
      </w:r>
    </w:p>
    <w:p>
      <w:pPr/>
      <w:r>
        <w:rPr>
          <w:b/>
        </w:rPr>
        <w:t>Shared claim-specific concepts:</w:t>
      </w:r>
      <w:r>
        <w:t xml:space="preserve"> time, value, people; EU scope not established. This is a provisional connection, not an outcome finding.</w:t>
      </w:r>
    </w:p>
    <w:p>
      <w:pPr>
        <w:pStyle w:val="SourceNote"/>
      </w:pPr>
      <w:r>
        <w:rPr>
          <w:b/>
        </w:rPr>
        <w:t>Available abstract (not full text):</w:t>
      </w:r>
      <w:r>
        <w:t xml:space="preserve"> With the aging of the population,the-age security of low-income urban and rural resident,who account for about 70% of china’s total population,has become an important issue related to the national economy and people’s livelihood,and also a short board to be solved urgently in building a socialist modernization power[1].Mutual support for the aged is a new pension model that transcends the blood relationship, can assist the family to provide for the aged, and solve the pension problem with the help of social forces. In this model, the concept of "time money" is introduced and merged into a brand-new mutual support model "Time Bank". China's "Time Bank" mechanism is still in the development stage, and there are still some problems from the current operation of this new pension model in China. In order to promote the extensive development of Time Bank, this paper makes a theoretical analysis on the conversion of time currency value, withdrawal and deposit, the conversion of labor value and time currency value in Time Bank, and the inheritance of time currency savings, so as to create an all-round, wide-area, multi-level and integrated old-age service ecology, create a service-oriented old-age model with China characteristics, and contribute to China's wisdom and China's plan for solving the world's old-age problems.</w:t>
      </w:r>
    </w:p>
    <w:p>
      <w:pPr/>
      <w:r>
        <w:rPr>
          <w:b/>
        </w:rPr>
        <w:t>POSSIBLE 2022:</w:t>
      </w:r>
      <w:r>
        <w:t xml:space="preserve"> Efficiency of Teller Service Time at Limited Companies of Bank North Sulawesi and Gorontalo Kotamobagu Branch — https://doi.org/10.47191/ijsshr/v5-i12-62</w:t>
      </w:r>
    </w:p>
    <w:p>
      <w:pPr/>
      <w:r>
        <w:rPr>
          <w:b/>
        </w:rPr>
        <w:t>Shared claim-specific concepts:</w:t>
      </w:r>
      <w:r>
        <w:t xml:space="preserve"> time, they, people; EU scope not established. This is a provisional connection, not an outcome finding.</w:t>
      </w:r>
    </w:p>
    <w:p>
      <w:pPr>
        <w:pStyle w:val="SourceNote"/>
      </w:pPr>
      <w:r>
        <w:rPr>
          <w:b/>
        </w:rPr>
        <w:t>Available abstract (not full text):</w:t>
      </w:r>
      <w:r>
        <w:t xml:space="preserve"> This research was conducted at Limited Companies of Bank North Sulawesi and Gorontalo Kotamobagu Branch with the aim of knowing the efficiency of bank teller service time provided to customers. Service is an action that is often carried out by service companies such as banking financial institutions. In the queuing system, consumers will become loyal customers if they feel satisfaction because they don't wait too long, and this will benefit the company concerned. The results of the study obtained that the standard teller time serving one customer was 6 minutes 88 seconds. The number of subscriptions waiting in each queue at the teller counter with normal circumstances is two people while the subscription time waiting in the teller counter queue under normal circumstances is 11 minutes 28 seconds. The length of waiting plus the average service time of each customer in the teller system is 15 minutes must be reduced by adding two tellers so that it becomes four tellers. Thus, a good, fast, and maximum service system can be proven by the standard teller time in serving one customer with an efficient time of 7.5 minutes.</w:t>
      </w:r>
    </w:p>
    <w:p>
      <w:pPr>
        <w:pStyle w:val="Heading2"/>
      </w:pPr>
      <w:r>
        <w:t>894.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2024:</w:t>
      </w:r>
      <w:r>
        <w:t xml:space="preserve"> Analyzing Labor Costs in The Transport and Storage Sector in European Countries Through Trend and Cluster Analysis:2007-2022 — https://doi.org/10.19168/jyasar.1345236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Trends in the transport and storage industry's labor markets in Europe have significantly impacted changes in labor costs. Technological advancements, increased privatization and deregulation, and changes in global capital flows are among the key reasons that have resulted in significant changes in labor costs in the logistics sector during the last few decades, especially in Europe. The amount of remuneration for logistics personnel and its pace of change over time are essential aspects influencing not just capital investment choices but also country competitiveness. The clusters of countries with similar wage increases over time are also impacted by their economic, social, and ecological problems to a similar extent. The existence of probable trends in labor costs in transport and storage on a country level, as well as cluster analysis over the countries where the trend is found, will aid in revealing significant similarities and contrasts concerning the sector and the countries involved in the research. The Labor Cost Index (LCI), according to NACE Rev. 2 Activity-nominal value, quarterly data released by Eurostat was utilized for this research. Sixty-four quarterly periods have been covered between the first quarter of 2007 and the fourth quarter of 2022. The research was based on data collected from 23 different European countries. The Mann-Kendall trend test and Sen's slo</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Adapting for Inertia — https://openalex.org/W7137589190</w:t>
      </w:r>
    </w:p>
    <w:p>
      <w:pPr/>
      <w:r>
        <w:rPr>
          <w:b/>
        </w:rPr>
        <w:t>Shared claim-specific concepts:</w:t>
      </w:r>
      <w:r>
        <w:t xml:space="preserve"> inertia, look; EU scope not established. This is a provisional connection, not an outcome finding.</w:t>
      </w:r>
    </w:p>
    <w:p>
      <w:pPr>
        <w:pStyle w:val="SourceNote"/>
      </w:pPr>
      <w:r>
        <w:rPr>
          <w:b/>
        </w:rPr>
        <w:t>Available abstract (not full text):</w:t>
      </w:r>
      <w:r>
        <w:t xml:space="preserve"> Despite much learning and research over many decades, large ICT software projects have continued to experience poor outcomes or fallen short of original expectations—some spectacularly so. This is the case in the Australian and New Zealand public sectors, even though these projects operate within historically developed institutional frameworks that provide the rules, guidelines and controls, and aim to consistently improve outcomes. Something is amiss. In Adapting for Inertia, Grant Douglas questions the effectiveness of these institutional frameworks in governing large ICT software projects in the Australian and New Zealand public sectors. He also gauges the perspectives of a large number of actors in projects in both sectors and examines two case studies in detail. The main narrative to emerge is that the institutional frameworks are in a state of inertia: they are failing to adapt, owing to various institutional factors—all of which have public policy implications. Sadly, Douglas finds, this inertia is likely to continue. If there is difficulty in changing the capacity to govern, he proposes, policymakers should look to change the nature of what is to be governed.</w:t>
      </w:r>
    </w:p>
    <w:p>
      <w:pPr/>
      <w:r>
        <w:rPr>
          <w:b/>
        </w:rPr>
        <w:t>POSSIBLE 2023:</w:t>
      </w:r>
      <w:r>
        <w:t xml:space="preserve"> Effects of Digitalization on Labor Market Development in Transport Sector in Post- Covid Environment — https://doi.org/10.37075/2023.4/ea.2023.4.05</w:t>
      </w:r>
    </w:p>
    <w:p>
      <w:pPr/>
      <w:r>
        <w:rPr>
          <w:b/>
        </w:rPr>
        <w:t>Shared claim-specific concepts:</w:t>
      </w:r>
      <w:r>
        <w:t xml:space="preserve"> transport, sector, like, related; EU scope visible. This is a provisional connection, not an outcome finding.</w:t>
      </w:r>
    </w:p>
    <w:p>
      <w:pPr>
        <w:pStyle w:val="SourceNote"/>
      </w:pPr>
      <w:r>
        <w:rPr>
          <w:b/>
        </w:rPr>
        <w:t>Available abstract (not full text):</w:t>
      </w:r>
      <w:r>
        <w:t xml:space="preserve"> The development of digitalization processes in a post-pandemic environment has the potential to seriously affect the labor market in the transport sector in South- Eastern European countries, which sector is not prepared for such a transformation. An increasing number of transport companies will face the dilemma of keeping their workforce or replacing it with digital devices and robots. The consequences of the COVID-19 pandemic, which led to many small and medium-sized enterprises bankruptcies in the sector, will make it even more difficult for transport companies to remain competitive both on the national and European transport market. Based on statistical and descriptive analysis, the article aims to forecast the emerging trends in the sector and to give recommendations for a smooth transition, considering the specifics of the transport sector in terms of social and technological sustainability. The study identifies the problems, related to the digitalization of the transport sector and reveals the possibilities for their overcoming in regard to road passenger carriages in intercity lines in developing countries with transition economies like Bulgaria.</w:t>
      </w:r>
    </w:p>
    <w:p>
      <w:pPr/>
      <w:r>
        <w:rPr>
          <w:b/>
        </w:rPr>
        <w:t>POSSIBLE 2022:</w:t>
      </w:r>
      <w:r>
        <w:t xml:space="preserve"> Institutional and organisational change in the German rail transport sector. Working paper 3 of the study LowCarb-RFC - European Rail Freight Corridors going Carbon Neutral — https://doi.org/10.24406/publica-fhg-299027</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paper asks how the modal shift from road to rail in the freight sector is sup-ported by institutional change. Following North (1990), institutions are understood as the "rules of the game" in the rail freight sector. Based on the literature on institutional change, four different perspectives and mechanisms can be dis-cerned: institutional design, collective action, institutional adaptation, and institu-tional diffusion. Each of these perspectives examines the situation in the German rail freight sector from a different angle. Based on this analysis, processes of institutional change and their potential impact on modal shift are discussed. Fol-lowing the railway reform, new domestic and foreign competitors of DB Cargo have entered the rail freight market with business models tailored to promising segments. At the same time, this competition has triggered a transformative or-ganisational change initiative at DB Cargo, which is currently in the process of implementation. Even though the success of this initiatives is highly uncertain, in total, the described changes are likely to result in a higher competitiveness of the sector and a stronger orientation to customer needs. Furthermore, the road freight sector has increasingly come under political pressure due to its rising GHG emissions and rail transport is increasingly seen as a viable alternative. In this respect, the rece</w:t>
      </w:r>
    </w:p>
    <w:p>
      <w:pPr/>
      <w:r>
        <w:rPr>
          <w:b/>
        </w:rPr>
        <w:t>POSSIBLE 2022:</w:t>
      </w:r>
      <w:r>
        <w:t xml:space="preserve"> A review on Rail Transport in Europe and Italy — https://doi.org/10.1109/eeeic/icpseurope54979.2022.9854799</w:t>
      </w:r>
    </w:p>
    <w:p>
      <w:pPr/>
      <w:r>
        <w:rPr>
          <w:b/>
        </w:rPr>
        <w:t>Shared claim-specific concepts:</w:t>
      </w:r>
      <w:r>
        <w:t xml:space="preserve"> transport, sector, evolution; EU scope visible. This is a provisional connection, not an outcome finding.</w:t>
      </w:r>
    </w:p>
    <w:p>
      <w:pPr>
        <w:pStyle w:val="SourceNote"/>
      </w:pPr>
      <w:r>
        <w:rPr>
          <w:b/>
        </w:rPr>
        <w:t>Available abstract (not full text):</w:t>
      </w:r>
      <w:r>
        <w:t xml:space="preserve"> The paper describes the state of the art of passenger and freight rail transport in Italy and Europe taken into account market demand, consumption, emissions and costs. Present and future scenarios are analyzed (projections towards 2030 and 2050) to observe the evolution of rail transport and to evaluate how the demand for mobility will change and how the new development frontiers will impact pollution and economic management. Summarizing, the paper identifies the policies implemented to promote the railway sector and the existing limits to its development.</w:t>
      </w:r>
    </w:p>
    <w:p>
      <w:pPr/>
      <w:r>
        <w:rPr>
          <w:b/>
        </w:rPr>
        <w:t>POSSIBLE 2022:</w:t>
      </w:r>
      <w:r>
        <w:t xml:space="preserve"> Struggling with inertia: Regime barriers opposing planning and implementation of urban ropeways — https://doi.org/10.1016/j.urbmob.2022.100023</w:t>
      </w:r>
    </w:p>
    <w:p>
      <w:pPr/>
      <w:r>
        <w:rPr>
          <w:b/>
        </w:rPr>
        <w:t>Shared claim-specific concepts:</w:t>
      </w:r>
      <w:r>
        <w:t xml:space="preserve"> transport, inertia, need, look, challenges; EU scope visible. This is a provisional connection, not an outcome finding.</w:t>
      </w:r>
    </w:p>
    <w:p>
      <w:pPr>
        <w:pStyle w:val="SourceNote"/>
      </w:pPr>
      <w:r>
        <w:rPr>
          <w:b/>
        </w:rPr>
        <w:t>Available abstract (not full text):</w:t>
      </w:r>
      <w:r>
        <w:t xml:space="preserve"> Urban ropeways are a novel option to extend public transport. Technically suited to a range of use cases, urban ropeways have not yet been implemented as part of a public transport solution in Germany. Rather than the technology itself, specific routines and practices of the public transport service regime have been identified as main challenges. Building on series of expert workshops conducted in 2017 (23 participants in total), we look beyond technical characteristics and study the preparedness of service regime actors regarding processes and routines as well as structural factors of inertia. Generally, we observe an increasing openness towards reflecting about integrating urban ropeways into public transport. However, misalignment is still clearly visible: First, lacking experiences with this new option at the local level imply a time-consuming need for information and clarification. Second, and more fundamentally, the suitability of established planning routines is questioned, which is critical because the dense regulatory framework existing in Germany currently requires these. We discuss the implications at the level of the service regime and the relevance of these structural mechanisms in considering technological potentials in a mobility transition more generally.</w:t>
      </w:r>
    </w:p>
    <w:p>
      <w:pPr/>
      <w:r>
        <w:rPr>
          <w:b/>
        </w:rPr>
        <w:t>POSSIBLE 2022:</w:t>
      </w:r>
      <w:r>
        <w:t xml:space="preserve"> Investment Package Manual for European Cities and Regions. Volume II – European investment package on circular bioeconomy for European Member States, Regions and Cities — https://doi.org/10.5281/zenodo.7760610</w:t>
      </w:r>
    </w:p>
    <w:p>
      <w:pPr/>
      <w:r>
        <w:rPr>
          <w:b/>
        </w:rPr>
        <w:t>Shared claim-specific concepts:</w:t>
      </w:r>
      <w:r>
        <w:t xml:space="preserve"> investments, related; EU scope visible. This is a provisional connection, not an outcome finding.</w:t>
      </w:r>
    </w:p>
    <w:p>
      <w:pPr>
        <w:pStyle w:val="SourceNote"/>
      </w:pPr>
      <w:r>
        <w:rPr>
          <w:b/>
        </w:rPr>
        <w:t>Available abstract (not full text):</w:t>
      </w:r>
      <w:r>
        <w:t xml:space="preserve"> Circular Bioeconomy needs to be deployed thanks to investments aligned with the green financing and funding to comply with requirements and goals from public policies and strategies toward a circular and carbon-neutral economy by 2050. Thanks to green finance, European cities, regions, their entrepreneurs and businesses will be able to accelerate their transition to a low-carbon, resilient and resource-efficient economy. The Investment Package Manual was designed at first time as confidential for the HOOP project’s pilot cities and regions, called Lighthouse, supporting them with knowledge and tools in their circularity journey. The HOOP project [October 2020 - September 2024] aims to unlock bio-based investments and deploy local bio economies in Europe through a systemic and cross-cutting approach. It will offer project development assistance to a group of 8 Lighthouse Cities and Regions to build the technical, economic, financial and legal expertise needed to develop concrete investments to valorise biowaste and wastewater, with the aim of obtaining safe and sustainable bio-based products. The manual demonstrated a practical utility over time, being extensible and valuable resource for other EU Member States and their cities and regions. For this reason, the authors propose a public version that was developed to be disseminated among Cities and Regions of the HOOP Network and</w:t>
      </w:r>
    </w:p>
    <w:p>
      <w:pPr/>
      <w:r>
        <w:rPr>
          <w:b/>
        </w:rPr>
        <w:t>POSSIBLE 2020:</w:t>
      </w:r>
      <w:r>
        <w:t xml:space="preserve"> Consuption and development of biofules in the European transport sector — https://doi.org/10.34726/hss.2020.73182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With the new European Union (EU) Renewable Energy Directive RED II adopted in 2018, the EU strives to increase consumption of renewable energy by 32 percent and to take a leading position in this regard by further reducing dependency on imported fossil fuels. Biofuels, such as bioethanol, biodiesel or biogas, play a significant role as the Directive fosters the consumption of them, as well as the further development of advanced biofuels, which is crucial for reducing greenhouse gas emissions and the decarbonisation of the transport sector in the EU. The future of biofuel development depends to a large extent on political support and decisions, as well as technological development and more intensive use of new raw materials such as lignocellulosic biomass or waste feedstock. In addition the reduction of feedstocks with a high risk of land use change are also discussed. This thesis describes biofuels currently available on the European market, as well as the development of advanced biofuels. Subsequently, the impact of this new Directive on the availability of biofuels in the transport sector are summarized</w:t>
      </w:r>
    </w:p>
    <w:p>
      <w:pPr>
        <w:pStyle w:val="Heading2"/>
      </w:pPr>
      <w:r>
        <w:t>895.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r>
        <w:rPr>
          <w:b/>
        </w:rPr>
        <w:t>POSSIBLE 2021:</w:t>
      </w:r>
      <w:r>
        <w:t xml:space="preserve"> Long-Term Motor Learning in the “Wild” With High Volume Video Game Data — https://doi.org/10.3389/fnhum.2021.777779</w:t>
      </w:r>
    </w:p>
    <w:p>
      <w:pPr/>
      <w:r>
        <w:rPr>
          <w:b/>
        </w:rPr>
        <w:t>Shared claim-specific concepts:</w:t>
      </w:r>
      <w:r>
        <w:t xml:space="preserve"> several, wild, high, time; EU scope not established. This is a provisional connection, not an outcome finding.</w:t>
      </w:r>
    </w:p>
    <w:p>
      <w:pPr>
        <w:pStyle w:val="SourceNote"/>
      </w:pPr>
      <w:r>
        <w:rPr>
          <w:b/>
        </w:rPr>
        <w:t>Available abstract (not full text):</w:t>
      </w:r>
      <w:r>
        <w:t xml:space="preserve"> Abstract Motor learning occurs over long periods of practice during which motor acuity – the ability to execute actions more accurately, precisely, and within a shorter amount of time – improves. Laboratory-based motor learning studies are typically limited to a small number of participants and a time frame of minutes to several hours per participant. Thus, there is a need to assess the generalizability of theories and findings from lab-based motor learning studies on much larger samples across longer time scales. In addition, laboratory-based studies of motor learning use relatively simple motor tasks which participants are unlikely to be intrinsically motivated to learn, limiting the interpretation of their findings in more ecologically valid settings. We studied the acquisition and longitudinal refinement of a complex sensorimotor skill embodied in a first-person shooter video game scenario, with a large sample size (N = 7174 participants, 682,564 repeats of the 60 sec game) over a period of months. Participants voluntarily practiced the gaming scenario for as much as several hours per day up to 100 days. We found improvement in performance accuracy (quantified as hit rate) was modest over time but motor acuity (quantified as hits per second) improved considerably, with 40-60% retention from one day to the next. We observed steady improvements in motor acuity across multiple</w:t>
      </w:r>
    </w:p>
    <w:p>
      <w:pPr/>
      <w:r>
        <w:rPr>
          <w:b/>
        </w:rPr>
        <w:t>POSSIBLE 2020:</w:t>
      </w:r>
      <w:r>
        <w:t xml:space="preserve"> The supreme audit institutions readiness to uncertainty — https://doi.org/10.9770/jesi.2020.8.1(36)</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inefficient fight against the COVID-19 pandemic and earlier insufficient readiness to counteract terrorist attacks raise the question about the role of the supreme audit institutions (SAIs) in the situation, in which decision-makers take decisions in uncertainty conditions.The states did not prove themselves in conditions of uncertainty.In all countries, the situation is the same, too late decisions regarding anti-epidemic quarantine, lack of necessary measures to protect doctors and patients, too few respirators.Based on the analysis of several randomly selected SAIs from different parts of the Globe, this study found that the audit methodology tailored to a predictable environment became inappropriate in uncertainty conditions.Most of analysed SAIs did not find weak signals and wild cards related to pandemic.Those who found such signals did not use them in foresight, which results that parliaments, governments and the public are not ready for global threats.It creates risks for entrepreneurs.</w:t>
      </w:r>
    </w:p>
    <w:p>
      <w:pPr/>
      <w:r>
        <w:rPr>
          <w:b/>
        </w:rPr>
        <w:t>POSSIBLE 2019:</w:t>
      </w:r>
      <w:r>
        <w:t xml:space="preserve"> OP02 Sweacp: a structured conversation-based advanced care planning approach in the ACP-naïve swedish context — https://doi.org/10.1136/spcare-2019-acpicongressabs.2</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Background Sweden has no systematic advance care planning (ACP), nor judicial means of recognizing proxies in end-of-life (EoL) situations. In the SweACP project in the DöBra research program, we focus on engaging stakeholders in active conversations about preferences for future EoL care, rather than using a document-driven approach to ACP. We describe results of feasibility testing a structured conversation-based ACP approach among older adults in the general public as well as exploring their strategies for reasoning about their EoL preferences. Methods After initial testing in pilot focus groups, a Swedish version of GoWish cards, DöBra cards, and Eco-mapping were used to catalyze discussions on what and who matters at the EoL. The 65 participants from across Sweden actively contacted the researchers volunteering to participate, after receiving information through national patient-or retiree organizations. Both quantitative and qualitative data were analyzed, using descriptive statistics and inductive analysis. Results DöBra cards were positively received by participants; there was great individual variation in card prioritization and formulation of wild cards. Eco-mapping was met with less enthusiasm but was useful in depicting a social context often taken-for-granted. Qualitative analysis revealed several strategies for reasoning about future EoL care. Conclusions Having a </w:t>
      </w:r>
    </w:p>
    <w:p>
      <w:pPr/>
      <w:r>
        <w:rPr>
          <w:b/>
        </w:rPr>
        <w:t>POSSIBLE 2019:</w:t>
      </w:r>
      <w:r>
        <w:t xml:space="preserve"> A wild circulation: High presence of Porcine circovirus 3 in different mammalian wild hosts and ticks — https://doi.org/10.1111/tbed.13180</w:t>
      </w:r>
    </w:p>
    <w:p>
      <w:pPr/>
      <w:r>
        <w:rPr>
          <w:b/>
        </w:rPr>
        <w:t>Shared claim-specific concepts:</w:t>
      </w:r>
      <w:r>
        <w:t xml:space="preserve"> several, wild, high, time; EU scope not established. This is a provisional connection, not an outcome finding.</w:t>
      </w:r>
    </w:p>
    <w:p>
      <w:pPr>
        <w:pStyle w:val="SourceNote"/>
      </w:pPr>
      <w:r>
        <w:rPr>
          <w:b/>
        </w:rPr>
        <w:t>Available abstract (not full text):</w:t>
      </w:r>
      <w:r>
        <w:t xml:space="preserve"> Porcine circovirus 3 (PCV-3) has emerged as a potential threat for swine industry, being consistently reported in the presence of several clinical signs all around the world. Recently, its presence in wild boar has been demonstrated at high prevalence. This evidence is surprising since the lower density of wild populations might not be expected to sustain such efficient viral transmission. Porcine circoviruses were proven to exhibit a certain plasticity in the host tropism and were detected in unrelated species, like mice, dogs and ruminants. However, if this scenario applies also to wild animals remains to be established. Therefore, this study aimed to investigate the presence of PCV-3 in wild ungulates other than wild boar and in related hematophagous ectoparasites. One hundred and nine animals were sampled from different hilly and mountain areas of Friuli Venezia Giulia, including 9 chamois (Rupicapra rupicapra), 17 red deer (Cervus elaphus), 4 mouflons (Ovis musimon), 50 roe deer (Capreolus capreolus) and 29 wild boars (Sus scrofa). Additionally, host-matched ectoparasites were collected when present. Porcine circovirus 3 was diagnosed using molecular techniques and sequencing. This study results confirmed the high PCV-3 occurrence in wild boar and reported for the first time its presence, at low prevalence, in chamois and roe deer. Moreover, two ticks (Ixodes ricinus), one</w:t>
      </w:r>
    </w:p>
    <w:p>
      <w:pPr>
        <w:pStyle w:val="Heading2"/>
      </w:pPr>
      <w:r>
        <w:t>896.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r>
        <w:rPr>
          <w:b/>
        </w:rPr>
        <w:t>POSSIBLE 2022:</w:t>
      </w:r>
      <w:r>
        <w:t xml:space="preserve"> Pharmacist direct dispensing of mifepristone for medication abortion in Canada: a survey of community pharmacists — https://doi.org/10.1136/bmjopen-2022-063370</w:t>
      </w:r>
    </w:p>
    <w:p>
      <w:pPr/>
      <w:r>
        <w:rPr>
          <w:b/>
        </w:rPr>
        <w:t>Shared claim-specific concepts:</w:t>
      </w:r>
      <w:r>
        <w:t xml:space="preserve"> design, community, pharmacists, system, conclusions, provision; EU scope not established. This is a provisional connection, not an outcome finding.</w:t>
      </w:r>
    </w:p>
    <w:p>
      <w:pPr>
        <w:pStyle w:val="SourceNote"/>
      </w:pPr>
      <w:r>
        <w:rPr>
          <w:b/>
        </w:rPr>
        <w:t>Available abstract (not full text):</w:t>
      </w:r>
      <w:r>
        <w:t xml:space="preserve"> Introduction Pharmacists were acknowledged as the most appropriate healthcare professional to dispense mifepristone for medication abortion shortly after the prescription therapy became available in January 2017 in Canada. Objective We aimed to identify the facilitators and barriers for successful initiation and ongoing dispensing of mifepristone among community pharmacists across Canada. Study design We surveyed community pharmacists from urban/rural practice settings across Canada by recruiting from January 2017 to January 2019 through pharmacist organisations, professional networks, at mifepristone training courses and at professional conferences. The Diffusion of Innovations theory informed the study design, thematic analysis and interpretation of findings. We summarised categorical data using counts and proportions, χ2 tests, Wilcoxon rank-sum and proportional odds logistic regression. Results Of the 433 responses from dispensing community pharmacists across 10/13 Canadian provinces and territories, 93.1% indicated they were willing and ready to dispense mifepristone. Key facilitators were access to a private consultation setting (91.4%), the motivation to increase accessibility for patients (87.5%) and to reduce pressure on the healthcare system (75.3%). The cost of the mifepristone/misoprostol product was an initial barrier, subsequently resolved by universal government </w:t>
      </w:r>
    </w:p>
    <w:p>
      <w:pPr/>
      <w:r>
        <w:rPr>
          <w:b/>
        </w:rPr>
        <w:t>POSSIBLE 2021:</w:t>
      </w:r>
      <w:r>
        <w:t xml:space="preserve"> Role of community pharmacists in pharmacovigilance: pharmacists’ and patients’ perceptions — https://doi.org/10.1093/eurpub/ckab165.365</w:t>
      </w:r>
    </w:p>
    <w:p>
      <w:pPr/>
      <w:r>
        <w:rPr>
          <w:b/>
        </w:rPr>
        <w:t>Shared claim-specific concepts:</w:t>
      </w:r>
      <w:r>
        <w:t xml:space="preserve"> community, pharmacists, role, conclusions; EU scope not established. This is a provisional connection, not an outcome finding.</w:t>
      </w:r>
    </w:p>
    <w:p>
      <w:pPr>
        <w:pStyle w:val="SourceNote"/>
      </w:pPr>
      <w:r>
        <w:rPr>
          <w:b/>
        </w:rPr>
        <w:t>Available abstract (not full text):</w:t>
      </w:r>
      <w:r>
        <w:t xml:space="preserve"> Abstract Background Pharmacists are involved in pharmacovigilance in many countries, their role varies. Some studies show that they are not active enough in reporting adverse drug reactions (ADR). Pharmacists' and patients' awareness about engagement of pharmacists in reporting ADR and other medicines use problems, as well as in counseling on medication safety is essential for improving patient safety. The objective of this work was to study attitude of pharmacy professionals and patients to role of community pharmacy staff in providing patient medication safety in Armenia. Methods 297 pharmacists and technicians, as well as 2066 patients were interviewed in Yerevan (capital of Armenia) according to designed and pretested questionnaire. Results 201 (68.0%) pharmacists and technicians consider that community pharmacists in Armenia are engaged in ADR reporting and 198 (66.6%) professionals indicated that they wish to be involved in this activity. 215 (72.4%) professionals supposed that community pharmacists are engaged in providing advices related to medicines safety and indicated that they are interested to be involved. Slightly more than a half of patients reported that they wish that community pharmacy staff would be involved in ADR reporting and would provide advices related to medicines safety: 1171 (56.7%) and 1115 (54.0%), correspondingly. The number of participated patien</w:t>
      </w:r>
    </w:p>
    <w:p>
      <w:pPr/>
      <w:r>
        <w:rPr>
          <w:b/>
        </w:rPr>
        <w:t>POSSIBLE 2020:</w:t>
      </w:r>
      <w:r>
        <w:t xml:space="preserve"> E-learning design and entrepreneurship in three European universities — https://doi.org/10.1108/ijebr-06-2019-0407</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The 100 best European universities in the Quacquarelli Symonds Rankings all use e-learning methods. The case study universities were selected from this list. The semistructured interviews with managers of e-learning services highlighted the importance of the design of e-learning courses. However, most focused on the professional figures involved, rather than the process for e-learning and the overall design of the course. Originality/value The article provides a detailed study of e-learning design in an educational context. The analysis of multiple case studies allowed the authors to iden</w:t>
      </w:r>
    </w:p>
    <w:p>
      <w:pPr/>
      <w:r>
        <w:rPr>
          <w:b/>
        </w:rPr>
        <w:t>POSSIBLE 2020:</w:t>
      </w:r>
      <w:r>
        <w:t xml:space="preserve"> E-learning design and entrepreneurship in three European universities — https://openalex.org/W7223193736</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 The 100 best European universities in the Quacquarelli Symonds Rankings all use e-learning methods. The case study universitieswere selected fromthis list.The semistructured interviews withmanagers of e-learning services highlighted the importance of the design of e-learning courses. However, most focused on the professional figures involved, rather than the process for e-learning and the overall design of the course. Originality/value – The article provides a detailed study of e-learning design in an educational context. The analysis of multiple case studies allowed the authors to </w:t>
      </w:r>
    </w:p>
    <w:p>
      <w:pPr/>
      <w:r>
        <w:rPr>
          <w:b/>
        </w:rPr>
        <w:t>POSSIBLE 2020:</w:t>
      </w:r>
      <w:r>
        <w:t xml:space="preserve"> The Community Pharmacist: Perceived Barriers and Patient-Centered Care Communication — https://doi.org/10.3390/ijerph17020536</w:t>
      </w:r>
    </w:p>
    <w:p>
      <w:pPr/>
      <w:r>
        <w:rPr>
          <w:b/>
        </w:rPr>
        <w:t>Shared claim-specific concepts:</w:t>
      </w:r>
      <w:r>
        <w:t xml:space="preserve"> community, pharmacists, pharmaceutical; EU scope not established. This is a provisional connection, not an outcome finding.</w:t>
      </w:r>
    </w:p>
    <w:p>
      <w:pPr>
        <w:pStyle w:val="SourceNote"/>
      </w:pPr>
      <w:r>
        <w:rPr>
          <w:b/>
        </w:rPr>
        <w:t>Available abstract (not full text):</w:t>
      </w:r>
      <w:r>
        <w:t xml:space="preserve"> Nowadays, the classic perception of the pharmaceutical profession in community pharmacies is facing worldwide extinction due to many factors. Among the numerous factors, online pharmacies are increasingly gaining ground thanks to their ability to facilitate customer demand. Nevertheless, they are endangering "face-to-face" contact, affecting the building of customer loyalty based on direct "human" interaction, and consequently reducing pharmacists to mere commercial figures. Patient-centered care communication is emphasized as the essential element to build a solid and appropriate interpersonal relationship with the patient, to make the consultancy process effective, and to strengthen the pharmacist's professionalism in community pharmacy. This paper presents a narrative review of existing literature with the first aim of pinpointing the factors affecting pharmacy professional practice, and secondly, of how to improve patient-centered communication skills. A more widespread introduction of in-depth study and practice of behavioral, communication, educational, and sociological methodologies and techniques would allow for the development of more effective skills used for providing an efficient consultancy service, improving the capacity of future professionals to approach public relations.</w:t>
      </w:r>
    </w:p>
    <w:p>
      <w:pPr/>
      <w:r>
        <w:rPr>
          <w:b/>
        </w:rPr>
        <w:t>POSSIBLE 2020:</w:t>
      </w:r>
      <w:r>
        <w:t xml:space="preserve"> The Role of Hospital and Community Pharmacists in the Management of COVID-19: Towards an Expanded Definition of the Roles, Responsibilities, and Duties of the Pharmacist — https://doi.org/10.3390/pharmacy8030140</w:t>
      </w:r>
    </w:p>
    <w:p>
      <w:pPr/>
      <w:r>
        <w:rPr>
          <w:b/>
        </w:rPr>
        <w:t>Shared claim-specific concepts:</w:t>
      </w:r>
      <w:r>
        <w:t xml:space="preserve"> community, pharmacists, role, health, pharmaceutical, services; EU scope not established. This is a provisional connection, not an outcome finding.</w:t>
      </w:r>
    </w:p>
    <w:p>
      <w:pPr>
        <w:pStyle w:val="SourceNote"/>
      </w:pPr>
      <w:r>
        <w:rPr>
          <w:b/>
        </w:rPr>
        <w:t>Available abstract (not full text):</w:t>
      </w:r>
      <w:r>
        <w:t xml:space="preserve"> Since late December 2019, a novel, emerging coronavirus was identified as the infectious agent responsible for a generally mild but sometimes severe and even life-threatening disease, termed as “coronavirus disease 2019” (COVID-19). The pathogen was initially named as “2019 novel coronavirus” (2019-nCoV) and later renamed as “Severe Acute Respiratory Coronavirus type 2” (SARS-CoV-2). COVID-19 quickly spread from the first epicenter, the city of Wuhan, province of Hubei, mainland China, into neighboring countries, and became a global pandemic. As of July 15th 2020, the outbreak is still ongoing, with SARS-CoV-2 affecting 213 countries and territories. The coronavirus has caused a dramatic toll of deaths and imposed a severe burden, both from a societal and economic point of view. COVID-19 has challenged health systems, straining and overwhelming healthcare facilities and settings, including hospital and community pharmacies. On the other hand, COVID-19 has propelled several changes. During the last decades, pharmacy has shifted from being products-based and patient-facing to being services-based and patient-centered. Pharmacies have transitioned from being compounding centers devoted to the manipulation of materia medica to pharmaceutical centers, clinical pharmacies and fully integrated “medical-pharmaceutical networks”, providing a significant range of non-prescribing services</w:t>
      </w:r>
    </w:p>
    <w:p>
      <w:pPr/>
      <w:r>
        <w:rPr>
          <w:b/>
        </w:rPr>
        <w:t>POSSIBLE 2019:</w:t>
      </w:r>
      <w:r>
        <w:t xml:space="preserve"> Urban design empowerment through ICT-based platforms in Europe — https://doi.org/10.1080/12265934.2019.1604250</w:t>
      </w:r>
    </w:p>
    <w:p>
      <w:pPr/>
      <w:r>
        <w:rPr>
          <w:b/>
        </w:rPr>
        <w:t>Shared claim-specific concepts:</w:t>
      </w:r>
      <w:r>
        <w:t xml:space="preserve"> aims, design, three, beyond; EU scope visible. This is a provisional connection, not an outcome finding.</w:t>
      </w:r>
    </w:p>
    <w:p>
      <w:pPr>
        <w:pStyle w:val="SourceNote"/>
      </w:pPr>
      <w:r>
        <w:rPr>
          <w:b/>
        </w:rPr>
        <w:t>Available abstract (not full text):</w:t>
      </w:r>
      <w:r>
        <w:t xml:space="preserve"> The use of ICT-based participation tools in urban design has come into prominence in the last decade. A plethora of technology-enabled participatory tools, techniques, and applications have been developed to facilitate the participation of citizens as well as other stakeholders. This study specifically focuses on ICT-based participation platforms that aim to serve as forums to respond to social and spatial needs. Many studies have reported that the use of these participatory platforms has led to positive outcomes. However, their potentials and limits for facilitating different levels of design empowerment (Senbel and Church, 2011. Design Empowerment. Journal of Planning Education and Research, 31(4), 423–437.) remain unknown. In this context, the aims of this study are: (1) to determine how these platforms empower and restrict citizens’ engagement by analysing a variety of ICT-based participation platforms in Europe, and (2) to determine the factors that can facilitate better participation practices. This research analyses 25 ICT-based participation platforms that go beyond one-sided information exchange. They were chosen out of a database of 106 platforms. These were evaluated according to their objectives, the design action phases in which they are designated to be used, their desired levels of design empowerment and their functionalities. The findings indicate that a majorit</w:t>
      </w:r>
    </w:p>
    <w:p>
      <w:pPr>
        <w:pStyle w:val="Heading2"/>
      </w:pPr>
      <w:r>
        <w:t>897.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2021:</w:t>
      </w:r>
      <w:r>
        <w:t xml:space="preserve"> Circular economy: advancement of European Union countries — https://doi.org/10.1186/s12302-021-00549-0</w:t>
      </w:r>
    </w:p>
    <w:p>
      <w:pPr/>
      <w:r>
        <w:rPr>
          <w:b/>
        </w:rPr>
        <w:t>Shared claim-specific concepts:</w:t>
      </w:r>
      <w:r>
        <w:t xml:space="preserve"> union, also, commission;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r>
        <w:rPr>
          <w:b/>
        </w:rPr>
        <w:t>POSSIBLE 2018:</w:t>
      </w:r>
      <w:r>
        <w:t xml:space="preserve"> A Perceptual Theory of Hope — https://doi.org/10.3998/ergo.12405314.0005.008</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in.We argue that shortcomings in recent theories of hope have methodological roots in that they proceed with little regard for the rich body of literature on the emotions.Taking insights from work in the philosophy of emotions, we argue that hope involves a kind of normative perception.We then develop a strategy for determining the content of this perception, arguing that hope is a perception of practical reasons.Our proposal stands in contrast with familiar views on which hope is fundamentally about the good.We conclude by considering the increasingly popular idea that some hopes are non-intentional and thus, by implication, non-perceptual.We reply by arguing that our perceptual theory plausibly generalizes to these instances of hope.</w:t>
      </w:r>
    </w:p>
    <w:p>
      <w:pPr/>
      <w:r>
        <w:rPr>
          <w:b/>
        </w:rPr>
        <w:t>POSSIBLE 2018:</w:t>
      </w:r>
      <w:r>
        <w:t xml:space="preserve"> An externally constrained hybrid regime: Hungary in the European Union — https://doi.org/10.1080/13510347.2018.1455664</w:t>
      </w:r>
    </w:p>
    <w:p>
      <w:pPr/>
      <w:r>
        <w:rPr>
          <w:b/>
        </w:rPr>
        <w:t>Shared claim-specific concepts:</w:t>
      </w:r>
      <w:r>
        <w:t xml:space="preserve"> about, union, role; EU scope visible. This is a provisional connection, not an outcome finding.</w:t>
      </w:r>
    </w:p>
    <w:p>
      <w:pPr>
        <w:pStyle w:val="SourceNote"/>
      </w:pPr>
      <w:r>
        <w:rPr>
          <w:b/>
        </w:rPr>
        <w:t>Available abstract (not full text):</w:t>
      </w:r>
      <w:r>
        <w:t xml:space="preserve"> The paper focuses on the unique, role model characteristics of the Hungarian hybrid regime, the Hungarian political system’s new incarnation forged in the past years’ democratic backsliding process. Following the short review of the main hybrid regime literature and the key analyses putting the democratic quality of the Hungarian political system under the microscope, the paper argues that Hungary’s European Union (EU) membership, the competencies of EU institutions, and the scope of EU law have played a crucial role in the development of the system’s unique characteristics. Based on this argument, the paper qualifies Hungary as an “externally constrained hybrid regime”. However, the EU does not only fulfil system constraining functions regarding the Hungarian regime, but performs system support and system legitimation functions as well. Ultimately, the changing scope of these functions, determined by the European integration’s internal dynamics, influences first and foremost the Hungarian power elite’s strategic considerations about the country’s future EU membership.</w:t>
      </w:r>
    </w:p>
    <w:p>
      <w:pPr/>
      <w:r>
        <w:rPr>
          <w:b/>
        </w:rPr>
        <w:t>POSSIBLE 2018:</w:t>
      </w:r>
      <w:r>
        <w:t xml:space="preserve"> The European Union General Data Protection Regulation: What It Is And What It Means — https://doi.org/10.1080/13600834.2019.1573501</w:t>
      </w:r>
    </w:p>
    <w:p>
      <w:pPr/>
      <w:r>
        <w:rPr>
          <w:b/>
        </w:rPr>
        <w:t>Shared claim-specific concepts:</w:t>
      </w:r>
      <w:r>
        <w:t xml:space="preserve"> about, union, also; EU scope visible. This is a provisional connection, not an outcome finding.</w:t>
      </w:r>
    </w:p>
    <w:p>
      <w:pPr>
        <w:pStyle w:val="SourceNote"/>
      </w:pPr>
      <w:r>
        <w:rPr>
          <w:b/>
        </w:rPr>
        <w:t>Available abstract (not full text):</w:t>
      </w:r>
      <w:r>
        <w:t xml:space="preserve"> This paper introduces the strategic approach to regulating personal data and the normative foundations of the European Union’s General Data Protection Regulation (‘GDPR’). We explain the genesis of the GDPR, which is best understood as an extension and refinement of existing requirements imposed by the 1995 Data Protection Directive; describe the GDPR’s approach and provisions; and make predictions about the GDPR’s implications. We also highlight where the GDPR takes a different approach than U.S. privacy law. The GDPR is the most consequential regulatory development in information policy in a generation. The GDPR brings personal data into a detailed regulatory regime, that will influence personal data usage worldwide. Understood properly, the GDPR encourages firms to develop information governance frameworks, to in-house data use, and to keep humans in the loop in decision making. Companies with direct relationships with consumers have strategic advantages under the GDPR, compared to third party advertising firms on the internet. To reach these objectives, the GDPR uses big sticks, structural elements that make proving violations easier, but only a few carrots. The GDPR will complicate and restrain some information-intensive business models. But the GDPR will also enable approaches previously impossible under less-protective approaches.</w:t>
      </w:r>
    </w:p>
    <w:p>
      <w:pPr/>
      <w:r>
        <w:rPr>
          <w:b/>
        </w:rPr>
        <w:t>POSSIBLE 2016:</w:t>
      </w:r>
      <w:r>
        <w:t xml:space="preserve"> A Monetary Hope for Europe — https://openalex.org/W7137600050</w:t>
      </w:r>
    </w:p>
    <w:p>
      <w:pPr/>
      <w:r>
        <w:rPr>
          <w:b/>
        </w:rPr>
        <w:t>Shared claim-specific concepts:</w:t>
      </w:r>
      <w:r>
        <w:t xml:space="preserve"> hope, union, also; EU scope visible. This is a provisional connection, not an outcome finding.</w:t>
      </w:r>
    </w:p>
    <w:p>
      <w:pPr>
        <w:pStyle w:val="SourceNote"/>
      </w:pPr>
      <w:r>
        <w:rPr>
          <w:b/>
        </w:rPr>
        <w:t>Available abstract (not full text):</w:t>
      </w:r>
      <w:r>
        <w:t xml:space="preserve"> A Monetary Hope for Europe. This book studies the euro in a global perspective and opens a new series edited by the Jean Monnet European Centre of Excellence of the University of Florence, Verso l’unificazione europea. Most of the chapters have been written by economists who met and discussed their diverse views at a multi-disciplinary conference organized by the Centre in May 2013 under the title The euro and the struggle for the creation of a new global currency: Problems and perspectives in the building of the political, financial and economic foundations of the European federal government. The list of contributors also includes historians as well as European and international law academics. Their essays have been revised on the basis and against the backdrop of an ongoing crisis of both the euro and the whole European project in the last years and months. The volume aims to provide useful data and interpretations to improve knowledge on the euro and the European Union in their economic, historical, juridical and political perspectives.</w:t>
      </w:r>
    </w:p>
    <w:p>
      <w:pPr/>
      <w:r>
        <w:rPr>
          <w:b/>
        </w:rPr>
        <w:t>POSSIBLE 2016:</w:t>
      </w:r>
      <w:r>
        <w:t xml:space="preserve"> A doubtful hope: resource affect in a future oil economy — https://doi.org/10.1111/1467-9655.12397</w:t>
      </w:r>
    </w:p>
    <w:p>
      <w:pPr/>
      <w:r>
        <w:rPr>
          <w:b/>
        </w:rPr>
        <w:t>Shared claim-specific concepts:</w:t>
      </w:r>
      <w:r>
        <w:t xml:space="preserve"> hope, affect, about, also, role; EU scope not established. This is a provisional connection, not an outcome finding.</w:t>
      </w:r>
    </w:p>
    <w:p>
      <w:pPr>
        <w:pStyle w:val="SourceNote"/>
      </w:pPr>
      <w:r>
        <w:rPr>
          <w:b/>
        </w:rPr>
        <w:t>Available abstract (not full text):</w:t>
      </w:r>
      <w:r>
        <w:t xml:space="preserve"> In global debates about natural resource extraction, affect has played an increasingly prominent, if somewhat nameless, role. This paper proposes a theorization of resource affect both as an intrinsic element of capitalist dynamics and as an object problematized by corporate, government, and third‐sector practice. Drawing on ethnographic research in São Tomé and Príncipe (STP), I explore the affective horizons generated by the prospect of hydrocarbon exploration: a doubtful hope comprised of visions of material betterment, personal and collective transformation, as well as anticipations of failure, friction, and discontent. I also examine the multitude of oil‐related campaigns, activities, and programmes initiated by non‐governmental organizations and global governance institutions in STP, animated by the specific conundrums presented by oil's futurity. In light of this, I argue that what we see emerging is a new resource politics that revolves around not simply the democratic and technical aspects of resource exploitation but increasingly their associated affective dissonances and inconsistencies.</w:t>
      </w:r>
    </w:p>
    <w:p>
      <w:pPr/>
      <w:r>
        <w:rPr>
          <w:b/>
        </w:rPr>
        <w:t>POSSIBLE 2016:</w:t>
      </w:r>
      <w:r>
        <w:t xml:space="preserve"> Young people, future hopes and concerns in Finland and the European Union: classed and gendered expectations in policy documents — https://doi.org/10.1080/13676261.2016.1260693</w:t>
      </w:r>
    </w:p>
    <w:p>
      <w:pPr/>
      <w:r>
        <w:rPr>
          <w:b/>
        </w:rPr>
        <w:t>Shared claim-specific concepts:</w:t>
      </w:r>
      <w:r>
        <w:t xml:space="preserve"> about, union, also; EU scope visible. This is a provisional connection, not an outcome finding.</w:t>
      </w:r>
    </w:p>
    <w:p>
      <w:pPr>
        <w:pStyle w:val="SourceNote"/>
      </w:pPr>
      <w:r>
        <w:rPr>
          <w:b/>
        </w:rPr>
        <w:t>Available abstract (not full text):</w:t>
      </w:r>
      <w:r>
        <w:t xml:space="preserve"> In this article, I examine the ways in which governing bodies at the Finnish national and also European Union levels talk about young people and our shared future in Finland. I use their youth policy documents as material for critical discourse analysis. My argument is that, besides presenting visions of a desired future, these papers also produce and reproduce divisions between young people that reflect gender and class positions. Young people are divided into those who have potential, those who will take care of others’ needs, and those who are at risk of marginalisation. I also argue that the Nordic policy tendency to conceive of youth as a resource rather than as a problem is not consistent. Finnish youth policy has changed, firstly because of the changing economic environment – the politics of austerity – and secondly because of Europeanisation.</w:t>
      </w:r>
    </w:p>
    <w:p>
      <w:pPr>
        <w:pStyle w:val="Heading2"/>
      </w:pPr>
      <w:r>
        <w:t>898.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2023:</w:t>
      </w:r>
      <w:r>
        <w:t xml:space="preserve"> Reduced grazing and changes in the area of agroforestry in Europe — https://doi.org/10.3389/fenvs.2023.1258697</w:t>
      </w:r>
    </w:p>
    <w:p>
      <w:pPr/>
      <w:r>
        <w:rPr>
          <w:b/>
        </w:rPr>
        <w:t>Shared claim-specific concepts:</w:t>
      </w:r>
      <w:r>
        <w:t xml:space="preserve"> show, area, but, land, use;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Pasture Quality Monitoring Based on Proximal and Remote Optical Sensors: A Case Study in the Montado Mediterranean Ecosystem — https://doi.org/10.3390/agriengineering5010025</w:t>
      </w:r>
    </w:p>
    <w:p>
      <w:pPr/>
      <w:r>
        <w:rPr>
          <w:b/>
        </w:rPr>
        <w:t>Shared claim-specific concepts:</w:t>
      </w:r>
      <w:r>
        <w:t xml:space="preserve"> show, montado, case; EU scope visible. This is a provisional connection, not an outcome finding.</w:t>
      </w:r>
    </w:p>
    <w:p>
      <w:pPr>
        <w:pStyle w:val="SourceNote"/>
      </w:pPr>
      <w:r>
        <w:rPr>
          <w:b/>
        </w:rPr>
        <w:t>Available abstract (not full text):</w:t>
      </w:r>
      <w:r>
        <w:t xml:space="preserve"> Permanent dryland pastures are the basis of animal feed in extensive grazing systems. Seasonality and inter-annual climatic variability, associated with shallow, acidic, and not very fertile soils, result in low productivity and rapid degradation of pasture quality, which requires the supplementation of animal feed. In this study, carried out in a biodiverse pasture field in the Mediterranean region of southern Portugal, the vegetation index (NDVI, Normalized Difference Vegetation Index) obtained from measurements performed by a proximal optical sensor (PS) and satellite images (RS) was used to assess pasture quality parameters (pasture moisture content, PMC, crude protein, CP, and neutral detergent fiber, NDF). The monitoring was carried out throughout the 2021/2022 pasture growing season. Significant correlations were obtained between the NDVI obtained by PS and RS (R2 of 0.84) and the reference values of pasture parameters obtained in laboratory protocols: PMC (R2 of 0.88 and 0.78, respectively), CP (R2 of 0.67 and 0.63, respectively), and NDF (R2 of 0.50 and 0.46, respectively). This case study also demonstrated the spatial and temporal variability of vegetative vigour and, consequently, of pasture quality in the Montado, the characteristic Mediterranean ecosystem. These results show the pertinence of these technologies in supporting the decision-making process of the farm </w:t>
      </w:r>
    </w:p>
    <w:p>
      <w:pPr/>
      <w:r>
        <w:rPr>
          <w:b/>
        </w:rPr>
        <w:t>POSSIBLE 2022:</w:t>
      </w:r>
      <w:r>
        <w:t xml:space="preserve"> A Technological Approach to Support Extensive Livestock Management in the Portuguese Montado Ecosystem — https://doi.org/10.3390/agronomy12051212</w:t>
      </w:r>
    </w:p>
    <w:p>
      <w:pPr/>
      <w:r>
        <w:rPr>
          <w:b/>
        </w:rPr>
        <w:t>Shared claim-specific concepts:</w:t>
      </w:r>
      <w:r>
        <w:t xml:space="preserve"> area, montado, use; EU scope visible. This is a provisional connection, not an outcome finding.</w:t>
      </w:r>
    </w:p>
    <w:p>
      <w:pPr>
        <w:pStyle w:val="SourceNote"/>
      </w:pPr>
      <w:r>
        <w:rPr>
          <w:b/>
        </w:rPr>
        <w:t>Available abstract (not full text):</w:t>
      </w:r>
      <w:r>
        <w:t xml:space="preserve"> Extensive livestock production systems based on improved pastures under Montado of Holm oaks represent an approach in line with the challenges of sustainability and biodiversity. The increasing incorporation of technologies in the monitoring of this ecosystem allows for a better knowledge of the spatial and temporal variability and, consequently, a more economically profitable management. In this study, between July 2020 and June 2021, soil and pastures were monitored in a 20 ha Montado area located in Alentejo (Southern Portugal) and used for extensive grazing of cattle. The survey of soil apparent electrical conductivity (ECa), the application of algorithms for definition of homogeneous management zones (HMZ), the use of indices obtained from satellite imagery time series to characterize the evolution of pasture quality and the soil and pasture sampling, including the identification of bio-indicator botanical species, were the basis of this exploratory study, allowing a holistic approach to this complex soil-pasture-trees and animals ecosystem. In the near future, this knowledge could represent an important milestone in providing decision-making support systems to farm managers in terms of smart sampling, differential application of fertilizers, amendments or seeds, choosing the best spacing and density of trees in this ecosystem, promoting dynamic grazing, or identifying the</w:t>
      </w:r>
    </w:p>
    <w:p>
      <w:pPr/>
      <w:r>
        <w:rPr>
          <w:b/>
        </w:rPr>
        <w:t>POSSIBLE 2021:</w:t>
      </w:r>
      <w:r>
        <w:t xml:space="preserve"> Silvopasture policy promotion in European Mediterranean areas — https://doi.org/10.1371/journal.pone.0245846</w:t>
      </w:r>
    </w:p>
    <w:p>
      <w:pPr/>
      <w:r>
        <w:rPr>
          <w:b/>
        </w:rPr>
        <w:t>Shared claim-specific concepts:</w:t>
      </w:r>
      <w:r>
        <w:t xml:space="preserve"> show, area, montado, land, use; EU scope visible. This is a provisional connection, not an outcome finding.</w:t>
      </w:r>
    </w:p>
    <w:p>
      <w:pPr>
        <w:pStyle w:val="SourceNote"/>
      </w:pPr>
      <w:r>
        <w:rPr>
          <w:b/>
        </w:rPr>
        <w:t>Available abstract (not full text):</w:t>
      </w:r>
      <w:r>
        <w:t xml:space="preserve"> Silvopasture is the deliberate integration of a woody component with grazed pastures as understorey. It is one of the most extended agroforestry practices all over the world. Silvopasture use is key to increase the sustainability of livestock farming systems as silvopasture reduces the use of concentrates since the woody component provides feed for animals. However, it is not an extensively used practice in Europe. This paper aims at evaluating, from Eurostat, LUCAS database and the 118 rural development programs, the current situation of permanent grasslands in the Mediterranean area of Europe as well as the rural development programmes fostering silvopasture to better understand how sustainable land use systems are promoted and provide insights to foster silvopasture across Europe. The results of this study show that most of the policy measures related to silvopasture are adapted to the local necessity. The already existing agroforestry managed land (dehesas/montado) are related to measures supporting regeneration and maintenance while in those areas where agroforestry does not exist the measures are related to forest fire prevention.</w:t>
      </w:r>
    </w:p>
    <w:p>
      <w:pPr/>
      <w:r>
        <w:rPr>
          <w:b/>
        </w:rPr>
        <w:t>POSSIBLE 2021:</w:t>
      </w:r>
      <w:r>
        <w:t xml:space="preserve"> Mapping Land Surface Temperature Developments in Functional Urban Areas across Europe — https://doi.org/10.3390/rs13112111</w:t>
      </w:r>
    </w:p>
    <w:p>
      <w:pPr/>
      <w:r>
        <w:rPr>
          <w:b/>
        </w:rPr>
        <w:t>Shared claim-specific concepts:</w:t>
      </w:r>
      <w:r>
        <w:t xml:space="preserve"> show, significantly, land; EU scope visible. This is a provisional connection, not an outcome finding.</w:t>
      </w:r>
    </w:p>
    <w:p>
      <w:pPr>
        <w:pStyle w:val="SourceNote"/>
      </w:pPr>
      <w:r>
        <w:rPr>
          <w:b/>
        </w:rPr>
        <w:t>Available abstract (not full text):</w:t>
      </w:r>
      <w:r>
        <w:t xml:space="preserve"> Unsustainable development paths have reached critical levels in Europe. In recent years, in cities, urbanization has been contributing to the intensification of urban heat islands. To analyze the development of surface urban heat islands (SUHI) in Europe in the last few years, the present study combines the land surface temperature (LST) from MODIS with the urban classes of the CORINE land cover data within 617 functional urban areas (FUAs). Urban and industrial uses have significantly higher LST than green urban areas across all years (about 4 to 6 °C), as do agricultural areas within cities. Besides land cover, location also influences LST differences. While, e.g., Bolzano (Italy) shows particularly large LST differences (&gt;6 °C) between the core and the commuting zone, this effect is hardly visible in Porto (Portugal) and Madrid (Spain) (&lt;2.5 °C). Cities of moderate climates show increasing differences between a city and its commuting zones with rising LST (r = 0.68), i.e., less cooling effects at night.</w:t>
      </w:r>
    </w:p>
    <w:p>
      <w:pPr/>
      <w:r>
        <w:rPr>
          <w:b/>
        </w:rPr>
        <w:t>POSSIBLE 2020:</w:t>
      </w:r>
      <w:r>
        <w:t xml:space="preserve"> Competitiveness of Portuguese Montado Ewe Production Systems among the European Ewe Production Systems — https://doi.org/10.3390/agriculture10050184</w:t>
      </w:r>
    </w:p>
    <w:p>
      <w:pPr/>
      <w:r>
        <w:rPr>
          <w:b/>
        </w:rPr>
        <w:t>Shared claim-specific concepts:</w:t>
      </w:r>
      <w:r>
        <w:t xml:space="preserve"> montado, but, land; EU scope visible. This is a provisional connection, not an outcome finding.</w:t>
      </w:r>
    </w:p>
    <w:p>
      <w:pPr>
        <w:pStyle w:val="SourceNote"/>
      </w:pPr>
      <w:r>
        <w:rPr>
          <w:b/>
        </w:rPr>
        <w:t>Available abstract (not full text):</w:t>
      </w:r>
      <w:r>
        <w:t xml:space="preserve"> The number of ewes in Portugal registers a decrease since 1998. This decrease is felt particularly in the south of the country, which concentrates almost half of the existing ewes, mainly for meat production. One of the most important ewe production systems is the Montado, a High Nature Value ecosystem, occupying ca. 1.2 million ha in Portugal. The competitiveness of this system among the European ewe production systems is an important issue for the future of the Montado ecosystem. So, the objective of this paper is to analyze the ewe production systems in the Montado, using the agri benchmark database, and compare these systems with other European countries’ systems, ranking their competitiveness and efficiency among other systems in the European Union. We concluded that this methodology facilitated an in-depth understanding not only of the competitiveness and efficiency of ewe production systems in Portugal but also of their positioning regarding other systems in the European Union. The pattern of returns assures that these farms are competitive in the sense that they depend on the market on their decisions, and thus it is important that market values sheep products. Nevertheless, the diversification to other income sources would be a good option for the future sustainability of these farms and the opportunities and risks that these systems will deal with in a new green econo</w:t>
      </w:r>
    </w:p>
    <w:p>
      <w:pPr/>
      <w:r>
        <w:rPr>
          <w:b/>
        </w:rPr>
        <w:t>POSSIBLE 2020:</w:t>
      </w:r>
      <w:r>
        <w:t xml:space="preserve"> The Montado/Dehesa Cow-Calf Production Systems in Portugal and Spain: An Economic and Resources’ Use Approach — https://doi.org/10.3390/land9050148</w:t>
      </w:r>
    </w:p>
    <w:p>
      <w:pPr/>
      <w:r>
        <w:rPr>
          <w:b/>
        </w:rPr>
        <w:t>Shared claim-specific concepts:</w:t>
      </w:r>
      <w:r>
        <w:t xml:space="preserve"> montado, land, use; EU scope visible. This is a provisional connection, not an outcome finding.</w:t>
      </w:r>
    </w:p>
    <w:p>
      <w:pPr>
        <w:pStyle w:val="SourceNote"/>
      </w:pPr>
      <w:r>
        <w:rPr>
          <w:b/>
        </w:rPr>
        <w:t>Available abstract (not full text):</w:t>
      </w:r>
      <w:r>
        <w:t xml:space="preserve"> The Montado in Portugal and Dehesa in Spain is a unique agro-silvo-pastoral system designed to overcome food needs in a scarce resource’s environment. The system competitiveness is not clear and it is now under severe threats, caused by extensification or abandonment of less fertile areas and by intensification in more fertile ones. The aim of the undertaken research is to compare the cow-calf production within these systems in Portugal and Spain, identifying their strengths and weaknesses and the main drivers of their evolution, and to compare these systems with other European countries’ systems, ranking their competitiveness and efficiency among other systems in the EU. The research indicates that Montado/Dehesa farms systems are dependent on the type of farming system, its context and management, i.e., on the decision and its context; so, in a context of Mediterranean land system changes, the future of the Montado/Dehesa ecosystem depends on the ability of the cow-calf production systems to face the future and to perceive the modifications needed to overcome new challenges and take advantage of new opportunities.</w:t>
      </w:r>
    </w:p>
    <w:p>
      <w:pPr>
        <w:pStyle w:val="Heading2"/>
      </w:pPr>
      <w:r>
        <w:t>899.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2023:</w:t>
      </w:r>
      <w:r>
        <w:t xml:space="preserve"> EGS development in Europe based on operational geothermal projects — https://doi.org/10.1201/9781003271475-2</w:t>
      </w:r>
    </w:p>
    <w:p>
      <w:pPr/>
      <w:r>
        <w:rPr>
          <w:b/>
        </w:rPr>
        <w:t>Shared claim-specific concepts:</w:t>
      </w:r>
      <w:r>
        <w:t xml:space="preserve"> resource, egs, enhanced, geothermal, systems; EU scope visible. This is a provisional connection, not an outcome finding.</w:t>
      </w:r>
    </w:p>
    <w:p>
      <w:pPr>
        <w:pStyle w:val="SourceNote"/>
      </w:pPr>
      <w:r>
        <w:rPr>
          <w:b/>
        </w:rPr>
        <w:t>Available abstract (not full text):</w:t>
      </w:r>
      <w:r>
        <w:t xml:space="preserve"> Enhanced geothermal systems (EGS) appear as a tangible solution for developing decarbonized electricity production and/or renewable heat at high temperatures for industry in Europe. Based on operational geothermal plants (Soultz-sous-Forêts, Rittershoffen) located in the Upper Rhine Graben (URG), it turns out that thermo-hydro or chemical stimulation techniques could be applied to naturally fractured reservoirs to enhance the hydraulic performance of the geothermal wells. However, the main challenge for EGS is the potential occurrence of induced seismicity related to post-drilling hydraulic stimulation or done during sustainable geothermal exploitation, which could generate severe societal concerns. Moreover, after several years of geothermal exploitation in the URG, there is a very low environmental impact characterized by negligible carbon dioxide emissions. As the exploited geothermal resource trapped in the fractured crystalline reservoirs is a Li-rich brine, it is likely in the near future that geothermal lithium for batteries could be produced with a neutral carbon footprint.</w:t>
      </w:r>
    </w:p>
    <w:p>
      <w:pPr/>
      <w:r>
        <w:rPr>
          <w:b/>
        </w:rPr>
        <w:t>POSSIBLE 2023:</w:t>
      </w:r>
      <w:r>
        <w:t xml:space="preserve"> Geothermal Resources of European Continent: A Regional Assessment — https://doi.org/10.31214/ijthfa.v6i1.98</w:t>
      </w:r>
    </w:p>
    <w:p>
      <w:pPr/>
      <w:r>
        <w:rPr>
          <w:b/>
        </w:rPr>
        <w:t>Shared claim-specific concepts:</w:t>
      </w:r>
      <w:r>
        <w:t xml:space="preserve"> resource, base, geothermal; EU scope visible. This is a provisional connection, not an outcome finding.</w:t>
      </w:r>
    </w:p>
    <w:p>
      <w:pPr>
        <w:pStyle w:val="SourceNote"/>
      </w:pPr>
      <w:r>
        <w:rPr>
          <w:b/>
        </w:rPr>
        <w:t>Available abstract (not full text):</w:t>
      </w:r>
      <w:r>
        <w:t xml:space="preserve"> A regional assessment of geothermal resources of the continental region of Europe is attempted in the present work. It is based on results of observational data on heat transfer by conduction as well as hydrothermal and magmatic processes in the upper crust and makes use of geothermal data reported at the website of IHFC and also estimates based on available information on occurrences thermal springs and volcanic events. The resource assessment has been carried out for 8109 sites distributed in 39 countries. These datasets were reevaluated and spatially gridded using kigrid interpolation to construction of regional distribution maps of geothermal resources and interpreted on the basis of available information on tectonic setting and geological characteristics. The estimates for volcanic areas are based on a modified method of magmatic heat budget (MHB). has been employed in deriving estimates of geothermal resources in areas of recent volcanic activity. According to results obtained the total resource base (RB) at 6km on depth is estimated to be 8.653.306 ± 7 GJ. The mean resource base per unit area (RBUA) is ~ 985 GJ. The prominent features in geothermal maps are the presence of localities with significantly high values of resource base greater than 2000 GJ in countries such as Russia, Italy, Iceland, and west Norway. In addition, vertical distributions of temperatures were ca</w:t>
      </w:r>
    </w:p>
    <w:p>
      <w:pPr/>
      <w:r>
        <w:rPr>
          <w:b/>
        </w:rPr>
        <w:t>POSSIBLE 2022:</w:t>
      </w:r>
      <w:r>
        <w:t xml:space="preserve"> Hydraulic stimulation strategies in enhanced geothermal systems (EGS): a review — https://doi.org/10.1007/s40948-022-00516-w</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Abstract In enhanced geothermal systems (EGS), the natural permeability of deep rocks is normally not high enough and needs to be increased. Permeability increase can be achieved through various stimulation methods, such as hydraulic, chemical, and thermal stimulation. Among these, hydraulic stimulation is the most commonly used technique to increase both reservoir permeability and the specific area for heat exchange. A comprehensive understanding of the underlying processes towards an optimization of hydraulic stimulation performance while minimizing the potential of unwanted induced seismicity is a critical prerequisite for a successful development of any EGS site. In this paper, we review the hydraulic stimulation strategies that have been developed and implemented for EGS. We begin with a description of the underlying mechanisms through which the permeability and heat exchange area increases are achieved. We then discuss the mechanisms of fluid injection-induced seismicity during and after a hydraulic stimulation operation. After that, alternative hydraulic stimulation strategies, namely conventional hydraulic stimulation, multi-stage fracturing, and cyclic soft stimulation, are reviewed based on current research in theoretical studies as well as, laboratory, and in-situ field experiments. Finally, some representative EGS projects are reviewed, focusing on fluid injection s</w:t>
      </w:r>
    </w:p>
    <w:p>
      <w:pPr/>
      <w:r>
        <w:rPr>
          <w:b/>
        </w:rPr>
        <w:t>POSSIBLE 2022:</w:t>
      </w:r>
      <w:r>
        <w:t xml:space="preserve"> Editorial of Special Issue “Enhanced Geothermal Systems and Other Deep Geothermal Applications throughout Europe: The MEET Project” — https://doi.org/10.3390/geosciences12090341</w:t>
      </w:r>
    </w:p>
    <w:p>
      <w:pPr/>
      <w:r>
        <w:rPr>
          <w:b/>
        </w:rPr>
        <w:t>Shared claim-specific concepts:</w:t>
      </w:r>
      <w:r>
        <w:t xml:space="preserve"> enhanced, geothermal, systems; EU scope visible. This is a provisional connection, not an outcome finding.</w:t>
      </w:r>
    </w:p>
    <w:p>
      <w:pPr>
        <w:pStyle w:val="SourceNote"/>
      </w:pPr>
      <w:r>
        <w:rPr>
          <w:b/>
        </w:rPr>
        <w:t>Available abstract (not full text):</w:t>
      </w:r>
      <w:r>
        <w:t xml:space="preserve"> The MEET project is a Multidisciplinary and multi-context demonstration of Enhanced Geothermal Systems exploration and Exploitation Techniques and potentials, which received funding from the European Commission in the framework of the Horizon 2020 program [...]</w:t>
      </w:r>
    </w:p>
    <w:p>
      <w:pPr/>
      <w:r>
        <w:rPr>
          <w:b/>
        </w:rPr>
        <w:t>POSSIBLE 2021:</w:t>
      </w:r>
      <w:r>
        <w:t xml:space="preserve"> The importance of tectonic inheritance and reactivation in geothermal energy exploration for EGS resources in SW England — https://openalex.org/W3092617703</w:t>
      </w:r>
    </w:p>
    <w:p>
      <w:pPr/>
      <w:r>
        <w:rPr>
          <w:b/>
        </w:rPr>
        <w:t>Shared claim-specific concepts:</w:t>
      </w:r>
      <w:r>
        <w:t xml:space="preserve"> egs, enhanced, geothermal, different; EU scope not established. This is a provisional connection, not an outcome finding.</w:t>
      </w:r>
    </w:p>
    <w:p>
      <w:pPr>
        <w:pStyle w:val="SourceNote"/>
      </w:pPr>
      <w:r>
        <w:rPr>
          <w:b/>
        </w:rPr>
        <w:t>Available abstract (not full text):</w:t>
      </w:r>
      <w:r>
        <w:t xml:space="preserve"> Exploration for Enhanced Geothermal System (EGS) resources has long sought natural deep fractured reservoirs. The Upper Rhine Graben is the most studied area for these targets including the successful geothermal plants at Soultz-sous-Forêts, Bruchsal, Insheim, Landau and Rittershoffen (Genter et al., 2010; Vidal et al., 2017). Previous geothermal projects, such as the Hot Dry Rock project at Rosemanowes (1977-1991) in Cornwall (SW England), targeted areas that lacked major faults and fractures (Barker et al., 2000). The Upper Rhine Graben was incepted during Eocene-Oligocene rifting in a NNE-SSW orientation that underwent Miocene sinistral reactivation (Schumacher, 2002). However, structural inheritance from dextrally reactivated Variscan ENE-WSW faults during the Miocene may also contribute to the reservoir (Bertrand et al., 2017). Geothermal energy exploration is currently experiencing a revival in SW England, targeting EGS resources within deep granitehosted fault zones. Two deep wells have been drilled at the United Downs Deep Geothermal Power Project to depths of approximately 5.0 and 2.5 km near Redruth and Eden-EGS Energy have advanced plans for deep geothermal wells near St Austell. The geology of SW England comprises several E-W-trending Devonian-Carboniferous sedimentary basins that were deformed during the Variscan orogeny (Carboniferous) and intruded by the Cornubia</w:t>
      </w:r>
    </w:p>
    <w:p>
      <w:pPr/>
      <w:r>
        <w:rPr>
          <w:b/>
        </w:rPr>
        <w:t>POSSIBLE 2021:</w:t>
      </w:r>
      <w:r>
        <w:t xml:space="preserve"> Evaluating the feasibility of geothermal deep direct-use in the United States — https://doi.org/10.1016/j.enconman.2021.114335</w:t>
      </w:r>
    </w:p>
    <w:p>
      <w:pPr/>
      <w:r>
        <w:rPr>
          <w:b/>
        </w:rPr>
        <w:t>Shared claim-specific concepts:</w:t>
      </w:r>
      <w:r>
        <w:t xml:space="preserve"> resource, base, geothermal, systems, techno-economic, typical; EU scope visible. This is a provisional connection, not an outcome finding.</w:t>
      </w:r>
    </w:p>
    <w:p>
      <w:pPr>
        <w:pStyle w:val="SourceNote"/>
      </w:pPr>
      <w:r>
        <w:rPr>
          <w:b/>
        </w:rPr>
        <w:t>Available abstract (not full text):</w:t>
      </w:r>
      <w:r>
        <w:t xml:space="preserve"> • Deep direct-use projects were evaluated for heating, cooling and thermal storage. • Performance was compared with non-geothermal systems and other countries. • Subsurface, surface and financial conditions significantly impact feasibility. • Attractive levelized costs of energy found for heating, cooling and thermal storage. This paper investigates the techno-economic feasibility of geothermal deep direct-use for heating, cooling, and thermal energy storage in the United States. The six 2017–2019 deep direct-use projects funded by the U.S. Department of Energy are reviewed and evaluated using the simulation tool GEOPHIRES, and results are compared with prior studies, existing geothermal district heating systems in Europe and the United States, as well as non-geothermal centralized and non-centralized heating, cooling, and thermal energy storage systems. Analysis indicates that deep direct-use feasibility varies widely, depending on subsurface characteristics, system design, and financial conditions. Project base case levelized cost of heat values ranged between $13 and $350/MWh; key drivers lowering the levelized cost of heat include higher reservoir temperatures, shallower reservoir depths, higher well flow rates, higher utilization rates, lower drilling costs, and lower discount rates. Incentives such as grants and an investment tax credit resulted in small improvements in p</w:t>
      </w:r>
    </w:p>
    <w:p>
      <w:pPr>
        <w:pStyle w:val="Heading2"/>
      </w:pPr>
      <w:r>
        <w:t>900.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2023:</w:t>
      </w:r>
      <w:r>
        <w:t xml:space="preserve"> Partitioning model uncertainty in multi-model ensemble river flow projections — https://doi.org/10.1007/s10584-023-03621-1</w:t>
      </w:r>
    </w:p>
    <w:p>
      <w:pPr/>
      <w:r>
        <w:rPr>
          <w:b/>
        </w:rPr>
        <w:t>Shared claim-specific concepts:</w:t>
      </w:r>
      <w:r>
        <w:t xml:space="preserve"> multi-model, ensemble, regional, climate, projections, used; EU scope not established. This is a provisional connection, not an outcome finding.</w:t>
      </w:r>
    </w:p>
    <w:p>
      <w:pPr>
        <w:pStyle w:val="SourceNote"/>
      </w:pPr>
      <w:r>
        <w:rPr>
          <w:b/>
        </w:rPr>
        <w:t>Available abstract (not full text):</w:t>
      </w:r>
      <w:r>
        <w:t xml:space="preserve"> Abstract Floods are the largest natural disaster currently facing the UK, whilst the incidents of droughts have increased in recent years. Floods and droughts can have devastating consequences on society, resulting in significant financial damage to the economy. Climate models suggest that precipitation and temperature changes will exacerbate future hydrological extremes (i.e., floods and droughts). Such events are likely to become more frequent and intense in the future; thus to develop adaptation plans climate model projections feed hydrological models to provide future water resource projections. ‘eFLaG’ is one set of future river flow projections produced for the UK driven by UKCP18 climate projections from the UK Met Office. The UKCP18-derived eFLaG dataset provides state-of-the-art projections for a single GCM driven by RCP 8.5 across the entire UK. A QE-ANOVA approach has been used to partition contributing sources of uncertainty for two flow quantiles (Q5 high flows and Q95 low flows), at near and far future time scales, for each of the 186 GB catchments in the eFLaG dataset. Results suggest a larger hydrological model uncertainty associated with low flows and greater regional climate model uncertainty for high flows which remains stationary between flow indicators. Total uncertainty increases from near to far future and highly uncertain catchments have been identified </w:t>
      </w:r>
    </w:p>
    <w:p>
      <w:pPr/>
      <w:r>
        <w:rPr>
          <w:b/>
        </w:rPr>
        <w:t>POSSIBLE 2022:</w:t>
      </w:r>
      <w:r>
        <w:t xml:space="preserve"> Downscaling multi-model climate projection ensembles with deep learning (DeepESD): contribution to CORDEX EUR-44 — https://doi.org/10.5194/gmd-15-6747-2022</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Deep Learning (DL) has recently emerged as an innovative tool to downscale climate variables from large-scale atmospheric fields under the perfect prognosis (PP) approach. Different Convolutional Neural Networks (CNN) have been applied under present-day conditions with promising results, but little is known about their suitability for extrapolating future climate change conditions. Here, we analyze this problem from a multi-model perspective, developing and evaluating an ensemble of CNN-based downscaled projections (DeepESD) for temperature and precipitation over the European EUR-44i (0.5º) domain, based on eight GCMs from the Coupled Model Intercomparison Project Phase 5 (CMIP5). To our knowledge, this is the first time that CNNs have been used to produce multi-model ensembles of downscaled projections, allowing to quantify inter-model uncertainty in climate change signals. The results are compared with those corresponding to an EUR-44 ensemble of regional climate models (RCMs) showing that DeepESD reduces distributional biases in the historical period. Moreover, the resulting climate change signals are broadly comparable to those obtained with the RCMs, with similar spatial structures. As for the uncertainty of the climate change signal (measured on the basis of inter-model spread), DeepESD yields a smaller uncertainty for precipitation, but a similar uncertainty fo</w:t>
      </w:r>
    </w:p>
    <w:p>
      <w:pPr/>
      <w:r>
        <w:rPr>
          <w:b/>
        </w:rPr>
        <w:t>POSSIBLE 2021:</w:t>
      </w:r>
      <w:r>
        <w:t xml:space="preserve"> The first multi-model ensemble of regional climate simulations at kilometer-scale resolution, part I: evaluation of precipitation — https://doi.org/10.1007/s00382-021-05708-w</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Abstract Here we present the first multi-model ensemble of regional climate simulations at kilometer-scale horizontal grid spacing over a decade long period. A total of 23 simulations run with a horizontal grid spacing of $$\sim $$ ∼ 3 km, driven by ERA-Interim reanalysis, and performed by 22 European research groups are analysed. Six different regional climate models (RCMs) are represented in the ensemble. The simulations are compared against available high-resolution precipitation observations and coarse resolution ( $$\sim $$ ∼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a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On average, the multi-model mean shows a reduction of bias from $$\sim \,$$ ∼ −40% at 12 km to $$\sim \,$$ ∼ −3% at 3 km for heavy hourly precipitation in summer. Furthermore, the</w:t>
      </w:r>
    </w:p>
    <w:p>
      <w:pPr/>
      <w:r>
        <w:rPr>
          <w:b/>
        </w:rPr>
        <w:t>POSSIBLE 2021:</w:t>
      </w:r>
      <w:r>
        <w:t xml:space="preserve"> The first multi-model ensemble of regional climate simulations at kilometer-scale resolution part 2: historical and future simulations of precipitation — https://doi.org/10.1007/s00382-021-05657-4</w:t>
      </w:r>
    </w:p>
    <w:p>
      <w:pPr/>
      <w:r>
        <w:rPr>
          <w:b/>
        </w:rPr>
        <w:t>Shared claim-specific concepts:</w:t>
      </w:r>
      <w:r>
        <w:t xml:space="preserve"> multi-model, ensemble, regional, climate, precipitation;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Projections of regional climate change in Ukraine based on multi-model ensembles of Euro-CORDEX — https://doi.org/10.5194/egusphere-egu21-13821</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Climate change is one of the major challenges for future development in every country including Ukraine where actual warming already has impacted many sectors, population, and ecosystems. Recently, the International Initiative of Coordinated Downscaling Experiment for Europe (Euro-CORDEX) has provided RCM data for 0.1o grid. This detailed RCM projection dataset is an excellent basis for estimation of exposure and vulnerability to climate change of different objects and for updating projections for a new National Communication of Ukraine to UNFCCC as well as for Strategy of Ecological Safety and Adaptation to Climate Change in Ukraine. The study is focused on the estimation of the essential and special climatic characteristics and their changes in the near future (2021-2040) as well as to the middle (2041-2050) and end (2081-2100) of the century over the base period 1991-2010 for three scenarios: RCP2.6, RCP4.5, and RCP8.5. We used bias-adjusted RCM data for daily maximum, mean, and minimum temperature and precipitation provided via ESGF web-portal. We applied a multi-model ensemble approach with further bias-correction by delta-method for multi-year monthly values of the essential characteristics as well as calculated climatic indices using a gridded observational dataset of E-Obs v.20.0e. Ensembles for RCP4.5 and RCP8.5 consisted of 34 RCMs while for RCP2.6 only data of 3 RCMs</w:t>
      </w:r>
    </w:p>
    <w:p>
      <w:pPr/>
      <w:r>
        <w:rPr>
          <w:b/>
        </w:rPr>
        <w:t>POSSIBLE 2021:</w:t>
      </w:r>
      <w:r>
        <w:t xml:space="preserve"> Uncertainty of simulated groundwater recharge at different global warming levels: a global-scale multi-model ensemble study — https://doi.org/10.5194/hess-25-787-2021</w:t>
      </w:r>
    </w:p>
    <w:p>
      <w:pPr/>
      <w:r>
        <w:rPr>
          <w:b/>
        </w:rPr>
        <w:t>Shared claim-specific concepts:</w:t>
      </w:r>
      <w:r>
        <w:t xml:space="preserve"> multi-model, ensemble, climate, projections, precipitation, current; EU scope visible. This is a provisional connection, not an outcome finding.</w:t>
      </w:r>
    </w:p>
    <w:p>
      <w:pPr>
        <w:pStyle w:val="SourceNote"/>
      </w:pPr>
      <w:r>
        <w:rPr>
          <w:b/>
        </w:rPr>
        <w:t>Available abstract (not full text):</w:t>
      </w:r>
      <w:r>
        <w:t xml:space="preserve"> Abstract. Billions of people rely on groundwater as an accessible source for drinking water and irrigation, especially in times of drought. Its importance will likely increase with a changing climate. It is still unclear, however, how climate change will impact groundwater systems globally and thus the availability of this vital resource. This study investigates uncertainties in groundwater recharge projections using a multi-model ensemble of eight global hydrological models (GHMs) that are driven by the bias-adjusted output of four global circulation models (GCMs). Preindustrial and current groundwater recharge values are compared with recharge for different global warming (GW) levels as a result of three representative concentration pathways (RCPs). Results suggest that the uncertainty range is extensive, and projections with confidence can only be made for specific regions of the world. In some regions, reversals of groundwater recharge trends can be observed with global warming. On average, a consistent median increase of groundwater recharge in northern Europe of 19 % and a decrease of 10 % in the Amazon at 3 °C GW compared to preindustrial levels are simulated. In the Mediterranean, a 2 °C GW leads to a reduction of GWR of 38 %. Because most GHMs do not include CO2 driven vegetation processes, we investigate how, including the effect of evolving CO2 concentrations into th</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multi-model, ensemble, regional, climate, projections;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An investigation of weighting schemes suitable for incorporating large ensembles into multi-model ensembles — https://doi.org/10.5194/esd-11-807-2020</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Multi-model ensembles can be used to estimate uncertainty in projections of regional climate, but this uncertainty often depends on the constituents of the ensemble. The dependence of uncertainty on ensemble composition is clear when single model initial condition large ensembles (SMILEs) are included within a multi-model ensemble. SMILEs introduce new information into a multi-model ensemble by representing region-scale internal variability, but also introduce redundant information, by virtue of a single model being represented by 50–100 outcomes. To preserve the contribution of internal variability and ensure redundancy does not overwhelm uncertainty estimates, a weighting approach is used to incorporate 50-members of the Community Earth System Model (CESM1.2.2), 50-members of the Canadian Earth System Model (CanESM2), and 100-members of the MPI Grand Ensemble (MPI-GE) into an 88-member Coupled Model Intercomparison Project Phase 5 (CMIP5) multi-model ensemble. The weight assigned to each multi-model ensemble member is based on the member's ability to reproduce observed climate (performance) and scaled by a measure of redundancy (dependence). Surface air temperature (SAT) and sea level pressure (SLP) diagnostics are used to determine the weights, and relationships between present and future diagnostic behavior are discussed. A new diagnostic, estimated forced trend, </w:t>
      </w:r>
    </w:p>
    <w:p>
      <w:pPr/>
      <w:r>
        <w:rPr>
          <w:b/>
        </w:rPr>
        <w:t>POSSIBLE 2020:</w:t>
      </w:r>
      <w:r>
        <w:t xml:space="preserve"> Evaluation of the Large EURO‐CORDEX Regional Climate Model Ensemble — https://doi.org/10.1029/2019jd032344</w:t>
      </w:r>
    </w:p>
    <w:p>
      <w:pPr/>
      <w:r>
        <w:rPr>
          <w:b/>
        </w:rPr>
        <w:t>Shared claim-specific concepts:</w:t>
      </w:r>
      <w:r>
        <w:t xml:space="preserve"> ensemble, regional, climate, projections, temperature, precipitation; EU scope visible. This is a provisional connection, not an outcome finding.</w:t>
      </w:r>
    </w:p>
    <w:p>
      <w:pPr>
        <w:pStyle w:val="SourceNote"/>
      </w:pPr>
      <w:r>
        <w:rPr>
          <w:b/>
        </w:rPr>
        <w:t>Available abstract (not full text):</w:t>
      </w:r>
      <w:r>
        <w:t xml:space="preserve"> Abstract The use of regional climate model (RCM)‐based projections for providing regional climate information in a research and climate service contexts is currently expanding very fast. This has been possible thanks to a considerable effort in developing comprehensive ensembles of RCM projections, especially for Europe, in the EURO‐CORDEX community (Jacob et al., 2014, 2020). As of end of 2019, EURO‐CORDEX has developed a set of 55 historical and scenario projections (RCP8.5) using 8 driving global climate models (GCMs) and 11 RCMs. This article presents the ensemble including its design. We target the analysis to better characterize the quality of the RCMs by providing an evaluation of these RCM simulations over a number of classical climate variables and extreme and impact‐oriented indices for the period 1981–2010. For the main variables, the model simulations generally agree with observations and reanalyses. However, several systematic biases are found as well, with shared responsibilities among RCMs and GCMs: Simulations are overall too cold, too wet, and too windy compared to available observations or reanalyses. Some simulations show strong systematic biases on temperature, others on precipitation or dynamical variables, but none of the models/simulations can be defined as the best or the worst on all criteria. The article aims at supporting a proper use of these simulat</w:t>
      </w:r>
    </w:p>
    <w:p>
      <w:pPr/>
      <w:r>
        <w:rPr>
          <w:b/>
        </w:rPr>
        <w:t>POSSIBLE 2020:</w:t>
      </w:r>
      <w:r>
        <w:t xml:space="preserve"> The first multi-model ensemble of regional climate simulations at kilometer-scale resolution, Part I: Evaluation of precipitation — https://doi.org/10.5194/egusphere-egu2020-22378</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Here we present the first multi-model ensemble of climate simulations at kilometer-scale horizontal resolution over a decade long period. A total of 22 simulations, performed by 21 European research groups are analyzed. Six different regional climate models (RCMs) are represented in the ensemble. The simulations are compared against available high-resolution precipitation observations and coarse resolution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Although differences between the model simulations at the kilometer-scale and observations exist, it is evident that they are superior to the coarse-resolution RCMs in the simulation of precipitation in the present-day climate, and thus offer a promising way forward for investigations of climate and climat</w:t>
      </w:r>
    </w:p>
    <w:p>
      <w:pPr>
        <w:pStyle w:val="Heading2"/>
      </w:pPr>
      <w:r>
        <w:t>901.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climate, trends;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partially, climate, trends, observed, over, central;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and society in European history — https://doi.org/10.1002/wcc.691</w:t>
      </w:r>
    </w:p>
    <w:p>
      <w:pPr/>
      <w:r>
        <w:rPr>
          <w:b/>
        </w:rPr>
        <w:t>Shared claim-specific concepts:</w:t>
      </w:r>
      <w:r>
        <w:t xml:space="preserve"> conclude, climate; EU scope visible. This is a provisional connection, not an outcome finding.</w:t>
      </w:r>
    </w:p>
    <w:p>
      <w:pPr>
        <w:pStyle w:val="SourceNote"/>
      </w:pPr>
      <w:r>
        <w:rPr>
          <w:b/>
        </w:rPr>
        <w:t>Available abstract (not full text):</w:t>
      </w:r>
      <w:r>
        <w:t xml:space="preserve"> Abstract This article evaluates 165 studies from various disciplines, published between 2000 and 2019, which in different ways link past climate variability and change to human history in medieval and early modern Europe (here, c . 700–1815 CE). Within this review, we focus on the identification and interpretation of causal links between changes in climate and in human societies. A revised climate–society impact order model of historical climate–society interactions is presented and applied to structure the findings of the past 20 years' scholarship. Despite considerable progress in research about past climate–society relations, partly expedited by new palaeoclimate data, we identify limitations to knowledge, including geographical biases, a disproportional attention to extremely cold periods, and a focus on crises. Furthermore, recent scholarship shows that the limitations with particular disciplinary approaches can be successfully overcome through interdisciplinary collaborations. We conclude the article by proposing recommendations for future directions of research in the climatic change–human history nexus. This article is categorized under: Climate, History, Society, Culture &gt; Ideas and Knowledge</w:t>
      </w:r>
    </w:p>
    <w:p>
      <w:pPr/>
      <w:r>
        <w:rPr>
          <w:b/>
        </w:rPr>
        <w:t>POSSIBLE 2020:</w:t>
      </w:r>
      <w:r>
        <w:t xml:space="preserve"> Causal networks for climate model evaluation and constrained projections — https://doi.org/10.1038/s41467-020-15195-y</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trends, over;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2019:</w:t>
      </w:r>
      <w:r>
        <w:t xml:space="preserve"> Social Innovation in Community Energy in Europe: A Review of the Evidence — https://doi.org/10.3389/fenrg.2019.00031</w:t>
      </w:r>
    </w:p>
    <w:p>
      <w:pPr/>
      <w:r>
        <w:rPr>
          <w:b/>
        </w:rPr>
        <w:t>Shared claim-specific concepts:</w:t>
      </w:r>
      <w:r>
        <w:t xml:space="preserve"> over, last, three;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Robustness and Scalability of Regional Climate Projections Over Europe — https://doi.org/10.3389/fenvs.2018.00163</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The regional manifestation of climate change projections for Europe consistently indicates a future decrease in summer precipitation over southern Europe and an increase over northern Europe. However, individual models substantially modulate these overarching precipitation change signals. Despite considerable model improvements as well as increasingly higher model resolutions in regional downscaling efforts, these apparent inconsistencies so far seem unresolved. In the present study, we analyze European seasonal temperature and precipitation climate change projections using all readily available pan-European regional climate model projections for the twenty-first century with model increasing from ∼50 km to ∼12 km grid distances from the CORDEX modelling project. This allows for an in-depth understanding of what may be the most robust projection of the future climate. Employing a simple scaling with the global mean temperature change enables the identification of emerging robust signals of changes in seasonal temperature and precipitation. Likewise, the "what-if" approach, i.e., analysing the climate change signal from transient experiments at the time of an emerging global temperature exceedance of e.g. 1, 2 or 3 degrees offers a policy relevant approach to provide more accurate projections. Comparing the projections from these two approaches has never been done in a comprehen</w:t>
      </w:r>
    </w:p>
    <w:p>
      <w:pPr/>
      <w:r>
        <w:rPr>
          <w:b/>
        </w:rPr>
        <w:t>POSSIBLE 2018:</w:t>
      </w:r>
      <w:r>
        <w:t xml:space="preserve"> Quantifying the climate response to extreme land cover changes in Europe with a regional model — https://doi.org/10.1088/1748-9326/aac794</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Many future scenarios expect a key role for the land use sector to stabilize temperature rise to 2 °C or less. Changes in land cover can influence the climate system, and the extent and magnitude of the anthropogenic modifications at local and regional scales is still largely unexplored. In this study, we use the regional climate model COSMO-CLM v.4.8 to quantify the climate response to idealized extreme land cover changes in Europe. We simulate four idealized land use transitions involving abrupt conversion of today forestland to bare land or herbaceous vegetation, and conversion of today cropland to evergreen needle-leaf forest or deciduous broad-leaf forest. We find that deforestation to bare land and herbaceous vegetation causes an annual mean regional cooling of −0.06 ± 0.09 (mean ± standard deviation) and −0.13 ± 0.08, respectively. Afforestation to needle-leaf and broad-leaf forests leads to a mean warming of 0.15 ± 0.09 °C and 0.13 ± 0.09 °C, respectively. Precipitation declines after forest clearance and increases with afforestation, but the spatial variability is high. Temperature impacts are usually more significant in the grid cells affected by land cover change and show a clear latitudinal pattern and seasonal variability. The mean temperature response to deforestation turns from positive to negative between 50 and 55° latitude, and shows the strongest cooling in s</w:t>
      </w:r>
    </w:p>
    <w:p>
      <w:pPr>
        <w:pStyle w:val="Heading2"/>
      </w:pPr>
      <w:r>
        <w:t>902.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2024:</w:t>
      </w:r>
      <w:r>
        <w:t xml:space="preserve"> Enhanced Regional Ocean Ensemble Data Assimilation Through Atmospheric Coupling in the SKRIPS Model — https://doi.org/10.1016/j.ocemod.2024.102424</w:t>
      </w:r>
    </w:p>
    <w:p>
      <w:pPr/>
      <w:r>
        <w:rPr>
          <w:b/>
        </w:rPr>
        <w:t>Shared claim-specific concepts:</w:t>
      </w:r>
      <w:r>
        <w:t xml:space="preserve"> coupling, ensemble; EU scope not established. This is a provisional connection, not an outcome finding.</w:t>
      </w:r>
    </w:p>
    <w:p>
      <w:pPr>
        <w:pStyle w:val="SourceNote"/>
      </w:pPr>
      <w:r>
        <w:rPr>
          <w:b/>
        </w:rPr>
        <w:t>Available abstract (not full text):</w:t>
      </w:r>
      <w:r>
        <w:t xml:space="preserve"> We investigate the impact of ocean data assimilation using the Ensemble Adjustment Kalman Filter (EAKF) from the Data Assimilation Research Testbed (DART) on the oceanic and atmospheric states of the Red Sea. Our study extends the ocean data assimilation experiment performed by Sanikommu et al. (2020) by utilizing the SKRIPS model coupling the MITgcm ocean model and the Weather Research and Forecasting (WRF) atmosphere model. Using a 50-member ensemble, we assimilate satellite-derived sea surface temperature and height and in-situ temperature and salinity profiles every three days for one year, starting January 01 2011. Atmospheric data are not assimilated in the experiments. To improve the ensemble realism, perturbations are added to the WRF model using several physics options and the stochastic kinetic energy backscatter (SKEB) scheme. Compared with the control experiments using uncoupled MITgcm with ECMWF ensemble forcing, the EAKF ensemble mean oceanic states from the coupled model are better or insignificantly worse (root-mean-square-errors are 30% to -2% smaller), especially when the atmospheric model uncertainties are accounted for with stochastic perturbations. We hypothesize that the ensemble spreads of the air–sea fluxes are better represented in the downscaled WRF ensembles when uncertainties are well accounted for, leading to improved representation of the ensemble </w:t>
      </w:r>
    </w:p>
    <w:p>
      <w:pPr/>
      <w:r>
        <w:rPr>
          <w:b/>
        </w:rPr>
        <w:t>POSSIBLE 2023:</w:t>
      </w:r>
      <w:r>
        <w:t xml:space="preserve"> Coupling hydrological, habitat and water supply indicators to improve the management of environmental flows — https://doi.org/10.1016/j.scitotenv.2023.165640</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Highly regulated basins have traditionally required management practices to mitigate the negative environmental impacts and ensure human well-being. This paper proposes and assesses environmental and water supply deficit indicators to assist in the management of environmental flows (e-flows). For that, a water allocation model is applied, and hydrological alteration, habitat alteration and water supply indicators are quantified, normalized and integrated into a general basin management indicator. This basin management indicator is analyzed for four management approaches and seven e-flow scenarios in the Júcar River Basin (eastern Spain). Hydrological alteration indicators show a less pronounced alteration in the river sections located upstream of the basin while a higher alteration in the downstream sections. As for the habitat indicators, they experience an improvement compared to the natural regime. Based on the values of the basin management indicator, the best e-flow scenario to adopt in the Júcar River Basin is selected. The indicators proposed in this work are useful for supporting decision-making regarding the planning and management of e-flows in regulated river basins worldwide.</w:t>
      </w:r>
    </w:p>
    <w:p>
      <w:pPr/>
      <w:r>
        <w:rPr>
          <w:b/>
        </w:rPr>
        <w:t>POSSIBLE 2023:</w:t>
      </w:r>
      <w:r>
        <w:t xml:space="preserve"> Inferring unknown unknowns: Regularized bias-aware ensemble Kalman filter — https://doi.org/10.1016/j.cma.2023.116502</w:t>
      </w:r>
    </w:p>
    <w:p>
      <w:pPr/>
      <w:r>
        <w:rPr>
          <w:b/>
        </w:rPr>
        <w:t>Shared claim-specific concepts:</w:t>
      </w:r>
      <w:r>
        <w:t xml:space="preserve"> ensemble, first; EU scope not established. This is a provisional connection, not an outcome finding.</w:t>
      </w:r>
    </w:p>
    <w:p>
      <w:pPr>
        <w:pStyle w:val="SourceNote"/>
      </w:pPr>
      <w:r>
        <w:rPr>
          <w:b/>
        </w:rPr>
        <w:t>Available abstract (not full text):</w:t>
      </w:r>
      <w:r>
        <w:t xml:space="preserve"> Because of physical assumptions and numerical approximations, low-order models are affected by uncertainties in the state and parameters, and by model biases. Model biases, also known as model errors or systematic errors, are difficult to infer because they are ‘unknown unknowns’, i.e., we do not necessarily know their functional form a priori. With biased models, data assimilation methods may be ill-posed because either (i) they are ‘bias-unaware’ because the estimators are assumed unbiased, (ii) they rely on an a priori parametric model for the bias, or (iii) they can infer model biases that are not unique for the same model and data. First, we design a data assimilation framework to perform combined state, parameter, and bias estimation. Second, we propose a mathematical solution with a sequential method, i.e., the regularized bias-aware ensemble Kalman Filter (r-EnKF), which requires a model of the bias and its gradient (i.e., the Jacobian). Third, we propose an echo state network as the model bias estimator. We derive the Jacobian of the network, and design a robust training strategy with data augmentation to accurately infer the bias in different scenarios. Fourth, we apply the r-EnKF to nonlinearly coupled oscillators (with and without time-delay) affected by different forms of bias. The r-EnKF infers in real-time parameters and states, and a unique bias. The application</w:t>
      </w:r>
    </w:p>
    <w:p>
      <w:pPr/>
      <w:r>
        <w:rPr>
          <w:b/>
        </w:rPr>
        <w:t>POSSIBLE 2023:</w:t>
      </w:r>
      <w:r>
        <w:t xml:space="preserve"> Dust storm forecasting through coupling LOTOS-EUROS with localized ensemble Kalman filter — https://doi.org/10.1016/j.atmosenv.2023.119831</w:t>
      </w:r>
    </w:p>
    <w:p>
      <w:pPr/>
      <w:r>
        <w:rPr>
          <w:b/>
        </w:rPr>
        <w:t>Shared claim-specific concepts:</w:t>
      </w:r>
      <w:r>
        <w:t xml:space="preserve"> coupling, ensemble; EU scope not established. This is a provisional connection, not an outcome finding.</w:t>
      </w:r>
    </w:p>
    <w:p>
      <w:pPr>
        <w:pStyle w:val="SourceNote"/>
      </w:pPr>
      <w:r>
        <w:rPr>
          <w:b/>
        </w:rPr>
        <w:t>Available abstract (not full text):</w:t>
      </w:r>
      <w:r>
        <w:t xml:space="preserve"> Super dust storms re-occurred over East Asia in 2021 spring and casted great health damages and property losses. It is essential to achieve an accurate dust forecast to reduce the damage for early warning. The forecasting system fundamentally relies on a numerical model which can forecast the full evolution of dust storms. However, large uncertainties exist in model forecasts. Meanwhile, various near-real-time observations are available that contain valuable dust information. A dust storm forecasting system is here developed through coupling a chemical transport model, LOTOS-EUROS, and Localized EnKF (LEnKF) assimilation approach. The assimilations are carried out via an interface of our self-designed assimilation toolbox, PyFilter v1.0. Ground-based PM 10 measurements from air quality monitoring network are assimilated. Sequential assimilation tests are carried out over the 2021 spring super dust storms. The results show that the assimilation-based forecasting system produces a promising dust forecast than model-only forecast, and the improvements is also validated through comparing to the independent MODIS aerosol optical depth (AOD). Superior performance is obtained when LEnKF is implemented, as the localization helps EnKF in resolving the PM 10 measurements that have a large spatial variability with limited ensemble members. In addition, sensitivity experiments are conducte</w:t>
      </w:r>
    </w:p>
    <w:p>
      <w:pPr>
        <w:pStyle w:val="Heading2"/>
      </w:pPr>
      <w:r>
        <w:t>903.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2022:</w:t>
      </w:r>
      <w:r>
        <w:t xml:space="preserve"> Governing artificial intelligence in China and the European Union: Comparing aims and promoting ethical outcomes — https://doi.org/10.1080/01972243.2022.2124565</w:t>
      </w:r>
    </w:p>
    <w:p>
      <w:pPr/>
      <w:r>
        <w:rPr>
          <w:b/>
        </w:rPr>
        <w:t>Shared claim-specific concepts:</w:t>
      </w:r>
      <w:r>
        <w:t xml:space="preserve"> aim, article, use; EU scope visible. This is a provisional connection, not an outcome finding.</w:t>
      </w:r>
    </w:p>
    <w:p>
      <w:pPr>
        <w:pStyle w:val="SourceNote"/>
      </w:pPr>
      <w:r>
        <w:rPr>
          <w:b/>
        </w:rPr>
        <w:t>Available abstract (not full text):</w:t>
      </w:r>
      <w:r>
        <w:t xml:space="preserve"> In this article, we compare the artificial intelligence strategies of China and the European Union, assessing the key similarities and differences regarding what the high-level aims of each governance strategy are, how the development and use of AI is promoted in the public and private sectors, and whom these policies are meant to benefit. We characterize China’s strategy by its primary focus on fostering innovation and a more recent emphasis on “common prosperity,” and the EU’s on promoting ethical outcomes through protecting fundamental rights. Building on this comparative analysis, we consider the areas where the EU and China could learn from and improve upon each other’s approaches to AI governance to promote more ethical outcomes. We outline policy recommendations for both European and Chinese policymakers that would support them in achieving this aim.</w:t>
      </w:r>
    </w:p>
    <w:p>
      <w:pPr/>
      <w:r>
        <w:rPr>
          <w:b/>
        </w:rPr>
        <w:t>POSSIBLE 2022:</w:t>
      </w:r>
      <w:r>
        <w:t xml:space="preserve"> Assessing the Effectiveness of Selected European Innovation Systems — https://doi.org/10.18778/1508-2008.25.15</w:t>
      </w:r>
    </w:p>
    <w:p>
      <w:pPr/>
      <w:r>
        <w:rPr>
          <w:b/>
        </w:rPr>
        <w:t>Shared claim-specific concepts:</w:t>
      </w:r>
      <w:r>
        <w:t xml:space="preserve"> aim, article, assess, possible; EU scope visible. This is a provisional connection, not an outcome finding.</w:t>
      </w:r>
    </w:p>
    <w:p>
      <w:pPr>
        <w:pStyle w:val="SourceNote"/>
      </w:pPr>
      <w:r>
        <w:rPr>
          <w:b/>
        </w:rPr>
        <w:t>Available abstract (not full text):</w:t>
      </w:r>
      <w:r>
        <w:t xml:space="preserve"> The growing importance of innovation in the modern economy has revived the interest of economic sciences in studies on the mechanisms that govern innovation and its impact on economic development. This growth of interest induced the concept of the national system of innovation (NSI), which occupies an important place in the innovation policy of all developed market economies. The economic literature distinguishes various typologies of innovation systems. The aim of the article is to assess the effectiveness of the system of European integration, the socio‑democratic system, and the mutated system, measured by the level of innovation of the economies that belong to these systems, in 2014 and 2019. The article analyzes the literature on the subject of innovation systems. The method of linear ordering, which makes it possible to build a synthetic measure calculated using the Hellwig method, is used to assess the effectiveness of innovation systems. The article formulates a research hypothesis that the most effective innovation systems are the socio‑democratic system and the system of European integration. This hypothesis has been positively verified.</w:t>
      </w:r>
    </w:p>
    <w:p>
      <w:pPr/>
      <w:r>
        <w:rPr>
          <w:b/>
        </w:rPr>
        <w:t>POSSIBLE 2022:</w:t>
      </w:r>
      <w:r>
        <w:t xml:space="preserve"> Environmental Inequality in Four European Cities: A Study Combining Household Survey and Geo-Referenced Data — https://doi.org/10.1093/esr/jcac028</w:t>
      </w:r>
    </w:p>
    <w:p>
      <w:pPr/>
      <w:r>
        <w:rPr>
          <w:b/>
        </w:rPr>
        <w:t>Shared claim-specific concepts:</w:t>
      </w:r>
      <w:r>
        <w:t xml:space="preserve"> four, combining, environmental; EU scope visible. This is a provisional connection, not an outcome finding.</w:t>
      </w:r>
    </w:p>
    <w:p>
      <w:pPr>
        <w:pStyle w:val="SourceNote"/>
      </w:pPr>
      <w:r>
        <w:rPr>
          <w:b/>
        </w:rPr>
        <w:t>Available abstract (not full text):</w:t>
      </w:r>
      <w:r>
        <w:t xml:space="preserve"> Abstract Combining individual-level survey data and geo-referenced administrative noise data for four European cities (Bern, Zurich, Hanover, and Mainz; n = 7,450), we test the social gradient hypothesis, which states that exposure to residential noise is higher for households in a lower socioeconomic position (measured by income and migration background). In addition, we introduce and test the ‘environmental shielding hypothesis’, which states that, given environmental ‘bads’ in the neighbourhood, privileged social groups have better opportunities to shield themselves against them. Our results show that, for many residents of the four cities, observed road traffic and aircraft noise levels are above World Health Organization limits. Estimates of spatial error regression models only partly support the social gradient hypothesis. While we find significant but relatively small income effects and somewhat stronger effects of having a (non-Western) migration background, these effects are not significant in all cities. However, especially high-income households are more capable of avoiding exposure to indoor noise. Due to their residence characteristics and having the resources to maintain high standards of noise protection, these households have more capabilities to shield themselves against environmental bads in their neighbourhood. This supports the environmental shielding hypoth</w:t>
      </w:r>
    </w:p>
    <w:p>
      <w:pPr/>
      <w:r>
        <w:rPr>
          <w:b/>
        </w:rPr>
        <w:t>POSSIBLE 2021:</w:t>
      </w:r>
      <w:r>
        <w:t xml:space="preserve"> Assessing the Level of Renewable Energy Development in the European Union Member States. A 10-Year Perspective — https://doi.org/10.3390/en14133765</w:t>
      </w:r>
    </w:p>
    <w:p>
      <w:pPr/>
      <w:r>
        <w:rPr>
          <w:b/>
        </w:rPr>
        <w:t>Shared claim-specific concepts:</w:t>
      </w:r>
      <w:r>
        <w:t xml:space="preserve"> article, assess, possible, set, indicators; EU scope visible. This is a provisional connection, not an outcome finding.</w:t>
      </w:r>
    </w:p>
    <w:p>
      <w:pPr>
        <w:pStyle w:val="SourceNote"/>
      </w:pPr>
      <w:r>
        <w:rPr>
          <w:b/>
        </w:rPr>
        <w:t>Available abstract (not full text):</w:t>
      </w:r>
      <w:r>
        <w:t xml:space="preserve"> The global economic development is, to a great extent, dependent on access to large amounts of cheap energy sources. The growing social awareness of ecology and the enormous damage to the Earth’s ecosystem due to the production of energy from conventional sources have forced fundamental changes in the energy sector. Renewable energy is considered to be an opportunity for such changes. The current state of the art allows such changes to be made without restricting economic development. Therefore, activities related to the energy transition are being taken all over the world. The European Union has definitely managed to achieve the most tangible effects in this regard. This article presents the findings of the research aimed at presenting the current state of renewable energy in the European Union and analyzing the changes reported in this sector in the last decade. The research was carried out using a selected set of 11 indicators characterizing renewable energy in individual countries. These indicators were selected on the basis of literature review and own studies of the state of renewable energy and its development prospects. Based on these indicators, changes in the energy structure of individual European Union countries between 2008–2018 were determined. The study is divided into two main stages. The principal components analysis (PCA) was used for the first analysis. In tu</w:t>
      </w:r>
    </w:p>
    <w:p>
      <w:pPr/>
      <w:r>
        <w:rPr>
          <w:b/>
        </w:rPr>
        <w:t>POSSIBLE 2021:</w:t>
      </w:r>
      <w:r>
        <w:t xml:space="preserve"> Assessing the level of digital maturity of enterprises in the Central and Eastern European countries using the MCDM and Shannon’s entropy methods — https://doi.org/10.1371/journal.pone.0253965</w:t>
      </w:r>
    </w:p>
    <w:p>
      <w:pPr/>
      <w:r>
        <w:rPr>
          <w:b/>
        </w:rPr>
        <w:t>Shared claim-specific concepts:</w:t>
      </w:r>
      <w:r>
        <w:t xml:space="preserve"> article, possible; EU scope visible. This is a provisional connection, not an outcome finding.</w:t>
      </w:r>
    </w:p>
    <w:p>
      <w:pPr>
        <w:pStyle w:val="SourceNote"/>
      </w:pPr>
      <w:r>
        <w:rPr>
          <w:b/>
        </w:rPr>
        <w:t>Available abstract (not full text):</w:t>
      </w:r>
      <w:r>
        <w:t xml:space="preserve"> The process of global economic digitalization is a natural stage of evolutionary changes resulting from a dynamic development of information and communication technologies. Having appreciated the importance and advantages of digital transformation, individual countries began to strive to introduce it as soon as possible. In this context, it is important to study the level of digital maturity in Central and Eastern Europe, where the level of digitization is relatively low. This article assesses the level of digital readiness of enterprises in these countries based on 14 determinants characterizing the most important areas of the digitalization process. The research was carried out for 11 countries from the region, both for all and manufacturing enterprises. Multi-criteria analysis aimed at assessing the digital maturity of countries were performed using the Multi-Criteria Decision-Making methods (the TOPSIS, MOORA, VIKOR), and entropy methods for delineating the weights of the determinants. In order to obtain an unambiguous assessment of the determined digital maturity, the mean-rank method was applied. The method of multidimensional scaling allowed for the analysis of similarities between the countries in question. The results showed that the level of digital maturity in the Central and Eastern Europe countries varies greatly and is lower than in other European Union countries.</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carbon,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The ‘political’ roles of the European Commission — https://doi.org/10.1080/07036337.2019.1572135</w:t>
      </w:r>
    </w:p>
    <w:p>
      <w:pPr/>
      <w:r>
        <w:rPr>
          <w:b/>
        </w:rPr>
        <w:t>Shared claim-specific concepts:</w:t>
      </w:r>
      <w:r>
        <w:t xml:space="preserve"> aim, article, assess;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pStyle w:val="Heading2"/>
      </w:pPr>
      <w:r>
        <w:t>904.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r>
        <w:rPr>
          <w:b/>
        </w:rPr>
        <w:t>POSSIBLE 2023:</w:t>
      </w:r>
      <w:r>
        <w:t xml:space="preserve"> European forest sinks and climate targets: past trends, main drivers, and future forecasts — https://doi.org/10.1007/s10342-023-01587-4</w:t>
      </w:r>
    </w:p>
    <w:p>
      <w:pPr/>
      <w:r>
        <w:rPr>
          <w:b/>
        </w:rPr>
        <w:t>Shared claim-specific concepts:</w:t>
      </w:r>
      <w:r>
        <w:t xml:space="preserve"> trends, drivers, sector; EU scope visible. This is a provisional connection, not an outcome finding.</w:t>
      </w:r>
    </w:p>
    <w:p>
      <w:pPr>
        <w:pStyle w:val="SourceNote"/>
      </w:pPr>
      <w:r>
        <w:rPr>
          <w:b/>
        </w:rPr>
        <w:t>Available abstract (not full text):</w:t>
      </w:r>
      <w:r>
        <w:t xml:space="preserve"> Abstract We examine the evolution of European net sinks towards 2030 and the European Union’s (EU) climate neutrality target by 2050. The EU’s current land use policy for 2021–2030 is divided into two periods: 2021–2025 and 2026–2030. The national inventory data from several databases and statistical analyses are used to examine the trends and drivers and to forecast future forest sinks and the net sinks of the land use, land use change and forestry (LULUCF) sector. Our forecasts suggest that national forest sinks will be short of the agreed forest reference levels in most member states in 2021–2025, with a total of 128 MtCO 2 eq. For 2026–2030, the net sink for the whole EU LULUCF sector will be short of the EU target by 298 MtCO 2 eq. Thus, most member states must design more efficient LULUCF policies to fulfil their national targets. Furthermore, the decreasing trends in the LULUCF sinks also emphasize the need to reduce emissions and to increase the sinks in most member states so that the EU can achieve its climate neutrality goal by 2050.</w:t>
      </w:r>
    </w:p>
    <w:p>
      <w:pPr/>
      <w:r>
        <w:rPr>
          <w:b/>
        </w:rPr>
        <w:t>POSSIBLE 2023:</w:t>
      </w:r>
      <w:r>
        <w:t xml:space="preserve"> Population development as a driver of coastal risk: Current trends and future pathways — https://doi.org/10.1017/cft.2023.3</w:t>
      </w:r>
    </w:p>
    <w:p>
      <w:pPr/>
      <w:r>
        <w:rPr>
          <w:b/>
        </w:rPr>
        <w:t>Shared claim-specific concepts:</w:t>
      </w:r>
      <w:r>
        <w:t xml:space="preserve"> potential, trends, work; EU scope not established. This is a provisional connection, not an outcome finding.</w:t>
      </w:r>
    </w:p>
    <w:p>
      <w:pPr>
        <w:pStyle w:val="SourceNote"/>
      </w:pPr>
      <w:r>
        <w:rPr>
          <w:b/>
        </w:rPr>
        <w:t>Available abstract (not full text):</w:t>
      </w:r>
      <w:r>
        <w:t xml:space="preserve"> Abstract Coastal areas are subject to hazards that can result in severe impacts due to the high concentration of people and assets in exposed locations. While climate-induced sea-level rise will exacerbate these hazards in the course of the 21st century, future dynamics in socioeconomic development will play an important role in driving impacts – as well as adaptation responses – in particular in countries with rapid population growth in low-lying coastal areas. Here, we synthesize the current state of knowledge related to current and future population development in coastal locations and the underlying trends in socioeconomic development affecting coastal impacts at continental to global scales. Currently, 2.15 billion people live in the near-coastal zone and 898 million in the low-elevation coastal zone globally. These numbers could increase to 2.9 billion and 1.2 billion, respectively, depending on the socioeconomic scenario (i.e., Shared Socioeconomic Pathway [SSP]) considered. Nevertheless, although these numbers indicate a rapid increase in exposure of population and assets to coastal hazards, they bear limited information about the actual impacts as they do not include information on the vulnerability of coastal population. Based on these insights, we stress the need to account for dynamics in socioeconomic development in coastal risk assessments, including exposure as w</w:t>
      </w:r>
    </w:p>
    <w:p>
      <w:pPr/>
      <w:r>
        <w:rPr>
          <w:b/>
        </w:rPr>
        <w:t>POSSIBLE 2022:</w:t>
      </w:r>
      <w:r>
        <w:t xml:space="preserve"> An Overview of Packaging Waste Models in Some European Countries — https://doi.org/10.3390/recycling7030038</w:t>
      </w:r>
    </w:p>
    <w:p>
      <w:pPr/>
      <w:r>
        <w:rPr>
          <w:b/>
        </w:rPr>
        <w:t>Shared claim-specific concepts:</w:t>
      </w:r>
      <w:r>
        <w:t xml:space="preserve"> packaging, implications, provide, base; EU scope visible. This is a provisional connection, not an outcome finding.</w:t>
      </w:r>
    </w:p>
    <w:p>
      <w:pPr>
        <w:pStyle w:val="SourceNote"/>
      </w:pPr>
      <w:r>
        <w:rPr>
          <w:b/>
        </w:rPr>
        <w:t>Available abstract (not full text):</w:t>
      </w:r>
      <w:r>
        <w:t xml:space="preserve"> Efficient packaging waste management systems are essential considering recent revisions of the European legislation on packaging waste management that sets ambitious targets. European rules aim to deal with the increasing quantities of packaging waste, which cause environmental problems. Consequently, it is necessary to identify functional packaging waste management systems to achieve these targets effectively and efficiently. However, given the heterogeneity of the different packaging management systems, policymakers, scholars, and industry operators struggle to have a comparative view. The number of non-harmonized laws in force across countries, autonomous recycling targets, and constant updates are prominent problems that make it difficult to obtain comparable information for research, business, and policymaking. To fill this gap, our research question consists of assigning responsibilities for prevention, collection, recycling, and recovery and an overview of some models at a glance with respect to the general governance and functioning of the system. We base our research on a multiple-case design since more cases are examined using complementary data collection methods, analysis of the previous literature, reports, legislation, and business and institutional websites. Our results provide insights from the following cases: Germany, France, the United Kingdom, the Netherland</w:t>
      </w:r>
    </w:p>
    <w:p>
      <w:pPr/>
      <w:r>
        <w:rPr>
          <w:b/>
        </w:rPr>
        <w:t>POSSIBLE 2022:</w:t>
      </w:r>
      <w:r>
        <w:t xml:space="preserve"> A REVIEW OF RECENT TRENDS TO INCREASE THE SHARE OF POST-CONSUMER PACKAGING WASTE TO RECYCLING IN EUROPE — https://doi.org/10.31025/2611-4135/2022.15198</w:t>
      </w:r>
    </w:p>
    <w:p>
      <w:pPr/>
      <w:r>
        <w:rPr>
          <w:b/>
        </w:rPr>
        <w:t>Shared claim-specific concepts:</w:t>
      </w:r>
      <w:r>
        <w:t xml:space="preserve"> packaging, trends, provide; EU scope visible. This is a provisional connection, not an outcome finding.</w:t>
      </w:r>
    </w:p>
    <w:p>
      <w:pPr>
        <w:pStyle w:val="SourceNote"/>
      </w:pPr>
      <w:r>
        <w:rPr>
          <w:b/>
        </w:rPr>
        <w:t>Available abstract (not full text):</w:t>
      </w:r>
      <w:r>
        <w:t xml:space="preserve"> Through the Circular Economy Package, the EU aims to reduce material imports and environmental impacts of waste management. Ambitious recycling targets should help to achieve these objectives. As a response, the waste industry developed technical and organizational solutions that can intervene at different stages of a waste management system in order to increase the recovery of recycling materials, starting with improved separate collection over the use of modern material recovery facilities up to the enhanced treatment of waste incineration ashes. The large question is how each of these options can contribute to increase recycling rates to achieve a circular economy. By reviewing case studies as presented in the most recent literature published since the year 2010 from European countries on the recycling of post-consumer packaging waste of glass, metals, paper, and plastics, this study contributes to answer this question. In the first stage, the review found 644 articles matching with the search terms and published since the year 2010. Of these, 46 remained for an in-depth analysis, since 319 did not present case studies as defined in the scope of this article. The articles reviewed provide a good overview on the state of knowledge on increasing recycling of post-consumer packaging waste by improved separate collection, material recovery facilities, and waste incineration bott</w:t>
      </w:r>
    </w:p>
    <w:p>
      <w:pPr>
        <w:pStyle w:val="Heading2"/>
      </w:pPr>
      <w:r>
        <w:t>905.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r>
        <w:rPr>
          <w:b/>
        </w:rPr>
        <w:t>POSSIBLE 2022:</w:t>
      </w:r>
      <w:r>
        <w:t xml:space="preserve"> Stakeholders of the Online Pharmaceutical Market — https://doi.org/10.5772/intechopen.108485</w:t>
      </w:r>
    </w:p>
    <w:p>
      <w:pPr/>
      <w:r>
        <w:rPr>
          <w:b/>
        </w:rPr>
        <w:t>Shared claim-specific concepts:</w:t>
      </w:r>
      <w:r>
        <w:t xml:space="preserve"> stakeholders, landscape, however; EU scope not established. This is a provisional connection, not an outcome finding.</w:t>
      </w:r>
    </w:p>
    <w:p>
      <w:pPr>
        <w:pStyle w:val="SourceNote"/>
      </w:pPr>
      <w:r>
        <w:rPr>
          <w:b/>
        </w:rPr>
        <w:t>Available abstract (not full text):</w:t>
      </w:r>
      <w:r>
        <w:t xml:space="preserve"> During the past two decades, the pharmacy supply chain has developed a new segment besides traditional “brick and mortar” pharmacies. The expansion of the internet, consumer experience in online purchases, the ease of mail order trade, and distance selling have facilitated the growth of the internet pharmacy landscape. Changes in health-seeking behavior, patient empowerment, and openness to self-diagnosis and self-treatment have also contributed to the phenomenon and were further facilitated by the pandemic. Various types of online medicinal product sellers have been published previously, however, authors have classified online pharmacies mainly according to legality and patient safety considerations. As online pharmacies show great diversity, no distinct categories can be specified, rather pharmacies on the web can be categorized by multiple aspects. Admittedly, consumer preferences, regulatory environment, and legitimacy of operation are key influencing factors. In this chapter, key aspects of categorization and nomenclature are discussed to profile different vendors on the internet.</w:t>
      </w:r>
    </w:p>
    <w:p>
      <w:pPr/>
      <w:r>
        <w:rPr>
          <w:b/>
        </w:rPr>
        <w:t>POSSIBLE 2022:</w:t>
      </w:r>
      <w:r>
        <w:t xml:space="preserve"> Interaction between market stakeholders in the process of business development in an innovative economy — https://doi.org/10.5281/zenodo.5909762</w:t>
      </w:r>
    </w:p>
    <w:p>
      <w:pPr/>
      <w:r>
        <w:rPr>
          <w:b/>
        </w:rPr>
        <w:t>Shared claim-specific concepts:</w:t>
      </w:r>
      <w:r>
        <w:t xml:space="preserve"> stakeholders, based; EU scope not established. This is a provisional connection, not an outcome finding.</w:t>
      </w:r>
    </w:p>
    <w:p>
      <w:pPr>
        <w:pStyle w:val="SourceNote"/>
      </w:pPr>
      <w:r>
        <w:rPr>
          <w:b/>
        </w:rPr>
        <w:t>Available abstract (not full text):</w:t>
      </w:r>
      <w:r>
        <w:t xml:space="preserve"> Relevance of the research topic. The problem of interaction between market stakeholders in the development of entrepreneurship in an innovative economy is a prerequisite for the formation of a new type of economy based on knowledge. Transformational configurations in the institutional matrix require a systematic revision of these issues, taking into account the current state of development of the state economy. Formulation of the problem. There is a need to detail the directions of ensuring the interaction of market stakeholders in the process of developing entrepreneurship in an innovative economy. It is important to specify the infrastructural elements that will ensure continuous communication flows between individual market stakeholders. Setting the purpose and objectives of the study – to investigate the problems of interaction between market stakeholders in the development of entrepreneurship in an innovative economy and highlight the directions for improving communication between the scientific sector, production, infrastructure elements and government bodies. Research method or methodology. The article uses the methods of deduction, induction, systematization, analysis, synthesis and theoretical generalization. Presentation of the main material (research results). It is substantiated that the interaction of market stakeholders in the development of entrepreneurship in an</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stakeholders, data, presents;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Market research and stakeholder mapping — https://doi.org/10.5281/zenodo.7116931</w:t>
      </w:r>
    </w:p>
    <w:p>
      <w:pPr/>
      <w:r>
        <w:rPr>
          <w:b/>
        </w:rPr>
        <w:t>Shared claim-specific concepts:</w:t>
      </w:r>
      <w:r>
        <w:t xml:space="preserve"> stakeholders, evolve; EU scope not established. This is a provisional connection, not an outcome finding.</w:t>
      </w:r>
    </w:p>
    <w:p>
      <w:pPr>
        <w:pStyle w:val="SourceNote"/>
      </w:pPr>
      <w:r>
        <w:rPr>
          <w:b/>
        </w:rPr>
        <w:t>Available abstract (not full text):</w:t>
      </w:r>
      <w:r>
        <w:t xml:space="preserve"> As part of the 5GMETA project, WP6 (New Market Ecosystem) has the objective to support the strategy to create a new CCAM (Cooperative, Connected and Automated Mobility) market ecosystem. In particular, Task 6.1 (Market research and stakeholder mapping) aims to provide results after a market research and stakeholders analysis to understand which are the trends, segments and customers for the 5GMETA platform, and how the market will evolve in the CCAM market ecosystem. Moreover, a competitor analysis is performed which will be used as input for some deliverables to follow, such as D6.2 (New Business Model), thus creating a value proposition and a business model that better fits the customers and stakeholders needs. The work also identifies the key stakeholders that take part in use cases, which enriches the analysis by showing opportunities and barriers in such an innovative and technological context.</w:t>
      </w:r>
    </w:p>
    <w:p>
      <w:pPr/>
      <w:r>
        <w:rPr>
          <w:b/>
        </w:rPr>
        <w:t>POSSIBLE 2021:</w:t>
      </w:r>
      <w:r>
        <w:t xml:space="preserve"> D3.1 – Stakeholders and market analysis report — https://doi.org/10.5281/zenodo.5552478</w:t>
      </w:r>
    </w:p>
    <w:p>
      <w:pPr/>
      <w:r>
        <w:rPr>
          <w:b/>
        </w:rPr>
        <w:t>Shared claim-specific concepts:</w:t>
      </w:r>
      <w:r>
        <w:t xml:space="preserve"> stakeholders, data; EU scope not established. This is a provisional connection, not an outcome finding.</w:t>
      </w:r>
    </w:p>
    <w:p>
      <w:pPr>
        <w:pStyle w:val="SourceNote"/>
      </w:pPr>
      <w:r>
        <w:rPr>
          <w:b/>
        </w:rPr>
        <w:t>Available abstract (not full text):</w:t>
      </w:r>
      <w:r>
        <w:t xml:space="preserve"> State of the art review of the stakeholders and market analysis regarding PIXEL technologies and solutions. The aim of this deliverable is to provide an insight to the current and emerging situation of port related solutions focused on the interoperability between agents (cities, transportation companies, port agencies, etc.), the communication and storage of data of port activities, exploitation of this information and optimization of those operations from different points of view (namely environmentally).</w:t>
      </w:r>
    </w:p>
    <w:p>
      <w:pPr>
        <w:pStyle w:val="Heading2"/>
      </w:pPr>
      <w:r>
        <w:t>906.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r>
        <w:rPr>
          <w:b/>
        </w:rPr>
        <w:t>POSSIBLE 2023:</w:t>
      </w:r>
      <w:r>
        <w:t xml:space="preserve"> How different incentives influence reported motivation and perceptions of performance in Ghanaian community-based health planning and services zones — https://doi.org/10.1186/s13104-023-06286-2</w:t>
      </w:r>
    </w:p>
    <w:p>
      <w:pPr/>
      <w:r>
        <w:rPr>
          <w:b/>
        </w:rPr>
        <w:t>Shared claim-specific concepts:</w:t>
      </w:r>
      <w:r>
        <w:t xml:space="preserve"> planning, four, different, two, care; EU scope not established. This is a provisional connection, not an outcome finding.</w:t>
      </w:r>
    </w:p>
    <w:p>
      <w:pPr>
        <w:pStyle w:val="SourceNote"/>
      </w:pPr>
      <w:r>
        <w:rPr>
          <w:b/>
        </w:rPr>
        <w:t>Available abstract (not full text):</w:t>
      </w:r>
      <w:r>
        <w:t xml:space="preserve"> BACKGROUND: Maternal mortality is still a burden worldwide, and Ghana's maternal and child mortalities are still high. Incentive schemes have been effective in improving health workers' performance thereby reducing maternal and child deaths. The efficiency of public health services in most developing countries has been linked to the provision of incentives. Thus, financial packages for Community Health Volunteers (CHVs) serve as enablers for them to be focused and committed to their work. However, the poor performance of CHVs is still a challenge in health service delivery in many developing countries. Although the reasons for these persistent problems are understood, we need to find out how to implement what works in the face of political will and financial constraints. This study assesses how different incentives influence reported motivation and perceptions of performance in Community-based Health Planning and Services Program (CHPS) zones in the Upper East region. METHODS: A quasi-experimental study design with post-intervention measurement was used. Performance-based interventions were implemented for 1 year in the Upper East region. The different interventions were rolled out in 55 of 120 CHPS zones. The 55 CHPS zones were randomly assigned to four groups: three groups of 14 CHPS zones with the last group containing 13 CHPS zones. Several alternative types of financial an</w:t>
      </w:r>
    </w:p>
    <w:p>
      <w:pPr/>
      <w:r>
        <w:rPr>
          <w:b/>
        </w:rPr>
        <w:t>POSSIBLE 2022:</w:t>
      </w:r>
      <w:r>
        <w:t xml:space="preserve"> A Study on the Translatability of the Developmental Assessment Report into the Individualized Education Plan in the Philippines — https://doi.org/10.1080/1034912x.2022.2095557</w:t>
      </w:r>
    </w:p>
    <w:p>
      <w:pPr/>
      <w:r>
        <w:rPr>
          <w:b/>
        </w:rPr>
        <w:t>Shared claim-specific concepts:</w:t>
      </w:r>
      <w:r>
        <w:t xml:space="preserve"> reports, four, different; EU scope not established. This is a provisional connection, not an outcome finding.</w:t>
      </w:r>
    </w:p>
    <w:p>
      <w:pPr>
        <w:pStyle w:val="SourceNote"/>
      </w:pPr>
      <w:r>
        <w:rPr>
          <w:b/>
        </w:rPr>
        <w:t>Available abstract (not full text):</w:t>
      </w:r>
      <w:r>
        <w:t xml:space="preserve"> The Special Education Process (SEP) demands the collaboration of various professionals and personalities to create the Individualised Education Plan (IEP), beginning with the evaluation conducted by clinical psychologists, psychiatrists and in this study, developmental paediatricians. Assessments acts as a keystone document, serving as basis for determining placement levels, student support requirements and depth of academic training to be implemented. With inclusion gradually being implemented in the Philippines, the study sought to determine the translatability of the assessment report produced by developmental paediatricians into the IEP. The study used documentary analysis of 50 individualised education plans derived from the assessment reports of 10 different developmental paediatricians. The documents were analysed to determine the presence of components needed to refer to in making the IEP. The data shows that the assessment reports have four components, namely profile, present level of condition, report and recommendation. These components can be used as reference material in creating the IEP, and as a basis for a structured approach in creating the document. However, the study also shows how the report content and structure slightly differ for each other, making some of the reports easier to refer to compared to others.</w:t>
      </w:r>
    </w:p>
    <w:p>
      <w:pPr/>
      <w:r>
        <w:rPr>
          <w:b/>
        </w:rPr>
        <w:t>POSSIBLE 2022:</w:t>
      </w:r>
      <w:r>
        <w:t xml:space="preserve"> Measurement invariance testing using confirmatory factor analysis and alignment optimization: A tutorial for transparent analysis planning and reporting. — https://doi.org/10.1037/met0000441</w:t>
      </w:r>
    </w:p>
    <w:p>
      <w:pPr/>
      <w:r>
        <w:rPr>
          <w:b/>
        </w:rPr>
        <w:t>Shared claim-specific concepts:</w:t>
      </w:r>
      <w:r>
        <w:t xml:space="preserve"> planning, four, different, two; EU scope not established. This is a provisional connection, not an outcome finding.</w:t>
      </w:r>
    </w:p>
    <w:p>
      <w:pPr>
        <w:pStyle w:val="SourceNote"/>
      </w:pPr>
      <w:r>
        <w:rPr>
          <w:b/>
        </w:rPr>
        <w:t>Available abstract (not full text):</w:t>
      </w:r>
      <w:r>
        <w:t xml:space="preserve"> Measurement invariance-the notion that the measurement properties of a scale are equal across groups, contexts, or time-is an important assumption underlying much of psychology research. The traditional approach for evaluating measurement invariance is to fit a series of nested measurement models using multiple-group confirmatory factor analyses. However, traditional approaches are strict, vary across the field in implementation, and present multiplicity challenges, even in the simplest case of two groups under study. The alignment method was recently proposed as an alternative approach. This method is more automated, requires fewer decisions from researchers, and accommodates two or more groups. However, it has different assumptions, estimation techniques, and limitations from traditional approaches. To address the lack of accessible resources that explain the methodological differences and complexities between the two approaches, we introduce and illustrate both, comparing them side by side. First, we overview the concepts, assumptions, advantages, and limitations of each approach. Based on this overview, we propose a list of four key considerations to help researchers decide which approach to choose and how to document their analytical decisions in a preregistration or analysis plan. We then demonstrate our key considerations on an illustrative research question using an ope</w:t>
      </w:r>
    </w:p>
    <w:p>
      <w:pPr/>
      <w:r>
        <w:rPr>
          <w:b/>
        </w:rPr>
        <w:t>POSSIBLE 2020:</w:t>
      </w:r>
      <w:r>
        <w:t xml:space="preserve"> The JASP guidelines for conducting and reporting a Bayesian analysis — https://doi.org/10.3758/s13423-020-01798-5</w:t>
      </w:r>
    </w:p>
    <w:p>
      <w:pPr/>
      <w:r>
        <w:rPr>
          <w:b/>
        </w:rPr>
        <w:t>Shared claim-specific concepts:</w:t>
      </w:r>
      <w:r>
        <w:t xml:space="preserve"> planning, four, different; EU scope not established. This is a provisional connection, not an outcome finding.</w:t>
      </w:r>
    </w:p>
    <w:p>
      <w:pPr>
        <w:pStyle w:val="SourceNote"/>
      </w:pPr>
      <w:r>
        <w:rPr>
          <w:b/>
        </w:rPr>
        <w:t>Available abstract (not full text):</w:t>
      </w:r>
      <w:r>
        <w:t xml:space="preserve"> Despite the increasing popularity of Bayesian inference in empirical research, few practical guidelines provide detailed recommendations for how to apply Bayesian procedures and interpret the results. Here we offer specific guidelines for four different stages of Bayesian statistical reasoning in a research setting: planning the analysis, executing the analysis, interpreting the results, and reporting the results. The guidelines for each stage are illustrated with a running example. Although the guidelines are geared towards analyses performed with the open-source statistical software JASP, most guidelines extend to Bayesian inference in general.</w:t>
      </w:r>
    </w:p>
    <w:p>
      <w:pPr/>
      <w:r>
        <w:rPr>
          <w:b/>
        </w:rPr>
        <w:t>POSSIBLE 2020:</w:t>
      </w:r>
      <w:r>
        <w:t xml:space="preserve"> WP1300- Business Plan and Ecosystem Report, Document Number: DAR2020_WP1_0005 — https://openalex.org/W3128718428</w:t>
      </w:r>
    </w:p>
    <w:p>
      <w:pPr/>
      <w:r>
        <w:rPr>
          <w:b/>
        </w:rPr>
        <w:t>Shared claim-specific concepts:</w:t>
      </w:r>
      <w:r>
        <w:t xml:space="preserve"> four, different, technologies; EU scope not established. This is a provisional connection, not an outcome finding.</w:t>
      </w:r>
    </w:p>
    <w:p>
      <w:pPr>
        <w:pStyle w:val="SourceNote"/>
      </w:pPr>
      <w:r>
        <w:rPr>
          <w:b/>
        </w:rPr>
        <w:t>Available abstract (not full text):</w:t>
      </w:r>
      <w:r>
        <w:t xml:space="preserve"> The Darwin project aims to explore the integration of satellite communications (satcom) into the fifth generation mobile (5G) ecosystem with a focus on Connected Autonomous Vehicles (CAVs). The aim of this report is to map the key capabilities of the main actors and technologies that would comprise a satcom/5G ‘ecosystem’. This includes the need to collect, organise, and analyse information about the different business models currently used by the likely actors in such an ecosystem, their patterns, and potential interactions. The report consists of four sections: 1) Ecosystem Structure, 2) Ecosystem Economics and Competitive Landscape, 3) Business Plan, 4) Ecosystem Model.</w:t>
      </w:r>
    </w:p>
    <w:p>
      <w:pPr/>
      <w:r>
        <w:rPr>
          <w:b/>
        </w:rPr>
        <w:t>POSSIBLE 2020:</w:t>
      </w:r>
      <w:r>
        <w:t xml:space="preserve"> Practice-Based Politicization: Planning Reports as Actants in a University–Community Partnership — https://doi.org/10.1177/0739456x20945378</w:t>
      </w:r>
    </w:p>
    <w:p>
      <w:pPr/>
      <w:r>
        <w:rPr>
          <w:b/>
        </w:rPr>
        <w:t>Shared claim-specific concepts:</w:t>
      </w:r>
      <w:r>
        <w:t xml:space="preserve"> reports, planning, four, different; EU scope not established. This is a provisional connection, not an outcome finding.</w:t>
      </w:r>
    </w:p>
    <w:p>
      <w:pPr>
        <w:pStyle w:val="SourceNote"/>
      </w:pPr>
      <w:r>
        <w:rPr>
          <w:b/>
        </w:rPr>
        <w:t>Available abstract (not full text):</w:t>
      </w:r>
      <w:r>
        <w:t xml:space="preserve"> We look at a yearlong university–community partnership’s potential to create more equitable planning practices through an analysis of the sub-genres of student-generated planning reports. Using an actor–network approach to identify four different kinds of reports (manual, boundary object, framing, catalyst), we find that both the content of these reports and their translational work in existing practice-based networks can influence student learning and planning practices—what we term practice-based politicization—by defining, aligning, enrolling, and mobilizing. Ultimately, the relational context of these partnerships is essential to their effectiveness, suggesting that longer term engagements between university programs and their community partners are more likely to support mutual learning and deepen students’ pedagogical exposure to both an agonistic and collaborative approach to planning practice.</w:t>
      </w:r>
    </w:p>
    <w:p>
      <w:pPr/>
      <w:r>
        <w:rPr>
          <w:b/>
        </w:rPr>
        <w:t>POSSIBLE 2020:</w:t>
      </w:r>
      <w:r>
        <w:t xml:space="preserve"> Planning for patient-reported outcome implementation: Development of decision tools and practical experience across four clinics — https://doi.org/10.1017/cts.2020.37</w:t>
      </w:r>
    </w:p>
    <w:p>
      <w:pPr/>
      <w:r>
        <w:rPr>
          <w:b/>
        </w:rPr>
        <w:t>Shared claim-specific concepts:</w:t>
      </w:r>
      <w:r>
        <w:t xml:space="preserve"> planning, four, critical, engage; EU scope not established. This is a provisional connection, not an outcome finding.</w:t>
      </w:r>
    </w:p>
    <w:p>
      <w:pPr>
        <w:pStyle w:val="SourceNote"/>
      </w:pPr>
      <w:r>
        <w:rPr>
          <w:b/>
        </w:rPr>
        <w:t>Available abstract (not full text):</w:t>
      </w:r>
      <w:r>
        <w:t xml:space="preserve"> INTRODUCTION: Many institutions are attempting to implement patient-reported outcome (PRO) measures. Because PROs often change clinical workflows significantly for patients and providers, implementation choices can have major impact. While various implementation guides exist, a stepwise list of decision points covering the full implementation process and drawing explicitly on a sociotechnical conceptual framework does not exist. METHODS: To facilitate real-world implementation of PROs in electronic health records (EHRs) for use in clinical practice, members of the EHR Access to Seamless Integration of Patient-Reported Outcomes Measurement Information System (PROMIS) Consortium developed structured PRO implementation planning tools. Each institution pilot tested the tools. Joint meetings led to the identification of critical sociotechnical success factors. RESULTS: simplifies creation of a sharable implementation plan. Seven lessons learned during implementation underscore the iterative nature of planning and the importance of the clinician champion, as well as the need to understand aims, manage implementation barriers, minimize disruption, provide ample discussion time, and continuously engage key stakeholders. CONCLUSIONS: Highly structured planning tools, informed by a sociotechnical perspective, enabled the construction of clear, clinic-specific plans. By developing and tes</w:t>
      </w:r>
    </w:p>
    <w:p>
      <w:pPr>
        <w:pStyle w:val="Heading2"/>
      </w:pPr>
      <w:r>
        <w:t>907.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2024:</w:t>
      </w:r>
      <w:r>
        <w:t xml:space="preserve"> Working with Sport Clients in Transitions: Four Practitioners, Four Narratives — https://doi.org/10.1080/21520704.2024.2366828</w:t>
      </w:r>
    </w:p>
    <w:p>
      <w:pPr/>
      <w:r>
        <w:rPr>
          <w:b/>
        </w:rPr>
        <w:t>Shared claim-specific concepts:</w:t>
      </w:r>
      <w:r>
        <w:t xml:space="preserve"> four, narratives, each, practice; EU scope not established. This is a provisional connection, not an outcome finding.</w:t>
      </w:r>
    </w:p>
    <w:p>
      <w:pPr>
        <w:pStyle w:val="SourceNote"/>
      </w:pPr>
      <w:r>
        <w:rPr>
          <w:b/>
        </w:rPr>
        <w:t>Available abstract (not full text):</w:t>
      </w:r>
      <w:r>
        <w:t xml:space="preserve"> In this paper, we aim to present four narratives disclosing our applied experiences of working with sport clients in transitions. Within the narratives, each practitioner reflected on their professional philosophy, approaches used in practice, and provided a case illustration. The four included cases on transitions of a student-athlete, a retired jockey, a novice baseball coach, and a basketball coach were informed by diversified developmental theoretical perspectives, employing context-driven approaches, and person-centered collaborations. Consistent with the literature, we share effective ways of developing client awareness of the transition demands/barriers, helping them become more resourceful to cope, supporting their coping strategies, and stimulating reflexivity on their transition experience.</w:t>
      </w:r>
    </w:p>
    <w:p>
      <w:pPr/>
      <w:r>
        <w:rPr>
          <w:b/>
        </w:rPr>
        <w:t>POSSIBLE 2022:</w:t>
      </w:r>
      <w:r>
        <w:t xml:space="preserve"> Time and Narrative in Augustine’s City of God and Confessions — https://openalex.org/W7217744295</w:t>
      </w:r>
    </w:p>
    <w:p>
      <w:pPr/>
      <w:r>
        <w:rPr>
          <w:b/>
        </w:rPr>
        <w:t>Shared claim-specific concepts:</w:t>
      </w:r>
      <w:r>
        <w:t xml:space="preserve"> time, narrative, out; EU scope not established. This is a provisional connection, not an outcome finding.</w:t>
      </w:r>
    </w:p>
    <w:p>
      <w:pPr>
        <w:pStyle w:val="SourceNote"/>
      </w:pPr>
      <w:r>
        <w:rPr>
          <w:b/>
        </w:rPr>
        <w:t>Available abstract (not full text):</w:t>
      </w:r>
      <w:r>
        <w:t xml:space="preserve"> This paper examines the connections between Augustine ́s conception of Time in two of his main works: City of God and Confession. The issue of Time is crucial for Augustine ́s narrative purposes, and it appears in his account of the history of mankind – the City of God, just as it appears in his account of his own history – the Confessions. Book XI in both works discuss time and creation, and put the narrativeof the book in the context of time as a whole. The two accounts proceed from similar motivations and in a similar method. But they at the same time complete eachother: the account of the Confessions is more detailed in the way it presents the problem and works out the solution step by step; the City of God seems to pick it upfrom where Confessions leaves off and takes it a step further. In this paper, I first briefly sketch the concept of time as presented in Confessions XI. I continue bypointing out how it is completed in the account in City of God I conclude by indicating how these two accounts together put into perspective Augustine’s concern with narrative, as well as his use of it.</w:t>
      </w:r>
    </w:p>
    <w:p>
      <w:pPr/>
      <w:r>
        <w:rPr>
          <w:b/>
        </w:rPr>
        <w:t>POSSIBLE 2022:</w:t>
      </w:r>
      <w:r>
        <w:t xml:space="preserve"> The Narrative Tone of Stories — https://doi.org/10.4324/9781003316503-4</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Every author develops a narrative tone in their writings, either consciously or unconsciously. This chapter examines two aspects of narrative tone, both of which are especially relevant to the ideas used in this research. One of the concepts is the attachment style used in each story. John Bowlby was the ‘father’ of attachment theory; Mary Ainsworth is the lesser-known ‘mother’ of the theory. The author describes the four types of attachment style: namely, secure, insecure ambivalent, insecure avoidant, insecure disorganised. Each attachment schema is described in some detail. The author then moves on to another facet of narrative tone: namely, to the visions of reality or world views depicted in writings. The author uses a typology of world views developed by Northrop Frye: Romantic, Comic, Tragic and Ironic. Later writers (Messer &amp; Winokur, and Shafer) have identified the underlying metatheoretical assumptions of these world views as they pertain to the four main differing theoretical modalities in counselling and psychotherapy. The four competing visions are completely at odds with each other in some regards; in others, it is a matter of gradation. A number of elements are compared and contrasted: loci of responsibility and control; agency and structure; optimism versus pessimism. The author stresses that the world view put forward in each story may be expressed consciously </w:t>
      </w:r>
    </w:p>
    <w:p>
      <w:pPr/>
      <w:r>
        <w:rPr>
          <w:b/>
        </w:rPr>
        <w:t>POSSIBLE 2021:</w:t>
      </w:r>
      <w:r>
        <w:t xml:space="preserve"> Time Machines: Artificial Intelligence, Process, and Narrative — https://doi.org/10.1007/s13347-021-00479-y</w:t>
      </w:r>
    </w:p>
    <w:p>
      <w:pPr/>
      <w:r>
        <w:rPr>
          <w:b/>
        </w:rPr>
        <w:t>Shared claim-specific concepts:</w:t>
      </w:r>
      <w:r>
        <w:t xml:space="preserve"> narratives, time, narrative; EU scope not established. This is a provisional connection, not an outcome finding.</w:t>
      </w:r>
    </w:p>
    <w:p>
      <w:pPr>
        <w:pStyle w:val="SourceNote"/>
      </w:pPr>
      <w:r>
        <w:rPr>
          <w:b/>
        </w:rPr>
        <w:t>Available abstract (not full text):</w:t>
      </w:r>
      <w:r>
        <w:t xml:space="preserve"> Abstract While today there is much discussion about the ethics of artificial intelligence (AI), less work has been done on the philosophical nature of AI. Drawing on Bergson and Ricoeur, this paper proposes to use the concepts of time, process, and narrative to conceptualize AI and its normatively relevant impact on human lives and society. Distinguishing between a number of different ways in which AI and time are related, the paper explores what it means to understand AI as narrative, as process, or as the emergent outcome of processes and narratives. It pays particular attention to what it calls the “narrator” and “time machine” roles of AI and the normative implications of these roles. It argues that AI processes and narratives shape our time and link past, present, and future in particular ways that are ethically and politically significant.</w:t>
      </w:r>
    </w:p>
    <w:p>
      <w:pPr/>
      <w:r>
        <w:rPr>
          <w:b/>
        </w:rPr>
        <w:t>POSSIBLE 2021:</w:t>
      </w:r>
      <w:r>
        <w:t xml:space="preserve"> What drives global science? The four competing narratives — https://doi.org/10.1080/03075079.2021.1942822</w:t>
      </w:r>
    </w:p>
    <w:p>
      <w:pPr/>
      <w:r>
        <w:rPr>
          <w:b/>
        </w:rPr>
        <w:t>Shared claim-specific concepts:</w:t>
      </w:r>
      <w:r>
        <w:t xml:space="preserve"> four, narratives, each, narrative; EU scope not established. This is a provisional connection, not an outcome finding.</w:t>
      </w:r>
    </w:p>
    <w:p>
      <w:pPr>
        <w:pStyle w:val="SourceNote"/>
      </w:pPr>
      <w:r>
        <w:rPr>
          <w:b/>
        </w:rPr>
        <w:t>Available abstract (not full text):</w:t>
      </w:r>
      <w:r>
        <w:t xml:space="preserve"> Since 1990 there has been remarkable growth and diversification of worldwide capacity and output in science, and a distinctive global science system has emerged, primarily grounded in research universities, fostered by Internet-mediated communication and publication in English, cross-border authorship and researcher mobility. While global science overlaps with and is affected by national science systems, it is constituted by pan-national knowledge flows and collegial collaboration and has partial autonomy. Four different interpretive frameworks (narratives) have evolved to explain global science: science as an expanding cross-border network; science as an arms race between competing nations; science as a global market of competing ‘World-Class Universities’; and science as a centre-periphery hierarchy in which emerging countries are permanently constrained by Euro-American dominance. The paper reviews each narrative in relation to the literature, especially in scientometrics, and empirical tendencies in global science, tracked in secondary data derived from bibliometric collections. While each narrative contains at least a grain of truth, each also conflicts with the others and each is radically insufficient. A better explanation of the drivers of global science combines (1) flat open networked relations with (2) the inequalities and closures shaped by global hegemony, arbitrar</w:t>
      </w:r>
    </w:p>
    <w:p>
      <w:pPr/>
      <w:r>
        <w:rPr>
          <w:b/>
        </w:rPr>
        <w:t>POSSIBLE 2021:</w:t>
      </w:r>
      <w:r>
        <w:t xml:space="preserve"> Fugue for Four Voices: Building narratives through music behind bars — https://doi.org/10.1177/10298649211015505</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The project On the Wings of a Piano . . . I Learn to Fly was developed with four women in custody inside a Portuguese prison during 2013–2014 over a period of eight months. Weekly individual sessions focused on improvisation, composition, memorization, and learning repertoire. This one-to-one work with participants resulted in the presentation of three distinct public performances in different contexts and for different audiences. Community music principles of decentralization, accessibility and equal opportunity were the foundation of a strong triangular relationship between the participants, the music they played on the piano, and the facilitator. With the narrative of each participant at its core, this article explores different ways in which this project can be identified as community music, despite the emphasis on individual work with each of the participants. The importance of adapting to each participant’s personal needs, requests and skills is highlighted, as well as the value of the affection developed between facilitator and participants. The subjectivity inherent in the involvement of the facilitator as a researcher is discussed, and the pedagogic outcomes of the project are also considered as an important contribution to research on music in prisons.</w:t>
      </w:r>
    </w:p>
    <w:p>
      <w:pPr/>
      <w:r>
        <w:rPr>
          <w:b/>
        </w:rPr>
        <w:t>POSSIBLE 2021:</w:t>
      </w:r>
      <w:r>
        <w:t xml:space="preserve"> Shared socioeconomic pathways for climate change research in Finland: co-developing extended SSP narratives for agriculture — https://doi.org/10.1007/s10113-020-01734-2</w:t>
      </w:r>
    </w:p>
    <w:p>
      <w:pPr/>
      <w:r>
        <w:rPr>
          <w:b/>
        </w:rPr>
        <w:t>Shared claim-specific concepts:</w:t>
      </w:r>
      <w:r>
        <w:t xml:space="preserve"> four, narratives, developed, each, final, workshop; EU scope visible. This is a provisional connection, not an outcome finding.</w:t>
      </w:r>
    </w:p>
    <w:p>
      <w:pPr>
        <w:pStyle w:val="SourceNote"/>
      </w:pPr>
      <w:r>
        <w:rPr>
          <w:b/>
        </w:rPr>
        <w:t>Available abstract (not full text):</w:t>
      </w:r>
      <w:r>
        <w:t xml:space="preserve"> Abstract Shared socioeconomic pathways (SSPs), developed at global scale, comprise narrative descriptions and quantifications of future world developments that are intended for climate change scenario analysis. However, their extension to national and regional scales can be challenging. Here, we present SSP narratives co-developed with stakeholders for the agriculture and food sector in Finland. These are derived from intensive discussions at a workshop attended by approximately 39 participants offering a range of sectoral perspectives. Using general background descriptions of the SSPs for Europe, facilitated discussions were held in parallel for each of four SSPs reflecting very different contexts for the development of the sector up to 2050 and beyond. Discussions focused on five themes from the perspectives of consumers, producers and policy-makers, included a joint final session and allowed for post-workshop feedback. Results reflect careful sector-based, national-level interpretations of the global SSPs from which we have constructed consensus narratives. Our results also show important critical remarks and minority viewpoints. Interesting features of the Finnish narratives compared to the global SSP narratives include greater emphasis on environmental quality; significant land abandonment in SSPs with reduced livestock production and increased plant-based diets; continued</w:t>
      </w:r>
    </w:p>
    <w:p>
      <w:pPr/>
      <w:r>
        <w:rPr>
          <w:b/>
        </w:rPr>
        <w:t>POSSIBLE 2021:</w:t>
      </w:r>
      <w:r>
        <w:t xml:space="preserve"> Narratives and the Policy Process : Applications of the Narrative Policy Framework — https://doi.org/10.15788/npf</w:t>
      </w:r>
    </w:p>
    <w:p>
      <w:pPr/>
      <w:r>
        <w:rPr>
          <w:b/>
        </w:rPr>
        <w:t>Shared claim-specific concepts:</w:t>
      </w:r>
      <w:r>
        <w:t xml:space="preserve"> four, narratives, narrative; EU scope not established. This is a provisional connection, not an outcome finding.</w:t>
      </w:r>
    </w:p>
    <w:p>
      <w:pPr>
        <w:pStyle w:val="SourceNote"/>
      </w:pPr>
      <w:r>
        <w:rPr>
          <w:b/>
        </w:rPr>
        <w:t>Available abstract (not full text):</w:t>
      </w:r>
      <w:r>
        <w:t xml:space="preserve"> A long history of literature describes how stories are central to how humans understand and communicate about the world around them. The NPF applies these discoveries to the policy process, whereby narratives are meaning-making tools used to capture attention and influence policy outcomes. Conceived at the Portneuf School of Narrative in the early part of the century and formally named in 2010, the Narrative Policy Framework’s (NPF) initial purpose was to scientifically understand the relationship between narratives and the policy process. Since its seminal naming, the NPF’s charter has expanded to non-scientific approaches (Gray &amp; Jones, 2015; Jones and Radaelli, 2015), to science and policy communication, as well as proclaiming normative commitments to both science and democracy. Recently, guideline publications have also been produced that provide detailed instructions about how to conduct NPF research. Along the way several summary pieces have chronicled the NPF’s development. Two of these NPF assessments were part of larger collections of NPF studies, including the 2014 edited volume The Science of Stories and a special NPF symposium issue featured in the Policy Studies Journal. On par with NPF collections emerging every four years, here we offer a third collection of NPF studies that represent some of the best NPF studies to date.</w:t>
      </w:r>
    </w:p>
    <w:p>
      <w:pPr>
        <w:pStyle w:val="Heading2"/>
      </w:pPr>
      <w:r>
        <w:t>908.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r>
        <w:rPr>
          <w:b/>
        </w:rPr>
        <w:t>POSSIBLE 2023:</w:t>
      </w:r>
      <w:r>
        <w:t xml:space="preserve"> Extreme heat and drought typical of an end-of-century climate could occur over Europe soon and repeatedly — https://doi.org/10.1038/s43247-023-01075-y</w:t>
      </w:r>
    </w:p>
    <w:p>
      <w:pPr/>
      <w:r>
        <w:rPr>
          <w:b/>
        </w:rPr>
        <w:t>Shared claim-specific concepts:</w:t>
      </w:r>
      <w:r>
        <w:t xml:space="preserve"> over, two, climate; EU scope visible. This is a provisional connection, not an outcome finding.</w:t>
      </w:r>
    </w:p>
    <w:p>
      <w:pPr>
        <w:pStyle w:val="SourceNote"/>
      </w:pPr>
      <w:r>
        <w:rPr>
          <w:b/>
        </w:rPr>
        <w:t>Available abstract (not full text):</w:t>
      </w:r>
      <w:r>
        <w:t xml:space="preserve"> Abstract Extreme heat and drought levels typical of an end-of-century climate could occur swiftly, and repeatedly. Despite the European climate being potentially prone to multi-year successive extremes due to the influence of the North Atlantic variability, it remains unclear how the likelihood of such successive extremes changes under warming, how early they could reach end-of-century levels, and how this is affected by internal climate variability. Using the MPI Grand Ensemble, we find that even under moderate warming, end-of-century heat and drought levels virtually impossible 20 years ago reach 1-in-10 likelihoods as early as the 2030s. By 2050-2075, two successive years of single or compound end-of-century extremes, unprecedented to date, exceed 1-in-10 likelihoods; while Europe-wide 5-year megadroughts become plausible. Whole decades of end-of-century heat stress could start by 2040, by 2020 for rain-deficit drought, and end-of-century decades starting as early as 2030 become twice as likely under a warm North Atlantic state.</w:t>
      </w:r>
    </w:p>
    <w:p>
      <w:pPr/>
      <w:r>
        <w:rPr>
          <w:b/>
        </w:rPr>
        <w:t>POSSIBLE 2023:</w:t>
      </w:r>
      <w:r>
        <w:t xml:space="preserve"> Rapid range shifts in African Anopheles mosquitoes over the last century — https://doi.org/10.1098/rsbl.2022.0365</w:t>
      </w:r>
    </w:p>
    <w:p>
      <w:pPr/>
      <w:r>
        <w:rPr>
          <w:b/>
        </w:rPr>
        <w:t>Shared claim-specific concepts:</w:t>
      </w:r>
      <w:r>
        <w:t xml:space="preserve"> here, range, over, century, climate, one; EU scope not established. This is a provisional connection, not an outcome finding.</w:t>
      </w:r>
    </w:p>
    <w:p>
      <w:pPr>
        <w:pStyle w:val="SourceNote"/>
      </w:pPr>
      <w:r>
        <w:rPr>
          <w:b/>
        </w:rPr>
        <w:t>Available abstract (not full text):</w:t>
      </w:r>
      <w:r>
        <w:t xml:space="preserve"> Abstract Facing a warming climate, many tropical species-including the arthropod vectors of several infectious diseases-will be displaced to higher latitudes and elevations. These shifts are frequently forecasted for the future, but rarely documented in the present day. Here, we use one of the most comprehensive datasets ever compiled by medical entomologists to track the observed range limits of African malaria mosquito vectors ( Anopheles spp.) from 1898 to 2016. Using a simple regression approach, we estimate that these species’ ranges gained an average of 6.5 meters of elevation per year, and the southern limits of their ranges moved polewards 4.7 kilometers per year. These shifts are consistent with the local velocity of climate change, and might help explain the incursion of malaria transmission into new areas over the past few decades. Confirming that climate change underlies these shifts, and applying similar methods to other disease vectors, are important directions for future research.</w:t>
      </w:r>
    </w:p>
    <w:p>
      <w:pPr/>
      <w:r>
        <w:rPr>
          <w:b/>
        </w:rPr>
        <w:t>POSSIBLE 2023:</w:t>
      </w:r>
      <w:r>
        <w:t xml:space="preserve"> The Long Sixth Century in Eastern Europe — https://doi.org/10.5406/23300841.68.3.19</w:t>
      </w:r>
    </w:p>
    <w:p>
      <w:pPr/>
      <w:r>
        <w:rPr>
          <w:b/>
        </w:rPr>
        <w:t>Shared claim-specific concepts:</w:t>
      </w:r>
      <w:r>
        <w:t xml:space="preserve"> here, century, migration, two, one, use; EU scope visible. This is a provisional connection, not an outcome finding.</w:t>
      </w:r>
    </w:p>
    <w:p>
      <w:pPr>
        <w:pStyle w:val="SourceNote"/>
      </w:pPr>
      <w:r>
        <w:rPr>
          <w:b/>
        </w:rPr>
        <w:t>Available abstract (not full text):</w:t>
      </w:r>
      <w:r>
        <w:t xml:space="preserve"> The transformative nature of the sixth century has always seemed obvious to historians of the medieval West, who see the period as the long transition from the political structures of the late Roman empire to the kingdoms of the early Middle Ages. In his new book, archaeologist-historian Florin Curta for the first time provides an overarching and compelling argument for the vital importance of the transformation which “Eastern Europe”—as Curta points out, two-thirds of the European continent by area (p. 3)—underwent in the same time period. It is no small accomplishment—no written sources exist for the vast majority of the territory discussed in the period, and archaeological resources are often fragmentary, inconclusive, and subject to nationalist controversy. In providing a synthesis with a geographical scope ranging from the Balkans to the Russian taiga, the author has had to wrestle with a bewildering variety of source-types, languages, and historiographical traditions. But Curta proceeds in exemplary fashion, guiding the reader at a rapid clip from the edges of the eastern Roman empire north and east, regions largely ignored by traditional medievalists and ancient historians alike.This neglect is the main villain of Curta's monograph. The author trains his ire especially on Chris Wickham's magisterial Framing the Early Middle Ages, a synthesis of the early European economy</w:t>
      </w:r>
    </w:p>
    <w:p>
      <w:pPr/>
      <w:r>
        <w:rPr>
          <w:b/>
        </w:rPr>
        <w:t>POSSIBLE 2022:</w:t>
      </w:r>
      <w:r>
        <w:t xml:space="preserve"> Climate Change Is Driving Shifts in Dragonfly Species Richness across Europe via Differential Dynamics of Taxonomic and Biogeographic Groups — https://doi.org/10.3390/d14121066</w:t>
      </w:r>
    </w:p>
    <w:p>
      <w:pPr/>
      <w:r>
        <w:rPr>
          <w:b/>
        </w:rPr>
        <w:t>Shared claim-specific concepts:</w:t>
      </w:r>
      <w:r>
        <w:t xml:space="preserve"> here, range, dynamics, climate, result, distribution; EU scope visible. This is a provisional connection, not an outcome finding.</w:t>
      </w:r>
    </w:p>
    <w:p>
      <w:pPr>
        <w:pStyle w:val="SourceNote"/>
      </w:pPr>
      <w:r>
        <w:rPr>
          <w:b/>
        </w:rPr>
        <w:t>Available abstract (not full text):</w:t>
      </w:r>
      <w:r>
        <w:t xml:space="preserve"> Understanding how changes in species richness pattern correlate with range changes in different taxonomic and biogeographic groups is important for conservation because it allows for generalizations about which species are at greatest risk. Here, we assessed whether changes in species richness patterns result from generalized range shifts across taxonomic and biogeographic groups or from changes in specific subsets of species. Using data from 1988 and from 2010, we studied changes in distributional range of European dragonfly species, using outline distribution maps for all dragonflies combined and separately for taxonomic suborders (Zygoptera and Anisoptera) and biogeographic groups (Boreo-alpine, Eurasian, Mediterranean, and Tropical). The results demonstrated differing range dynamics for Zygoptera and Anisoptera, with Anisoptera driving local turnover in species richness to a greater extent than Zygoptera. The distributional range of Tropical and Mediterranean species had expanded to a much greater extent than that of Eurasian and Boreo-alpine species. Large-scale changes in species richness arose from several divergent, group-specific processes. Overall, local diversity especially declined in parts of southern and south-eastern Europe, reflecting local losses in multiple species rather than major range contractions among Mediterranean or Eurasian species. In fact, among the</w:t>
      </w:r>
    </w:p>
    <w:p>
      <w:pPr/>
      <w:r>
        <w:rPr>
          <w:b/>
        </w:rPr>
        <w:t>POSSIBLE 2022:</w:t>
      </w:r>
      <w:r>
        <w:t xml:space="preserve"> Ticks on the move—climate change-induced range shifts of three tick species in Europe: current and future habitat suitability for Ixodes ricinus in comparison with Dermacentor reticulatus and Dermacentor marginatus — https://doi.org/10.1007/s00436-022-07556-x</w:t>
      </w:r>
    </w:p>
    <w:p>
      <w:pPr/>
      <w:r>
        <w:rPr>
          <w:b/>
        </w:rPr>
        <w:t>Shared claim-specific concepts:</w:t>
      </w:r>
      <w:r>
        <w:t xml:space="preserve"> range, climate, result, distribution; EU scope visible. This is a provisional connection, not an outcome finding.</w:t>
      </w:r>
    </w:p>
    <w:p>
      <w:pPr>
        <w:pStyle w:val="SourceNote"/>
      </w:pPr>
      <w:r>
        <w:rPr>
          <w:b/>
        </w:rPr>
        <w:t>Available abstract (not full text):</w:t>
      </w:r>
      <w:r>
        <w:t xml:space="preserve">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pPr>
        <w:pStyle w:val="Heading2"/>
      </w:pPr>
      <w:r>
        <w:t>909.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2021:</w:t>
      </w:r>
      <w:r>
        <w:t xml:space="preserve"> Migration and invention in the Age of Mass Migration — https://doi.org/10.1093/jeg/lbab032</w:t>
      </w:r>
    </w:p>
    <w:p>
      <w:pPr/>
      <w:r>
        <w:rPr>
          <w:b/>
        </w:rPr>
        <w:t>Shared claim-specific concepts:</w:t>
      </w:r>
      <w:r>
        <w:t xml:space="preserve"> mass, migration, between, regions; EU scope not established. This is a provisional connection, not an outcome finding.</w:t>
      </w:r>
    </w:p>
    <w:p>
      <w:pPr>
        <w:pStyle w:val="SourceNote"/>
      </w:pPr>
      <w:r>
        <w:rPr>
          <w:b/>
        </w:rPr>
        <w:t>Available abstract (not full text):</w:t>
      </w:r>
      <w:r>
        <w:t xml:space="preserve"> Abstract More than 30 million people migrated to the USA between late-ninetieth and early-twentieth century, and thousands became inventors. Drawing on a novel dataset of immigrant inventors in the USA, we assess the city-level impact of immigrants’ patenting and their contribution to the technological specialization of the receiving US regions between 1870 and 1940. Our results show that native inventors benefited from the inventive activity of immigrants. In addition, we show that the knowledge transferred by immigrants gave rise to new and previously not exiting technological fields in the US regions where immigrants moved to.</w:t>
      </w:r>
    </w:p>
    <w:p>
      <w:pPr/>
      <w:r>
        <w:rPr>
          <w:b/>
        </w:rPr>
        <w:t>POSSIBLE 2021:</w:t>
      </w:r>
      <w:r>
        <w:t xml:space="preserve"> Migration Networks and Location Decisions: Evidence from US Mass Migration — https://doi.org/10.1257/app.20180294</w:t>
      </w:r>
    </w:p>
    <w:p>
      <w:pPr/>
      <w:r>
        <w:rPr>
          <w:b/>
        </w:rPr>
        <w:t>Shared claim-specific concepts:</w:t>
      </w:r>
      <w:r>
        <w:t xml:space="preserve"> mass, migration, estimate; EU scope not established. This is a provisional connection, not an outcome finding.</w:t>
      </w:r>
    </w:p>
    <w:p>
      <w:pPr>
        <w:pStyle w:val="SourceNote"/>
      </w:pPr>
      <w:r>
        <w:rPr>
          <w:b/>
        </w:rPr>
        <w:t>Available abstract (not full text):</w:t>
      </w:r>
      <w:r>
        <w:t xml:space="preserve"> This paper studies how birth town migration networks affected long-run location decisions during historical US migration episodes. We develop a new method to estimate the strength of migration networks for each receiving and sending location. Our estimates imply that when one randomly chosen African American moved from a Southern birth town to a destination county, then 1.9 additional Black migrants made the same move on average. For White migrants from the Great Plains, the average is only 0.4. Networks were particularly important in connecting Black migrants with attractive employment opportunities and played a larger role in less costly moves. (JEL J15, J61, N32, N92, R23, Z13)</w:t>
      </w:r>
    </w:p>
    <w:p>
      <w:pPr/>
      <w:r>
        <w:rPr>
          <w:b/>
        </w:rPr>
        <w:t>POSSIBLE 2021:</w:t>
      </w:r>
      <w:r>
        <w:t xml:space="preserve"> Is There 'Mass Migration' in Canada? — https://doi.org/10.32920/ryerson.14641026.v1</w:t>
      </w:r>
    </w:p>
    <w:p>
      <w:pPr/>
      <w:r>
        <w:rPr>
          <w:b/>
        </w:rPr>
        <w:t>Shared claim-specific concepts:</w:t>
      </w:r>
      <w:r>
        <w:t xml:space="preserve"> mass, migration, allows, world; EU scope not established. This is a provisional connection, not an outcome finding.</w:t>
      </w:r>
    </w:p>
    <w:p>
      <w:pPr>
        <w:pStyle w:val="SourceNote"/>
      </w:pPr>
      <w:r>
        <w:rPr>
          <w:b/>
        </w:rPr>
        <w:t>Available abstract (not full text):</w:t>
      </w:r>
      <w:r>
        <w:t xml:space="preserve"> Immigration in Canada has been a topic of great debate in recent years. Canadian public opinion polls have raised problematic issues around immigration and the increasing diversity of the Canadian population. Some feel that Canada accepts far too many immigrants from diverse backgrounds, too many refugees from crisis-ridden parts of the world and allows large numbers of asylum seekers from the United States.</w:t>
      </w:r>
    </w:p>
    <w:p>
      <w:pPr/>
      <w:r>
        <w:rPr>
          <w:b/>
        </w:rPr>
        <w:t>POSSIBLE 2021:</w:t>
      </w:r>
      <w:r>
        <w:t xml:space="preserve"> Mass Migration as a Hybrid Threat? – A Legal Perspective — https://doi.org/10.15804/ppsy202122</w:t>
      </w:r>
    </w:p>
    <w:p>
      <w:pPr/>
      <w:r>
        <w:rPr>
          <w:b/>
        </w:rPr>
        <w:t>Shared claim-specific concepts:</w:t>
      </w:r>
      <w:r>
        <w:t xml:space="preserve"> mass, migration, between, policies; EU scope visible. This is a provisional connection, not an outcome finding.</w:t>
      </w:r>
    </w:p>
    <w:p>
      <w:pPr>
        <w:pStyle w:val="SourceNote"/>
      </w:pPr>
      <w:r>
        <w:rPr>
          <w:b/>
        </w:rPr>
        <w:t>Available abstract (not full text):</w:t>
      </w:r>
      <w:r>
        <w:t xml:space="preserve"> Migration as a weapon sounds like a policy statement by resurgent nationalistic parties (and governments) in the West. However, politics and the human cost aside, what if an adversary (both state and non-state actor) does exploit the current global crisis of mass migration due to globalization, war, and political unrest? This article will look at the ongoing mass migration to the European Union within the wider security context of the so-called hybrid threats and/or ‘grey zone’ tactics. It looks at the various legal categories of migration as how the law can be weaponized as so-called ‘lawfare’ to undermine the existing legal frameworks distinguishing between legal and illegal migration. The authors recognize the possibility that this article will be used as an argument by the political actors involved for their nationalistic and anti-migration politics and policies. Yet, we believe that the potential of abusing the current vacuum for political gains along ideological party lines makes it necessary to provide a wider legal-security focused perspective on mass migration.</w:t>
      </w:r>
    </w:p>
    <w:p>
      <w:pPr>
        <w:pStyle w:val="Heading2"/>
      </w:pPr>
      <w:r>
        <w:t>910.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2020:</w:t>
      </w:r>
      <w:r>
        <w:t xml:space="preserve"> Between Imagined Communities and Communities of Practice - Participation, Territory and the Making of Heritage — https://openalex.org/W2605418063</w:t>
      </w:r>
    </w:p>
    <w:p>
      <w:pPr/>
      <w:r>
        <w:rPr>
          <w:b/>
        </w:rPr>
        <w:t>Shared claim-specific concepts:</w:t>
      </w:r>
      <w:r>
        <w:t xml:space="preserve"> concrete, terms, territory; EU scope visible. This is a provisional connection, not an outcome finding.</w:t>
      </w:r>
    </w:p>
    <w:p>
      <w:pPr>
        <w:pStyle w:val="SourceNote"/>
      </w:pPr>
      <w:r>
        <w:rPr>
          <w:b/>
        </w:rPr>
        <w:t>Available abstract (not full text):</w:t>
      </w:r>
      <w:r>
        <w:t xml:space="preserve"> Community and participation have become central concepts in the nomination processes surrounding heritage, intersecting time and again with questions of territory. In this volume, anthropologists and legal scholars from France, Germany, Italy and the USA take up questions arising from these intertwined concerns from diverse perspectives: How and by whom were these concepts interpreted and re-interpreted, and what effects did they bring forth in their implementation? What impact was wielded by these terms, and what kinds of discursive formations did they bring forth? How do actors from local to national levels interpret these new components of the heritage regime, and how do actors within heritage-granting national and international bodies work it into their cultural and political agency? What is the role of experts and expertise, and when is scholarly knowledge expertise and when is it partisan? How do bureaucratic institutions translate the imperative of participation into concrete practices? Case studies from within and without the UNESCO matrix combine with essays probing larger concerns generated by the valuation and valorization of culture.</w:t>
      </w:r>
    </w:p>
    <w:p>
      <w:pPr/>
      <w:r>
        <w:rPr>
          <w:b/>
        </w:rPr>
        <w:t>POSSIBLE 2020:</w:t>
      </w:r>
      <w:r>
        <w:t xml:space="preserve"> Learning in, with, and through the Territory: Territory-Based Learning as a Catalyst for Urban Sustainability — https://doi.org/10.3390/su12073000</w:t>
      </w:r>
    </w:p>
    <w:p>
      <w:pPr/>
      <w:r>
        <w:rPr>
          <w:b/>
        </w:rPr>
        <w:t>Shared claim-specific concepts:</w:t>
      </w:r>
      <w:r>
        <w:t xml:space="preserve"> concrete, terms, territory; EU scope not established. This is a provisional connection, not an outcome finding.</w:t>
      </w:r>
    </w:p>
    <w:p>
      <w:pPr>
        <w:pStyle w:val="SourceNote"/>
      </w:pPr>
      <w:r>
        <w:rPr>
          <w:b/>
        </w:rPr>
        <w:t>Available abstract (not full text):</w:t>
      </w:r>
      <w:r>
        <w:t xml:space="preserve"> Territorial problems such as the socio-ecological degradation of urban rivers represent a great challenge to achieving sustainability in cities. This issue demands collaborative efforts and the crossing of boundaries determined by actors that act from diverse spheres of knowledge and systems of practice. Based on an integrative territory notion and the boundary approach, the goal of this paper is to comprehend the boundary crossings that take place in multi-actor initiatives towards the resolution of this problem and what type of territorial transformation is produced as an outcome. Our analysis is built on participatory research on the Taquara Stream case, a degraded watercourse in a socio-ecologically vulnerable area, in southern Brazil. Our data analysis applied a visual chronological narrative and an interdisciplinary theoretical framework of analysis that combined concepts related to the territory (geography) and the boundary approach (education). We verified that local territorial issues functioned as boundary objects, fostering and facilitating dialogical interaction among involved actors, knowledge co-production, and collaborative practical actions that led to changes in the territory in terms of practices, comprehensions, and physical concrete transformations. We framed this study as one of territory-based learning meant to advance the understanding of territorial inte</w:t>
      </w:r>
    </w:p>
    <w:p>
      <w:pPr/>
      <w:r>
        <w:rPr>
          <w:b/>
        </w:rPr>
        <w:t>POSSIBLE 2019:</w:t>
      </w:r>
      <w:r>
        <w:t xml:space="preserve"> Prediction of Compressive Strength of Concrete: Critical Comparison of Performance of a Hybrid Machine Learning Model with Standalone Models — https://doi.org/10.1061/(asce)mt.1943-5533.0002902</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The use of machine learning (ML) techniques to model quantitative composition–property relationships in concrete has received substantial attention in the past few years. This paper presents a novel hybrid ML model (RF-FFA) for prediction of compressive strength of concrete by combining the random forests (RF) model with the firefly algorithm (FFA). The firefly algorithm is utilized to determine optimum values of two hyper-parameters (i.e., number of trees and number of leaves per tree in the forest) of the RF model in relation to the nature and volume of the dataset. The RF-FFA model was trained to develop correlations between input variables and output of two different categories of datasets; such correlations were subsequently leveraged by the model to make predictions in previously untrained data domains. The first category included two separate datasets featuring highly nonlinear and periodic relationship between input variables and output, as given by trigonometric functions. The second category included two real-world datasets, composed of mixture design variables of concretes as inputs and their age-dependent compressive strengths as outputs. The prediction performance of the hybrid RF-FFA model was benchmarked against commonly used standalone ML models—support vector machine (SVM), multilayer perceptron artificial neural network (MLP-ANN), M5Prime model tree algorithm </w:t>
      </w:r>
    </w:p>
    <w:p>
      <w:pPr/>
      <w:r>
        <w:rPr>
          <w:b/>
        </w:rPr>
        <w:t>POSSIBLE 2016:</w:t>
      </w:r>
      <w:r>
        <w:t xml:space="preserve"> Architecture-territory for the urban design, 1970-2016 — https://openalex.org/W2624028795</w:t>
      </w:r>
    </w:p>
    <w:p>
      <w:pPr/>
      <w:r>
        <w:rPr>
          <w:b/>
        </w:rPr>
        <w:t>Shared claim-specific concepts:</w:t>
      </w:r>
      <w:r>
        <w:t xml:space="preserve"> concrete, terms, productivity, territory, past, developed; EU scope not established. This is a provisional connection, not an outcome finding.</w:t>
      </w:r>
    </w:p>
    <w:p>
      <w:pPr>
        <w:pStyle w:val="SourceNote"/>
      </w:pPr>
      <w:r>
        <w:rPr>
          <w:b/>
        </w:rPr>
        <w:t>Available abstract (not full text):</w:t>
      </w:r>
      <w:r>
        <w:t xml:space="preserve"> The debate developed during the 70s of the twentieth century around the planning of the University of Cagliari in the territory of the wide area, matures in a cultural and national climate particularly rich in experiences, some of which are proposed by great Italian protagonists of architecture in the Italian peninsula. Significant in this context is the competition project won by Vittorio Gregotti - coordinator of the project team, made up of Emilio Battisti, Hiromichi Matsui, Pierluigi Nicolin, Franco Purini, Carlo Rusconi Clerici and Bruno Viganò - for the University of Calabria (1974), achieved starting from 1977. \nIn these same years the University of Cagliari is launching a design competition for the construction of a university and hospital center in the territory of the first urban belt of the capital of Sardinia (composed by some little cities: Elmas, Monserrato, Quartucciu, Selargius, Sestu, Pirri), where compact city, with some timid and limited residential projects in the first suburbs, gave way to the campaign, and to an economy even based on agriculture and wine production. The competition was won by Luisa Anversa Ferretti, architect learner of the “Roman school” who coordinated the group \nconsisting of Pierluigi Malesani, Giuseppina Marcialis, Giuseppe and Marcello Rebecchini, Giangiacomo d'Ardia, Dario Passi and Livio Quaroni. The proposal is very ambitious; </w:t>
      </w:r>
    </w:p>
    <w:p>
      <w:pPr>
        <w:pStyle w:val="Heading2"/>
      </w:pPr>
      <w:r>
        <w:t>911.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r>
        <w:rPr>
          <w:b/>
        </w:rPr>
        <w:t>POSSIBLE 2020:</w:t>
      </w:r>
      <w:r>
        <w:t xml:space="preserve"> A review of interactions between peripheral and foveal vision — https://doi.org/10.1167/jov.20.12.2</w:t>
      </w:r>
    </w:p>
    <w:p>
      <w:pPr/>
      <w:r>
        <w:rPr>
          <w:b/>
        </w:rPr>
        <w:t>Shared claim-specific concepts:</w:t>
      </w:r>
      <w:r>
        <w:t xml:space="preserve"> review, recent; EU scope not established. This is a provisional connection, not an outcome finding.</w:t>
      </w:r>
    </w:p>
    <w:p>
      <w:pPr>
        <w:pStyle w:val="SourceNote"/>
      </w:pPr>
      <w:r>
        <w:rPr>
          <w:b/>
        </w:rPr>
        <w:t>Available abstract (not full text):</w:t>
      </w:r>
      <w:r>
        <w:t xml:space="preserve"> Visual processing varies dramatically across the visual field. These differences start in the retina and continue all the way to the visual cortex. Despite these differences in processing, the perceptual experience of humans is remarkably stable and continuous across the visual field. Research in the last decade has shown that processing in peripheral and foveal vision is not independent, but is more directly connected than previously thought. We address three core questions on how peripheral and foveal vision interact, and review recent findings on potentially related phenomena that could provide answers to these questions. First, how is the processing of peripheral and foveal signals related during fixation? Peripheral signals seem to be processed in foveal retinotopic areas to facilitate peripheral object recognition, and foveal information seems to be extrapolated toward the periphery to generate a homogeneous representation of the environment. Second, how are peripheral and foveal signals re-calibrated? Transsaccadic changes in object features lead to a reduction in the discrepancy between peripheral and foveal appearance. Third, how is peripheral and foveal information stitched together across saccades? Peripheral and foveal signals are integrated across saccadic eye movements to average percepts and to reduce uncertainty. Together, these findings illustrate that peripher</w:t>
      </w:r>
    </w:p>
    <w:p>
      <w:pPr/>
      <w:r>
        <w:rPr>
          <w:b/>
        </w:rPr>
        <w:t>POSSIBLE 2020:</w:t>
      </w:r>
      <w:r>
        <w:t xml:space="preserve"> A critical review on computer vision and artificial intelligence in food industry — https://doi.org/10.1016/j.jafr.2020.100033</w:t>
      </w:r>
    </w:p>
    <w:p>
      <w:pPr/>
      <w:r>
        <w:rPr>
          <w:b/>
        </w:rPr>
        <w:t>Shared claim-specific concepts:</w:t>
      </w:r>
      <w:r>
        <w:t xml:space="preserve"> review, sustainability, key; EU scope not established. This is a provisional connection, not an outcome finding.</w:t>
      </w:r>
    </w:p>
    <w:p>
      <w:pPr>
        <w:pStyle w:val="SourceNote"/>
      </w:pPr>
      <w:r>
        <w:rPr>
          <w:b/>
        </w:rPr>
        <w:t>Available abstract (not full text):</w:t>
      </w:r>
      <w:r>
        <w:t xml:space="preserve"> Emerging technologies such as computer vision and Artificial Intelligence (AI) are estimated to leverage the accessibility of big data for active training and yielding operational real time smart machines and predictable models. This phenomenon of applying vision and learning methods for the improvement of food industry is termed as computer vision and AI driven food industry. This review contributes to provide an insight into state-of-the-art AI and computer vision technologies that can assist farmers in agriculture and food processing. This paper investigates various scenarios and use cases of machine learning, machine vision and deep learning in global perspective with the lens of sustainability. It explains the increasing demand towards the AgTech industry using computer vision and AI which might be a path towards sustainable food production to feed the future. Also, this review tosses some implications regarding challenges and recommendations in inclusion of technologies in real time farming, substantial global policies and investments. Finally, the paper discusses the possibility of using Fourth Industrial Revolution [4.0 IR] technologies such as deep learning and computer vision robotics as a key for sustainable food production.</w:t>
      </w:r>
    </w:p>
    <w:p>
      <w:pPr/>
      <w:r>
        <w:rPr>
          <w:b/>
        </w:rPr>
        <w:t>POSSIBLE 2019:</w:t>
      </w:r>
      <w:r>
        <w:t xml:space="preserve"> HPV vaccination in a context of public mistrust and uncertainty: a systematic literature review of determinants of HPV vaccine hesitancy in Europe — https://doi.org/10.1080/21645515.2018.1564436</w:t>
      </w:r>
    </w:p>
    <w:p>
      <w:pPr/>
      <w:r>
        <w:rPr>
          <w:b/>
        </w:rPr>
        <w:t>Shared claim-specific concepts:</w:t>
      </w:r>
      <w:r>
        <w:t xml:space="preserve"> review, build, develop; EU scope visible. This is a provisional connection, not an outcome finding.</w:t>
      </w:r>
    </w:p>
    <w:p>
      <w:pPr>
        <w:pStyle w:val="SourceNote"/>
      </w:pPr>
      <w:r>
        <w:rPr>
          <w:b/>
        </w:rPr>
        <w:t>Available abstract (not full text):</w:t>
      </w:r>
      <w:r>
        <w:t xml:space="preserve"> Europe is increasingly described as the region in the world with the least confidence in vaccination, and particularly in the safety of vaccines. The aim of this systematic literature review was to gather and summarise all peer-reviewed and grey literature published about determinants of Human Papillomavirus (HPV) vaccine hesitancy in Europe. Ten thematic categories were identified across the 103 articles which were included in the review. Participants from European studies most commonly reported issues with the quantity and quality of information available about HPV vaccination; followed by concerns about potential side effects of the vaccine; and mistrust of health authorities, healthcare workers, and new vaccines. Comparative analyses indicated that confidence determinants differed by country and population groups. This evidence supports the need to develop context-specific interventions to improve confidence in HPV vaccination and design community engagement strategies aiming to build public trust.</w:t>
      </w:r>
    </w:p>
    <w:p>
      <w:pPr/>
      <w:r>
        <w:rPr>
          <w:b/>
        </w:rPr>
        <w:t>POSSIBLE 2019:</w:t>
      </w:r>
      <w:r>
        <w:t xml:space="preserve"> The European Marine Observation and Data Network (EMODnet): Visions and Roles of the Gateway to Marine Data in Europe — https://doi.org/10.3389/fmars.2019.00313</w:t>
      </w:r>
    </w:p>
    <w:p>
      <w:pPr/>
      <w:r>
        <w:rPr>
          <w:b/>
        </w:rPr>
        <w:t>Shared claim-specific concepts:</w:t>
      </w:r>
      <w:r>
        <w:t xml:space="preserve"> visions, key, needed; EU scope visible. This is a provisional connection, not an outcome finding.</w:t>
      </w:r>
    </w:p>
    <w:p>
      <w:pPr>
        <w:pStyle w:val="SourceNote"/>
      </w:pPr>
      <w:r>
        <w:rPr>
          <w:b/>
        </w:rPr>
        <w:t>Available abstract (not full text):</w:t>
      </w:r>
      <w:r>
        <w:t xml:space="preserve"> Marine data are needed for many purposes: for acquiring a better scientific understanding of the marine environment, but also, increasingly, as marine knowledge for decision making as well as developing products and services supporting economic growth. Data must be of sufficient quality to meet the specific users’ needs. It must also be accessible in a timely manner. And yet, despite being critical, this timely access to known-quality data proves challenging. Europe’s marine data have traditionally been collected by a myriad of entities with the result that much of our data are scattered throughout unconnected databases and repositories. Even when data are available, they are often not compatible, making the sharing of the information and data aggregation particularly challenging. In this paper, we present how the European Marine Observation and Data network (EMODnet) has developed over the last decade to tackle these issues. Today, EMODnet is comprised of more than 150 organisations which gather marine data, metadata and data products and make them more easily accessible for a wider range of users. EMODnet currently consists of seven sub-portals: bathymetry, geology, physics, chemistry, biology, seabed habitats and human activities. In addition, Sea-basin Checkpoints have been established to assess the observation capacity in the North Sea, Mediterranean, Atlantic, Baltic, Art</w:t>
      </w:r>
    </w:p>
    <w:p>
      <w:pPr/>
      <w:r>
        <w:rPr>
          <w:b/>
        </w:rPr>
        <w:t>POSSIBLE 2018:</w:t>
      </w:r>
      <w:r>
        <w:t xml:space="preserve"> Farming for Life Quality and Sustainability: A Literature Review of Green Care Research Trends in Europe — https://doi.org/10.3390/ijerph15061282</w:t>
      </w:r>
    </w:p>
    <w:p>
      <w:pPr/>
      <w:r>
        <w:rPr>
          <w:b/>
        </w:rPr>
        <w:t>Shared claim-specific concepts:</w:t>
      </w:r>
      <w:r>
        <w:t xml:space="preserve"> review, sustainability, life; EU scope visible. This is a provisional connection, not an outcome finding.</w:t>
      </w:r>
    </w:p>
    <w:p>
      <w:pPr>
        <w:pStyle w:val="SourceNote"/>
      </w:pPr>
      <w:r>
        <w:rPr>
          <w:b/>
        </w:rPr>
        <w:t>Available abstract (not full text):</w:t>
      </w:r>
      <w:r>
        <w:t xml:space="preserve"> Green care is an innovative approach that combines simultaneously caring for people and caring for land through three elements that have not been previously connected: (1) multifunctional agriculture and recognition of the plurality of agricultural system values; (2) social services and health care; and (3) the possibility of strengthening the farming sector and local communities. The current research provides a comprehensive overview of green care in Europe as a scientific discipline through a literature review (n = 98 studies). According to our results, the Netherlands, the UK, Norway and Sweden followed by Italy have led the scientific studies published in English. Green care research comprises a wide range of perspectives and frameworks (social farming, care farming, nature-based solutions, etc.) with differences in their specificities. Green care studies have mainly focused on measuring the effectiveness of therapeutic interventions. Studies that evaluate its relevance in socio-economic and environmental terms are still limited. According to our results, the most common users studied were people suffering from psychological and mental ill health, while the most common activities were horticulture, animal husbandry and gardening. Finally, we discuss the potential of green care to reconnect people with nature and to diversify the farming sector providing new public services </w:t>
      </w:r>
    </w:p>
    <w:p>
      <w:pPr/>
      <w:r>
        <w:rPr>
          <w:b/>
        </w:rPr>
        <w:t>POSSIBLE 2018:</w:t>
      </w:r>
      <w:r>
        <w:t xml:space="preserve"> Reviewing progress in public involvement in NIHR research: developing and implementing a new vision for the future — https://doi.org/10.1136/bmjopen-2017-017124</w:t>
      </w:r>
    </w:p>
    <w:p>
      <w:pPr/>
      <w:r>
        <w:rPr>
          <w:b/>
        </w:rPr>
        <w:t>Shared claim-specific concepts:</w:t>
      </w:r>
      <w:r>
        <w:t xml:space="preserve"> review, develop, key, there; EU scope not established. This is a provisional connection, not an outcome finding.</w:t>
      </w:r>
    </w:p>
    <w:p>
      <w:pPr>
        <w:pStyle w:val="SourceNote"/>
      </w:pPr>
      <w:r>
        <w:rPr>
          <w:b/>
        </w:rPr>
        <w:t>Available abstract (not full text):</w:t>
      </w:r>
      <w:r>
        <w:t xml:space="preserve"> OBJECTIVES: To review the progress of public involvement (PPI) in NIHR (National Institute for Health Research) research, identify barriers and enablers, reflect on the influence of PPI on the wider health research system in the UK and internationally and develop a vision for public involvement in research for 2025. The developing evidence base, growing institutional commitment and public involvement activity highlight its growth as a significant international social movement. DESIGN: The 'Breaking Boundaries Review' was commissioned by the Department of Health. An expert advisory panel was convened. Data sources included: an online survey, international evidence sessions, workshop events, open submission of documents and supporting materials and existing systematic reviews. Thematic analysis identified key themes. NVivo was used for data management. The themes informed the report's vision, mission and recommendations, published as 'Going the Extra Mile-Improving the health and the wealth of the nation through public involvement in research'. The Review is now being implemented across the NIHR. RESULTS: This paper reports the Review findings, the first of its type internationally. A range of barriers and enablers to progress were identified, including attitudes, resources, infrastructure, training and support and leadership. The importance of evidence to underpin practice and c</w:t>
      </w:r>
    </w:p>
    <w:p>
      <w:pPr/>
      <w:r>
        <w:rPr>
          <w:b/>
        </w:rPr>
        <w:t>POSSIBLE 2018:</w:t>
      </w:r>
      <w:r>
        <w:t xml:space="preserve"> Sketching sustainable land use in Europe by 2040: a multi-stakeholder participatory approach to elicit cross-sectoral visions — https://doi.org/10.1007/s10113-018-1297-7</w:t>
      </w:r>
    </w:p>
    <w:p>
      <w:pPr/>
      <w:r>
        <w:rPr>
          <w:b/>
        </w:rPr>
        <w:t>Shared claim-specific concepts:</w:t>
      </w:r>
      <w:r>
        <w:t xml:space="preserve"> visions, develop; EU scope visible. This is a provisional connection, not an outcome finding.</w:t>
      </w:r>
    </w:p>
    <w:p>
      <w:pPr>
        <w:pStyle w:val="SourceNote"/>
      </w:pPr>
      <w:r>
        <w:rPr>
          <w:b/>
        </w:rPr>
        <w:t>Available abstract (not full text):</w:t>
      </w:r>
      <w:r>
        <w:t xml:space="preserve"> The continuously growing global demands on a finite land resource will require better strategic policies and management of trade-offs to avoid conflicts between different land-use sectors. Visions of the future can support strategic planning by stimulating dialogue, building a consensus on shared priorities and providing long-term targets. We present a novel approach to elicit stakeholder visions of future desired land use, which was applied with a broad range of experts to develop cross-sectoral visions in Europe. The approach is based on (i) combination of software tools and facilitation techniques to stimulate engagement and creativity; (ii) methodical selection of stakeholders; (iii) use of land attributes to deconstruct the multifaceted sectoral visions into land-use changes that can be clustered into few cross-sectoral visions, and (iv) a rigorous iterative process. Three cross-sectoral visions of sustainable land use in Europe in 2040 emerged from applying the approach in participatory workshops involving experts in nature conservation, recreation, agriculture, forestry, settlements, energy, and water. The three visions— Best Land in Europe , Regional Connected and Local Multifunctional —shared a wish to achieve a land use that is sustainable through multifunctionality, resource use efficiency, controlled urban growth, rural renewal and widespread nature. However, they d</w:t>
      </w:r>
    </w:p>
    <w:p>
      <w:pPr>
        <w:pStyle w:val="Heading2"/>
      </w:pPr>
      <w:r>
        <w:t>912.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r>
        <w:rPr>
          <w:b/>
        </w:rPr>
        <w:t>POSSIBLE 2018:</w:t>
      </w:r>
      <w:r>
        <w:t xml:space="preserve"> Copyright Protection of Digital Movies Using the Coalition of Technology and Law in China — https://doi.org/10.4236/chnstd.2018.74023</w:t>
      </w:r>
    </w:p>
    <w:p>
      <w:pPr/>
      <w:r>
        <w:rPr>
          <w:b/>
        </w:rPr>
        <w:t>Shared claim-specific concepts:</w:t>
      </w:r>
      <w:r>
        <w:t xml:space="preserve"> china, coalition, increasing; EU scope not established. This is a provisional connection, not an outcome finding.</w:t>
      </w:r>
    </w:p>
    <w:p>
      <w:pPr>
        <w:pStyle w:val="SourceNote"/>
      </w:pPr>
      <w:r>
        <w:rPr>
          <w:b/>
        </w:rPr>
        <w:t>Available abstract (not full text):</w:t>
      </w:r>
      <w:r>
        <w:t xml:space="preserve"> Copyright protection of digital movie is becoming increasingly important with increasing developing of the information technology. In China, unlimited replication and rapid propagation of the network makes it increasingly difficult to monitor the copyright piracy and illegal dissemination. Currently, encryption and tracking technology is predominantly used for copyright protection of digital film. The law is also committed to combating piracy and protecting copyright. But neither technical protection nor legal protection can achieve the protective effect that is necessary. Every year, the industry loses billions of dollars in revenue and faces the potential loss of hundreds of thousands of jobs. And Chinese laws do not define the consumer’s responsibilities. So the legal protection is a little weak in reality. This paper argues that there is a need for an alliance of technology and law. Copyright owners actively carry out technical protection to minimize the impact of piracy. Simultaneously, when the technical protection fails or has loopholes, the law shall punish the infringer severely according to the technical data and proof, and deter the offender. This is the better way to protect the copyright of digital film.</w:t>
      </w:r>
    </w:p>
    <w:p>
      <w:pPr/>
      <w:r>
        <w:rPr>
          <w:b/>
        </w:rPr>
        <w:t>POSSIBLE 2015:</w:t>
      </w:r>
      <w:r>
        <w:t xml:space="preserve"> Structure and Type Characteristics of the Winter Quasi-stationary Front in South China — https://openalex.org/W2384076123</w:t>
      </w:r>
    </w:p>
    <w:p>
      <w:pPr/>
      <w:r>
        <w:rPr>
          <w:b/>
        </w:rPr>
        <w:t>Shared claim-specific concepts:</w:t>
      </w:r>
      <w:r>
        <w:t xml:space="preserve"> addition, china, front, below; EU scope not established. This is a provisional connection, not an outcome finding.</w:t>
      </w:r>
    </w:p>
    <w:p>
      <w:pPr>
        <w:pStyle w:val="SourceNote"/>
      </w:pPr>
      <w:r>
        <w:rPr>
          <w:b/>
        </w:rPr>
        <w:t>Available abstract (not full text):</w:t>
      </w:r>
      <w:r>
        <w:t xml:space="preserve"> Using the daily National Centers for Environmental Prediction(NCEP) global final analysis(FNL) data and daily station rainfall data in China for the winters of 2000–2011, we first define an index to measure the strength of the South China quasi-stationary front(SCSF), and strong SCSF cases are then selected. The structure and characteristic circulation of strong SCSFs in relation to winter precipitation over South China are analyzed by composite analysis. The results show that strong SCSFs are nearly west–east oriented, are more common in January and February, and their frequency of occurrence shows a clear upward trend over the past 12 winters. The frontal zone of a strong SCSF is indicated by a dense band of potential pseudo-equivalent temperatures in the lower troposphere, slanting northward with altitude, with obvious differences across the band in temperature rather than in moisture. In addition, the frontal zone is often associated with a great temperature inversion, positive relative vorticity, and moisture flux convergence of north and south winds. Updrafts mainly appear above the slanted frontal zone, and disturbance zonal circulations with sub-frontal scale updrafts and downdrafts exist at about 850 h Pa below the upper–level westerlies. Strong SCSFs can be classified into three types according to their wind convergence patterns in the frontal zone at 850 h Pa. Among </w:t>
      </w:r>
    </w:p>
    <w:p>
      <w:pPr>
        <w:pStyle w:val="Heading2"/>
      </w:pPr>
      <w:r>
        <w:t>913.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2022:</w:t>
      </w:r>
      <w:r>
        <w:t xml:space="preserve"> Evaluation of attractiveness of Russian and Western European green bonds — https://doi.org/10.18323/2221-5689-2022-3-25-33</w:t>
      </w:r>
    </w:p>
    <w:p>
      <w:pPr/>
      <w:r>
        <w:rPr>
          <w:b/>
        </w:rPr>
        <w:t>Shared claim-specific concepts:</w:t>
      </w:r>
      <w:r>
        <w:t xml:space="preserve"> evaluation, comparing, them; EU scope visible. This is a provisional connection, not an outcome finding.</w:t>
      </w:r>
    </w:p>
    <w:p>
      <w:pPr>
        <w:pStyle w:val="SourceNote"/>
      </w:pPr>
      <w:r>
        <w:rPr>
          <w:b/>
        </w:rPr>
        <w:t>Available abstract (not full text):</w:t>
      </w:r>
      <w:r>
        <w:t xml:space="preserve"> More and more companies in Western markets provide potential investors with an instrument to attract debt financing called “green bonds”. In recent years, a significant rise in demand for this type of securities is observed in Western stock markets; Russian investors also demonstrate interest in them, which makes issues of evaluating green bonds and comparing their investment attractiveness with the attractiveness of traditional bonds topical ones. The paper gives the assessment of attractiveness of green bonds both of Russian and Western European issuers and compares green and traditional corporate bonds from the point of view of a potential investor. The authors analyzed key financial performance indicators of green bonds: a coupon size, yield to maturity, and duration; assessed alternative costs of holding green bonds (bank deposit for the period of more than one year is considered an alternative variant of investment). Based on the results of the work, the authors conclude that, in general, non-green bonds today are more attractive for an investor; however, green bonds have an advantage in view of nominal coupon profitability. High duration is a distinctive feature of green bonds: the average due date of return of investments of green bonds is close to the maturity date, while traditional bonds have the duration much less than the term to their maturity. Therefore, one can </w:t>
      </w:r>
    </w:p>
    <w:p>
      <w:pPr/>
      <w:r>
        <w:rPr>
          <w:b/>
        </w:rPr>
        <w:t>POSSIBLE 2020:</w:t>
      </w:r>
      <w:r>
        <w:t xml:space="preserve"> Recycling of European plastic is a pathway for plastic debris in the ocean — https://doi.org/10.1016/j.envint.2020.105893</w:t>
      </w:r>
    </w:p>
    <w:p>
      <w:pPr/>
      <w:r>
        <w:rPr>
          <w:b/>
        </w:rPr>
        <w:t>Shared claim-specific concepts:</w:t>
      </w:r>
      <w:r>
        <w:t xml:space="preserve"> pathway, three; EU scope visible. This is a provisional connection, not an outcome finding.</w:t>
      </w:r>
    </w:p>
    <w:p>
      <w:pPr>
        <w:pStyle w:val="SourceNote"/>
      </w:pPr>
      <w:r>
        <w:rPr>
          <w:b/>
        </w:rPr>
        <w:t>Available abstract (not full text):</w:t>
      </w:r>
      <w:r>
        <w:t xml:space="preserve"> Polyethylene (PE) is one of the most common types of plastic. Whilst an increasing share of post-consumer plastic waste from Europe is collected for recycling, 46% of separated PE waste is exported outside of the source country (including intra-EU trade). The fate of this exported European plastic is not well known. This study integrated data on PE waste flows in 2017 from UN Comtrade, an open repository providing detailed international trade data, with best available information on waste management in destination countries, to model the fate of PE exported for recycling from Europe (EU-28, Norway and Switzerland) into: recycled high-density PE (HDPE) and low-density PE (LDPE) resins, "landfill", incineration and ocean debris. Data uncertainty was reflected in three scenarios representing high, low and average recovery efficiency factors in material recovery facilities and reprocessing facilities, and different ocean debris fate factors. The fates of exported PE were then linked back to the individual European countries of export. Our study estimated that 83,187 Mg (tonnes) (range: 32,115-180,558 Mg), or 3% (1-7%) of exported European PE in 2017 ended up in the ocean, indicating an important and hitherto undocumented pathway of plastic debris entering the oceans. The countries with the greatest percentage of exported PE ending up as recycled HDPE or LDPE were Luxembourg and Swi</w:t>
      </w:r>
    </w:p>
    <w:p>
      <w:pPr/>
      <w:r>
        <w:rPr>
          <w:b/>
        </w:rPr>
        <w:t>POSSIBLE 2020:</w:t>
      </w:r>
      <w:r>
        <w:t xml:space="preserve"> Sustainable Banking; Evaluation of the European Business Models — https://doi.org/10.3390/su12062314</w:t>
      </w:r>
    </w:p>
    <w:p>
      <w:pPr/>
      <w:r>
        <w:rPr>
          <w:b/>
        </w:rPr>
        <w:t>Shared claim-specific concepts:</w:t>
      </w:r>
      <w:r>
        <w:t xml:space="preserve"> evaluation, developed, each; EU scope visible. This is a provisional connection, not an outcome finding.</w:t>
      </w:r>
    </w:p>
    <w:p>
      <w:pPr>
        <w:pStyle w:val="SourceNote"/>
      </w:pPr>
      <w:r>
        <w:rPr>
          <w:b/>
        </w:rPr>
        <w:t>Available abstract (not full text):</w:t>
      </w:r>
      <w:r>
        <w:t xml:space="preserve"> Sustainability has become one of the challenges of today’s banks. Since sustainable business models are responsible for the environment and society along with generating economic benefits, they are an attractive approach to sustainability. Sustainable business models also offer banks competitive advantages such as increasing brand reputation and cost reduction. However, no framework is presented to evaluate the sustainability of banking business models. To bridge this theoretical gap, the current study using A Delphi-Analytic Hierarchy Process method, firstly, developed a sustainable business model to evaluate the sustainability of the business model of banks. In the second step, the sustainability performance of sixteen banks from eight European countries including Norway, The UK, Poland, Hungary, Germany, France, Spain, and Italy, assessed. The proposed business model components of this study were ranked in terms of their impact on achieving sustainability goals. Consequently, the proposed model components of this study, based on their impact on sustainability, are respectively value proposition, core competencies, financial aspects, business processes, target customers, resources, technology, customer interface, and partner network. The results of the comparison of the banks studied by each country disclosed that the sustainability of the Norwegian and German banks’ business</w:t>
      </w:r>
    </w:p>
    <w:p>
      <w:pPr/>
      <w:r>
        <w:rPr>
          <w:b/>
        </w:rPr>
        <w:t>POSSIBLE 2019:</w:t>
      </w:r>
      <w:r>
        <w:t xml:space="preserve"> A protocol to develop Shared Socio-economic Pathways for European agriculture — https://doi.org/10.1016/j.jenvman.2019.109701</w:t>
      </w:r>
    </w:p>
    <w:p>
      <w:pPr/>
      <w:r>
        <w:rPr>
          <w:b/>
        </w:rPr>
        <w:t>Shared claim-specific concepts:</w:t>
      </w:r>
      <w:r>
        <w:t xml:space="preserve"> evaluation, pathways, develop, suitable, each, sectors; EU scope visible. This is a provisional connection, not an outcome finding.</w:t>
      </w:r>
    </w:p>
    <w:p>
      <w:pPr>
        <w:pStyle w:val="SourceNote"/>
      </w:pPr>
      <w:r>
        <w:rPr>
          <w:b/>
        </w:rPr>
        <w:t>Available abstract (not full text):</w:t>
      </w:r>
      <w:r>
        <w:t xml:space="preserve">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pPr>
        <w:pStyle w:val="Heading2"/>
      </w:pPr>
      <w:r>
        <w:t>914.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2022:</w:t>
      </w:r>
      <w:r>
        <w:t xml:space="preserve"> Food Waste to Bioethanol: Opportunities and Challenges — https://doi.org/10.3390/fermentation9010008</w:t>
      </w:r>
    </w:p>
    <w:p>
      <w:pPr/>
      <w:r>
        <w:rPr>
          <w:b/>
        </w:rPr>
        <w:t>Shared claim-specific concepts:</w:t>
      </w:r>
      <w:r>
        <w:t xml:space="preserve"> bioethanol, loss, continuous, potential; EU scope not established. This is a provisional connection, not an outcome finding.</w:t>
      </w:r>
    </w:p>
    <w:p>
      <w:pPr>
        <w:pStyle w:val="SourceNote"/>
      </w:pPr>
      <w:r>
        <w:rPr>
          <w:b/>
        </w:rPr>
        <w:t>Available abstract (not full text):</w:t>
      </w:r>
      <w:r>
        <w:t xml:space="preserve"> The increasing global population will require sustainable means to sustain life and growth. The continuous depletion and increasing wastage of the energy resources will pose a challenge for the survival of the increasing population in the coming years. The bioconversion of waste generated at different stages of the food value chain to ethanol can provide a sustainable solution to the depleting energy resources and a sustainable way to address the growing food waste issue globally. The high carbohydrate and nitrogen content in the food waste can make it an ideal alternative substrate for developing a decentralized bioprocess. Optimizing the process can address the bottleneck issues viz. substrate collection and transport, pretreatment, fermentative organism, and product separation, which is required to make the process economic. The current review focuses on the opportunities and challenges for using the food loss and waste at different stages of the food value chain, its pretreatment, the fermentation process to produce bioethanol, and potential ways to improve the process economics. The impact of substrate, fermentative organisms’ process development, downstream processing, and by-product stream to make the bioethanol production from the waste in the food value chain a commercial success are also discussed.</w:t>
      </w:r>
    </w:p>
    <w:p>
      <w:pPr/>
      <w:r>
        <w:rPr>
          <w:b/>
        </w:rPr>
        <w:t>POSSIBLE 2022:</w:t>
      </w:r>
      <w:r>
        <w:t xml:space="preserve"> Bioethanol and biodiesel blended fuels — Feasibility analysis of biofuel feedstocks in Bangladesh — https://doi.org/10.1016/j.egyr.2022.01.001</w:t>
      </w:r>
    </w:p>
    <w:p>
      <w:pPr/>
      <w:r>
        <w:rPr>
          <w:b/>
        </w:rPr>
        <w:t>Shared claim-specific concepts:</w:t>
      </w:r>
      <w:r>
        <w:t xml:space="preserve"> residue, bioethanol, biofuel, potential; EU scope not established. This is a provisional connection, not an outcome finding.</w:t>
      </w:r>
    </w:p>
    <w:p>
      <w:pPr>
        <w:pStyle w:val="SourceNote"/>
      </w:pPr>
      <w:r>
        <w:rPr>
          <w:b/>
        </w:rPr>
        <w:t>Available abstract (not full text):</w:t>
      </w:r>
      <w:r>
        <w:t xml:space="preserve"> In 2019–2020, Bangladesh imported 5.2 million metric tonnes of petroleum products, worth 2.5 billion USD, and 50% of the imports were consumed by the transportation sector. Having limited natural oil reserves and being heavily dependent on oil imports, the country is vulnerable to shocks in the international oil market, which can jeopardize its consistent economic growth. The Government announced a 5% blending of bioethanol with gasoline in 2017, with broken rice, maize, and molasses as the feedstocks, but sourcing biofuel from food crops can hamper the country’s food security. This study explores second and third generation feedstocks e.g., organic plants, seeds, agricultural residues, and waste animal fat or skin that can be collected and processed for the extraction of biofuels. Technical potential of biofuel from the feedstocks is analysed which shows that Bangladesh has a potential to extract 44.4 million metric tonnes of bioethanol in a year from agricultural residues with rice residue having the highest potential (71%). Ground nut and rubber seeds can be major feedstocks for biodiesel production having a potential of 61,000 and 42,000 metric tonnes per year, respectively. Waste chicken skin can be another promising feedstock for the extraction of biodiesel. Biofuels extracted from these non-edible feedstocks and blended with existing transport fuels can lessen Bangladesh</w:t>
      </w:r>
    </w:p>
    <w:p>
      <w:pPr/>
      <w:r>
        <w:rPr>
          <w:b/>
        </w:rPr>
        <w:t>POSSIBLE 2022:</w:t>
      </w:r>
      <w:r>
        <w:t xml:space="preserve"> Bioconversion of Starch Base Food Waste into Bioethanol — https://doi.org/10.3390/su141811401</w:t>
      </w:r>
    </w:p>
    <w:p>
      <w:pPr/>
      <w:r>
        <w:rPr>
          <w:b/>
        </w:rPr>
        <w:t>Shared claim-specific concepts:</w:t>
      </w:r>
      <w:r>
        <w:t xml:space="preserve"> every, bioethanol, potential; EU scope not established. This is a provisional connection, not an outcome finding.</w:t>
      </w:r>
    </w:p>
    <w:p>
      <w:pPr>
        <w:pStyle w:val="SourceNote"/>
      </w:pPr>
      <w:r>
        <w:rPr>
          <w:b/>
        </w:rPr>
        <w:t>Available abstract (not full text):</w:t>
      </w:r>
      <w:r>
        <w:t xml:space="preserve"> The global demand for fuel keeps increasing daily. The massive depletion of fossil fuels and their influence on the environment as pollution is a severe problem. Meanwhile, food waste disposal is also a complex problem in solid-waste management since one-third of every food consumed is discarded as waste. The standard waste management methods, including food waste incineration and landfilling, are considered hazardous to the environment. Food waste constituents are majorly starch-based and contain various biomolecules, including sugar, lipids, proteins, vitamins, cellulose, etc. These polysaccharides can be hydrolysed into monosaccharides such as glucose, which can then be fermented using microorganisms to produce ethanol through the fermenting of sugars derived from enzymatic hydrolysis treatment of food wastes. The human food system is rich in starch, which can be a potential resource for bioethanol production.</w:t>
      </w:r>
    </w:p>
    <w:p>
      <w:pPr/>
      <w:r>
        <w:rPr>
          <w:b/>
        </w:rPr>
        <w:t>POSSIBLE 2020:</w:t>
      </w:r>
      <w:r>
        <w:t xml:space="preserve"> Finger Millet as a Sustainable Feedstock for Bioethanol Production — https://doi.org/10.2174/1874331502014010257</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The current trend in volatile oil prices, global warming and environmental pollution, has encouraged major consumers worldwide to sharply increase their use of “green” fuels. Bioethanol is usually obtained from the conversion of carbon-based feedstock. Bioethanol from biomass sources is the principal fuel used as a fossil fuels’ substitute for road transport vehicles. Bioethanol is predominantly produced by the sugar fermentation process, although it can also be generated by the chemical process of reacting ethylene with steam. Finger millet (Eleusine coracana) is also known as Ragi (India), Kodo (Nepal), Uburo (Rwanda), Kurakkan (Srilanka), Bulo (Uganda), Kambale (Zambia) and Tamba (Nigeria) and can be used as an efficient source for bioethanol production. Despite all its importance, however, finger millet is still grossly undervalued both scientifically and internationally. This review observes current progress in bioethanol production from E. coracana feedstock and the effectiveness of various technological approaches for that. The main aspects of ethanol production from finger millet seeds have been considered. Seeds, which are already used for brewing, are the most obvious variant of feedstock for ethanol production from this crop. The conversion of finger millet straw and agricultural waste into bioethanol has also been reviewed. Practical results of development and testi</w:t>
      </w:r>
    </w:p>
    <w:p>
      <w:pPr/>
      <w:r>
        <w:rPr>
          <w:b/>
        </w:rPr>
        <w:t>POSSIBLE 2019:</w:t>
      </w:r>
      <w:r>
        <w:t xml:space="preserve"> The Human Cost of Anthropogenic Global Warming: Semi-Quantitative Prediction and the 1,000-Tonne Rule — https://doi.org/10.3389/fpsyg.2019.02323</w:t>
      </w:r>
    </w:p>
    <w:p>
      <w:pPr/>
      <w:r>
        <w:rPr>
          <w:b/>
        </w:rPr>
        <w:t>Shared claim-specific concepts:</w:t>
      </w:r>
      <w:r>
        <w:t xml:space="preserve"> every, tonne, predicted; EU scope not established. This is a provisional connection, not an outcome finding.</w:t>
      </w:r>
    </w:p>
    <w:p>
      <w:pPr>
        <w:pStyle w:val="SourceNote"/>
      </w:pPr>
      <w:r>
        <w:rPr>
          <w:b/>
        </w:rPr>
        <w:t>Available abstract (not full text):</w:t>
      </w:r>
      <w:r>
        <w:t xml:space="preserve"> Greenhouse-gas emissions are indirectly causing future deaths by multiple mechanisms. For example, reduced food and water supplies will exacerbate hunger, disease, violence, and migration. How will anthropogenic global warming (AGW) affect global mortality due to poverty around and beyond 2100? Roughly how much burned fossil carbon corresponds to one future death? What are the psychological, medical, political, and economic implications? Predicted death tolls are crucial for policy formulation, but uncertainty increases with temporal distance from the present and estimates may be biased. Order-of-magnitude estimates should refer to literature from diverse relevant disciplines. The carbon budget for 2°C AGW (roughly 10^12 tonnes carbon) will indirectly cause roughly 10^9 future premature deaths (10% of projected maximum global population), spread over one to two centuries. This zeroth-order prediction is relative and in addition to existing preventable death rates. It lies between likely best- and worst-case scenarios of roughly 3 x 10^8 and 3 x 10^9, corresponding to plus/minus one standard deviation on a logarithmic scale in a Gaussian probability distribution. It implies that one future premature death is caused every time roughly 1000 (300 to 3000) tonnes of carbon are burned. Therefore, any fossil-fuel project that burns millions of tons of carbon is probably indirectly kil</w:t>
      </w:r>
    </w:p>
    <w:p>
      <w:pPr/>
      <w:r>
        <w:rPr>
          <w:b/>
        </w:rPr>
        <w:t>POSSIBLE 2018:</w:t>
      </w:r>
      <w:r>
        <w:t xml:space="preserve"> BIOETHANOL FROM STRAW AND ITS PUBLIC ACCEPTANCE — https://doi.org/10.15544/rd.2017.009</w:t>
      </w:r>
    </w:p>
    <w:p>
      <w:pPr/>
      <w:r>
        <w:rPr>
          <w:b/>
        </w:rPr>
        <w:t>Shared claim-specific concepts:</w:t>
      </w:r>
      <w:r>
        <w:t xml:space="preserve"> bioethanol, biofuel, level; EU scope not established. This is a provisional connection, not an outcome finding.</w:t>
      </w:r>
    </w:p>
    <w:p>
      <w:pPr>
        <w:pStyle w:val="SourceNote"/>
      </w:pPr>
      <w:r>
        <w:rPr>
          <w:b/>
        </w:rPr>
        <w:t>Available abstract (not full text):</w:t>
      </w:r>
      <w:r>
        <w:t xml:space="preserve"> The consequences of global warming and the need for a reduction in greenhouse gases have led to dramatic changes in the automotive sector. Whereas the use of biofuel increased continuously over the first decade of this century, e-mobility has been deemed.by politicians and the media alike. As the development of the electric car, rechargeable batteries and charging stations are far from being fully explored, biofuels will play an important role as a bridging technology over the next 20 years. The successful use of biofuels requires its widespread acceptance by consumers. To evaluate the public opinion towards biofuels we carried out a representative opinion poll to collect information on the population’s acceptance of biofuels. The result indicates that there is a lack of interest and information about biofuels, especially among young people and women. First generation bioethanol is strongly associated with the waste of food, but the acceptance of the second generation, produced from agricultural remnants like straw from wheat or corn, is considerably higher. The interviewees see more transparent, objective and less technical information about biofuels as an essential way to increase the level of information and the acceptance rate. In summary, the introduction of biofuels must be accompanied by information campaigns if biofuels should ever reach larger market shares. The irrita</w:t>
      </w:r>
    </w:p>
    <w:p>
      <w:pPr/>
      <w:r>
        <w:rPr>
          <w:b/>
        </w:rPr>
        <w:t>POSSIBLE 2018:</w:t>
      </w:r>
      <w:r>
        <w:t xml:space="preserve"> Utilization of damaged and spoiled wheat grains for bioethanol production — https://doi.org/10.21786/bbrc/11.4/17</w:t>
      </w:r>
    </w:p>
    <w:p>
      <w:pPr/>
      <w:r>
        <w:rPr>
          <w:b/>
        </w:rPr>
        <w:t>Shared claim-specific concepts:</w:t>
      </w:r>
      <w:r>
        <w:t xml:space="preserve"> bioethanol, recently, potential; EU scope not established. This is a provisional connection, not an outcome finding.</w:t>
      </w:r>
    </w:p>
    <w:p>
      <w:pPr>
        <w:pStyle w:val="SourceNote"/>
      </w:pPr>
      <w:r>
        <w:rPr>
          <w:b/>
        </w:rPr>
        <w:t>Available abstract (not full text):</w:t>
      </w:r>
      <w:r>
        <w:t xml:space="preserve"> First generation ethanol from starchy crops particularly maize is an established technology that being a renewable and bio-based resource has advantages over gasoline.The second generation ethanol from lignocellulosics owing to its economic considerations is still at pilot scale and is yet to see commercialization.This has increased the demand of starchy feed-stocks for energy.The recently released National Policy on Biofuels in May, 2018 categorically also emphasizes on the potential of different raw materials for ethanol production by consenting the utilization of damaged food grains like wheat, broken rice etc. that area otherwise unfi t for human consumption.As far as wheat is concerned, The Comptroller and Auditor General (CAG), India (2017) reported that Food Corporation of India's (FCI) wheat stock worth 700 crores was damaged solely in Punjab from 2011 to 2016 as the grain was kept in open areas attributed to the lack in storage facility.Development of effi cient technology to pretreat and convert damaged starch into fermentable sugars and optimization of enzymatic hydrolysis using commercial as well as indigenous enzyme preparation are the key points for the effi cient bioethanol production from damaged wheat.Further, the synergistic action of alpha and glucoamylase in the hydrolysis of wheat mash have been tried that has revealed 96.25% conversion effi ciency with an </w:t>
      </w:r>
    </w:p>
    <w:p>
      <w:pPr/>
      <w:r>
        <w:rPr>
          <w:b/>
        </w:rPr>
        <w:t>POSSIBLE 2016:</w:t>
      </w:r>
      <w:r>
        <w:t xml:space="preserve"> Health Impacts of Active Transportation in Europe — https://doi.org/10.1371/journal.pone.0149990</w:t>
      </w:r>
    </w:p>
    <w:p>
      <w:pPr/>
      <w:r>
        <w:rPr>
          <w:b/>
        </w:rPr>
        <w:t>Shared claim-specific concepts:</w:t>
      </w:r>
      <w:r>
        <w:t xml:space="preserve"> level, potential; EU scope visible. This is a provisional connection, not an outcome finding.</w:t>
      </w:r>
    </w:p>
    <w:p>
      <w:pPr>
        <w:pStyle w:val="SourceNote"/>
      </w:pPr>
      <w:r>
        <w:rPr>
          <w:b/>
        </w:rPr>
        <w:t>Available abstract (not full text):</w:t>
      </w:r>
      <w:r>
        <w:t xml:space="preserve">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pStyle w:val="Heading2"/>
      </w:pPr>
      <w:r>
        <w:t>915.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2021:</w:t>
      </w:r>
      <w:r>
        <w:t xml:space="preserve"> Reduced Sign Representations for Characteristic Points Selection in Images — https://doi.org/10.1134/s1054661821030147</w:t>
      </w:r>
    </w:p>
    <w:p>
      <w:pPr/>
      <w:r>
        <w:rPr>
          <w:b/>
        </w:rPr>
        <w:t>Shared claim-specific concepts:</w:t>
      </w:r>
      <w:r>
        <w:t xml:space="preserve"> need, possible; EU scope not established. This is a provisional connection, not an outcome finding.</w:t>
      </w:r>
    </w:p>
    <w:p>
      <w:pPr>
        <w:pStyle w:val="SourceNote"/>
      </w:pPr>
      <w:r>
        <w:rPr>
          <w:b/>
        </w:rPr>
        <w:t>Available abstract (not full text):</w:t>
      </w:r>
      <w:r>
        <w:t xml:space="preserve"> Abstract The aim of this study is to develop a method for detecting the characteristic points in a digital image that is stable under a certain class of brightness transformations. The need for such a method is due to the need to identify key points of images in video surveillance and face recognition systems, which often work in conditions of variations in illumination. A feature of the proposed method, which distinguishes it from a number of well-known approaches to the problem of identifying characteristic points, is the use of the so-called reduced sign representation of images. In contrast to the usual representation of a digital image by its discrete function of brightness, it represents the image by a directed acyclic graph corresponding to the binary relation of increasing brightness over the set of pixels. Thus, the sign representation defines a set of images, the brightness functions of which are connected by strictly monotonic transformations. It is this property of the sign representation that makes it efficient for achievement the aim mentioned above. The next feature of the method under consideration is its approach to the interpretation of the characteristic points of the image. Note that in the modern theory of image processing this concept is not rigorously defined; we can say that the characteristic point is distinguished by the increased complexity of the str</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r>
        <w:rPr>
          <w:b/>
        </w:rPr>
        <w:t>POSSIBLE 2018:</w:t>
      </w:r>
      <w:r>
        <w:t xml:space="preserve"> Less is More: Techniques to Reduce Overfitting in your Transformer Model for Sign Language Recognition — https://doi.org/10.52591/lxai2023061812</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Sign language recognition (SLR) in deep learning is a challenging task due to the need for interpreting human body movements, including detailed hand movements and facial expressions. Recent research has focused on using keypoint body landmarks and transformer models to improve SLR performance. However, these models can face overfitting issues due to the need for more available datasets. To address these problems, we analyze three Peruvian sign language (LSP) datasets for SLR. Additionally, we apply several techniques to reduce overfitting in the Spoter model, a transformer-based architecture for SLR. The results of these techniques reveal that the data-based techniques improve generalization and reduce overfitting in transformer-based models for SLR.</w:t>
      </w:r>
    </w:p>
    <w:p>
      <w:pPr/>
      <w:r>
        <w:rPr>
          <w:b/>
        </w:rPr>
        <w:t>POSSIBLE 2017:</w:t>
      </w:r>
      <w:r>
        <w:t xml:space="preserve"> The impact of the US retreat from the Paris Agreement: Kyoto revisited? — https://doi.org/10.1080/14693062.2017.1412934</w:t>
      </w:r>
    </w:p>
    <w:p>
      <w:pPr/>
      <w:r>
        <w:rPr>
          <w:b/>
        </w:rPr>
        <w:t>Shared claim-specific concepts:</w:t>
      </w:r>
      <w:r>
        <w:t xml:space="preserve"> kyoto, agreement, reduce, emissions, different, possible; EU scope not established. This is a provisional connection, not an outcome finding.</w:t>
      </w:r>
    </w:p>
    <w:p>
      <w:pPr>
        <w:pStyle w:val="SourceNote"/>
      </w:pPr>
      <w:r>
        <w:rPr>
          <w:b/>
        </w:rPr>
        <w:t>Available abstract (not full text):</w:t>
      </w:r>
      <w:r>
        <w:t xml:space="preserve"> The United States’ decision to withdraw from the Paris Agreement (pending possible re-engagement under different terms) may have significant ramifications for international climate policy, but the implications of this decision remain contested. This commentary illustrates how comparative analysis of US participation in multilateral environmental agreements can inform predictions and future assessments of the decision. We compare and contrast US non-participation in the Kyoto Protocol and the Paris Agreement, focusing on four key areas that may condition the influence of US treaty decisions on international climate policy: (i) global momentum on climate change mitigation; (ii) the possibility of US non-participation giving rise to alternative forms of international collaboration on climate policy; (iii) the timing and circumstances of the US decision to exit; and (iv) the influence of treaty design on countries’ incentives to participate and comply. We find that differences across the two treaties relating to the first three factors are more likely to reduce the negative ramifications of US withdrawal from the Paris Agreement compared to the Kyoto Protocol. However, the increased urgency of deep decarbonization renders US non-participation a major concern despite its declining share of global emissions. Moreover, key design features of the Paris Agreement suggest that other coun</w:t>
      </w:r>
    </w:p>
    <w:p>
      <w:pPr>
        <w:pStyle w:val="Heading2"/>
      </w:pPr>
      <w:r>
        <w:t>916.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Climate Policy Priorities for the Next European Commission — https://openalex.org/W4392885355</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2023:</w:t>
      </w:r>
      <w:r>
        <w:t xml:space="preserve"> Access to European Commission Guidance — https://doi.org/10.21552/estal/2023/3/2</w:t>
      </w:r>
    </w:p>
    <w:p>
      <w:pPr/>
      <w:r>
        <w:rPr>
          <w:b/>
        </w:rPr>
        <w:t>Shared claim-specific concepts:</w:t>
      </w:r>
      <w:r>
        <w:t xml:space="preserve"> commission, assess, between; EU scope visible. This is a provisional connection, not an outcome finding.</w:t>
      </w:r>
    </w:p>
    <w:p>
      <w:pPr>
        <w:pStyle w:val="SourceNote"/>
      </w:pPr>
      <w:r>
        <w:rPr>
          <w:b/>
        </w:rPr>
        <w:t>Available abstract (not full text):</w:t>
      </w:r>
      <w:r>
        <w:t xml:space="preserve"> The Treaty on the Functioning of the European Union (TFEU) grants unique powers to the European Commission in the field of State aid.In no other policy field does the TFEU require Member States to inform the Commission of plans to implement a measure and confer to the Commission the right to assess those measures without obtaining the prior consent of the Council or EU courts.Even under Article 258, where the TFEU empowers the Commission to initiate action against Member States that infringe EU law, the TFEU still obliges the Commission to "bring the matter before the Court of Justice".The TFEU establishes this system of prior control of State aid because public subsidies can distort competition in the internal EU market.The integrity of this system depends on the Commission being able to distinguish between subsidies that remedy market failure and subsidies that worsen market failure.However, the effectiveness of prior control is conditional on compliance by Member States.And, compliance by Member States, in turn, depends on the rules being clear and comprehensible.</w:t>
      </w:r>
    </w:p>
    <w:p>
      <w:pPr/>
      <w:r>
        <w:rPr>
          <w:b/>
        </w:rPr>
        <w:t>POSSIBLE 2023:</w:t>
      </w:r>
      <w:r>
        <w:t xml:space="preserve"> Assessing the role of the European Council and the European Commission during the migration and COVID-19 crises — https://doi.org/10.1080/01402382.2023.2225403</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Over the past decades, ‘emergency politics’ has become a quasi-permanent feature of the European Union (EU). According to some, this has reinforced the trend towards a greater role for the European Council (EUCO) in EU agenda-setting, to the detriment of the European Commission (Commission). In this article, this claim is critically assessed by analysing two major crises: the 2015-2016 migration crisis and the COVID-19 pandemic. By systematically tracing the various agenda-setting roles played by EU actors in these crises, two claims are made. First, using a more fine-grained typology of agenda-setting roles, the relationship between EUCO and the Commission is shown to be more nuanced than is often suggested. Second, EUCO and the Commission cannot be considered monolithic players. Instead, actors within these institutions operate outside of formal channels to purse their own policy goals. This puts in doubt the usefulness of focussing on the EUCO-Commission relationship in a purely inter-institutional sense.</w:t>
      </w:r>
    </w:p>
    <w:p>
      <w:pPr/>
      <w:r>
        <w:rPr>
          <w:b/>
        </w:rPr>
        <w:t>POSSIBLE 2023:</w:t>
      </w:r>
      <w:r>
        <w:t xml:space="preserve"> The European Commission: a climate policy entrepreneur — https://doi.org/10.4337/9781789906981.00013</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The European Commission is a crucial actor in EU climate policy in three regards. First, based on its unique role in the EU system as an initiator of policy proposals, it acts as a policy entrepreneur, contributing to the gradual advancement of EU climate policy. In this role, it has promoted commitments to ever more ambitious greenhouse gas emission reduction targets (compared to 1990 levels) that, once agreed, served as the basis for the Commission’s legislative initiatives. Second, as ‘guardian of the treaties’, the Commission monitors EU countries’ compliance with the adopted legislation. To this end, it has constantly improved coordination processes with national governments. Finally, the Commission is actively involved in EU international climate policy, coordinating bi-lateral and multilateral partnerships on climate change and energy with third countries, contributing to knowledge transfer and policy learning.</w:t>
      </w:r>
    </w:p>
    <w:p>
      <w:pPr/>
      <w:r>
        <w:rPr>
          <w:b/>
        </w:rPr>
        <w:t>POSSIBLE 2023:</w:t>
      </w:r>
      <w:r>
        <w:t xml:space="preserve"> Three decades of EU climate policy: Racing toward climate neutrality? — https://doi.org/10.1002/wcc.863</w:t>
      </w:r>
    </w:p>
    <w:p>
      <w:pPr/>
      <w:r>
        <w:rPr>
          <w:b/>
        </w:rPr>
        <w:t>Shared claim-specific concepts:</w:t>
      </w:r>
      <w:r>
        <w:t xml:space="preserve"> established, commission, energy, climate; EU scope visible. This is a provisional connection, not an outcome finding.</w:t>
      </w:r>
    </w:p>
    <w:p>
      <w:pPr>
        <w:pStyle w:val="SourceNote"/>
      </w:pPr>
      <w:r>
        <w:rPr>
          <w:b/>
        </w:rPr>
        <w:t>Available abstract (not full text):</w:t>
      </w:r>
      <w:r>
        <w:t xml:space="preserve"> Abstract The European Union (EU) began developing climate policy in the 1990s. Since then, it has built up a broad portfolio of mitigation policy measures and governance tools, including legally binding targets to reduce greenhouse gas (GHG) emissions, and policy measures addressing emissions trading, renewable energy, energy efficiency, and more. In 2019, the European Commission—the EU's executive arm—published the European Green Deal (EGD), an overarching policy framework to achieve the goal of climate neutrality by 2050. The EGD aims to push EU climate policy and governance far beyond incremental policy development. In this article, we ask: does the EGD represent a break from past patterns of EU climate governance? We argue that it maintains several past patterns, but nevertheless breaks from other established policy and governance trends. We review insights from politicization and new institutionalist theoretical lenses to help us understand these findings. We reveal certain tensions and challenges inherent in the EU's climate governance approach—around speed and coherence, effectiveness and just transition—that highlight future research needs, and raise questions about the EU's ability to implement its climate policy goals. This article is categorized under: Policy and Governance &gt; Multilevel and Transnational Climate Change Governance</w:t>
      </w:r>
    </w:p>
    <w:p>
      <w:pPr/>
      <w:r>
        <w:rPr>
          <w:b/>
        </w:rPr>
        <w:t>POSSIBLE 2023:</w:t>
      </w:r>
      <w:r>
        <w:t xml:space="preserve"> The European Union's Climate and Environmental Policy in Times of Geopolitical Crisis — https://doi.org/10.1111/jcms.13530</w:t>
      </w:r>
    </w:p>
    <w:p>
      <w:pPr/>
      <w:r>
        <w:rPr>
          <w:b/>
        </w:rPr>
        <w:t>Shared claim-specific concepts:</w:t>
      </w:r>
      <w:r>
        <w:t xml:space="preserve"> commission, energy, climate, between, relative; EU scope visible. This is a provisional connection, not an outcome finding.</w:t>
      </w:r>
    </w:p>
    <w:p>
      <w:pPr>
        <w:pStyle w:val="SourceNote"/>
      </w:pPr>
      <w:r>
        <w:rPr>
          <w:b/>
        </w:rPr>
        <w:t>Available abstract (not full text):</w:t>
      </w:r>
      <w:r>
        <w:t xml:space="preserve"> European Union (EU) environmental policy is made in the framework of a multiannual Environment Action Programme (EAP), which rests on the principles of prevention, precaution and tackling pollution at its source rather than at the 'end of the pipe'. The current, 8th EAP defines objectives for environmental policy in the narrow sense as measures to prevent, reduce or end adverse effects on nature and natural resources but recognises that environmental policy objectives must go hand in hand with reducing greenhouse gas (GHG) emissions, which is the main goal of EU climate policy. The EAP's integrated view on environmental and climate policy resonates with the one put forth by the European Green Deal (EGD). This is the EU's approach to delivering on the 2015 Paris Agreement on climate change and the United Nations' Sustainable Development Goals adopted in the same year (Koundouri et al., 2021). It is a comprehensive strategy for sustainable growth and goes beyond the classic dimensions of sustainability, as it covers economic viability, environmental protection and social equity (Bongardt and Torres, 2022). The EGD guides policy action in the strategic fields of agriculture and food, construction and renovation, climate, energy, environment, financial and regional development, industry, research and innovation, and transport and mobility to achieve the overarching goal of transfor</w:t>
      </w:r>
    </w:p>
    <w:p>
      <w:pPr>
        <w:pStyle w:val="Heading2"/>
      </w:pPr>
      <w:r>
        <w:t>917.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2017:</w:t>
      </w:r>
      <w:r>
        <w:t xml:space="preserve"> Handbook of European Social Policy — https://doi.org/10.4337/9781783476466</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The UK and Ireland are typically paired together as the Anglo-Saxon or liberal welfare states of Europe, however, comparative analysis of both countries' welfare states is rare. The most recent systematic comparative analysis dates to Daly and Yeates’ (2003) analysis of social security. Regarding structural, political and ideological factors they noted a range of ways the two countries diverged and suggested that both countries were transforming, but in significantly different ways, thus questioning whether they could still be feasibly situated within the same welfare model. In the intervening period both countries experienced major upheaval, their common ‘Anglo-liberal’ growth model (Hay 2013) being at the core of the financial crisis in 2008. Consequently we ask whether the Irish and UK welfare states are still as divergent as Daly and Yeates observed or whether recent trends have meant that these two welfare states are moving in a common direction, without necessarily reaching full convergence. We proceed to address these questions by broadly tracking the typical characteristics of liberal welfare regimes in the UK and Irish contexts. We first look at patterns of social expenditure, taxation and related policy reform. We then look at what might be deemed social investment policies and this is followed with an analysis of selected welfare outcomes. We end by analysing the mai</w:t>
      </w:r>
    </w:p>
    <w:p>
      <w:pPr>
        <w:pStyle w:val="Heading2"/>
      </w:pPr>
      <w:r>
        <w:t>918.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2021:</w:t>
      </w:r>
      <w:r>
        <w:t xml:space="preserve"> Interpretation of point forecasts with unknown directive — https://doi.org/10.1002/jae.2833</w:t>
      </w:r>
    </w:p>
    <w:p>
      <w:pPr/>
      <w:r>
        <w:rPr>
          <w:b/>
        </w:rPr>
        <w:t>Shared claim-specific concepts:</w:t>
      </w:r>
      <w:r>
        <w:t xml:space="preserve"> forecasts, point, abstract; EU scope not established. This is a provisional connection, not an outcome finding.</w:t>
      </w:r>
    </w:p>
    <w:p>
      <w:pPr>
        <w:pStyle w:val="SourceNote"/>
      </w:pPr>
      <w:r>
        <w:rPr>
          <w:b/>
        </w:rPr>
        <w:t>Available abstract (not full text):</w:t>
      </w:r>
      <w:r>
        <w:t xml:space="preserve"> Abstract Point forecasts can be interpreted as functionals (i.e., point summaries) of predictive distributions. We extend methodology for the identification of the functional based on time series of point forecasts and associated realizations. Focusing on state‐dependent quantiles and expectiles, we provide a generalized method of moments estimator for the functional, along with tests of optimality under general joint hypotheses of functional relationships and information bases. Our tests are more flexible, and in simulations better calibrated and more powerful than existing solutions. In empirical examples, economic growth forecasts and model output for precipitation are indicative of overstatement in anticipation of extreme events.</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2019:</w:t>
      </w:r>
      <w:r>
        <w:t xml:space="preserve"> Seasonal streamflow forecasts for Europe – Part 2: Sources of skill — https://doi.org/10.5194/hess-23-371-2019</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2018:</w:t>
      </w:r>
      <w:r>
        <w:t xml:space="preserve"> How Can Existing Ground-Based Profiling Instruments Improve European Weather Forecasts? — https://doi.org/10.1175/bams-d-17-0231.1</w:t>
      </w:r>
    </w:p>
    <w:p>
      <w:pPr/>
      <w:r>
        <w:rPr>
          <w:b/>
        </w:rPr>
        <w:t>Shared claim-specific concepts:</w:t>
      </w:r>
      <w:r>
        <w:t xml:space="preserve"> forecasts, important, abstract; EU scope visible. This is a provisional connection, not an outcome finding.</w:t>
      </w:r>
    </w:p>
    <w:p>
      <w:pPr>
        <w:pStyle w:val="SourceNote"/>
      </w:pPr>
      <w:r>
        <w:rPr>
          <w:b/>
        </w:rPr>
        <w:t>Available abstract (not full text):</w:t>
      </w:r>
      <w:r>
        <w:t xml:space="preserve"> Abstract To realize the promise of improved predictions of hazardous weather such as flash floods, wind storms, fog, and poor air quality from high-resolution mesoscale models, the forecast models must be initialized with an accurate representation of the current state of the atmosphere, but the lowest few kilometers are hardly accessible by satellite, especially in dynamically active conditions. We report on recent European developments in the exploitation of existing ground-based profiling instruments so that they are networked and able to send data in real time to forecast centers. The three classes of instruments are i) automatic lidars and ceilometers providing backscatter profiles of clouds, aerosols, dust, fog, and volcanic ash, the last two being especially important for air traffic control; ii) Doppler wind lidars deriving profiles of wind, turbulence, wind shear, wind gusts, and low-level jets; and iii) microwave radiometers estimating profiles of temperature and humidity in nearly all weather conditions. The project includes collaboration from 22 European countries and 15 European national weather services, which involves the implementation of common operating procedures, instrument calibrations, data formats, and retrieval algorithms. Currently, data from 265 ceilometers in 19 countries are being distributed in near–real time to national weather forecast centers; th</w:t>
      </w:r>
    </w:p>
    <w:p>
      <w:pPr/>
      <w:r>
        <w:rPr>
          <w:b/>
        </w:rPr>
        <w:t>POSSIBLE 2017:</w:t>
      </w:r>
      <w:r>
        <w:t xml:space="preserve"> Summer drought predictability over Europe: empirical versus dynamical forecasts — https://doi.org/10.1088/1748-9326/aa7859</w:t>
      </w:r>
    </w:p>
    <w:p>
      <w:pPr/>
      <w:r>
        <w:rPr>
          <w:b/>
        </w:rPr>
        <w:t>Shared claim-specific concepts:</w:t>
      </w:r>
      <w:r>
        <w:t xml:space="preserve"> forecasts, important, system; EU scope visible. This is a provisional connection, not an outcome finding.</w:t>
      </w:r>
    </w:p>
    <w:p>
      <w:pPr>
        <w:pStyle w:val="SourceNote"/>
      </w:pPr>
      <w:r>
        <w:rPr>
          <w:b/>
        </w:rPr>
        <w:t>Available abstract (not full text):</w:t>
      </w:r>
      <w:r>
        <w:t xml:space="preserve"> Seasonal climate forecasts could be an important planning tool for farmers, government and insurance companies that can lead to better and timely management of seasonal climate risks. However, climate seasonal forecasts are often under-used, because potential users are not well aware of the capabilities and limitations of these products. This study aims at assessing the merits and caveats of a statistical empirical method, the ensemble streamflow prediction system (ESP, an ensemble based on reordering historical data) and an operational dynamical forecast system, the European Centre for Medium-Range Weather Forecasts—System 4 (S4) in predicting summer drought in Europe. Droughts are defined using the Standardized Precipitation Evapotranspiration Index for the month of August integrated over 6 months. Both systems show useful and mostly comparable deterministic skill. We argue that this source of predictability is mostly attributable to the observed initial conditions. S4 shows only higher skill in terms of ability to probabilistically identify drought occurrence. Thus, currently, both approaches provide useful information and ESP represents a computationally fast alternative to dynamical prediction applications for drought prediction.</w:t>
      </w:r>
    </w:p>
    <w:p>
      <w:pPr>
        <w:pStyle w:val="Heading2"/>
      </w:pPr>
      <w:r>
        <w:t>919.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2022:</w:t>
      </w:r>
      <w:r>
        <w:t xml:space="preserve"> ANALYSIS OF SECURITY RISKS BASED ON THE INFORMATION PROVIDED IN THE GENERAL DECLARATION OF ARRIVAL IN THE EUROPEAN UNION — https://doi.org/10.31891/2307-5740-2022-312-6(1)-20</w:t>
      </w:r>
    </w:p>
    <w:p>
      <w:pPr/>
      <w:r>
        <w:rPr>
          <w:b/>
        </w:rPr>
        <w:t>Shared claim-specific concepts:</w:t>
      </w:r>
      <w:r>
        <w:t xml:space="preserve"> based, general, out, submitted; EU scope visible. This is a provisional connection, not an outcome finding.</w:t>
      </w:r>
    </w:p>
    <w:p>
      <w:pPr>
        <w:pStyle w:val="SourceNote"/>
      </w:pPr>
      <w:r>
        <w:rPr>
          <w:b/>
        </w:rPr>
        <w:t>Available abstract (not full text):</w:t>
      </w:r>
      <w:r>
        <w:t xml:space="preserve"> The purpose of the article is to study the experience of European countries regarding the peculiarities of security risk analysis based on the information provided in the general declaration of arrival and to develop proposals for bringing domestic customs legislation closer to the legislation of the European Union. The article analyzes the features of security risk analysis based on the information provided in the general declaration of arrival in the European Union. The regulatory and legal bases for the use of the general declaration of arrival in European countries have been determined. The parties responsible for submitting preliminary data to the customs authorities, the deadlines for submitting the general declaration of arrival and the amount of data that must be submitted to the customs authority, depending on the type of transport on which the goods will be imported into the customs territory of the EU, were found. It was found that the data are specified in the general declaration arrival, the so-called “security notices”, which are submitted to border customs before the import of goods into the customs territory of the European Union, enable customs authorities to carry out a risk analysis, primarily with the aim of determining the degree of security and the appropriate way of conducting customs control. Studied the procedure for assessing security risks based on th</w:t>
      </w:r>
    </w:p>
    <w:p>
      <w:pPr/>
      <w:r>
        <w:rPr>
          <w:b/>
        </w:rPr>
        <w:t>POSSIBLE 2022:</w:t>
      </w:r>
      <w:r>
        <w:t xml:space="preserve"> Prevalence of most common skin diseases in Europe: a population‐based study — https://doi.org/10.1111/jdv.18050</w:t>
      </w:r>
    </w:p>
    <w:p>
      <w:pPr/>
      <w:r>
        <w:rPr>
          <w:b/>
        </w:rPr>
        <w:t>Shared claim-specific concepts:</w:t>
      </w:r>
      <w:r>
        <w:t xml:space="preserve"> based, general, who;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Over the shoulder enforcement in European regulatory networks:the role of arbitrage mitigation mechanisms in the General Data Protection Regulation — https://doi.org/10.1080/13501763.2022.2069845</w:t>
      </w:r>
    </w:p>
    <w:p>
      <w:pPr/>
      <w:r>
        <w:rPr>
          <w:b/>
        </w:rPr>
        <w:t>Shared claim-specific concepts:</w:t>
      </w:r>
      <w:r>
        <w:t xml:space="preserve"> general, out, national; EU scope visible. This is a provisional connection, not an outcome finding.</w:t>
      </w:r>
    </w:p>
    <w:p>
      <w:pPr>
        <w:pStyle w:val="SourceNote"/>
      </w:pPr>
      <w:r>
        <w:rPr>
          <w:b/>
        </w:rPr>
        <w:t>Available abstract (not full text):</w:t>
      </w:r>
      <w:r>
        <w:t xml:space="preserve"> Across many domains, the European Union relies on a system of regulatory network-based enforcement. National agencies work with peers to carry out on-the-ground implementation of supranational law. Network-based enforcement, however, raises concerns including regulatory capture and shirking. We explore how a novel governance tool – arbitrage mitigation mechanisms – may address some of these issues. These mechanisms are formal institutional procedures, which attempt to generate equivalent application of EU law for cross border regulation, and include horizontal checks among regulatory peers as well as vertical checks that allow civil society to voice accountability concerns. To demonstrate the validity of our argument, we examine the General Data Protection Regulation (GDPR) and European privacy enforcement. Our study contributes to the understanding of enforcement and compliance in European regulatory networks and offers a more fine grained understanding of when and how European citizens’ civil liberties will be upheld.</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national, level, analysed, horizon;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New Strategic Foresight in EU — https://doi.org/10.15211/soveurope720215060</w:t>
      </w:r>
    </w:p>
    <w:p>
      <w:pPr/>
      <w:r>
        <w:rPr>
          <w:b/>
        </w:rPr>
        <w:t>Shared claim-specific concepts:</w:t>
      </w:r>
      <w:r>
        <w:t xml:space="preserve"> based, general, foresight, four; EU scope visible. This is a provisional connection, not an outcome finding.</w:t>
      </w:r>
    </w:p>
    <w:p>
      <w:pPr>
        <w:pStyle w:val="SourceNote"/>
      </w:pPr>
      <w:r>
        <w:rPr>
          <w:b/>
        </w:rPr>
        <w:t>Available abstract (not full text):</w:t>
      </w:r>
      <w:r>
        <w:t xml:space="preserve"> The article deals with the consideration of the concept and practice of the new strategic foresight being developed in the European Union. It summarizes the EU's experience in clarifying the conceptual framework, in the conceptual apparatus, methodology and expected practice of using strategic foresight for the development and implementation of policies to achieve the declared goals of long-term development. The main attention is paid to the analysis of four interrelated factors assessed by the European Commission as determining its target setting for sustainable development: socio-economic, geopolitical, green and digital, as well as issues of political decisions monitoring. Based on the results of the work, conclusions were made that are of fundamental importance for the formation of the prognostic component of domestic policy, with a focus on the general socio-economic and political conditions necessary to create a strategic forecasting system that is not yet available in Russia, adequate to the requirements of modern development.</w:t>
      </w:r>
    </w:p>
    <w:p>
      <w:pPr/>
      <w:r>
        <w:rPr>
          <w:b/>
        </w:rPr>
        <w:t>POSSIBLE 2021:</w:t>
      </w:r>
      <w:r>
        <w:t xml:space="preserve"> General And Limited Partnerships: Features Of Legal Regulation In Ukraine And European States — https://doi.org/10.15330/apiclu.55.130-142</w:t>
      </w:r>
    </w:p>
    <w:p>
      <w:pPr/>
      <w:r>
        <w:rPr>
          <w:b/>
        </w:rPr>
        <w:t>Shared claim-specific concepts:</w:t>
      </w:r>
      <w:r>
        <w:t xml:space="preserve"> based, general, out, national, different, direction; EU scope visible. This is a provisional connection, not an outcome finding.</w:t>
      </w:r>
    </w:p>
    <w:p>
      <w:pPr>
        <w:pStyle w:val="SourceNote"/>
      </w:pPr>
      <w:r>
        <w:rPr>
          <w:b/>
        </w:rPr>
        <w:t>Available abstract (not full text):</w:t>
      </w:r>
      <w:r>
        <w:t xml:space="preserve"> The article focuses on one of the corporate forms of entrepreneurial activity - general and limited partnerships. Limited liability companies and joint stock companies are among the most popular legal forms of companies. However, the development of Ukrainian legislation moves in the direction of creating a system of different forms of entrepreneurship, which are aimed at different needs and interests of their founders. Such forms of entrepreneurship exist and operate successfully in Europe. Carrying out a comparative analysis in the article allows the author to confirm the existing thesis that there is no single vector in European countries concerning the legal status of these partnerships. Some states define these partnerships as legal entities, others - as a form of joint business activity. It is emphasized in the article that the European legal space is characterized by the use of the concept of defective legal entity. The author perceives any of these European approaches, but points to the need for its consistent reflection in all legal acts that determine the status of general and limited partnerships. The article supports the assertion formed in the scientific literature about the criticism of domestic legislation on general and limited partnerships. Such criticism concerns to those norms of Ukrainian legislation, which use untypical provisions for legal entities. All exi</w:t>
      </w:r>
    </w:p>
    <w:p>
      <w:pPr/>
      <w:r>
        <w:rPr>
          <w:b/>
        </w:rPr>
        <w:t>POSSIBLE 2020:</w:t>
      </w:r>
      <w:r>
        <w:t xml:space="preserve"> Determinants of Suicidality in the European General Population: A Systematic Review and Meta-Analysis — https://doi.org/10.3390/ijerph17114115</w:t>
      </w:r>
    </w:p>
    <w:p>
      <w:pPr/>
      <w:r>
        <w:rPr>
          <w:b/>
        </w:rPr>
        <w:t>Shared claim-specific concepts:</w:t>
      </w:r>
      <w:r>
        <w:t xml:space="preserve"> general, carried, out; EU scope visible. This is a provisional connection, not an outcome finding.</w:t>
      </w:r>
    </w:p>
    <w:p>
      <w:pPr>
        <w:pStyle w:val="SourceNote"/>
      </w:pPr>
      <w:r>
        <w:rPr>
          <w:b/>
        </w:rPr>
        <w:t>Available abstract (not full text):</w:t>
      </w:r>
      <w:r>
        <w:t xml:space="preserve"> Close to one million people commit suicide each year, with suicidal attempts being the main risk factor for suicide. The aim of this systematic review and meta-analysis is to achieve a greater understanding of suicidality in the general population of Europe by studying associated factors and their statistical significance with suicidality, as well as the effect of the temporal moment in which suicidality is observed in a relationship. A search strategy was carried out in electronic databases: Proquest's Psychology Database, Scopus, PsycINFO, Medline and Embase. Odds ratios (ORs), publication bias, influential studies on heterogeneity and analysis moderators were calculated. Twenty-six studies were included after meeting the inclusion criteria. Factors statistically associated with suicidality are female gender, age over 65 years, unemployment, low social support, adulthood adversity, childhood adversity, family history of mental disorder, any affective disorder, major depression, anxiety/stress/somatoform disorders, tobacco and substance use, any mental disorder and body mass index. As a limitation, a high heterogeneity between studies was found. Factors associated with suicidality in the general population are relevant for understanding the suicidal phenomenon.</w:t>
      </w:r>
    </w:p>
    <w:p>
      <w:pPr>
        <w:pStyle w:val="Heading2"/>
      </w:pPr>
      <w:r>
        <w:t>920.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An Environmental Evaluation of Ventilation Systems Aimed at Reducing Indoor Radon Concentration — https://doi.org/10.3390/buildings13112706</w:t>
      </w:r>
    </w:p>
    <w:p>
      <w:pPr/>
      <w:r>
        <w:rPr>
          <w:b/>
        </w:rPr>
        <w:t>Shared claim-specific concepts:</w:t>
      </w:r>
      <w:r>
        <w:t xml:space="preserve"> evaluate, reducing, emissions, two, impacts; EU scope not established. This is a provisional connection, not an outcome finding.</w:t>
      </w:r>
    </w:p>
    <w:p>
      <w:pPr>
        <w:pStyle w:val="SourceNote"/>
      </w:pPr>
      <w:r>
        <w:rPr>
          <w:b/>
        </w:rPr>
        <w:t>Available abstract (not full text):</w:t>
      </w:r>
      <w:r>
        <w:t xml:space="preserve"> The primary measures against radon in buildings are a tight contact structure or venting the subsoil beneath the building. In many cases, ventilation systems used in buildings to ensure good indoor air quality can also be used to reduce the radon concentration. This study aims to evaluate the environmental impacts of residential ventilation systems for their ability to lower the concentration of this gas. The life cycle assessment methodology was used to assess two kinds of ventilation systems. The results indicate that 95% of environmental impacts are associated with operational emissions, while 5% are associated with embodied ones. Moreover, an increase in radon supply rates resulted in an increase in energy consumption and related emissions, for example, the operational energy of an exhaust ventilation system aimed for a reduction to 200 Bq/m3 in a 9/15 cyclic mode range from 9.69 for a radon supply rate of 50 Bq/m3h to 32.27 for 200 Bq/m3h. These simulations show that ventilation systems cannot be considered universally suitable measures to reduce the radon concentration because they may become very energy demanding, and their environmental impact may be significant even considering the type of energy source. Based on this study, we can determine whether it makes sense for a given radon supply rate and energy source to use a ventilation system to reduce the radon concentrat</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2020:</w:t>
      </w:r>
      <w:r>
        <w:t xml:space="preserve"> Evidence for reducing cancer-specific mortality due to screening for breast cancer in Europe: A systematic review — https://doi.org/10.1016/j.ejca.2019.12.010</w:t>
      </w:r>
    </w:p>
    <w:p>
      <w:pPr/>
      <w:r>
        <w:rPr>
          <w:b/>
        </w:rPr>
        <w:t>Shared claim-specific concepts:</w:t>
      </w:r>
      <w:r>
        <w:t xml:space="preserve"> reducing, all, two; EU scope visible. This is a provisional connection, not an outcome finding.</w:t>
      </w:r>
    </w:p>
    <w:p>
      <w:pPr>
        <w:pStyle w:val="SourceNote"/>
      </w:pPr>
      <w:r>
        <w:rPr>
          <w:b/>
        </w:rPr>
        <w:t>Available abstract (not full text):</w:t>
      </w:r>
      <w:r>
        <w:t xml:space="preserve"> BACKGROUND: The aim of this study was to quantify the impact of organised mammography screening on breast cancer mortality across European regions. Therefore, a systematic review was performed including different types of studies from all European regions and stringently used clearly defined quality appraisal to summarise the best evidence. METHODS: Six databases were searched including Embase, Medline and Web of Science from inception to March 2018. To identify all eligible studies which assessed the effect of organised screening on breast cancer mortality, two reviewers independently applied predefined inclusion and exclusion criteria. Original studies in English with a minimum follow-up of five years that were randomised controlled trials (RCTs) or observational studies were included. The Cochrane risk of bias instrument and the Newcastle-Ottawa Scale were used to assess the risk of bias. RESULTS: Of the 5015 references initially retrieved, 60 were included in the final analysis. Those comprised 36 cohort studies, 17 case-control studies and 7 RCTs. None were from Eastern Europe. The quality of the included studies varied: Nineteen of these studies were of very good or good quality. Of those, the reduction in breast cancer mortality in attenders versus non-attenders ranged between 33% and 43% (Northern Europe), 43%-45% (Southern Europe) and 12%-58% (Western Europe). The esti</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set, nitrogen, emissions, anthropogenic, all, two;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Reassessing changes in diurnal temperature range: Intercomparison and evaluation of existing global data set estimates — https://doi.org/10.1002/2015jd024584</w:t>
      </w:r>
    </w:p>
    <w:p>
      <w:pPr/>
      <w:r>
        <w:rPr>
          <w:b/>
        </w:rPr>
        <w:t>Shared claim-specific concepts:</w:t>
      </w:r>
      <w:r>
        <w:t xml:space="preserve"> set, all, two; EU scope visible. This is a provisional connection, not an outcome finding.</w:t>
      </w:r>
    </w:p>
    <w:p>
      <w:pPr>
        <w:pStyle w:val="SourceNote"/>
      </w:pPr>
      <w:r>
        <w:rPr>
          <w:b/>
        </w:rPr>
        <w:t>Available abstract (not full text):</w:t>
      </w:r>
      <w:r>
        <w:t xml:space="preserve"> Abstract Changes in diurnal temperature range (DTR) over global land areas are compared from a broad range of independent data sets. All data sets agree that global‐mean DTR has decreased significantly since 1950, with most of that decrease occurring over 1960–1980. The since‐1979 trends are not significant, with inter‐data set disagreement even over the sign of global changes. Inter‐data set spread becomes greater regionally and in particular at the grid box level. Despite this, there is general agreement that DTR decreased in North America, Europe, and Australia since 1951, with this decrease being partially reversed over Australia and Europe since the early 1980s. There is substantive disagreement between data sets prior to the middle of the twentieth century, particularly over Europe, which precludes making any meaningful conclusions about DTR changes prior to 1950, either globally or regionally. Several variants that undertake a broad range of approaches to postprocessing steps of gridding and interpolation were analyzed for two of the data sets. These choices have a substantial influence in data sparse regions or periods. The potential of further insights is therefore inextricably linked with the efficacy of data rescue and digitization for maximum and minimum temperature series prior to 1950 everywhere and in data sparse regions throughout the period of record. Over Nort</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present, reducing, emissions, all;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2015:</w:t>
      </w:r>
      <w:r>
        <w:t xml:space="preserve"> Histopathological evaluation of thrombus in patients presenting with stent thrombosis. A multicenter European study: a report of the prevention of late stent thrombosis by an interdisciplinary global European effort consortium — https://doi.org/10.1093/eurheartj/ehv419</w:t>
      </w:r>
    </w:p>
    <w:p>
      <w:pPr/>
      <w:r>
        <w:rPr>
          <w:b/>
        </w:rPr>
        <w:t>Shared claim-specific concepts:</w:t>
      </w:r>
      <w:r>
        <w:t xml:space="preserve"> present, evaluate, all; EU scope visible. This is a provisional connection, not an outcome finding.</w:t>
      </w:r>
    </w:p>
    <w:p>
      <w:pPr>
        <w:pStyle w:val="SourceNote"/>
      </w:pPr>
      <w:r>
        <w:rPr>
          <w:b/>
        </w:rPr>
        <w:t>Available abstract (not full text):</w:t>
      </w:r>
      <w:r>
        <w:t xml:space="preserve"> BACKGROUND: Stent thrombosis (ST) is a rare but serious complication following percutaneous coronary intervention. Analysis of thrombus composition from patients undergoing catheter thrombectomy may provide important insights into the pathological processes leading to thrombus formation. We performed a large-scale multicentre study to evaluate thrombus specimens in patients with ST across Europe. METHODS: Patients presenting with ST and undergoing thrombus aspiration were eligible for inclusion. Thrombus collection was performed according to a standardized protocol and specimens were analysed histologically at a core laboratory. Serial tissue cross sections were stained with haematoxylin-eosin (H&amp;E), Carstairs and Luna. Immunohistochemistry was performed to identify leukocyte subsets, prothrombotic neutrophil extracellular traps (NETs), erythrocytes, platelets, and fibrinogen. RESULTS: Overall 253 thrombus specimens were analysed; 79 (31.2%) from patients presenting with early ST, 174 (68.8%) from late ST; 79 (31.2%) were from bare metal stents, 166 (65.6%) from drug-eluting stents, 8 (3.2%) were from stents of unknown type. Thrombus specimens displayed heterogeneous morphology with platelet-rich thrombus and fibrin/fibrinogen fragments most abundant; mean platelet coverage was 57% of thrombus area. Leukocyte infiltrations were hallmarks of both early and late ST (early: 2260 ±</w:t>
      </w:r>
    </w:p>
    <w:p>
      <w:pPr/>
      <w:r>
        <w:rPr>
          <w:b/>
        </w:rPr>
        <w:t>POSSIBLE 2015:</w:t>
      </w:r>
      <w:r>
        <w:t xml:space="preserve"> Evaluation of the UP4FUN Intervention: A Cluster Randomized Trial to Reduce and Break Up Sitting Time in European 10-12-Year-Old Children — https://doi.org/10.1371/journal.pone.0122612</w:t>
      </w:r>
    </w:p>
    <w:p>
      <w:pPr/>
      <w:r>
        <w:rPr>
          <w:b/>
        </w:rPr>
        <w:t>Shared claim-specific concepts:</w:t>
      </w:r>
      <w:r>
        <w:t xml:space="preserve"> present, evaluate, aiming, reducing, all; EU scope visible. This is a provisional connection, not an outcome finding.</w:t>
      </w:r>
    </w:p>
    <w:p>
      <w:pPr>
        <w:pStyle w:val="SourceNote"/>
      </w:pPr>
      <w:r>
        <w:rPr>
          <w:b/>
        </w:rPr>
        <w:t>Available abstract (not full text):</w:t>
      </w:r>
      <w:r>
        <w:t xml:space="preserve"> BACKGROUND: The UP4FUN intervention is a family-involved school-based intervention aiming at reducing and breaking up sitting time at home (with special emphasis on screen time), and breaking up sitting time in school among 10-12 year olds in Europe. The purpose of the present paper was to evaluate its short term effects. METHODOLOGY/PRINCIPAL FINDINGS: A total of 3147 pupils from Belgium, Germany, Greece, Hungary and Norway participated in a school-randomized controlled trial. The intervention included 1-2 school lessons per week for a period of six weeks, along with assignments for the children and their parents. Screen time and breaking up sitting time were registered by self-report and total sedentary time and breaking up sitting time by accelerometry. The effect of the intervention on these behaviors was evaluated by multilevel regression analyses. All analyses were adjusted for baseline values and gender. Significance level was p≤0.01. No significant intervention effects were observed, neither for self-reported TV/DVD or computer/game console time, nor for accelerometer-assessed total sedentary time and number of breaks in sitting time. The intervention group, however, reported more positive attitudes towards (β = 0.25 (95% CI 0.11, 0.38)) and preferences/liking for (β = 0.20 (95% CI 0.08, 0.32)) breaking up sitting time than the control group. CONCLUSIONS/SIGNIFICANCE: N</w:t>
      </w:r>
    </w:p>
    <w:p>
      <w:pPr>
        <w:pStyle w:val="Heading2"/>
      </w:pPr>
      <w:r>
        <w:t>921.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north, africa, electricity;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Renewable energy, energy efficiency, and economic complexity in the middle East and North Africa: A panel data analysis — https://doi.org/10.1016/j.energy.2024.133300</w:t>
      </w:r>
    </w:p>
    <w:p>
      <w:pPr/>
      <w:r>
        <w:rPr>
          <w:b/>
        </w:rPr>
        <w:t>Shared claim-specific concepts:</w:t>
      </w:r>
      <w:r>
        <w:t xml:space="preserve"> renewable, energy, technologies, north, africa; EU scope not established. This is a provisional connection, not an outcome finding.</w:t>
      </w:r>
    </w:p>
    <w:p>
      <w:pPr>
        <w:pStyle w:val="SourceNote"/>
      </w:pPr>
      <w:r>
        <w:rPr>
          <w:b/>
        </w:rPr>
        <w:t>Available abstract (not full text):</w:t>
      </w:r>
      <w:r>
        <w:t xml:space="preserve"> This paper aims to investigate how economic complexity and structural transformation affect energy security. This study differs from previous research by focusing on energy efficiency and renewable energy transition as indicators of energy security. The employed methods include econometric techniques such as Panel-Corrected Standard Errors, Driscoll and Kraay's Spatial Correlation Consistent (SCC) method, and Generalized Least Squares, covering data from the Middle East and North Africa (MENA) countries between 1990 and 2017. The results show that economic complexity has a negative effect on energy efficiency but a positive impact on renewable energy. However, economic growth positively affects energy efficiency but negatively influences renewable energy. These results imply that economic complexity is energy-intensive but green, whereas economic growth is energy-saving but brown. The comparative analysis reveals that the negative effects of economic complexity and growth are larger than their positive effects, highlighting the necessity of restructuring economic activities and sectors. Accordingly, decision-makers should encourage the utilization of more energy-efficient technologies in economic activities and production, while promoting renewable energy consumption to enhance energy security in the MENA region. • Economic complexity is energy-intensive while promoting renewab</w:t>
      </w:r>
    </w:p>
    <w:p>
      <w:pPr/>
      <w:r>
        <w:rPr>
          <w:b/>
        </w:rPr>
        <w:t>POSSIBLE 2024:</w:t>
      </w:r>
      <w:r>
        <w:t xml:space="preserve"> Investment in Renewable Energy: A Case Study of North Africa — https://doi.org/10.65418/ajapas.vi.1027</w:t>
      </w:r>
    </w:p>
    <w:p>
      <w:pPr/>
      <w:r>
        <w:rPr>
          <w:b/>
        </w:rPr>
        <w:t>Shared claim-specific concepts:</w:t>
      </w:r>
      <w:r>
        <w:t xml:space="preserve"> renewable, energy, north, africa, large, high; EU scope not established. This is a provisional connection, not an outcome finding.</w:t>
      </w:r>
    </w:p>
    <w:p>
      <w:pPr>
        <w:pStyle w:val="SourceNote"/>
      </w:pPr>
      <w:r>
        <w:rPr>
          <w:b/>
        </w:rPr>
        <w:t>Available abstract (not full text):</w:t>
      </w:r>
      <w:r>
        <w:t xml:space="preserve"> This research paper aims to shed light on the reality of investment in renewable energies in North African countries, exploring their fields and investment prospects. The study concluded that the region has an ideal potential to create an integrated system that will produce renewable energy, liberate vast quantities of water, air condition living and working spaces, and create jobs without adding to the burden on Mother Earth. Large areas of North Africa with high levels of sunshine and high-quality solar radiation are potential sites to exploit the sun's lending of energy free of charge.</w:t>
      </w:r>
    </w:p>
    <w:p>
      <w:pPr/>
      <w:r>
        <w:rPr>
          <w:b/>
        </w:rPr>
        <w:t>POSSIBLE 2023:</w:t>
      </w:r>
      <w:r>
        <w:t xml:space="preserve"> Renewable energy deployment in Europe: Do politics matter? — https://doi.org/10.1007/s10668-023-03839-0</w:t>
      </w:r>
    </w:p>
    <w:p>
      <w:pPr/>
      <w:r>
        <w:rPr>
          <w:b/>
        </w:rPr>
        <w:t>Shared claim-specific concepts:</w:t>
      </w:r>
      <w:r>
        <w:t xml:space="preserve"> deployment, renewable, energy, analyzes; EU scope visible. This is a provisional connection, not an outcome finding.</w:t>
      </w:r>
    </w:p>
    <w:p>
      <w:pPr>
        <w:pStyle w:val="SourceNote"/>
      </w:pPr>
      <w:r>
        <w:rPr>
          <w:b/>
        </w:rPr>
        <w:t>Available abstract (not full text):</w:t>
      </w:r>
      <w:r>
        <w:t xml:space="preserve"> Abstract This study analyzes non-hydroelectric renewable capacity across 27 European countries from 2000 to 2020, using advanced econometric techniques like the Dumitrescu and Hurlin panel Granger non-causality method, Panel Autoregressive Distributed Lag and Panel Quantile Autoregressive Distributed Lag estimations. This investigation reveals complex relationships extending beyond immediate variables. These relationships, rooted in pairwise causalities and broader interactions, underpin observed phenomena. Causality tests show that achieving non-hydroelectric renewable capacity is a long-term endeavor, emphasizing persistent policy approaches for effective energy transition. Three key variables emerge as potent policy drivers: maintaining an environment conducive to economic freedom, fostering financial development, and driving non-hydroelectric renewable patents’ research and development. These variables play a pivotal role in capacity expansion. Additionally, the findings of this empirical investigation spotlight the role of political orientations. Leftist governments have lagged in prioritizing energy transition, prompting questions about neglecting environmental concerns and necessitating comprehensive policy reform. In essence, this study offers novel insights into non-hydroelectric renewable energy deployment. By unraveling complex relationships, emphasizing persistent p</w:t>
      </w:r>
    </w:p>
    <w:p>
      <w:pPr/>
      <w:r>
        <w:rPr>
          <w:b/>
        </w:rPr>
        <w:t>POSSIBLE 2023:</w:t>
      </w:r>
      <w:r>
        <w:t xml:space="preserve"> Comparison of the European Regulatory Framework for the deployment of Offshore Renewable Energy Project — https://doi.org/10.36688/ewtec-2023-335</w:t>
      </w:r>
    </w:p>
    <w:p>
      <w:pPr/>
      <w:r>
        <w:rPr>
          <w:b/>
        </w:rPr>
        <w:t>Shared claim-specific concepts:</w:t>
      </w:r>
      <w:r>
        <w:t xml:space="preserve"> deployment, renewable, energy, both, regions, generation; EU scope visible. This is a provisional connection, not an outcome finding.</w:t>
      </w:r>
    </w:p>
    <w:p>
      <w:pPr>
        <w:pStyle w:val="SourceNote"/>
      </w:pPr>
      <w:r>
        <w:rPr>
          <w:b/>
        </w:rPr>
        <w:t>Available abstract (not full text):</w:t>
      </w:r>
      <w:r>
        <w:t xml:space="preserve"> The REPower EU Plan has set a minimum of total renewable energy generation capacity of 1,236 GW by 2030. Achieving this target, and emission reductions by 2050, will require the extensive deployment of offshore energy facilities, especially offshore wind (OW) and wave energy converters (WECs). However, an incomplete and sometimes unfavourable regulatory framework still jeopardises the feasibility of both prototypes and large-scale installations. There are, for example, significant differences between the permitting procedures in different Member States and regions. Moreover, following the transposition of the Directive 2014/89/EU “establishing a framework for maritime spatial planning”, important differences pertain to the way environmental and heritage protection is dealt with. An overview of the offshore permitting schemes for offshore wind in ten European counties (Germany, Denmark, Scotland, Sweden, France, Spain, Portugal, Italy, Belgium, and Ireland) is provided, demonstrating a mismatch between the current members’ complex regulations and the future offshore wind targets. Using customised key performance indicators, we describe and assess the extent to which the regulatory frameworks are conducive to installing industrial devices in achieving the country’s 2030 target. Finally, we propose actions to facilitate the installation of OW while ensuring both environmental prot</w:t>
      </w:r>
    </w:p>
    <w:p>
      <w:pPr>
        <w:pStyle w:val="Heading2"/>
      </w:pPr>
      <w:r>
        <w:t>922.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r>
        <w:rPr>
          <w:b/>
        </w:rPr>
        <w:t>POSSIBLE 2019:</w:t>
      </w:r>
      <w:r>
        <w:t xml:space="preserve"> An experimental sensitivity comparison of the schlieren and background-oriented schlieren techniques applied to hypersonic flow — https://doi.org/10.1088/1361-6501/ab1582</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An experimental study was performed to evaluate the spatial resolution, sensitivity and dynamic range of schlieren and background-oriented schlieren (BOS) applied to hypersonic flows with multiple density gradients. For a single Mach number, shock profile extracts for three values of freestream density are compared. Three processing metrics are proposed for BOS to optimise the sharpness of captured shocks and minimise processing blur are presented. The BOS results have a lower spatial resolution and sharpness than the schlieren images, but captured the model flow field features that were resolved by schlieren. A higher dynamic range was afforded for BOS due to the user-determined synthetic knife edge cut-off.</w:t>
      </w:r>
    </w:p>
    <w:p>
      <w:pPr/>
      <w:r>
        <w:rPr>
          <w:b/>
        </w:rPr>
        <w:t>POSSIBLE 2017:</w:t>
      </w:r>
      <w:r>
        <w:t xml:space="preserve"> Sensitivity or Bayesian model updating: a comparison of techniques using the DLR AIRMOD test data — https://doi.org/10.1007/s00419-017-1233-1</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Deterministic model updating is now a mature technology widely applied to large-scale industrial structures. It is concerned with the calibration of the parameters of a single model based on one set of test data. It is, of course, well known that different analysts produce different finite element models, make different physics-based assumptions, and parameterize their models differently. Also, tests carried out on the same structure, by different operatives, at different times, under different ambient conditions produce different results. There is no unique model and no unique data. Therefore, model updating needs to take account of modeling and test-data variability. Much emphasis is now placed on what has become known as stochastic model updating where data are available from multiple nominally identical test structures. In this paper two currently prominent stochastic model updating techniques (sensitivity-based updating and Bayesian model updating) are described and applied to the DLR AIRMOD structure.</w:t>
      </w:r>
    </w:p>
    <w:p>
      <w:pPr>
        <w:pStyle w:val="Heading2"/>
      </w:pPr>
      <w:r>
        <w:t>923.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r>
        <w:rPr>
          <w:b/>
        </w:rPr>
        <w:t>POSSIBLE 2021:</w:t>
      </w:r>
      <w:r>
        <w:t xml:space="preserve"> Modelling and Characterisation of Flexibility From Distributed Energy Resources — https://doi.org/10.1109/tpwrs.2021.3096971</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Harnessing flexibility from distributed energy resources (DER) to participate in various markets while accounting for relevant technical and commercial constraints is essential for the development of low-carbon grids. However, there is no clear definition or even description of the salient features of aggregated DER flexibility, including its steady-state and dynamic features and how these are impacted by network constraints and market requirements. This paper proposes a comprehensive DER flexibility modelling and characterisation framework that is based on the concept ofnodal operating envelope(NOE). In particular, capacity, ramp, duration and cost are identified as key flexibility metrics and associated with different but consistent NOEs describingcapability,feasibility,ramp,duration,economic,technicalandcommercial flexibilityfeatures. These NOEs, which conceptually arise from a Venn diagram, can be built via optimal power flow (OPF) analysis, visualised in the active-reactive power space, and used by different stakeholders. Results from a canonical test system and a real distribution system illustrate the value and applicability of the proposed framework to model and characterise provision of flexibility and market services from DER for different use cases.</w:t>
      </w:r>
    </w:p>
    <w:p>
      <w:pPr/>
      <w:r>
        <w:rPr>
          <w:b/>
        </w:rPr>
        <w:t>POSSIBLE 2021:</w:t>
      </w:r>
      <w:r>
        <w:t xml:space="preserve"> A robust model for aggregated bidding of energy storages and wind resources in the joint energy and reserve markets — https://doi.org/10.1016/j.energy.2021.121735</w:t>
      </w:r>
    </w:p>
    <w:p>
      <w:pPr/>
      <w:r>
        <w:rPr>
          <w:b/>
        </w:rPr>
        <w:t>Shared claim-specific concepts:</w:t>
      </w:r>
      <w:r>
        <w:t xml:space="preserve"> resources, energy, service, show, robust, resource; EU scope not established. This is a provisional connection, not an outcome finding.</w:t>
      </w:r>
    </w:p>
    <w:p>
      <w:pPr>
        <w:pStyle w:val="SourceNote"/>
      </w:pPr>
      <w:r>
        <w:rPr>
          <w:b/>
        </w:rPr>
        <w:t>Available abstract (not full text):</w:t>
      </w:r>
      <w:r>
        <w:t xml:space="preserve"> The high reliability and flexibility of Battery Energy Storage (BES) resources in comparison with other renewable technologies promote the development of this technology in smart grids. The fast response of BES to load variations could help the power system operators to maintain the balance of generation and consumption in real-time, and improve the flexibility of the smart grid, effectively. In this work, a new model is presented that determines the aggregated scheduling of BES and Wind Power Resource (WPR) in the joint energy and reserve markets. To evaluate the performance of BES in different markets, the proposed model is divided into day-ahead and real-time planning horizons. According to market prices, ramp rates, marginal costs, and technical constraints of units, the optimal participation levels in different markets are determined. The deployed power in real-time and wind power are considered as the uncertain parameters and the Robust Optimization (RO) framework is proposed to manage the related financial risk based on the worst-case realizations of uncertain parameters. The robust strategy is formulated based on the Mixed Integer Linear Programming (MILP) technique, which can be solved via the branch-and-bound method. Finally, the performance and effectiveness of the model are analyzed via different case studies. Simulation results show that the day-ahead and real-time</w:t>
      </w:r>
    </w:p>
    <w:p>
      <w:pPr/>
      <w:r>
        <w:rPr>
          <w:b/>
        </w:rPr>
        <w:t>POSSIBLE 2021:</w:t>
      </w:r>
      <w:r>
        <w:t xml:space="preserve"> Optimal Operation of Energy Hubs With Large-Scale Distributed Energy Resources for Distribution Network Congestion Management — https://doi.org/10.1109/tste.2021.3064375</w:t>
      </w:r>
    </w:p>
    <w:p>
      <w:pPr/>
      <w:r>
        <w:rPr>
          <w:b/>
        </w:rPr>
        <w:t>Shared claim-specific concepts:</w:t>
      </w:r>
      <w:r>
        <w:t xml:space="preserve"> resources, energy, systems, show, provide; EU scope not established. This is a provisional connection, not an outcome finding.</w:t>
      </w:r>
    </w:p>
    <w:p>
      <w:pPr>
        <w:pStyle w:val="SourceNote"/>
      </w:pPr>
      <w:r>
        <w:rPr>
          <w:b/>
        </w:rPr>
        <w:t>Available abstract (not full text):</w:t>
      </w:r>
      <w:r>
        <w:t xml:space="preserve"> Congestion problems might occur in distribution networks as the penetration of distributed energy resources (DERs) progresses. This study focuses on the complementarity of multiple energy resources in energy hubs (EHs) to solve possible distribution network congestions. First, we consider an EH in which combined cooling, heating and power (CCHP) units and heat pumps are integrated with renewable energy resources. The EH models the intrinsic coupling relationship among various energy carriers, forming a flexible operation where electricity, natural gas, cooling and heat can complement each other. Next, an optimal operation strategy of multiple energy hubs enables gas-to-electricity to provide local energy supply for EH during electricity peak periods, and consume renewable energy generation by the complementarity of electricity, heat and cooling. In addition, the uncertainty of renewable energy resources is taken into account via scenario-based stochastic programming. Numerical results show that the proposed operation strategy explores EHs' operation flexibility to mitigate distribution network congestion when we consider high renewable energy penetration in power systems.</w:t>
      </w:r>
    </w:p>
    <w:p>
      <w:pPr/>
      <w:r>
        <w:rPr>
          <w:b/>
        </w:rPr>
        <w:t>POSSIBLE 2021:</w:t>
      </w:r>
      <w:r>
        <w:t xml:space="preserve"> Exploring the driving forces of distributed energy resources in China: Using a semiparametric regression model — https://doi.org/10.1016/j.energy.2021.121452</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Evaluation of renewable energy resources using integrated Shannon Entropy—EDAS model — https://doi.org/10.1016/j.susoc.2020.12.002</w:t>
      </w:r>
    </w:p>
    <w:p>
      <w:pPr/>
      <w:r>
        <w:rPr>
          <w:b/>
        </w:rPr>
        <w:t>Shared claim-specific concepts:</w:t>
      </w:r>
      <w:r>
        <w:t xml:space="preserve"> biomass, resources, energy, systems, show, resource; EU scope not established. This is a provisional connection, not an outcome finding.</w:t>
      </w:r>
    </w:p>
    <w:p>
      <w:pPr>
        <w:pStyle w:val="SourceNote"/>
      </w:pPr>
      <w:r>
        <w:rPr>
          <w:b/>
        </w:rPr>
        <w:t>Available abstract (not full text):</w:t>
      </w:r>
      <w:r>
        <w:t xml:space="preserve"> To increase efficiency of energy sector, the implementation of renewable energy systems and finding most appropriate renewable energy resource is of high significance for governments. One of the fundamental decision-making problems in energy sector is to design decision making tools to find optimal energy resources. Usually, experts in the energy decision-making sector have a platform containing multiple criteria indicators that are expressed as conflicting objectives. In this paper, we proposed a Multiple Criteria Decision-Making (MCDM) model to handle conflicting objectives while evaluating five renewable resources: solar PV, Solar thermal, wind power, geothermal, and biomass with respect to economic, technical, social, and environmental aspects. Shannon Entropy method is used to determine the importance of criteria. Evaluation based on distance from average solution (EDAS) is used to prioritize the renewable energy technologies. To demonstrate the feasibility of the proposed decision-making model, a real-life case study for Saudi Arabia is investigated. Under defined socio-economic and environment criteria, results indicate that wind energy can be opted the as most suitable source fitted to the objectives and policies of the decision makers. In order to verify the results and to show the impact of parameter changes on final solutions, different sensitivity analysis tests are</w:t>
      </w:r>
    </w:p>
    <w:p>
      <w:pPr/>
      <w:r>
        <w:rPr>
          <w:b/>
        </w:rPr>
        <w:t>POSSIBLE 2020:</w:t>
      </w:r>
      <w:r>
        <w:t xml:space="preserve"> Coalition Formation of Microgrids with Distributed Energy Resources and Energy Storage in Energy Market — https://doi.org/10.35833/mpce.2019.000116</w:t>
      </w:r>
    </w:p>
    <w:p>
      <w:pPr/>
      <w:r>
        <w:rPr>
          <w:b/>
        </w:rPr>
        <w:t>Shared claim-specific concepts:</w:t>
      </w:r>
      <w:r>
        <w:t xml:space="preserve"> resources, energy, systems, show; EU scope not established. This is a provisional connection, not an outcome finding.</w:t>
      </w:r>
    </w:p>
    <w:p>
      <w:pPr>
        <w:pStyle w:val="SourceNote"/>
      </w:pPr>
      <w:r>
        <w:rPr>
          <w:b/>
        </w:rPr>
        <w:t>Available abstract (not full text):</w:t>
      </w:r>
      <w:r>
        <w:t xml:space="preserve"> Power grids include entities such as home-microgrids (H-MGs), consumers, and retailers, each of which has a unique and sometimes contradictory objective compared with others while exchanging electricity and heat with other H-MGs. Therefore, there is the need for a smart structure to handle the new situation. This paper proposes a bilevel hierarchical structure for designing and planning distributed energy resources (DERs) and energy storage in H-MGs by considering the demand response (DR). In general, the upper-level structure is based on H-MG generation competition to maximize their individual and/or group income in the process of forming a coalition with other H-MGs. The upper-level problem is decomposed into a set of low-level market clearing problems. Both electricity and heat markets are simultaneously modeled in this paper. DERs, including wind turbines (WTs), combined heat and power (CHP) systems, electric boilers (EBs), electric heat pumps (EHPs), and electric energy storage systems, participate in the electricity markets. In addition, CHP systems, gas boilers (GBs), EBs, EHPs, solar thermal panels, and thermal energy storage systems participate in the heat market. Results show that the formation of a coalition among H-MGs present in one grid will not only have a significant effect on programming and regulating the value of the power generated by the generation resource</w:t>
      </w:r>
    </w:p>
    <w:p>
      <w:pPr/>
      <w:r>
        <w:rPr>
          <w:b/>
        </w:rPr>
        <w:t>POSSIBLE 2020:</w:t>
      </w:r>
      <w:r>
        <w:t xml:space="preserve"> Resilience Assessment of Distribution Systems Integrated With Distributed Energy Resources — https://doi.org/10.1109/tste.2020.2994174</w:t>
      </w:r>
    </w:p>
    <w:p>
      <w:pPr/>
      <w:r>
        <w:rPr>
          <w:b/>
        </w:rPr>
        <w:t>Shared claim-specific concepts:</w:t>
      </w:r>
      <w:r>
        <w:t xml:space="preserve"> resources, energy, systems, show; EU scope not established. This is a provisional connection, not an outcome finding.</w:t>
      </w:r>
    </w:p>
    <w:p>
      <w:pPr>
        <w:pStyle w:val="SourceNote"/>
      </w:pPr>
      <w:r>
        <w:rPr>
          <w:b/>
        </w:rPr>
        <w:t>Available abstract (not full text):</w:t>
      </w:r>
      <w:r>
        <w:t xml:space="preserve"> The resilience of electric systems is receiving growing attention due to their increased vulnerability to infrastructure damages and widespread outages from frequent extreme climactic conditions attributed to global warming effects. Resilience evaluation methods should recognize the uncertainties and correlations in the performance variations of different types of energy resources, load characteristics, extreme events and their impacts on the grid elements. However, there is a lack of established methods and resilience metrics that are widely accepted. In this context, this paper presents the development of probabilistic extreme event model, impact assessment model, and optimal restoration model for active distribution systems, and integrates the models using a non-sequential Monte Carlo Simulation framework. The inter-dependencies of time-varying demand, renewable energy output, and energy storage characteristics are incorporated in the framework. A set of metrics is proposed to quantify the resilience of the system against extreme events and their outage impacts at the load points. The metrics and their probability distribution thus obtained can be utilized in probabilistic value-based investment planning to select appropriate measures to enhance the system resilience. Selected case studies are conducted on the IEEE 69-bus test system to show the efficacy of the proposed fram</w:t>
      </w:r>
    </w:p>
    <w:p>
      <w:pPr/>
      <w:r>
        <w:rPr>
          <w:b/>
        </w:rPr>
        <w:t>POSSIBLE 2019:</w:t>
      </w:r>
      <w:r>
        <w:t xml:space="preserve"> Including indigenous knowledge in species distribution modeling for increased ecological insights — https://doi.org/10.1111/cobi.13373</w:t>
      </w:r>
    </w:p>
    <w:p>
      <w:pPr/>
      <w:r>
        <w:rPr>
          <w:b/>
        </w:rPr>
        <w:t>Shared claim-specific concepts:</w:t>
      </w:r>
      <w:r>
        <w:t xml:space="preserve"> indigenous, systems; EU scope not established. This is a provisional connection, not an outcome finding.</w:t>
      </w:r>
    </w:p>
    <w:p>
      <w:pPr>
        <w:pStyle w:val="SourceNote"/>
      </w:pPr>
      <w:r>
        <w:rPr>
          <w:b/>
        </w:rPr>
        <w:t>Available abstract (not full text):</w:t>
      </w:r>
      <w:r>
        <w:t xml:space="preserve"> Indigenous knowledge systems hold detailed information on current and past environments that can inform ecological understanding as well as contemporary environmental management. Despite its applicability, there are limited examples of indigenous knowledge being incorporated in species distribution models, which are widely used in the ecological sciences. In a collaborative manner, we designed a structured elicitation process and statistical framework to combine indigenous knowledge with survey data to model the distribution of a threatened and culturally significant species (greater bilby or mankarr [Macrotis lagotis]). We used Martu (Aboriginal people of the Australian western deserts) occurrence knowledge and presence data from track-based surveys to create predictive species distribution models with the Maxent program. Predictions of species distribution based on Martu knowledge were broader than those created with survey data. Together the Martu and survey models showed potential local declines, which were supported by Martu observation. Both data types were influenced by sampling bias that appeared to affect model predictions and performance. Martu provided additional information on habitat associations and locations of decline and descriptions of the ecosystem dynamics and disturbance regimes that influence occupancy. We concluded that intercultural approaches that draw </w:t>
      </w:r>
    </w:p>
    <w:p>
      <w:pPr/>
      <w:r>
        <w:rPr>
          <w:b/>
        </w:rPr>
        <w:t>POSSIBLE 2019:</w:t>
      </w:r>
      <w:r>
        <w:t xml:space="preserve"> Probabilistic optimization in operation of energy hub with participation of renewable energy resources and demand response — https://doi.org/10.1016/j.energy.2019.02.021</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pStyle w:val="Heading2"/>
      </w:pPr>
      <w:r>
        <w:t>924.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2022:</w:t>
      </w:r>
      <w:r>
        <w:t xml:space="preserve"> Short Food Supply Chains in Europe: Scientific Research Directions — https://doi.org/10.3390/su14063602</w:t>
      </w:r>
    </w:p>
    <w:p>
      <w:pPr/>
      <w:r>
        <w:rPr>
          <w:b/>
        </w:rPr>
        <w:t>Shared claim-specific concepts:</w:t>
      </w:r>
      <w:r>
        <w:t xml:space="preserve"> scientific, important, contribution;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r>
        <w:rPr>
          <w:b/>
        </w:rPr>
        <w:t>POSSIBLE 2021:</w:t>
      </w:r>
      <w:r>
        <w:t xml:space="preserve"> Role of Knowledge Creation and Absorptive Capacity: A Panel Data Study of Innovation — https://doi.org/10.33215/sjom.v4i2.579</w:t>
      </w:r>
    </w:p>
    <w:p>
      <w:pPr/>
      <w:r>
        <w:rPr>
          <w:b/>
        </w:rPr>
        <w:t>Shared claim-specific concepts:</w:t>
      </w:r>
      <w:r>
        <w:t xml:space="preserve"> creation, panel, innovation; EU scope not established. This is a provisional connection, not an outcome finding.</w:t>
      </w:r>
    </w:p>
    <w:p>
      <w:pPr>
        <w:pStyle w:val="SourceNote"/>
      </w:pPr>
      <w:r>
        <w:rPr>
          <w:b/>
        </w:rPr>
        <w:t>Available abstract (not full text):</w:t>
      </w:r>
      <w:r>
        <w:t xml:space="preserve"> Purpose- Knowledge creation refers to the ability of firms to create new knowledge that starts from individuals to integrating the firms and then the overall economy. This study suggests that knowledge acquisition in a country has a significant relationship with innovative performance. Design/Methodology- Data from 48 highly HDI countries is taken from World Bank and World Economic Forum. Based on 480 country-year observations in a panel mediator model, it is revealed that the national efforts of boosting knowledge acquisition influence the firms’ innovative performance. Findings- Further, it is found that absorptive capacity in the employability of knowledgeable workers works as a mediator between knowledge acquisition and innovation. Whereby higher knowledge acquisition leads to higher absorptive capacity and higher innovation. Practical Implications- This study builds a quantitative model for the macroeconomic context of knowledge-based view.</w:t>
      </w:r>
    </w:p>
    <w:p>
      <w:pPr/>
      <w:r>
        <w:rPr>
          <w:b/>
        </w:rPr>
        <w:t>POSSIBLE 2020:</w:t>
      </w:r>
      <w:r>
        <w:t xml:space="preserve"> IMPORTANT CONTRIBUTION TO THE CREATION OF THEATRE ENCYCLOPEDIA OF TATARSTAN — https://doi.org/10.26907/2311-2042-2020-14-1-161-170</w:t>
      </w:r>
    </w:p>
    <w:p>
      <w:pPr/>
      <w:r>
        <w:rPr>
          <w:b/>
        </w:rPr>
        <w:t>Shared claim-specific concepts:</w:t>
      </w:r>
      <w:r>
        <w:t xml:space="preserve"> creation, important, contribution; EU scope not established. This is a provisional connection, not an outcome finding.</w:t>
      </w:r>
    </w:p>
    <w:p>
      <w:pPr>
        <w:pStyle w:val="SourceNote"/>
      </w:pPr>
      <w:r>
        <w:rPr>
          <w:b/>
        </w:rPr>
        <w:t>Available abstract (not full text):</w:t>
      </w:r>
      <w:r>
        <w:t xml:space="preserve"> The review notes the combination of different approaches in the analysis of the Tatar theater scenography (cultural-historical, art history), the use of a wide range of sources, and the painstaking work on the systematization of factual material.In the monograph, the analysis of scenography is presented as a history of the search and struggle for the renewal of the theater at the turn of the era, unique in its complexity, characterized by radical contradictions and the struggle of ideas.The review highlights the significance of the research findings on the national identity of the Tatar theater scenography.</w:t>
      </w:r>
    </w:p>
    <w:p>
      <w:pPr/>
      <w:r>
        <w:rPr>
          <w:b/>
        </w:rPr>
        <w:t>POSSIBLE 2020:</w:t>
      </w:r>
      <w:r>
        <w:t xml:space="preserve"> Hunters as citizen scientists: Contributions to biodiversity monitoring in Europe — https://doi.org/10.1016/j.gecco.2020.e01077</w:t>
      </w:r>
    </w:p>
    <w:p>
      <w:pPr/>
      <w:r>
        <w:rPr>
          <w:b/>
        </w:rPr>
        <w:t>Shared claim-specific concepts:</w:t>
      </w:r>
      <w:r>
        <w:t xml:space="preserve"> scientific, community, comprehensive; EU scope visible. This is a provisional connection, not an outcome finding.</w:t>
      </w:r>
    </w:p>
    <w:p>
      <w:pPr>
        <w:pStyle w:val="SourceNote"/>
      </w:pPr>
      <w:r>
        <w:rPr>
          <w:b/>
        </w:rPr>
        <w:t>Available abstract (not full text):</w:t>
      </w:r>
      <w:r>
        <w:t xml:space="preserve"> Monitoring biodiversity characteristics at large scales and with adequate resolution requires considerable effort and resources. Overall, there is clearly a huge scope for European hunters, a special and often overlooked group of citizen scientist, to contribute even more to biodiversity monitoring, especially because of their presence across the entire European landscape. Using the Essential Biodiversity Variables (EBVs) framework we reviewed the published and grey literature and contacted experts to provide a comprehensive overview of hunters’ contributions to biodiversity monitoring. We examined the methods used to collect data in hunter-based monitoring, the geographic and taxonomic extent of such contributions and the scientific output stemming from hunter-based monitoring data. Our study suggests that hunter-based monitoring is widely distributed across Europe and across taxa as 32 out of the 36 European countries included in our analysis involve hunters in the monitoring of at least one species group with ungulates and small game species groups which have the widest hunter-based monitoring coverage. We found that it is possible to infer characteristics on Genetic composition, Species population, Species traits and Community composition with data that are being routinely collected by hunters in at least some countries. The main types of data provided are hunting bags data</w:t>
      </w:r>
    </w:p>
    <w:p>
      <w:pPr/>
      <w:r>
        <w:rPr>
          <w:b/>
        </w:rPr>
        <w:t>POSSIBLE 2020:</w:t>
      </w:r>
      <w:r>
        <w:t xml:space="preserve"> Characterization of Globally Important Agricultural Heritage Systems (GIAHS) in Europe — https://doi.org/10.3390/su12041611</w:t>
      </w:r>
    </w:p>
    <w:p>
      <w:pPr/>
      <w:r>
        <w:rPr>
          <w:b/>
        </w:rPr>
        <w:t>Shared claim-specific concepts:</w:t>
      </w:r>
      <w:r>
        <w:t xml:space="preserve"> panel, important, contribution, facilitate; EU scope visible. This is a provisional connection, not an outcome finding.</w:t>
      </w:r>
    </w:p>
    <w:p>
      <w:pPr>
        <w:pStyle w:val="SourceNote"/>
      </w:pPr>
      <w:r>
        <w:rPr>
          <w:b/>
        </w:rPr>
        <w:t>Available abstract (not full text):</w:t>
      </w:r>
      <w:r>
        <w:t xml:space="preserve"> The recognition and safeguarding of agricultural heritage in Europe are new concepts that are gaining attention due to the contribution they make to sustainability. Of the 57 Globally Important Agricultural Heritage Systems (GIAHS) that exist in the world today, only six have been designated in Europe. Through a qualitative analysis of the proposal documents submitted by these six European GIAHS to the Food and Agriculture Organization of the United Nations (FAO) during the designation process, this study provides a comparative characterization of these sites supported by expert assessment. During the first phase, 24 specific sub-criteria were observed based on the five main criteria that a site has to meet in order to demonstrate its global relevance as an agricultural heritage of humanity. The relevance of the resulting sub-criteria was then assessed by a Delphi panel of experts and the validated ones were applied in an assessment of the six European sites. The European GIAHS sites are characterized by the high value of their cultural landscapes’ evolution, modeled by traditional and adaptive agriculture knowledge and practices that are promoted and maintained thanks to organized and committed social organizations. The results of structuring of sub-criteria can facilitate the application of other possible European GIAHS sites.</w:t>
      </w:r>
    </w:p>
    <w:p>
      <w:pPr/>
      <w:r>
        <w:rPr>
          <w:b/>
        </w:rPr>
        <w:t>POSSIBLE 2020:</w:t>
      </w:r>
      <w:r>
        <w:t xml:space="preserve"> Agricultural Entrepreneurship in the European Union: Contributions for a Sustainable Development — https://doi.org/10.3390/app10062080</w:t>
      </w:r>
    </w:p>
    <w:p>
      <w:pPr/>
      <w:r>
        <w:rPr>
          <w:b/>
        </w:rPr>
        <w:t>Shared claim-specific concepts:</w:t>
      </w:r>
      <w:r>
        <w:t xml:space="preserve"> creation, scientific, viewed, contribution; EU scope visible. This is a provisional connection, not an outcome finding.</w:t>
      </w:r>
    </w:p>
    <w:p>
      <w:pPr>
        <w:pStyle w:val="SourceNote"/>
      </w:pPr>
      <w:r>
        <w:rPr>
          <w:b/>
        </w:rPr>
        <w:t>Available abstract (not full text):</w:t>
      </w:r>
      <w:r>
        <w:t xml:space="preserve"> Entrepreneurship is sometimes seen as a glimmer of hope which may bring about some contribution towards improving economic dynamics and performance, specifically in the creation of employment by young people, in general, with further educational training, greater flexibility and who are better prepared for working with new technologies. However, entrepreneurship in the agricultural sector is, in certain circumstances, viewed as being something incompatible or, at least, difficult to implement. More scientific studies in these fields could provide interesting contributions on the road to highlighting new ideas inside the farming sector. In this framework, the objective of this study is to explore the entrepreneurship dimensions within the European Union agriculture towards a more sustainable sector. In fact, without an economic dimension in farm management, its sustainability in the medium and long run may be compromised, increasing the abandonment of farming, namely in more disadvantaged regions. For this, the literature which is available on the platform Web of Science relating to the following three topics was initially analysed: entrepreneurship, agriculture, and the European Union. This literature was clustered through the VOSviewer software, an interesting tool for performing bibliometric analysis. Secondly, statistical information related to European Union agricultural en</w:t>
      </w:r>
    </w:p>
    <w:p>
      <w:pPr/>
      <w:r>
        <w:rPr>
          <w:b/>
        </w:rPr>
        <w:t>POSSIBLE 2019:</w:t>
      </w:r>
      <w:r>
        <w:t xml:space="preserve"> European Research Council: excellence and leadership over time from a gender perspective — https://doi.org/10.1093/reseval/rvz023</w:t>
      </w:r>
    </w:p>
    <w:p>
      <w:pPr/>
      <w:r>
        <w:rPr>
          <w:b/>
        </w:rPr>
        <w:t>Shared claim-specific concepts:</w:t>
      </w:r>
      <w:r>
        <w:t xml:space="preserve"> creation, scientific, panel, important, major; EU scope visible. This is a provisional connection, not an outcome finding.</w:t>
      </w:r>
    </w:p>
    <w:p>
      <w:pPr>
        <w:pStyle w:val="SourceNote"/>
      </w:pPr>
      <w:r>
        <w:rPr>
          <w:b/>
        </w:rPr>
        <w:t>Available abstract (not full text):</w:t>
      </w:r>
      <w:r>
        <w:t xml:space="preserve"> Abstract European Research Council Grants (ERC) have become the most important vehicle for funding scientific research in the EU. Since their creation in 2007, they have provided funding for around 7,000 of the nearly 70,000 proposals for research projects submitted. With a success rate of about 11%, these Grants are highly competitive. Despite major advancement of women’s participation in research activity, women overall remain the minority in Science, Technology, Engineering and Mathematics (STEM disciplines). Against that backdrop, this article analyses men’s and women’s presence in ERC Grants. The gender balance in the ERC Grant, have been examined in three dimensions: Excellence Awarded; Scientific Leadership Position; and Time Series Evolution. The results show that female presence is lower than men as submitted (26% vs 74%), granted (22% vs 78%), expert panel members (28% vs 72%), and as a panel chair (26% vs 74%). State-space prediction of the future pattern of these grants shows that time has no clearly beneficial effect on women’s participation as applicants, granted, expert panel members or panel chairs, particularly in the area of Physics and Engineering.</w:t>
      </w:r>
    </w:p>
    <w:p>
      <w:pPr>
        <w:pStyle w:val="Heading2"/>
      </w:pPr>
      <w:r>
        <w:t>925.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2022:</w:t>
      </w:r>
      <w:r>
        <w:t xml:space="preserve"> The politics of vaccine hesitancy in Europe — https://doi.org/10.1093/eurpub/ckac041</w:t>
      </w:r>
    </w:p>
    <w:p>
      <w:pPr/>
      <w:r>
        <w:rPr>
          <w:b/>
        </w:rPr>
        <w:t>Shared claim-specific concepts:</w:t>
      </w:r>
      <w:r>
        <w:t xml:space="preserve"> finally, also, but; EU scope visible. This is a provisional connection, not an outcome finding.</w:t>
      </w:r>
    </w:p>
    <w:p>
      <w:pPr>
        <w:pStyle w:val="SourceNote"/>
      </w:pPr>
      <w:r>
        <w:rPr>
          <w:b/>
        </w:rPr>
        <w:t>Available abstract (not full text):</w:t>
      </w:r>
      <w:r>
        <w:t xml:space="preserve"> BACKGROUND: Vaccine hesitancy threatens public health. Some evidence suggests that vaccine hesitancy in Europe may be linked with the success of populist parties, but more systematic analysis is needed. METHODS: We examine the prevalence of individual-level vaccine hesitancy across the European Union (EU) and its association with political orientations. We also analyze whether success of populist parties is linked with vaccine hesitancy and uptake. We draw on individual-level Eurobarometer data from 2019, with a total of 27 524 respondents across the EU. We also rely on national and regional-level populist party vote shares. Finally, for a time-series analysis, we rely on aggregated populist party support as measured in the European Social Survey waves 1-9 (2002-18), and national immunization coverage rates from the WHO from 2002 to 2018. RESULTS: While vaccine hesitancy is confined to a minority of the population, this group is large enough to risk herd immunity. Political orientations on a left-right dimension are not strongly linked to vaccine hesitancy. Instead, vaccine hesitancy is associated with anti-elite world views and culturally closed rather than cosmopolitan positions. CONCLUSIONS: Vaccine hesitancy is not only present in all EU member states but also maps on broader dimensions of cultural conflict. Hesitancy is rooted in a broader worldview, rather than mispercept</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r>
        <w:rPr>
          <w:b/>
        </w:rPr>
        <w:t>POSSIBLE 2020:</w:t>
      </w:r>
      <w:r>
        <w:t xml:space="preserve"> Effects of Renewable Energy on European Union’s Energy Import — https://openalex.org/W3127099198</w:t>
      </w:r>
    </w:p>
    <w:p>
      <w:pPr/>
      <w:r>
        <w:rPr>
          <w:b/>
        </w:rPr>
        <w:t>Shared claim-specific concepts:</w:t>
      </w:r>
      <w:r>
        <w:t xml:space="preserve"> finally, increase, energy, also, continue; EU scope visible. This is a provisional connection, not an outcome finding.</w:t>
      </w:r>
    </w:p>
    <w:p>
      <w:pPr>
        <w:pStyle w:val="SourceNote"/>
      </w:pPr>
      <w:r>
        <w:rPr>
          <w:b/>
        </w:rPr>
        <w:t>Available abstract (not full text):</w:t>
      </w:r>
      <w:r>
        <w:t xml:space="preserve"> Energy is used in all fields of the modern world and its usage has vital importance in all of our lives. Even a short interruption in energy supply will cause serious consequences in the supply chain since almost all sectors are energy-dependent. Therefore, all countries have started to take measures to ensure energy security and uninterrupted energy supply. The European Union countries have also taken various measures for this purpose and they continue to do so. One of these measures is that the European Union is trying to reduce energy dependency by reducing energy imports. This is possible by the EU investing in renewable energy and increasing the share of renewable energy in total energy produced. Therefore, In order to decrease the energy imports, the EU countries have started to increase their renewable energy production. The main goal of this study is to see if there is a relationship between renewable energy production of the European Union and the energy import of the European Union and if so, to find the degree of this relationship. In the first part, I gave information about what renewable energy is and the detailed definitions of main renewable energy resources. In the second part, I tried to show the current situation in the European Union regarding renewable energy. I gave information about the main renewable energy sources and energy shares of the European Union </w:t>
      </w:r>
    </w:p>
    <w:p>
      <w:pPr/>
      <w:r>
        <w:rPr>
          <w:b/>
        </w:rPr>
        <w:t>POSSIBLE 2020:</w:t>
      </w:r>
      <w:r>
        <w:t xml:space="preserve"> A reflection on economic uncertainty and fertility in Europe: The Narrative Framework — https://doi.org/10.1186/s41118-020-00094-3</w:t>
      </w:r>
    </w:p>
    <w:p>
      <w:pPr/>
      <w:r>
        <w:rPr>
          <w:b/>
        </w:rPr>
        <w:t>Shared claim-specific concepts:</w:t>
      </w:r>
      <w:r>
        <w:t xml:space="preserve"> finally, also, quantitative; EU scope visible. This is a provisional connection, not an outcome finding.</w:t>
      </w:r>
    </w:p>
    <w:p>
      <w:pPr>
        <w:pStyle w:val="SourceNote"/>
      </w:pPr>
      <w:r>
        <w:rPr>
          <w:b/>
        </w:rPr>
        <w:t>Available abstract (not full text):</w:t>
      </w:r>
      <w:r>
        <w:t xml:space="preserve"> Abstract The generalized and relatively homogeneous fertility decline across European countries in the aftermath of the Great Recession poses serious challenges to our knowledge of contemporary low fertility patterns. In this paper, we argue that fertility decisions are not a mere “statistical shadow of the past”, and advance the Narrative Framework, a new approach to the relationship between economic uncertainty and fertility. This framework proffers that individuals act according to or despite uncertainty based on their “narrative of the future” – imagined futures embedded in social elements and their interactions. We also posit that personal narratives of the future are shaped by the “shared narratives” produced by socialization agents, including parents and peers, as well as by the narratives produced by the media and other powerful opinion formers. Finally, within this framework, we propose several empirical strategies, from both a qualitative and a quantitative perspective, including an experimental approach, for assessing the role of narratives of the future in fertility decisions.</w:t>
      </w:r>
    </w:p>
    <w:p>
      <w:pPr/>
      <w:r>
        <w:rPr>
          <w:b/>
        </w:rPr>
        <w:t>POSSIBLE 2020:</w:t>
      </w:r>
      <w:r>
        <w:t xml:space="preserve"> European burden of disease network: strengthening the collaboration — https://doi.org/10.1093/eurpub/ckz225</w:t>
      </w:r>
    </w:p>
    <w:p>
      <w:pPr/>
      <w:r>
        <w:rPr>
          <w:b/>
        </w:rPr>
        <w:t>Shared claim-specific concepts:</w:t>
      </w:r>
      <w:r>
        <w:t xml:space="preserve"> finally, also, continue, monitor, published; EU scope visible. This is a provisional connection, not an outcome finding.</w:t>
      </w:r>
    </w:p>
    <w:p>
      <w:pPr>
        <w:pStyle w:val="SourceNote"/>
      </w:pPr>
      <w:r>
        <w:rPr>
          <w:b/>
        </w:rPr>
        <w:t>Available abstract (not full text):</w:t>
      </w:r>
      <w:r>
        <w:t xml:space="preserve"> What are the most relevant diseases and risk factors in a country? How is the impact of different diseases evolving over time, and how does the health status compare between and within countries? With an increasing need for prioritizing available resources, a timely, sound and comprehensive answer to these essential questions is more than ever needed to inform public health decision making. Driven by the impact of the Global Burden of Disease (BoD) study,1 several researchers and health institutes across Europe have adopted the BoD approach to address these questions.2,3 Fundamental to this approach is the use of the Disability-Adjusted Life Year as a comprehensive and comparable summary measure of population health.4 Despite the increasing prominence of the BoD approach, several challenges remain. The BoD methodology is complex and highly data intensive, which has led to major disparities across researchers and nations in their capacity to perform BoD studies, to interpret the soundness of available BoD estimates, or to advocate for the use of BoD methods. Often, these disparities follow geographical boundaries––for instance, over half of all published BoD studies in Europe were set in the Netherlands, Spain and UK, while only 15% were set in eastern European countries.2 BoD as a generally standardized approach nonetheless requires different methodological choices, and lack of</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also, continue, any;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Energy Policy and European Union Politics — https://doi.org/10.1093/acrefore/9780190228637.013.1079</w:t>
      </w:r>
    </w:p>
    <w:p>
      <w:pPr/>
      <w:r>
        <w:rPr>
          <w:b/>
        </w:rPr>
        <w:t>Shared claim-specific concepts:</w:t>
      </w:r>
      <w:r>
        <w:t xml:space="preserve"> finally, increase, energy, also, but, commission;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IMPACT OF RENEWABLE ENERGY CONSUMPTION ON ECONOMIC GROWTH: EVIDENCE FROM EUROPEAN UNION COUNTRIES — https://doi.org/10.3846/tede.2018.1426</w:t>
      </w:r>
    </w:p>
    <w:p>
      <w:pPr/>
      <w:r>
        <w:rPr>
          <w:b/>
        </w:rPr>
        <w:t>Shared claim-specific concepts:</w:t>
      </w:r>
      <w:r>
        <w:t xml:space="preserve"> finally, energy, but; EU scope visible. This is a provisional connection, not an outcome finding.</w:t>
      </w:r>
    </w:p>
    <w:p>
      <w:pPr>
        <w:pStyle w:val="SourceNote"/>
      </w:pPr>
      <w:r>
        <w:rPr>
          <w:b/>
        </w:rPr>
        <w:t>Available abstract (not full text):</w:t>
      </w:r>
      <w:r>
        <w:t xml:space="preserve"> This study examines the causal relationship between economic growth and renewable energy consumption using data for 28 countries of European Union, taken from Eurostat database for years from 1995 to 2015. In addition, motivated by EU Directive 2009/28/EC, the tendency of the share of renewable energy consumption into the final energy consumption is analysed. Various panel data techniques implemented in EViews are used. The empirical results suggest a positive impact of renewable energy consumption on economic growth, and emphasize bidirectional or unidirectional Granger causalities between the two macroeconomic indicators, for each country in the panel. These results justify the political decisions of EU concerning the necessity of increasing the renewable energy consumption, and prove that this type of energy consumption has a strong positive impact on economic growth. Thus, the inclusion of such policies in future EU and national strategies is further motivated. Finally, by means of linear regression, an increasing trend was found for the ratio between renewable energy consumption and final energy consumption for all but one of the EU countries.</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but, quantitative, objectives;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pStyle w:val="Heading2"/>
      </w:pPr>
      <w:r>
        <w:t>926.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2021:</w:t>
      </w:r>
      <w:r>
        <w:t xml:space="preserve"> Towards a visitor taxonomy at (film-induced) heritage attractions — https://doi.org/10.1080/1743873x.2021.2002340</w:t>
      </w:r>
    </w:p>
    <w:p>
      <w:pPr/>
      <w:r>
        <w:rPr>
          <w:b/>
        </w:rPr>
        <w:t>Shared claim-specific concepts:</w:t>
      </w:r>
      <w:r>
        <w:t xml:space="preserve"> four, products, visitors; EU scope not established. This is a provisional connection, not an outcome finding.</w:t>
      </w:r>
    </w:p>
    <w:p>
      <w:pPr>
        <w:pStyle w:val="SourceNote"/>
      </w:pPr>
      <w:r>
        <w:rPr>
          <w:b/>
        </w:rPr>
        <w:t>Available abstract (not full text):</w:t>
      </w:r>
      <w:r>
        <w:t xml:space="preserve"> Film-induced tourism at heritage attractions (HAs) is a growing industry of international relevance. It can influence visitors’ expectations of the site and further their preferences for interpretation to include a degree of reference to the film(s). Drawing upon in-depth interviews with visitors at a UK HA further popularised through book and film, this paper explores visitors’ preferences for heritage interpretation. The paper identifies four visitor taxonomies – vigorous followers, curious investigators, versatile explorers and purposeful avoiders. It ultimately highlights the value of data-driven visitor taxonomies, providing an in-depth insight into heritage tourism in general and film-induced tourism at this heritage site in particular. Thus, this paper contributes to a greater understanding of the popular media products’ influence on visitor preferences for on-site heritage interpretation.</w:t>
      </w:r>
    </w:p>
    <w:p>
      <w:pPr/>
      <w:r>
        <w:rPr>
          <w:b/>
        </w:rPr>
        <w:t>POSSIBLE 2020:</w:t>
      </w:r>
      <w:r>
        <w:t xml:space="preserve"> Escape rooms as tourist attractions: Enhancing visitors' experience through new technologies — https://doi.org/10.5281/zenodo.3836649</w:t>
      </w:r>
    </w:p>
    <w:p>
      <w:pPr/>
      <w:r>
        <w:rPr>
          <w:b/>
        </w:rPr>
        <w:t>Shared claim-specific concepts:</w:t>
      </w:r>
      <w:r>
        <w:t xml:space="preserve"> create, strategies, visitors; EU scope visible. This is a provisional connection, not an outcome finding.</w:t>
      </w:r>
    </w:p>
    <w:p>
      <w:pPr>
        <w:pStyle w:val="SourceNote"/>
      </w:pPr>
      <w:r>
        <w:rPr>
          <w:b/>
        </w:rPr>
        <w:t>Available abstract (not full text):</w:t>
      </w:r>
      <w:r>
        <w:t xml:space="preserve"> Purpose: This paper aims to assess the impact of new technologies on escape room visitors’ experience based on the analysis of online reviews. Over the last five years, real-life escape rooms have become popular tourist attractions in many European cities. Growing competition stimulates the escape room providers to search for new experience design strategies. One of the new strategies assumes the active use of new technologies, including special effects and virtual reality technologies opting. Methods: The present study is based on the evidence from Claustrophobia, one of the leading European technologically advanced escape room providers. The empirical part of the study includes a semi-structured interview with the company’s co-founder and an analysis of 746 visitors’ reviews posted on TripAdvisor. Results: The results show that technologically sophisticated escape rooms create a more authentic tourist experience with a deeper immersion in the escape room theme. At the same time, technical failures and bugs can reduce visitors’ satisfaction. Implications: These results suggest that high-tech escape rooms could become more attractive tourist attractions only if their owners can invest substantial funds in maintaining the technical level and staff training. High-tech escape room providers need to maintain high expenditures for technical support and staff training in order to bui</w:t>
      </w:r>
    </w:p>
    <w:p>
      <w:pPr/>
      <w:r>
        <w:rPr>
          <w:b/>
        </w:rPr>
        <w:t>POSSIBLE 2019:</w:t>
      </w:r>
      <w:r>
        <w:t xml:space="preserve"> Plantation forests in Europe: challenges and opportunities — https://doi.org/10.36333/fs09</w:t>
      </w:r>
    </w:p>
    <w:p>
      <w:pPr/>
      <w:r>
        <w:rPr>
          <w:b/>
        </w:rPr>
        <w:t>Shared claim-specific concepts:</w:t>
      </w:r>
      <w:r>
        <w:t xml:space="preserve"> create, four, different, develop, innovative, strategies;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Sign consumption and sign promotion in visitor attractions — https://doi.org/10.1108/ijchm-07-2018-0543</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Purpose Drawing upon Baudrillard’s concept of sign-value, this study aims to investigate consumer behavior and sign perception in visitor attractions. Design/methodology/approach By adopting netnography, 133 customer-to-customer reviews sourced from TripAdvisor were analyzed regarding visitors’ online post-visit impressions. Findings The findings reveal that netnography contributes to a deeper understanding of sign consumption and sign promotion and examines how visitors attribute symbolic meanings to their experience in Titanic Belfast. Practical implications The findings show that the co-creation and reevaluation of the visitor experience through consumers’ online reviews should be taken into account by both managers and marketers. Furthermore, advertising should avoid creating excessive expectations to visitors to decrease the possibility of negative disconfirmation, which can be easily and instantly spread online. Another implication concerns the winning awards of visitor attractions, hotels and restaurants of a destination which may be used as a basis of co-branding marketing campaigns to enhance destination brand image. Social implications This study continues the debate on the commodification of the visitor experience and the commercialization of visitor attractions. Originality/value This paper provides better understanding of sign-value, sign consumption and sign promo</w:t>
      </w:r>
    </w:p>
    <w:p>
      <w:pPr>
        <w:pStyle w:val="Heading2"/>
      </w:pPr>
      <w:r>
        <w:t>927.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Abstract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2022:</w:t>
      </w:r>
      <w:r>
        <w:t xml:space="preserve"> The European Union as a Community of Super Wicked Problems and Its Ambition–Authority Deficit — https://doi.org/10.1093/oso/9780192897541.003.0002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has an ambition–authority deficit. Its ambition is to deal with problems that are too difficult for member states in a way that requires them to grant considerable authority to foreigners. Its limited legitimacy restricts how it does this and wider acceptance of its solutions. This deficit’s unmanageability threatens the Union with collapse. The Union has therefore developed four strategies—legislative compacts, administrative coordination, resourced co-option, and discounting—to temper this mission’s demands. However, only one, legislative compacts, both plausibly manages this deficit and allows the Union to realize its mission. The challenge is therefore to generalize this strategy but address its central limitations, most centrally its legal formalism and collective action problems, in a way that does not harm its operational effectiveness. This will involve granting member states some autonomy, but paradoxically it protects the Union from its current slow-motion collapse rather than threatening that collapse.</w:t>
      </w:r>
    </w:p>
    <w:p>
      <w:pPr/>
      <w:r>
        <w:rPr>
          <w:b/>
        </w:rPr>
        <w:t>POSSIBLE 2021:</w:t>
      </w:r>
      <w:r>
        <w:t xml:space="preserve"> The European Union as a Global Power? — https://doi.org/10.1093/oso/9780192895820.003.0015</w:t>
      </w:r>
    </w:p>
    <w:p>
      <w:pPr/>
      <w:r>
        <w:rPr>
          <w:b/>
        </w:rPr>
        <w:t>Shared claim-specific concepts:</w:t>
      </w:r>
      <w:r>
        <w:t xml:space="preserve"> abstract, union, role; EU scope visible. This is a provisional connection, not an outcome finding.</w:t>
      </w:r>
    </w:p>
    <w:p>
      <w:pPr>
        <w:pStyle w:val="SourceNote"/>
      </w:pPr>
      <w:r>
        <w:rPr>
          <w:b/>
        </w:rPr>
        <w:t>Available abstract (not full text):</w:t>
      </w:r>
      <w:r>
        <w:t xml:space="preserve"> Abstract European integration started after the Second World War as an effort to bring peace in the Old Continent and to promote the unity of its peoples in a categorical rejection of nationalism. Hence, the very reason of making a united Europe was internal in its roots. Without denying the extraordinary achievements of the European project, today we can no longer give traditional answers to the fundamental question: ‘Why make Europe?’ If yesterday the underlying reason was clear to everyone—peace, in fact—today it is no longer the case. One of the ‘positive’ aspects of Brexit—and there are very few!—is having awakened Europe from a dangerous, deterministic, and almost dogmatic inertia of giving ‘Just because’ as the answer. So why should we continue to build a united Europe? Why do we need the European Union in the twenty-first century? In a nutshell the answer is that from the hegemon it was until the twentieth century, Europe must become a beacon for the world as a value-based global power. This is the essence of the new role that Europe is called to play in the world. In order to do this, we can no longer just look at internal causes for making Europe, but must also take into account the external context. In other words, we should adopt a mentality whereby European values coincide with European strategic interests. This shift is the key to making Europe live up to its glob</w:t>
      </w:r>
    </w:p>
    <w:p>
      <w:pPr/>
      <w:r>
        <w:rPr>
          <w:b/>
        </w:rPr>
        <w:t>POSSIBLE 2021:</w:t>
      </w:r>
      <w:r>
        <w:t xml:space="preserve"> DEFENCE INITIATIVES TO STRENGTHEN THE SECURITY OF THE EUROPEAN UNION — https://doi.org/10.33179/bsv.99.svi.11.cmc.23.2.3</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Povzetek Izhajajoč iz poslanstva Globalne strategije za zunanjo in varnostno politiko EU iz leta 2016 in s ciljem doseganja strateške obrambne avtonomije so države članice EU soglasno sprejele in implementirale različne pobude za krepitev razvoja zmogljivosti EU, kot so CARD, PESCO in EDF. Z doseganjem strateške obrambne avtonomije kot prednostne naloge bo EU postala ugledna svetovna sila in kot taka ne bo več tista, ki bo za doseganje svoje ravni ambicij odvisna le od velikih sil. Z izpolnjevanjem tega cilja bo EU tudi krepila svojo že tradicionalno mehko moč pri zaščiti strateških interesov. Kljub temu bo sodelovanje med EU in Natom še naprej nujno za evropsko in svetovno varnost. Ključne besede EUGS, obrambne pobude, CARD, PESCO, EDF, sodelovanje EU-NATO Abstract Following the mission of the European Union Global Strategy (EUGS), and with the aim of achieving strategic defence autonomy, the EU Member States unanimously adopted and implemented various initiatives to strengthen the development of the EU’s capabilities: CARD, PESCO and the EDF. By achieving strategic defence autonomy as a priority, the EU will become a respectable global power and, as such, it will no longer be one that depends solely on great powers to provide for its level of ambition. In this way, the EU will also harden its traditional soft power to protect its strategic interests. Nevertheless, cooperation</w:t>
      </w:r>
    </w:p>
    <w:p>
      <w:pPr/>
      <w:r>
        <w:rPr>
          <w:b/>
        </w:rPr>
        <w:t>POSSIBLE 2020:</w:t>
      </w:r>
      <w:r>
        <w:t xml:space="preserve"> Ukraine and the European Union — https://doi.org/10.1093/acrefore/9780190228637.013.1137</w:t>
      </w:r>
    </w:p>
    <w:p>
      <w:pPr/>
      <w:r>
        <w:rPr>
          <w:b/>
        </w:rPr>
        <w:t>Shared claim-specific concepts:</w:t>
      </w:r>
      <w:r>
        <w:t xml:space="preserve"> abstract, union, ambition, large, role; EU scope visible. This is a provisional connection, not an outcome finding.</w:t>
      </w:r>
    </w:p>
    <w:p>
      <w:pPr>
        <w:pStyle w:val="SourceNote"/>
      </w:pPr>
      <w:r>
        <w:rPr>
          <w:b/>
        </w:rPr>
        <w:t>Available abstract (not full text):</w:t>
      </w:r>
      <w:r>
        <w:t xml:space="preserve"> Abstract In early 2014, a series of dramatic crises in Ukraine generated headlines around the world. Most scholarly attention was placed on the tensions between the West and Russia, and the emergence of a new Cold War, especially following Russia’s annexation of the Crimean peninsula and its military incursion in eastern Ukraine. The relations between Ukraine and the European Union (EU) have often been reduced to debates on whether the EU was to blame for the conflict, having “sleepwalked” into the Ukraine crisis by focusing on technical trade issues and failing to recognize the delicate geopolitical context. Other analysts pointed to the EU’s pursuit of regional hegemony, which has failed to recognize Russia’s legitimate geopolitical and economic interests in Ukraine. In practice, Ukraine‒EU relations have been more complex and nuanced, certainly when considering that Ukraine already declared its ambition to “return to Europe” and to seek EU membership with its proclamation of independence, in 1991. Ukraine-EU relations are perhaps best understood along four levels of inquiry. The first is domestic dynamics in Ukraine. Since the end of the Cold War, all Ukrainian governments have underlined the “Europeanness” of Ukraine and have also by and large followed a pro-EU course in their foreign policies, including the government under pro-Russian president Viktor Yanukovych. However,</w:t>
      </w:r>
    </w:p>
    <w:p>
      <w:pPr/>
      <w:r>
        <w:rPr>
          <w:b/>
        </w:rPr>
        <w:t>POSSIBLE 2020:</w:t>
      </w:r>
      <w:r>
        <w:t xml:space="preserve"> Digital Competitiveness in the European Union Era: The Greek Case — https://doi.org/10.3390/economies8040085</w:t>
      </w:r>
    </w:p>
    <w:p>
      <w:pPr/>
      <w:r>
        <w:rPr>
          <w:b/>
        </w:rPr>
        <w:t>Shared claim-specific concepts:</w:t>
      </w:r>
      <w:r>
        <w:t xml:space="preserve"> union, achieve, source; EU scope visible. This is a provisional connection, not an outcome finding.</w:t>
      </w:r>
    </w:p>
    <w:p>
      <w:pPr>
        <w:pStyle w:val="SourceNote"/>
      </w:pPr>
      <w:r>
        <w:rPr>
          <w:b/>
        </w:rPr>
        <w:t>Available abstract (not full text):</w:t>
      </w:r>
      <w:r>
        <w:t xml:space="preserve"> Digital competitiveness is gaining more and more attention as a source of competitive advantage at the business and national economies levels. Digital economy performance is a matter of national strategies for achieving economic growth and socioeconomic development. Widely accepted instruments for reporting progress in these areas have been recently developed, including the Digital Economy and Society Index (DESI index). The current study aims to use the DESI index and its five dimensions (namely Connectivity, Human Capital, Use of Internet Services, Integration of Digital Technology and Digital Public Services) not only as a tool for recognizing the current state, but also to forecast progress under the Greek economic environment. The Gompertz model was used as a methodological tool and it is valuable that a diffusion model has been implemented on a composite index related to countries’ digital competitiveness. Moreover, the results reveal the areas where convergencies and divergencies exist between Greece and the rest of the EU-28 member states, while forecast permits one to evaluate how current policies have a significant impact on digital competitiveness. Results indicate that Greece is facing significant challenges as a result of the low state of digitization, coming from both the demand side (businesses that consume internet services) and the offer side (institutional and</w:t>
      </w:r>
    </w:p>
    <w:p>
      <w:pPr/>
      <w:r>
        <w:rPr>
          <w:b/>
        </w:rPr>
        <w:t>POSSIBLE 2019:</w:t>
      </w:r>
      <w:r>
        <w:t xml:space="preserve"> Slovakia and the European Union — https://doi.org/10.1093/acrefore/9780190228637.013.1120</w:t>
      </w:r>
    </w:p>
    <w:p>
      <w:pPr/>
      <w:r>
        <w:rPr>
          <w:b/>
        </w:rPr>
        <w:t>Shared claim-specific concepts:</w:t>
      </w:r>
      <w:r>
        <w:t xml:space="preserve"> abstract, union, near, total; EU scope visible. This is a provisional connection, not an outcome finding.</w:t>
      </w:r>
    </w:p>
    <w:p>
      <w:pPr>
        <w:pStyle w:val="SourceNote"/>
      </w:pPr>
      <w:r>
        <w:rPr>
          <w:b/>
        </w:rPr>
        <w:t>Available abstract (not full text):</w:t>
      </w:r>
      <w:r>
        <w:t xml:space="preserve"> Abstract Slovakia’s most recent crisis of identity involving the murder of journalist Jan Kuciak and his fiancée Martina Kusnirova, and the subsequent anti-government protests (the largest since 1989), indicate that the push of European-wide democratic values and the pull of the old ways of Slovakian politics continue to define the nation’s political and economic landscape. Despite a decade and a half of European Union (EU) membership, Slovakia remains caught between the two competing pressures: one of corruption and the other of the rule of law. On the one hand, the rule of law heavily shaped by the intense Europeanization of Slovakia’s accession to the EU and its strong desire to be seen as a committed, highly integrated European partner, indeed part of the core of EU nations. On the other hand, the state remains relatively weak and captured by a dominant one-party political regime, resistant to fundamental change and punctuated by corruption. Indeed, for many analysts, Slovakia has fallen in line with other Central and Eastern European (CEE) states, high on absorbing EU funds and economic benefits, but less than committed to European political values and espousing nationalist and populist agendas. With pressure increasing from the European Union for accountability, the rule of law, and human rights, in which direction will Slovakia turn? This is not just a question for Slova</w:t>
      </w:r>
    </w:p>
    <w:p>
      <w:pPr/>
      <w:r>
        <w:rPr>
          <w:b/>
        </w:rPr>
        <w:t>POSSIBLE 2016:</w:t>
      </w:r>
      <w:r>
        <w:t xml:space="preserve"> Climate Change Policy in the European Union — https://doi.org/10.1093/acrefore/9780190228620.013.47</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(EU) has long claimed, with some justification, to be a leader in international climate policy. Its policy activities in this area, dating from the early 1990s, have had enormous influence within and beyond Europe. The period since ca. 2000 in particular has witnessed the repeated emergence of policies and targets that are increasingly distinct from national ones and sometimes globally innovative. They encompass a wide array of instruments (e.g., market-based, informational, voluntary, as well as regulatory). Policy development has been motivated by a mixture of concerns: to avoid national differences in policy causing distortions of the EU’s internal market; to enhance the domestic legitimacy of the wider project of European integration; to improve energy security; and to increase economic competitiveness through “ecological modernization.” Climate policy has also offered a means to enhance the standing of the EU as a global actor. The EU has, in general, been influential in international negotiations, for example, in its promotion of the 2°C warming limit and advocacy of emission reduction “targets and timetables.” In turn, its own policy has been shaped by developments at global level, as with the surprisingly enthusiastic adoption of the “flexible mechanism” of emissions trading. However, it is becoming increasingly apparent that acute challenges</w:t>
      </w:r>
    </w:p>
    <w:p>
      <w:pPr>
        <w:pStyle w:val="Heading2"/>
      </w:pPr>
      <w:r>
        <w:t>928.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r>
        <w:rPr>
          <w:b/>
        </w:rPr>
        <w:t>POSSIBLE 2019:</w:t>
      </w:r>
      <w:r>
        <w:t xml:space="preserve"> Social enterprises and their ecosystems in Europe — https://doi.org/10.2767/330252</w:t>
      </w:r>
    </w:p>
    <w:p>
      <w:pPr/>
      <w:r>
        <w:rPr>
          <w:b/>
        </w:rPr>
        <w:t>Shared claim-specific concepts:</w:t>
      </w:r>
      <w:r>
        <w:t xml:space="preserve"> they, present, since;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Industry Concentration in Europe and North America — https://doi.org/10.1787/2ff98246-en</w:t>
      </w:r>
    </w:p>
    <w:p>
      <w:pPr/>
      <w:r>
        <w:rPr>
          <w:b/>
        </w:rPr>
        <w:t>Shared claim-specific concepts:</w:t>
      </w:r>
      <w:r>
        <w:t xml:space="preserve"> observed, trends, two;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2019:</w:t>
      </w:r>
      <w:r>
        <w:t xml:space="preserve"> Trichinella and trichinellosis in Europe — https://doi.org/10.2298/vetgl190411017p</w:t>
      </w:r>
    </w:p>
    <w:p>
      <w:pPr/>
      <w:r>
        <w:rPr>
          <w:b/>
        </w:rPr>
        <w:t>Shared claim-specific concepts:</w:t>
      </w:r>
      <w:r>
        <w:t xml:space="preserve"> they, main, used, findings, among, two; EU scope visible. This is a provisional connection, not an outcome finding.</w:t>
      </w:r>
    </w:p>
    <w:p>
      <w:pPr>
        <w:pStyle w:val="SourceNote"/>
      </w:pPr>
      <w:r>
        <w:rPr>
          <w:b/>
        </w:rPr>
        <w:t>Available abstract (not full text):</w:t>
      </w:r>
      <w:r>
        <w:t xml:space="preserve"> Background: Trichinellosis, the proper term for the human zoonotic disease is caused by nematodes of the genus Trichinella. These zoonotic parasites show a cosmopolitan distribution in all the continents but Antarctica. They circulate in nature by synanthropic-domestic and sylvatic cycles that are correlated with each other. Today, nine species and three genotypes are recognized in this genus, all of which infect mammals, including humans, while one species also infects birds, and two other species also infect reptiles. Scope and Approach: To review the recent literature on these pathogens, which are unusual among the other nematodes in that the worm undergoes a complete developmental cycle, from larva to adult to larva, in the body of a single host, which has a profound influence on the epidemiology of trichinellosis as a zoonosis. When the cycle is complete, the muscles of the infected animal contain a reservoir of larvae capable of long-term survival. Humans and other hosts become infected by ingesting muscle tissues containing viable larvae. Key Findings and Conclusions: The main source of human infection is raw or under-cooked meat products from pig, wild boar, bear, walrus, and horses, but meat products from other animals have been implicated. Both pre-slaughter prevention and post-slaughter control can be used to prevent Trichinella infections in animals. The first invol</w:t>
      </w:r>
    </w:p>
    <w:p>
      <w:pPr/>
      <w:r>
        <w:rPr>
          <w:b/>
        </w:rPr>
        <w:t>POSSIBLE 2016:</w:t>
      </w:r>
      <w:r>
        <w:t xml:space="preserve"> European Red List of Grasshoppers, Crickets and Bush-crickets — https://doi.org/10.2779/356312</w:t>
      </w:r>
    </w:p>
    <w:p>
      <w:pPr/>
      <w:r>
        <w:rPr>
          <w:b/>
        </w:rPr>
        <w:t>Shared claim-specific concepts:</w:t>
      </w:r>
      <w:r>
        <w:t xml:space="preserve"> finally, they, according, main, used, trends; EU scope visible. This is a provisional connection, not an outcome finding.</w:t>
      </w:r>
    </w:p>
    <w:p>
      <w:pPr>
        <w:pStyle w:val="SourceNote"/>
      </w:pPr>
      <w:r>
        <w:rPr>
          <w:b/>
        </w:rPr>
        <w:t>Available abstract (not full text):</w:t>
      </w:r>
      <w:r>
        <w:t xml:space="preserve"> The European Red List is a review of the conservation status of European species according to IUCN regional Red Listing guidelines. It identifies those species that are threatened with extinction at the regional level, so that appropriate conservation action can be taken to improve their status. This Red List publication summarises results for all hitherto described native European Orthoptera species (grasshoppers, crickets and bush-crickets). All Orthoptera species (grasshoppers, crickets and bushcrickets) native to or naturalised in Europe before AD 1500 (a total of 1,082 species), have been assessed in this Red List. The geographical scope is continent-wide, extending from Iceland in the west to the Urals in the east, and from Franz Josef Land in the north to the Canary Islands in the south. The Caucasus region is not included. Red List assessments were made at two regional levels: for geographical Europe, and for the 28 Member States of the European Union in 2016. The status of all species was assessed using the IUCN Red List Categories and Criteria (IUCN 2012a), which is the world’s most widely accepted system for measuring extinction risk. All assessments followed the Guidelines for Application of IUCN Red List Criteria at Regional and National Levels (IUCN 2012b). The assessments were compiled based on the data and knowledge from a network of leading European experts on </w:t>
      </w:r>
    </w:p>
    <w:p>
      <w:pPr/>
      <w:r>
        <w:rPr>
          <w:b/>
        </w:rPr>
        <w:t>POSSIBLE 2015:</w:t>
      </w:r>
      <w:r>
        <w:t xml:space="preserve"> Carbapenemase-producing Enterobacteriaceae in Europe: assessment by national experts from 38 countries, May 2015 — https://doi.org/10.2807/1560-7917.es.2015.20.45.30062</w:t>
      </w:r>
    </w:p>
    <w:p>
      <w:pPr/>
      <w:r>
        <w:rPr>
          <w:b/>
        </w:rPr>
        <w:t>Shared claim-specific concepts:</w:t>
      </w:r>
      <w:r>
        <w:t xml:space="preserve"> they, build, two; EU scope visible. This is a provisional connection, not an outcome finding.</w:t>
      </w:r>
    </w:p>
    <w:p>
      <w:pPr>
        <w:pStyle w:val="SourceNote"/>
      </w:pPr>
      <w:r>
        <w:rPr>
          <w:b/>
        </w:rPr>
        <w:t>Available abstract (not full text):</w:t>
      </w:r>
      <w:r>
        <w:t xml:space="preserve"> In 2012, the European Centre for Disease Prevention and Control (ECDC) launched the 'European survey of carbapenemase-producing Enterobacteriaceae (EuSCAPE)' project to gain insights into the occurrence and epidemiology of carbapenemase-producing Enterobacteriaceae (CPE), to increase the awareness of the spread of CPE, and to build and enhance the laboratory capacity for diagnosis and surveillance of CPE in Europe. Data collected through a post-EuSCAPE feedback questionnaire in May 2015 documented improvement compared with 2013 in capacity and ability to detect CPE and identify the different carbapenemases genes in the 38 participating countries, thus contributing to their awareness of and knowledge about the spread of CPE. Over the last two years, the epidemiological situation of CPE worsened, in particular with the rapid spread of carbapenem-hydrolysing oxacillinase-48 (OXA-48)- and New Delhi metallo-beta-lactamase (NDM)-producing Enterobacteriaceae. In 2015, 13/38 countries reported inter-regional spread of or an endemic situation for CPE, compared with 6/38 in 2013. Only three countries replied that they had not identified one single case of CPE. The ongoing spread of CPE represents an increasing threat to patient safety in European hospitals, and a majority of countries reacted by establishing national CPE surveillances systems and issuing guidance on control measures for </w:t>
      </w:r>
    </w:p>
    <w:p>
      <w:pPr>
        <w:pStyle w:val="Heading2"/>
      </w:pPr>
      <w:r>
        <w:t>929.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2021:</w:t>
      </w:r>
      <w:r>
        <w:t xml:space="preserve"> Bioeconomic development in Europe and in the world — https://doi.org/10.1051/e3sconf/202124410061</w:t>
      </w:r>
    </w:p>
    <w:p>
      <w:pPr/>
      <w:r>
        <w:rPr>
          <w:b/>
        </w:rPr>
        <w:t>Shared claim-specific concepts:</w:t>
      </w:r>
      <w:r>
        <w:t xml:space="preserve"> world, international, challenges, present; EU scope visible. This is a provisional connection, not an outcome finding.</w:t>
      </w:r>
    </w:p>
    <w:p>
      <w:pPr>
        <w:pStyle w:val="SourceNote"/>
      </w:pPr>
      <w:r>
        <w:rPr>
          <w:b/>
        </w:rPr>
        <w:t>Available abstract (not full text):</w:t>
      </w:r>
      <w:r>
        <w:t xml:space="preserve"> Bioeconomy is one of the leading science directions at the present time; countries and international organizations around the world pay close attention to it. They are actively working on policies and strategies for the transition to a bioeconomy. Bioeconomy is based on advances in microbiology that can be used in various processes associated with the use of biological resources; it is changing consumer preferences by bringing a new understanding of resource constraints. Despite the fact that a great contribution has already been made to the science of bioeconomy, much in it still refers to promising scientific developments in such areas as biology, biomedicine, engineering, artificial intelligence, technology, chemistry, etc. This paper provides an overview of the current strategies of different countries in the development and implementation of bioeconomy. Purpose of the work: systematization of target indicators and identification of the most significant among them for different economies. The results of the study point to the need for an in-depth analysis of the challenges and opportunities the world faces on the road to bioeconomy. In addition, it is shown the need to develop common global criteria for assessing the bioeconomic development.</w:t>
      </w:r>
    </w:p>
    <w:p>
      <w:pPr/>
      <w:r>
        <w:rPr>
          <w:b/>
        </w:rPr>
        <w:t>POSSIBLE 2020:</w:t>
      </w:r>
      <w:r>
        <w:t xml:space="preserve"> The European Union in the World Economy: Competitiveness Issues — https://doi.org/10.20542/978-5-9535-0587-1</w:t>
      </w:r>
    </w:p>
    <w:p>
      <w:pPr/>
      <w:r>
        <w:rPr>
          <w:b/>
        </w:rPr>
        <w:t>Shared claim-specific concepts:</w:t>
      </w:r>
      <w:r>
        <w:t xml:space="preserve"> world, economy, international, challenges, issues; EU scope visible. This is a provisional connection, not an outcome finding.</w:t>
      </w:r>
    </w:p>
    <w:p>
      <w:pPr>
        <w:pStyle w:val="SourceNote"/>
      </w:pPr>
      <w:r>
        <w:rPr>
          <w:b/>
        </w:rPr>
        <w:t>Available abstract (not full text):</w:t>
      </w:r>
      <w:r>
        <w:t xml:space="preserve"> This study is prepared by the Center for European Studies of Primakov National Research Institute of World Economy and International Relations. It observes the problems of competitiveness and the challenges faced by European countries and the European Union as a whole in contemporary global economy. The first part of the book presents the general position of the EU in the world economy, examines industrial competitiveness and describes the role of State in its ensuring. The second part is dedicated to national competitiveness of European countries in the European Single Market. The publication is intended for Agencies developing Russia's economic policy, as well as for researchers, higher education professors, postgraduates, students, and anyone interested in the current trends in the world economy and international relations.</w:t>
      </w:r>
    </w:p>
    <w:p>
      <w:pPr/>
      <w:r>
        <w:rPr>
          <w:b/>
        </w:rPr>
        <w:t>POSSIBLE 2019:</w:t>
      </w:r>
      <w:r>
        <w:t xml:space="preserve"> The Soviet Union and the World Economy in the 1980S: A Review of the Alternatives — https://doi.org/10.4324/9780429311130-3</w:t>
      </w:r>
    </w:p>
    <w:p>
      <w:pPr/>
      <w:r>
        <w:rPr>
          <w:b/>
        </w:rPr>
        <w:t>Shared claim-specific concepts:</w:t>
      </w:r>
      <w:r>
        <w:t xml:space="preserve"> four, world, economy, presented, aims, trade; EU scope visible. This is a provisional connection, not an outcome finding.</w:t>
      </w:r>
    </w:p>
    <w:p>
      <w:pPr>
        <w:pStyle w:val="SourceNote"/>
      </w:pPr>
      <w:r>
        <w:rPr>
          <w:b/>
        </w:rPr>
        <w:t>Available abstract (not full text):</w:t>
      </w:r>
      <w:r>
        <w:t xml:space="preserve"> This chapter aims to sketch the likely development of Soviet economic relations with the World Economy over the decade 1976–1985, the period of the Tenth and Eleventh Five-Year plans. Trade between the Soviet Union and Eastern Europe has been disaggregated into four commodity groups: machinery, raw materials, food, other consumer goods. In the past, Soviet exports of fuel and materials to the Council of Mutual Economic Assistance (CMEA) were a function of net material product in Eastern Europe and also determined a smaller flow of material imports from the CMEA. During the construction of the Soviet Econometric Model a new methodology was developed for evaluating the quantitative impact of imported machinery on Soviet industrial production; to a certain extent, this technique provides a measure of the gains from technology transfer. The projections presented were computed using a 1977 version of SOVMOD III, the third generation SRI-WEFA Soviet Econometric Model.</w:t>
      </w:r>
    </w:p>
    <w:p>
      <w:pPr/>
      <w:r>
        <w:rPr>
          <w:b/>
        </w:rPr>
        <w:t>POSSIBLE 2019:</w:t>
      </w:r>
      <w:r>
        <w:t xml:space="preserve"> Risks to human health from ammunition-derived lead in Europe — https://doi.org/10.1007/s13280-019-01194-x</w:t>
      </w:r>
    </w:p>
    <w:p>
      <w:pPr/>
      <w:r>
        <w:rPr>
          <w:b/>
        </w:rPr>
        <w:t>Shared claim-specific concepts:</w:t>
      </w:r>
      <w:r>
        <w:t xml:space="preserve"> world, main, now; EU scope visible. This is a provisional connection, not an outcome finding.</w:t>
      </w:r>
    </w:p>
    <w:p>
      <w:pPr>
        <w:pStyle w:val="SourceNote"/>
      </w:pPr>
      <w:r>
        <w:rPr>
          <w:b/>
        </w:rPr>
        <w:t>Available abstract (not full text):</w:t>
      </w:r>
      <w:r>
        <w:t xml:space="preserve"> It has been known for centuries that lead is toxic to humans. Chronic exposure to lead, even at low levels, is associated with an elevated risk of cardiovascular and chronic kidney disease in adults and of impaired neurodevelopment and subsequent cognitive and behavioural development in the foetus and young children. Health agencies throughout the world have moved from assuming that there are tolerable levels of exposure to lead to a recognition that valid 'no-effect' thresholds cannot currently be defined. Formerly, the most important exposure pathways were occupational exposure, water from lead plumbing, paints, petrol additives and foods. Regulation of products and improved health and safety procedures at work have left dietary lead as the main remaining pathway of exposure in European countries. Ammunition-derived lead is now a significant cause of dietary lead exposure in groups of people who eat wild game meat frequently. These are mostly hunters, shoot employees and their families, but also some people who choose to eat game for ethical, health or other reasons, and their children. Extrapolation from surveys conducted in the UK and a review of studies of game consumption in other countries suggest that approximately 5 million people in the EU may be high-level consumers of lead-shot game meat and that tens of thousands of children in the EU may be consuming game contamin</w:t>
      </w:r>
    </w:p>
    <w:p>
      <w:pPr/>
      <w:r>
        <w:rPr>
          <w:b/>
        </w:rPr>
        <w:t>POSSIBLE 2018:</w:t>
      </w:r>
      <w:r>
        <w:t xml:space="preserve"> Operationalising the decentring agenda: Analysing European foreign policy in a non-European and post-western world — https://doi.org/10.1177/0010836718766394</w:t>
      </w:r>
    </w:p>
    <w:p>
      <w:pPr/>
      <w:r>
        <w:rPr>
          <w:b/>
        </w:rPr>
        <w:t>Shared claim-specific concepts:</w:t>
      </w:r>
      <w:r>
        <w:t xml:space="preserve"> world, international, aims; EU scope visible. This is a provisional connection, not an outcome finding.</w:t>
      </w:r>
    </w:p>
    <w:p>
      <w:pPr>
        <w:pStyle w:val="SourceNote"/>
      </w:pPr>
      <w:r>
        <w:rPr>
          <w:b/>
        </w:rPr>
        <w:t>Available abstract (not full text):</w:t>
      </w:r>
      <w:r>
        <w:t xml:space="preserve"> Eurocentrism in the analysis of European foreign policy often renders scholars blind to other world views and realities, although engaging with these may be critical for understanding the relevance and impact of this policy in other parts of the world. Notwithstanding calls for decentring the study of International Relations and European foreign policy in particular, scholars of European foreign policy generally lack the tools and conceptual lenses to overcome Eurocentrism in their analyses. This article proposes an analytical framework to systematically open up for difference, and to see and understand dynamics and realities that go beyond dominant Eurocentric accounts, while trying to avoid the pitfalls of simplification and knowledge fragmentation. The framework consists of six partially overlapping decentring categories – spatial, temporal, normative, polity, linguistic, and disciplinary decentring – and is developed through two dimensions of the Decentring Agenda proposed by Fisher Onar and Nicolaïdis: ‘provincialising’ (questioning Eurocentric perspectives) and ‘engagement’ (learning from other perspectives). In this way, this article aims to support scholars of European foreign policy in overcoming Eurocentrism and in operationalising the Decentring Agenda.</w:t>
      </w:r>
    </w:p>
    <w:p>
      <w:pPr/>
      <w:r>
        <w:rPr>
          <w:b/>
        </w:rPr>
        <w:t>POSSIBLE 2018:</w:t>
      </w:r>
      <w:r>
        <w:t xml:space="preserve"> International Migration and World Happiness — https://openalex.org/W3033251545</w:t>
      </w:r>
    </w:p>
    <w:p>
      <w:pPr/>
      <w:r>
        <w:rPr>
          <w:b/>
        </w:rPr>
        <w:t>Shared claim-specific concepts:</w:t>
      </w:r>
      <w:r>
        <w:t xml:space="preserve"> world, international, university; EU scope not established. This is a provisional connection, not an outcome finding.</w:t>
      </w:r>
    </w:p>
    <w:p>
      <w:pPr>
        <w:pStyle w:val="SourceNote"/>
      </w:pPr>
      <w:r>
        <w:rPr>
          <w:b/>
        </w:rPr>
        <w:t>Available abstract (not full text):</w:t>
      </w:r>
      <w:r>
        <w:t xml:space="preserve"> The World Happiness Report is published by the Wellbeing Research Centre at the University of Oxford, in partnership with Gallup, the UN Sustainable Development Solutions Network and an independent editorial board.</w:t>
      </w:r>
    </w:p>
    <w:p>
      <w:pPr/>
      <w:r>
        <w:rPr>
          <w:b/>
        </w:rPr>
        <w:t>POSSIBLE 2017:</w:t>
      </w:r>
      <w:r>
        <w:t xml:space="preserve"> The Global MRIO Lab – charting the world economy — https://doi.org/10.1080/09535314.2017.1301887</w:t>
      </w:r>
    </w:p>
    <w:p>
      <w:pPr/>
      <w:r>
        <w:rPr>
          <w:b/>
        </w:rPr>
        <w:t>Shared claim-specific concepts:</w:t>
      </w:r>
      <w:r>
        <w:t xml:space="preserve"> world, economy, main, trade; EU scope not established. This is a provisional connection, not an outcome finding.</w:t>
      </w:r>
    </w:p>
    <w:p>
      <w:pPr>
        <w:pStyle w:val="SourceNote"/>
      </w:pPr>
      <w:r>
        <w:rPr>
          <w:b/>
        </w:rPr>
        <w:t>Available abstract (not full text):</w:t>
      </w:r>
      <w:r>
        <w:t xml:space="preserve"> We describe the creation of the Global Multi-Region Input–Output (MRIO) Lab, which is a cloud-computing platform offering a collaborative research environment through which participants can use each other’s resources to assemble their own individual MRIO versions. The Global MRIO Lab’s main purpose is to harness and focus previously disparate resources aimed at compiling large-scale MRIO databases that provide comprehensive representations of interregional trade, economic structure, industrial interdependence, as well as environmental and social impact. Based on the operational Australian Industrial Ecology Lab, a particularly important feature of this cloud environment is a highly detailed regional and sectoral taxonomy called the ‘root classification’. The purpose of this root is to serve as a feedstock from which researchers can choose any combination of regions and economic sectors to form a model of the economy that is suitable to address their particular research questions. Thus, the Global MRIO Lab concept enables enhanced flexibility in MRIO database construction whilst at the same time saving resources and avoiding duplication, by sharing time- and labour-intensive tasks amongst multiple research teams. We explain the concept, architecture, development and preliminary results of the Global MRIO Lab, and discuss its ability to continuously deliver some of the most promi</w:t>
      </w:r>
    </w:p>
    <w:p>
      <w:pPr/>
      <w:r>
        <w:rPr>
          <w:b/>
        </w:rPr>
        <w:t>POSSIBLE 2017:</w:t>
      </w:r>
      <w:r>
        <w:t xml:space="preserve"> The World Karst Aquifer Mapping project: concept, mapping procedure and map of Europe — https://doi.org/10.1007/s10040-016-1519-3</w:t>
      </w:r>
    </w:p>
    <w:p>
      <w:pPr/>
      <w:r>
        <w:rPr>
          <w:b/>
        </w:rPr>
        <w:t>Shared claim-specific concepts:</w:t>
      </w:r>
      <w:r>
        <w:t xml:space="preserve"> world, international, project; EU scope visible. This is a provisional connection, not an outcome finding.</w:t>
      </w:r>
    </w:p>
    <w:p>
      <w:pPr>
        <w:pStyle w:val="SourceNote"/>
      </w:pPr>
      <w:r>
        <w:rPr>
          <w:b/>
        </w:rPr>
        <w:t>Available abstract (not full text):</w:t>
      </w:r>
      <w:r>
        <w:t xml:space="preserve"> Karst aquifers contribute substantially to freshwater supplies in many regions of the world, but are vulnerable to contamination and difficult to manage because of their unique hydrogeological characteristics. Many karst systems are hydraulically connected over wide areas and require transboundary exploration, protection and management. In order to obtain a better global overview of karst aquifers, to create a basis for sustainable international water-resources management, and to increase the awareness in the public and among decision makers, the World Karst Aquifer Mapping (WOKAM) project was established. The goal is to create a world map and database of karst aquifers, as a further development of earlier maps. This paper presents the basic concepts and the detailed mapping procedure, using France as an example to illustrate the step-by-step workflow, which includes generalization, differentiation of continuous and discontinuous carbonate and evaporite rock areas, and the identification of non-exposed karst aquifers. The map also shows selected caves and karst springs, which are collected in an associated global database. The draft karst aquifer map of Europe shows that 21.6% of the European land surface is characterized by the presence of (continuous or discontinuous) carbonate rocks; about 13.8% of the land surface is carbonate rock outcrop.</w:t>
      </w:r>
    </w:p>
    <w:p>
      <w:pPr>
        <w:pStyle w:val="Heading2"/>
      </w:pPr>
      <w:r>
        <w:t>930.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findings, union;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farmers’ perceptions of social sustainability — https://doi.org/10.1007/s10668-023-04140-w</w:t>
      </w:r>
    </w:p>
    <w:p>
      <w:pPr/>
      <w:r>
        <w:rPr>
          <w:b/>
        </w:rPr>
        <w:t>Shared claim-specific concepts:</w:t>
      </w:r>
      <w:r>
        <w:t xml:space="preserve"> perceptions, findings, reveal, managers; EU scope not established. This is a provisional connection, not an outcome finding.</w:t>
      </w:r>
    </w:p>
    <w:p>
      <w:pPr>
        <w:pStyle w:val="SourceNote"/>
      </w:pPr>
      <w:r>
        <w:rPr>
          <w:b/>
        </w:rPr>
        <w:t>Available abstract (not full text):</w:t>
      </w:r>
      <w:r>
        <w:t xml:space="preserve"> Abstract In the farming sector, there is growing awareness of the importance of the social dimension of sustainability and its complex links to environmental and economic sustainability. However, social sustainability is generally the least understood dimension of sustainability. Despite efforts to empirically capture social sustainability, it remains unclear how it is relevant to individual farms and how it depends on their contexts. To generate a comprehensive and contextual understanding of social sustainability, we adopted a mixed-methods approach. We first conducted qualitative interviews with farm managers, which then informed the development of a survey focused on farmers’ perceptions and experiences of social sustainability at their farms. In total, 354 Swiss farm managers completed our online survey. First, we identified social aspects relevant to farmers and compared them across the three main production types in Switzerland (dairy, crop, and other livestock production). Second, we assessed farmers’ perceptions and experiences of social sustainability and the relationship of these perceptions and experiences with farmer identity (i.e., productivist, conservative, passionate caretaker, and forward-looking). The findings reveal differences in the meaning and importance of social sustainability across production types. Farmer identity appears to influence the experience </w:t>
      </w:r>
    </w:p>
    <w:p>
      <w:pPr/>
      <w:r>
        <w:rPr>
          <w:b/>
        </w:rPr>
        <w:t>POSSIBLE 2023:</w:t>
      </w:r>
      <w:r>
        <w:t xml:space="preserve"> Differences in perceptions of fuel duties and emissions trading in road transport — https://doi.org/10.1016/j.tranpol.2023.11.006</w:t>
      </w:r>
    </w:p>
    <w:p>
      <w:pPr/>
      <w:r>
        <w:rPr>
          <w:b/>
        </w:rPr>
        <w:t>Shared claim-specific concepts:</w:t>
      </w:r>
      <w:r>
        <w:t xml:space="preserve"> article, explores, perceptions, not, they; EU scope visible. This is a provisional connection, not an outcome finding.</w:t>
      </w:r>
    </w:p>
    <w:p>
      <w:pPr>
        <w:pStyle w:val="SourceNote"/>
      </w:pPr>
      <w:r>
        <w:rPr>
          <w:b/>
        </w:rPr>
        <w:t>Available abstract (not full text):</w:t>
      </w:r>
      <w:r>
        <w:t xml:space="preserve"> The transport sector is responsible for more than a quarter of global emissions, and road transport alone contributes with over 70% of that share. A separate Emissions Trading System (ETS) in the EU will be implemented in 2027, covering road transport, buildings and additional sectors (mainly small industry). The likely outcomes of such policy are higher fuel prices, leading to less fuel consumption and reduced road transport emissions. Given that the inclusion of road transport in the EU ETS was originally proposed by the UK in the 2000s, and that the UK is exploring possible improvements to its own UK ETS, it is not impossible that the idea of emissions trading in road transport could be revisited in the UK. This article explores differences in perceptions of fuel price increases as a result of an increase in fuel duties or as a result of the introduction of a parallel ETS for road transport. This research employs a Serious Game to elicit perceptions. The game was designed to create situations where drivers would need to make decisions in response to an increase in the pump price of fuel. Ultimately, the idea was to get the study participants to reflect on their travel decisions both in the game and in real life. Possible responses included changing their cars, modifying their travel behaviour or moving house. The data was analyzed using an interpretive approach, which contri</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article, different, reveal;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Governing displaced migration in Europe: housing and the role of the “local” — https://doi.org/10.1186/s40878-020-00209-x</w:t>
      </w:r>
    </w:p>
    <w:p>
      <w:pPr/>
      <w:r>
        <w:rPr>
          <w:b/>
        </w:rPr>
        <w:t>Shared claim-specific concepts:</w:t>
      </w:r>
      <w:r>
        <w:t xml:space="preserve"> article, different, about,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r>
        <w:rPr>
          <w:b/>
        </w:rPr>
        <w:t>POSSIBLE 2021:</w:t>
      </w:r>
      <w:r>
        <w:t xml:space="preserve"> What is Europe? The Meaning of Europe in Different Social Contexts in Switzerland* — https://doi.org/10.1111/spsr.12460</w:t>
      </w:r>
    </w:p>
    <w:p>
      <w:pPr/>
      <w:r>
        <w:rPr>
          <w:b/>
        </w:rPr>
        <w:t>Shared claim-specific concepts:</w:t>
      </w:r>
      <w:r>
        <w:t xml:space="preserve"> article, explores, different, respondents, they; EU scope visible. This is a provisional connection, not an outcome finding.</w:t>
      </w:r>
    </w:p>
    <w:p>
      <w:pPr>
        <w:pStyle w:val="SourceNote"/>
      </w:pPr>
      <w:r>
        <w:rPr>
          <w:b/>
        </w:rPr>
        <w:t>Available abstract (not full text):</w:t>
      </w:r>
      <w:r>
        <w:t xml:space="preserve"> Abstract Previous literature on European identification has often taken for granted what respondents understand by this term. The present article addresses this issue, and on the basis of a recent study in Switzerland seeks to identify the meanings that individuals associate with the concept of Europe. Furthermore, it examines how these meanings relate to their identification with Europe. It also explores the potential covariates of these various conceptions of Europe – particularly transnational experiences and networks. Our analyses identify six dimensions of the meaning of Europe, each of which is differently related to identification with Europe. Although EU citizens and non‐EU citizens in different types of (bi‐national) relationships assigned similar meanings to Europe overall, they differed with respect to the importance they accorded each of these meanings. Individuals who tend to benefit from the EU, i.e. EU citizens and persons with a higher level of education, attribute more positive meanings to Europe.</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trade, not, about;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2021:</w:t>
      </w:r>
      <w:r>
        <w:t xml:space="preserve"> Sustainable consumption behavior of Europeans: The influence of environmental knowledge and risk perception on environmental concern and behavioral intention — https://doi.org/10.1016/j.ecolecon.2021.107155</w:t>
      </w:r>
    </w:p>
    <w:p>
      <w:pPr/>
      <w:r>
        <w:rPr>
          <w:b/>
        </w:rPr>
        <w:t>Shared claim-specific concepts:</w:t>
      </w:r>
      <w:r>
        <w:t xml:space="preserve"> explores, trade, findings, respondents, union; EU scope visible. This is a provisional connection, not an outcome finding.</w:t>
      </w:r>
    </w:p>
    <w:p>
      <w:pPr>
        <w:pStyle w:val="SourceNote"/>
      </w:pPr>
      <w:r>
        <w:rPr>
          <w:b/>
        </w:rPr>
        <w:t>Available abstract (not full text):</w:t>
      </w:r>
      <w:r>
        <w:t xml:space="preserve"> This study explores how environmental knowledge and risk perception influence individuals' sustainable consumption behavior through the mediation of environmental concern and behavioral intention. The study combines constructs from earlier studies to form a novel theoretical model, which is tested and validated with an open data set from the Environment III 2010 module, which was collected by the International Social Survey Programme (ISSP). Our sample consists of respondents from nine countries (N = 11,675) in the European Union (EU) and the European Free Trade Association (EFTA). The model indicates that environmental risk perception and environmental knowledge impact environmental concern significantly. Furthermore, environmental concern strongly influences behavioral intention, and these constructs, in turn, act as mediators of sustainable consumption behavior. The findings indicate that in Europe, sustainable consumption behavior can be associated with environmental concern, which is influenced by increased levels of environmental knowledge and environmental risk perception. The results provide a basis for future analyses once the Environment IV module is released. This will be of particular importance for tracking possible changes in the sustainable consumption behavior of Europeans when transitioning to a green and circular economy that is driven by the European Green De</w:t>
      </w:r>
    </w:p>
    <w:p>
      <w:pPr>
        <w:pStyle w:val="Heading2"/>
      </w:pPr>
      <w:r>
        <w:t>931.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Compare the Black-Scholes Model, Monte Carlo Model, One Step Binomial Tree Model through the European options of Apple — https://doi.org/10.61173/2xbr7x94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Velocity-Based Monte Carlo Fluids — https://doi.org/10.1145/3641519.3657405</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We present a velocity-based Monte Carlo fluid solver that overcomes the limitations of its existing vorticity-based counterpart. Because the velocity-based formulation is more commonly used in graphics, our Monte Carlo solver can be readily extended with various techniques from the fluid simulation literature. We derive our method by solving the Navier-Stokes equations via operator splitting and designing a pointwise Monte Carlo estimator for each substep. We reformulate the projection and diffusion steps as integration problems based on the recently introduced walk-on-boundary technique [Sugimoto et al. 2023]. We transform the volume integral arising from the source term of the pressure Poisson equation into a form more amenable to practical numerical evaluation. Our resulting velocity-based formulation allows for the proper simulation of scenes that the prior vorticity-based Monte Carlo method [Rioux-Lavoie et al. 2022] either simulates incorrectly or cannot support. We demonstrate that our method can easily incorporate advancements drawn from conventional non-Monte Carlo methods by showing how one can straightforwardly add buoyancy effects, divergence control capabilities, and numerical dissipation reduction methods, such as advection-reflection and PIC/FLIP methods.</w:t>
      </w:r>
    </w:p>
    <w:p>
      <w:pPr/>
      <w:r>
        <w:rPr>
          <w:b/>
        </w:rPr>
        <w:t>POSSIBLE 2023:</w:t>
      </w:r>
      <w:r>
        <w:t xml:space="preserve"> A Model-Based Parameter Space in Monte Carlo Simulations for European Short-Term Adequacy Assessments — https://doi.org/10.1109/ei259745.2023.10513254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The Short-Term Adequacy (STA) assessment is crucial for raising risk awareness among stakeholders and aiding European system operations in quickly identifying potential risks. To calculate cross-border exchange capacities in European STA assessments, the flow-based (FB) approach is used to define the parameter space in Monte Carlo simulations. However, Transmission System Operators (TSOs) currently rely on data-driven methods to define the FB domain. These methods necessitate extensive historical data on import-export capacities, which may not always align with Monte Carlo samples. Issues related to Energy Not Served (ENS) can arise even when Monte Carlo samples are aligned with the FB domain. To address these challenges, this paper introduces an analytical model based on parametric programming. This model maps the decision variables to zonal total loads, ensuring a more accurate parameter space in Monte Carlo simulations, and is free from ENS issues. Additionally, the model proactively adjusts the ENS index to reflect the parameter space under specific ENS conditions, thereby enhancing the generation of accurate Monte Carlo scenarios for subsequent STA assessments.</w:t>
      </w:r>
    </w:p>
    <w:p>
      <w:pPr/>
      <w:r>
        <w:rPr>
          <w:b/>
        </w:rPr>
        <w:t>POSSIBLE 2023:</w:t>
      </w:r>
      <w:r>
        <w:t xml:space="preserve"> A Multi-Level Monte Carlo Lagrange-Galerkin Method for Solving a XVA Hybrid Model in European Options — https://doi.org/10.2139/ssrn.4353116</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pStyle w:val="Heading2"/>
      </w:pPr>
      <w:r>
        <w:t>932.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2022:</w:t>
      </w:r>
      <w:r>
        <w:t xml:space="preserve"> War in Ukraine: Putin and the multi-order world — https://doi.org/10.1080/13523260.2022.2091591</w:t>
      </w:r>
    </w:p>
    <w:p>
      <w:pPr/>
      <w:r>
        <w:rPr>
          <w:b/>
        </w:rPr>
        <w:t>Shared claim-specific concepts:</w:t>
      </w:r>
      <w:r>
        <w:t xml:space="preserve"> rather, putin, russian; EU scope not established. This is a provisional connection, not an outcome finding.</w:t>
      </w:r>
    </w:p>
    <w:p>
      <w:pPr>
        <w:pStyle w:val="SourceNote"/>
      </w:pPr>
      <w:r>
        <w:rPr>
          <w:b/>
        </w:rPr>
        <w:t>Available abstract (not full text):</w:t>
      </w:r>
      <w:r>
        <w:t xml:space="preserve"> The global rules-based order has been in transformation for more than a decade, whilst the liberal international order has been in crisis and new international orders are emerging. Within this context, the Russian invasion of Ukraine marks what the Germans have called a Zeitenwende because the multi-order world is now a reality. The article outlines the main characteristics and implications of a multi-order world and outlines four categories of orders that will populate the multi-order world. The article details Putin’s vision for a Eurasian order and how his plans are received within the Eurasian order. The article offers a perspective on how the global dynamics of the new multi-order world might play out, showing that it is likely to be conflictual rather than a cooperative, and that members of the Eurasian order show little enthusiasm for Putin’s vision, resulting in an order held together by force rather than consent.</w:t>
      </w:r>
    </w:p>
    <w:p>
      <w:pPr/>
      <w:r>
        <w:rPr>
          <w:b/>
        </w:rPr>
        <w:t>POSSIBLE 2022:</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The purpose of this article is to explain the approach of Finland to Russian occupation of Ukraine. Finnish foreign policy implemented between February 24 when Ukraine-Russia War began, and June 30, is analysed by using securitisation theory developed by the Copenhagen School. This study argues that Finland securitised the Putin regime. As a consequence of securitisation analysis, the article reached four results. First, Finnish Prime Minister Sanna Marin and President Sauli Niinistö see Russia under the Putin government as a military threat. Second, Prime Minister Sanna Marin and President Sauli Niinistö want to make Finland a member of NATO to strengthen defence capabilities of the country against Russia. Third, Finland securitised the Putin regime. Fourth, as a member of the European Union, Finland has applied collective EU sanctions on Russia, President Vladimir Putin and his close partners. By applying for NATO membership, Finland abandoned the policy of military neutrality that it has been implementing since the 20th century.</w:t>
      </w:r>
    </w:p>
    <w:p>
      <w:pPr/>
      <w:r>
        <w:rPr>
          <w:b/>
        </w:rPr>
        <w:t>POSSIBLE 2022:</w:t>
      </w:r>
      <w:r>
        <w:t xml:space="preserve"> After Putin – what? — https://doi.org/10.1080/00963402.2022.2132731</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By calling for Putin’s removal from power, Western officials and scholars magnify Russian historic fears of a state collapse. Worse, they magnify them by fueling the Kremlin propaganda machine and reinforcing Russians’ reluctance to turn against their regime. Still, Putin will inevitably have to go someday. When that day arrives, however, it is all but clear what the future for Russia will be. Will Russia after Putin necessarily collapse? Or will Putin’s successor turn to the West with a plea for peace and engage the country in reforms and modernization? History can still go either way. But by creating a huge police force to repel popular discontent, accumulating vast financial reserves to escape sanctions, and modifying the Russian constitution so the ruler can indefinitely remain in power, Putin has already laid the groundwork for whoever happens to be his successor to persevere in the current course of aggression – a course where the aggressor possesses the world’s largest arsenal of nuclear weapons.</w:t>
      </w:r>
    </w:p>
    <w:p>
      <w:pPr/>
      <w:r>
        <w:rPr>
          <w:b/>
        </w:rPr>
        <w:t>POSSIBLE 2021:</w:t>
      </w:r>
      <w:r>
        <w:t xml:space="preserve"> Consolidating the Putin Regime: The 2020 Referendum on Russia’s Constitutional Amendments — https://doi.org/10.30965/24518921-00603004</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Abstract In July 2020, Russian voters gave strong support to a package of constitutional reforms that reconfigured the Russian political system and enshrined social guarantees and conservative identity values, consolidating the regime that has been built over a 20-year period. This was achieved through an alteration that ‘zeroed’ presidential terms that commenced before the constitutional change, potentially allowing President Vladimir Putin to overcome term limits and continue in office beyond 2024. The article explains how such a far-reaching and important change was successfully endorsed by the Russian electorate. The analysis shows that the main explanation rests with variations in voting patterns across the regions, a pattern that has been evident in previous Russian elections and resulted in strong pro-Putin support. The article also evaluates questions raised about the legitimacy of the result, and its long-term significance for the Russian political system.</w:t>
      </w:r>
    </w:p>
    <w:p>
      <w:pPr/>
      <w:r>
        <w:rPr>
          <w:b/>
        </w:rPr>
        <w:t>POSSIBLE 2021:</w:t>
      </w:r>
      <w:r>
        <w:t xml:space="preserve"> Vladimir Putin — https://doi.org/10.4324/9781003100508-13</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Vladimir Putin has developed and consolidated a personalist political regime that incorporates every key formal feature of liberal democracy while also virtually eliminating the chance that the Putin network can be removed from power by electoral xxix means. Putin and his allies have captured the administrative machinery of the Russian state and in the process created a hybrid post-Communist party-state – a “neo-patrimonial façade democracy.” The essay argues that the structure and functioning of Putin’s system is best understood in terms of the history of one-party political “machines” that have appeared over the past century and a half in nominal democracies in the United States, Italy, Japan, Mexico, and so on. Paradoxically, Russia is freer than ever in its history, but at the same time much of Russia has rejected liberal values as understood in the contemporary West. By cultivating a charismatic traditionalist bond with the Russian people, reinforced by defensible performances in a series of domestic and foreign crises, Putin’s position appears unassailable although his bond with the Russian people has become more fragile. Whether this system can long survive Putin himself, however, remains very much to be seen.</w:t>
      </w:r>
    </w:p>
    <w:p>
      <w:pPr/>
      <w:r>
        <w:rPr>
          <w:b/>
        </w:rPr>
        <w:t>POSSIBLE 2021:</w:t>
      </w:r>
      <w:r>
        <w:t xml:space="preserve"> From ‘Putin the Saviour’ to ‘Irreplaceable Putin’:The Role of the 1990s in the Kremlin’s Strategic Communications — https://openalex.org/W7135975081</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The Soviet Union ceased to exist thirty ago. However, its memory and the memory of the decade of crisis that followed its dissolution, continue to serve the Kremlin. Existing literature claims that Vladimir Putin, helped by the state-controlled media, has manipulated the memory of the Soviet Union and the trauma of the 1990s to justify his regime. This article takes a different approach. By adopting the framework of Strategic Communications, it claims that the Kremlin used the traumatic experience of the 1990s to build strategic narratives intended to justify Putin’s regime within the context of the values held by the majority of the Russian public. On the one hand, it argues that the Kremlin’s Strategic Communications are rooted in the past, either by glorifying it (nostalgia for the Soviet Union) or by vilifying it (‘the wild nineties’), because this is what resonates best with the Russian people. On the other hand, it suggests that Putin’s use of this past, combined with deep understanding of his domestic audience, allowed him to adapt and adjust his strategic narratives to the evolving situation in Russia, justifying his regime in the last two decades and legitimising its potential continuation beyond 2024.</w:t>
      </w:r>
    </w:p>
    <w:p>
      <w:pPr/>
      <w:r>
        <w:rPr>
          <w:b/>
        </w:rPr>
        <w:t>POSSIBLE 2017:</w:t>
      </w:r>
      <w:r>
        <w:t xml:space="preserve"> State-society relations and the sources of support for the Putin regime: bridging political culture and social contract theory — https://doi.org/10.1080/21599165.2017.1414697</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This article evaluates two theoretical approaches to the popularity and resilience of authoritarianism in Russia, namely political culture and social contract theory. These approaches are two of the most important theories of Russian politics and also reflect the general divide in comparative and post-communist politics between political-cultural and rationalist explanations. We demonstrate that these approaches are bound up with different notions of legitimacy. This article suggests that neither framework offers a complete explanation of the Russian case. We develop an alternative framework that bridges these two approaches. Our analysis suggests that the social contract in Russia needs to be analysed as dynamic and conditional. Moreover, the use of different legitimation strategies by Russian authorities suggests that leaders can reshape the social contract and gain support in a strategic fashion by choosing appeals related to political culture.</w:t>
      </w:r>
    </w:p>
    <w:p>
      <w:pPr>
        <w:pStyle w:val="Heading2"/>
      </w:pPr>
      <w:r>
        <w:t>933.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pStyle w:val="Heading2"/>
      </w:pPr>
      <w:r>
        <w:t>934.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2022:</w:t>
      </w:r>
      <w:r>
        <w:t xml:space="preserve"> Patient Safety Culture in European Hospitals: A Comparative Mixed Methods Study — https://doi.org/10.3390/ijerph19020939</w:t>
      </w:r>
    </w:p>
    <w:p>
      <w:pPr/>
      <w:r>
        <w:rPr>
          <w:b/>
        </w:rPr>
        <w:t>Shared claim-specific concepts:</w:t>
      </w:r>
      <w:r>
        <w:t xml:space="preserve"> comparative, methods, used, different, few; EU scope visible. This is a provisional connection, not an outcome finding.</w:t>
      </w:r>
    </w:p>
    <w:p>
      <w:pPr>
        <w:pStyle w:val="SourceNote"/>
      </w:pPr>
      <w:r>
        <w:rPr>
          <w:b/>
        </w:rPr>
        <w:t>Available abstract (not full text):</w:t>
      </w:r>
      <w:r>
        <w:t xml:space="preserve"> BACKGROUND: Poorly organized health systems with inadequate leadership limit the development of the robust safety cultures capable of preventing consequential adverse events. Although safety culture has been studied in hospitals worldwide, the relationship between clinician perceptions about patient safety and their actual clinical practices has received little attention. Despite the need for mixed methods studies to achieve a deeper understanding of safety culture, there are few studies providing comparisons of hospitals in different countries. PURPOSE: This study compared the safety culture of hospitals from the perspective of nurses in four European countries, including Croatia, Hungary, Spain, and Sweden. DESIGN: A comparative mixed methods study with a convergent parallel design. METHODS: = 538) was collected with the Hospital Survey on Patient Safety Culture (HSOPSC) and qualitative date was collected through 24 in-depth interviews and 147 h of non-participant observation. Survey data was analyzed descriptively and inferentially, and content analysis was used to analyze the qualitative data. RESULTS: The overall perception of safety culture for most dimensions was 'adequate' in Sweden and 'adequate' to 'poor' in the other countries with inconsistencies identified between survey and qualitative data. Although teamwork within units was the most positive dimension across cou</w:t>
      </w:r>
    </w:p>
    <w:p>
      <w:pPr/>
      <w:r>
        <w:rPr>
          <w:b/>
        </w:rPr>
        <w:t>POSSIBLE 2021:</w:t>
      </w:r>
      <w:r>
        <w:t xml:space="preserve"> REINTEGRATION OF CROP-LIVESTOCK SYSTEMS IN EUROPE: AN OVERVIEW — https://doi.org/10.15302/j-fase-2020373</w:t>
      </w:r>
    </w:p>
    <w:p>
      <w:pPr/>
      <w:r>
        <w:rPr>
          <w:b/>
        </w:rPr>
        <w:t>Shared claim-specific concepts:</w:t>
      </w:r>
      <w:r>
        <w:t xml:space="preserve"> overview, provide, needed; EU scope visible. This is a provisional connection, not an outcome finding.</w:t>
      </w:r>
    </w:p>
    <w:p>
      <w:pPr>
        <w:pStyle w:val="SourceNote"/>
      </w:pPr>
      <w:r>
        <w:rPr>
          <w:b/>
        </w:rPr>
        <w:t>Available abstract (not full text):</w:t>
      </w:r>
      <w:r>
        <w:t xml:space="preserve"> • ICLS combines the benefits of specialization with increased resilience of the system. • Clear opportunities but also barriers for ICLS were observed. • ICLS need to be embedded within future environmental legislation. • ICLS systems with a range of intensities are needed to support a biodiverse landscape. Ongoing specialization of crop and livestock systems provides socioeconomic benefits to the farmer but has led to greater externalization of environmental costs when compared to mixed farming systems. Better integration of crop and livestock systems offers great potential to rebalance the economic and environmental trade-offs in both systems. The aims of this study were to analyze changes in farm structure and review and evaluate the potential for reintegrating specialized intensive crop and livestock systems, with specific emphasis on identifying the co-benefits and barriers to reintegration. Historically, animals were essential to recycle nutrients in the farming system but this became less important with the availability of synthetic fertilisers. Although mixed farm systems can be economically attractive, benefits of scale combined with socio-economic factors have resulted in on-farm and regional specialization with negative environmental impacts. Reintegration is therefore needed to reduce nutrient surpluses at farm, regional and national levels, and to improve soil qual</w:t>
      </w:r>
    </w:p>
    <w:p>
      <w:pPr/>
      <w:r>
        <w:rPr>
          <w:b/>
        </w:rPr>
        <w:t>POSSIBLE 2021:</w:t>
      </w:r>
      <w:r>
        <w:t xml:space="preserve"> Towards Circular Economy—A Comparative Analysis of the Countries of the European Union — https://doi.org/10.3390/resources10050049</w:t>
      </w:r>
    </w:p>
    <w:p>
      <w:pPr/>
      <w:r>
        <w:rPr>
          <w:b/>
        </w:rPr>
        <w:t>Shared claim-specific concepts:</w:t>
      </w:r>
      <w:r>
        <w:t xml:space="preserve"> critical, comparative, methods, many; EU scope visible. This is a provisional connection, not an outcome finding.</w:t>
      </w:r>
    </w:p>
    <w:p>
      <w:pPr>
        <w:pStyle w:val="SourceNote"/>
      </w:pPr>
      <w:r>
        <w:rPr>
          <w:b/>
        </w:rPr>
        <w:t>Available abstract (not full text):</w:t>
      </w:r>
      <w:r>
        <w:t xml:space="preserve"> There are many studies which implement and assess existing measurement manners and document the progress of entities towards the circular economy (CE) at various levels, or present or propose new possibilities of measurement. The majority of them refer to the micro level. The aim of this paper is to conduct a multidimensional comparative analysis of the implementation of circular economy by EU countries. After an in-depth critical analysis of the literature, CE indicators which were proposed by the European Commission were adopted as a basis. Owing to the research population-Member States of the European Union (EU-28), focusing on the said indicators was declared reasonable in all aspects. The classification of EU countries according to the level of their advancement in the concept of CE was adopted as a main research task. In order to do so, a relevant index of development of circular economy was created (IDCE). This will allow us, inter alia, to trace changes in the spatial differentiation of advancement of the EU countries in implementing CE over the years, to identify CE implementation leaders as well as countries particularly delayed in this regard. The comparative analysis was conducted by means of statistical methods. On the basis of the analyses, it was concluded that among all EU countries, those of the old EU are the most advanced in terms of CE. The analysis confirme</w:t>
      </w:r>
    </w:p>
    <w:p>
      <w:pPr/>
      <w:r>
        <w:rPr>
          <w:b/>
        </w:rPr>
        <w:t>POSSIBLE 2021:</w:t>
      </w:r>
      <w:r>
        <w:t xml:space="preserve"> Uncovering the critical soil moisture thresholds of plant water stress for European ecosystems — https://doi.org/10.1111/gcb.16050</w:t>
      </w:r>
    </w:p>
    <w:p>
      <w:pPr/>
      <w:r>
        <w:rPr>
          <w:b/>
        </w:rPr>
        <w:t>Shared claim-specific concepts:</w:t>
      </w:r>
      <w:r>
        <w:t xml:space="preserve"> critical, used, different; EU scope visible. This is a provisional connection, not an outcome finding.</w:t>
      </w:r>
    </w:p>
    <w:p>
      <w:pPr>
        <w:pStyle w:val="SourceNote"/>
      </w:pPr>
      <w:r>
        <w:rPr>
          <w:b/>
        </w:rPr>
        <w:t>Available abstract (not full text):</w:t>
      </w:r>
      <w:r>
        <w:t xml:space="preserve"> Abstract Understanding the critical soil moisture (SM) threshold (θ crit ) of plant water stress and land surface energy partitioning is a basis to evaluate drought impacts and improve models for predicting future ecosystem condition and climate. Quantifying the θ crit across biomes and climates is challenging because observations of surface energy fluxes and SM remain sparse. Here, we used the latest database of eddy covariance measurements to estimate θ crit across Europe by evaluating evaporative fraction (EF)‐SM relationships and investigating the covariance between vapor pressure deficit (VPD) and gross primary production (GPP) during SM dry‐down periods. We found that the θ crit and soil matric potential threshold in Europe are 16.5% and −0.7 MPa, respectively. Surface energy partitioning characteristics varied among different vegetation types; EF in savannas had the highest sensitivities to SM in water‐limited stage, and the lowest in forests. The sign of the covariance between daily VPD and GPP consistently changed from positive to negative during dry‐down across all sites when EF shifted from relatively high to low values. This sign of the covariance changed after longer period of SM decline in forests than in grasslands and savannas. Estimated θ crit from the VPD–GPP covariance method match well with the EF–SM method, showing this covariance method can be used to dete</w:t>
      </w:r>
    </w:p>
    <w:p>
      <w:pPr/>
      <w:r>
        <w:rPr>
          <w:b/>
        </w:rPr>
        <w:t>POSSIBLE 2020:</w:t>
      </w:r>
      <w:r>
        <w:t xml:space="preserve"> Comparative study of customer relationship management research from East Asia, North America and Europe: A bibliometric overview — https://doi.org/10.1007/s12525-020-00395-7</w:t>
      </w:r>
    </w:p>
    <w:p>
      <w:pPr/>
      <w:r>
        <w:rPr>
          <w:b/>
        </w:rPr>
        <w:t>Shared claim-specific concepts:</w:t>
      </w:r>
      <w:r>
        <w:t xml:space="preserve"> comparative, overview, north, america; EU scope visible. This is a provisional connection, not an outcome finding.</w:t>
      </w:r>
    </w:p>
    <w:p>
      <w:pPr>
        <w:pStyle w:val="SourceNote"/>
      </w:pPr>
      <w:r>
        <w:rPr>
          <w:b/>
        </w:rPr>
        <w:t>Available abstract (not full text):</w:t>
      </w:r>
      <w:r>
        <w:t xml:space="preserve"> Unavailable</w:t>
      </w:r>
    </w:p>
    <w:p>
      <w:pPr/>
      <w:r>
        <w:rPr>
          <w:b/>
        </w:rPr>
        <w:t>POSSIBLE 2020:</w:t>
      </w:r>
      <w:r>
        <w:t xml:space="preserve"> A comparative study of solid waste management in the United States, Europe and Asia — https://doi.org/10.29328/journal.acee.1001019</w:t>
      </w:r>
    </w:p>
    <w:p>
      <w:pPr/>
      <w:r>
        <w:rPr>
          <w:b/>
        </w:rPr>
        <w:t>Shared claim-specific concepts:</w:t>
      </w:r>
      <w:r>
        <w:t xml:space="preserve"> critical, comparative, used, many; EU scope visible. This is a provisional connection, not an outcome finding.</w:t>
      </w:r>
    </w:p>
    <w:p>
      <w:pPr>
        <w:pStyle w:val="SourceNote"/>
      </w:pPr>
      <w:r>
        <w:rPr>
          <w:b/>
        </w:rPr>
        <w:t>Available abstract (not full text):</w:t>
      </w:r>
      <w:r>
        <w:t xml:space="preserve"> Managing municipal solid waste correctly is critical to the success of a society. Many regions and countries in the world are behind others in the context of solid waste management. In order to compare three such regions within this context, a meta-analysis was conducted in order to develop a decision matrix. Within this decision matrix, the United States, Europe, and Asia were compared to determine which region is managing municipal solid waste the best. This research design allowed for compiling information from many sources to increase the accuracy of data used in the justifications for the decision matrix. Purposive sampling was used to select and evaluate sources that discuss solid waste management to discern which region’s processes are most favorable in many parameters. The decision matrix consists of nine parameters: main management techniques; finances; landfill taxes; jobs created; waste generation; waste composition; waste storage, collection, and transportation; energy recovery; and environmental health. Each was scored on a scale from zero to ten, ten being the best score and zero being the worst. The final score from the decision matrix suggested that Europe had the most favorable municipal solid waste management (MSWM) system, and the United States had a notably close yet lower score. Asia had the lowest score that was hardly comparable to the other two regions.</w:t>
      </w:r>
    </w:p>
    <w:p>
      <w:pPr/>
      <w:r>
        <w:rPr>
          <w:b/>
        </w:rPr>
        <w:t>POSSIBLE 2020:</w:t>
      </w:r>
      <w:r>
        <w:t xml:space="preserve"> Towards a Comparative Analysis of Social Inequalities between Europe and Latin America — https://doi.org/10.1007/978-3-030-48442-2</w:t>
      </w:r>
    </w:p>
    <w:p>
      <w:pPr/>
      <w:r>
        <w:rPr>
          <w:b/>
        </w:rPr>
        <w:t>Shared claim-specific concepts:</w:t>
      </w:r>
      <w:r>
        <w:t xml:space="preserve"> comparative, different, america; EU scope visible. This is a provisional connection, not an outcome finding.</w:t>
      </w:r>
    </w:p>
    <w:p>
      <w:pPr>
        <w:pStyle w:val="SourceNote"/>
      </w:pPr>
      <w:r>
        <w:rPr>
          <w:b/>
        </w:rPr>
        <w:t>Available abstract (not full text):</w:t>
      </w:r>
      <w:r>
        <w:t xml:space="preserve"> This open access volume identifies the common and specific aspects of social mechanisms that generate inequalities, through comparative analyses of different dimensions in which inequalities are expressed. It includes studies on social inequalities in 5 European and 5 Latin American countries.</w:t>
      </w:r>
    </w:p>
    <w:p>
      <w:pPr>
        <w:pStyle w:val="Heading2"/>
      </w:pPr>
      <w:r>
        <w:t>935.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discuss, energy, technology, carbon, focus, security;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Achieving sustainability transitions in residential energy use across Europe: The importance of problem framings — https://doi.org/10.1016/j.enpol.2019.110927</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pPr/>
      <w:r>
        <w:rPr>
          <w:b/>
        </w:rPr>
        <w:t>POSSIBLE 2019:</w:t>
      </w:r>
      <w:r>
        <w:t xml:space="preserve"> A PESTLE Analysis of Biofuels Energy Industry in Europe — https://doi.org/10.3390/su11215981</w:t>
      </w:r>
    </w:p>
    <w:p>
      <w:pPr/>
      <w:r>
        <w:rPr>
          <w:b/>
        </w:rPr>
        <w:t>Shared claim-specific concepts:</w:t>
      </w:r>
      <w:r>
        <w:t xml:space="preserve"> discuss, energy, despite, carbon, technological; EU scope visible. This is a provisional connection, not an outcome finding.</w:t>
      </w:r>
    </w:p>
    <w:p>
      <w:pPr>
        <w:pStyle w:val="SourceNote"/>
      </w:pPr>
      <w:r>
        <w:rPr>
          <w:b/>
        </w:rPr>
        <w:t>Available abstract (not full text):</w:t>
      </w:r>
      <w:r>
        <w:t xml:space="preserve">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pPr/>
      <w:r>
        <w:rPr>
          <w:b/>
        </w:rPr>
        <w:t>POSSIBLE 2019:</w:t>
      </w:r>
      <w:r>
        <w:t xml:space="preserve"> Performance of markets for European renewable energy certificates — https://doi.org/10.1016/j.enpol.2019.01.051</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pPr/>
      <w:r>
        <w:rPr>
          <w:b/>
        </w:rPr>
        <w:t>POSSIBLE 2019:</w:t>
      </w:r>
      <w:r>
        <w:t xml:space="preserve"> Effects of renewable energy on landscape in Europe: Comparison of hydro, wind, solar, bio-, geothermal and infrastructure energy landscapes — https://doi.org/10.15201/hungeobull.68.4.1</w:t>
      </w:r>
    </w:p>
    <w:p>
      <w:pPr/>
      <w:r>
        <w:rPr>
          <w:b/>
        </w:rPr>
        <w:t>Shared claim-specific concepts:</w:t>
      </w:r>
      <w:r>
        <w:t xml:space="preserve"> energy, technological; EU scope visible. This is a provisional connection, not an outcome finding.</w:t>
      </w:r>
    </w:p>
    <w:p>
      <w:pPr>
        <w:pStyle w:val="SourceNote"/>
      </w:pPr>
      <w:r>
        <w:rPr>
          <w:b/>
        </w:rPr>
        <w:t>Available abstract (not full text):</w:t>
      </w:r>
      <w:r>
        <w:t xml:space="preserve">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936.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2023:</w:t>
      </w:r>
      <w:r>
        <w:t xml:space="preserve"> Study on Control Strategies on NOX Emissions to Meet Real Driving Emissions — https://doi.org/10.1021/acsomega.3c03751</w:t>
      </w:r>
    </w:p>
    <w:p>
      <w:pPr/>
      <w:r>
        <w:rPr>
          <w:b/>
        </w:rPr>
        <w:t>Shared claim-specific concepts:</w:t>
      </w:r>
      <w:r>
        <w:t xml:space="preserve"> order, meet, emissions, reduction; EU scope not established. This is a provisional connection, not an outcome finding.</w:t>
      </w:r>
    </w:p>
    <w:p>
      <w:pPr>
        <w:pStyle w:val="SourceNote"/>
      </w:pPr>
      <w:r>
        <w:rPr>
          <w:b/>
        </w:rPr>
        <w:t>Available abstract (not full text):</w:t>
      </w:r>
      <w:r>
        <w:t xml:space="preserve"> The aim of this study was to fulfill the NOx emissions standards for a light-duty diesel vehicle under real driving emissions (RDE) testing conditions by implementing various control strategies. In this study, RDE tests were performed by adjusting the air mass quantity and postinjection quantity in order to analyze engine-out and tail-pipe nitrogen oxides (NOx) emissions for different phases of RDE. The results showed that reducing in air mass quantity enabled the engine to operate in higher exhaust gas recirculation (EGR) rate regions, resulting in a 32.5% reduction in engine-out NOx emissions and an 80.4% decrease in tail-pipe NOx emissions. Increasing the postinjection quantity primarily enhanced the NOx conversion efficiency for the urban phase by 7.5%, leading to a 22.6% reduction in tail-pipe NOx emissions. By employing both strategies, vehicles can comfortably meet the CN6b emission regulations by a substantial margin.</w:t>
      </w:r>
    </w:p>
    <w:p>
      <w:pPr/>
      <w:r>
        <w:rPr>
          <w:b/>
        </w:rPr>
        <w:t>POSSIBLE 2023:</w:t>
      </w:r>
      <w:r>
        <w:t xml:space="preserve"> Emissions and energy impacts of the Inflation Reduction Act — https://doi.org/10.1126/science.adg3781</w:t>
      </w:r>
    </w:p>
    <w:p>
      <w:pPr/>
      <w:r>
        <w:rPr>
          <w:b/>
        </w:rPr>
        <w:t>Shared claim-specific concepts:</w:t>
      </w:r>
      <w:r>
        <w:t xml:space="preserve"> emissions, reduction, energy; EU scope not established. This is a provisional connection, not an outcome finding.</w:t>
      </w:r>
    </w:p>
    <w:p>
      <w:pPr>
        <w:pStyle w:val="SourceNote"/>
      </w:pPr>
      <w:r>
        <w:rPr>
          <w:b/>
        </w:rPr>
        <w:t>Available abstract (not full text):</w:t>
      </w:r>
      <w:r>
        <w:t xml:space="preserve"> Economy-wide emissions drop 43 to 48% below 2005 levels by 2035 with accelerated clean energy deployment.</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r>
        <w:rPr>
          <w:b/>
        </w:rPr>
        <w:t>POSSIBLE 2022:</w:t>
      </w:r>
      <w:r>
        <w:t xml:space="preserve"> Carbon emission of China’s power industry: driving factors and emission reduction path — https://doi.org/10.1007/s11356-022-21297-5</w:t>
      </w:r>
    </w:p>
    <w:p>
      <w:pPr/>
      <w:r>
        <w:rPr>
          <w:b/>
        </w:rPr>
        <w:t>Shared claim-specific concepts:</w:t>
      </w:r>
      <w:r>
        <w:t xml:space="preserve"> carbon, reduction;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Negative-emissions technology portfolios to meet the 1.5 °C target — https://doi.org/10.1016/j.gloenvcha.2021.102238</w:t>
      </w:r>
    </w:p>
    <w:p>
      <w:pPr/>
      <w:r>
        <w:rPr>
          <w:b/>
        </w:rPr>
        <w:t>Shared claim-specific concepts:</w:t>
      </w:r>
      <w:r>
        <w:t xml:space="preserve"> meet, target, carbon, present; EU scope not established. This is a provisional connection, not an outcome finding.</w:t>
      </w:r>
    </w:p>
    <w:p>
      <w:pPr>
        <w:pStyle w:val="SourceNote"/>
      </w:pPr>
      <w:r>
        <w:rPr>
          <w:b/>
        </w:rPr>
        <w:t>Available abstract (not full text):</w:t>
      </w:r>
      <w:r>
        <w:t xml:space="preserve"> Our carbon-intensive economy has led to an average temperature rise of 1 °C since pre-industrial times. As a consequence, the world has seen increasing droughts, significant shrinking of the polar ice caps, and steady sea-level rise. To stall these issues’ worsening further, we must limit global warming to 1.5 °C. In addition to the economy’s decarbonization, this endeavour requires the use of negative-emissions technologies (NETs) that remove the main greenhouse gas, carbon dioxide, from the atmosphere. While techno-economic feasibility alone has driven the definition of negative-emissions solutions, NETs’ diverse, far-reaching implications demand a more holistic assessment. Here, we present a comprehensive framework, integrating NETs’ critical performance aspects of feasibility, effectiveness, and side impacts, to define the optimal technology mix within realistic outlooks. The resulting technology portfolios provide a useful new benchmark to compare carbon avoidance and removal measures and deliberately choose the best path to solve the climate emergency.</w:t>
      </w:r>
    </w:p>
    <w:p>
      <w:pPr/>
      <w:r>
        <w:rPr>
          <w:b/>
        </w:rPr>
        <w:t>POSSIBLE 2021:</w:t>
      </w:r>
      <w:r>
        <w:t xml:space="preserve"> Direct air capture of CO2: A response to meet the global climate targets — https://doi.org/10.1557/s43581-021-00005-9</w:t>
      </w:r>
    </w:p>
    <w:p>
      <w:pPr/>
      <w:r>
        <w:rPr>
          <w:b/>
        </w:rPr>
        <w:t>Shared claim-specific concepts:</w:t>
      </w:r>
      <w:r>
        <w:t xml:space="preserve"> meet, target, carbon, emissions, energy, high; EU scope not established. This is a provisional connection, not an outcome finding.</w:t>
      </w:r>
    </w:p>
    <w:p>
      <w:pPr>
        <w:pStyle w:val="SourceNote"/>
      </w:pPr>
      <w:r>
        <w:rPr>
          <w:b/>
        </w:rPr>
        <w:t>Available abstract (not full text):</w:t>
      </w:r>
      <w:r>
        <w:t xml:space="preserve"> Highlights DAC can help deal with difficult to avoid emissions. Large-scale deployment of DAC requires serious government, private, and corporate support and investment particularly to offset the capital cost as well as operational costs. Further optimizations to the costs can be found in choice of energy source as well as advances in CO 2 capture technology such as high capacity and selectivity materials, faster reaction kinetics, and ease of reusability. Abstract Direct air capture (DAC) technologies are receiving increasing attention from the scientific community, commercial enterprises, policymakers and governments. While deep decarbonization of all sectors is required to meet the Paris Agreement target, DAC can help deal with difficult to avoid emissions (aviation, ocean-shipping, iron-steel, cement, mining, plastics, fertilizers, pulp and paper). While large-scale deployment of DAC discussions continues, a closer look to the capital and operational costs, different capture technologies, the choice of energy source, land and water requirements, and other environmental impacts of DAC are reviewed and examined. Cost per ton of CO 2 captured discussions of leading industrial DAC developers with their carbon capture technologies are presented, and their detailed cost comparisons are evaluated based on the choice of energy operation together with process energy requirements. Va</w:t>
      </w:r>
    </w:p>
    <w:p>
      <w:pPr/>
      <w:r>
        <w:rPr>
          <w:b/>
        </w:rPr>
        <w:t>POSSIBLE 2021:</w:t>
      </w:r>
      <w:r>
        <w:t xml:space="preserve"> Improving the efficiency of urea-based fertilization leading to reduction in ammonia emission — https://doi.org/10.1016/j.scitotenv.2021.145483</w:t>
      </w:r>
    </w:p>
    <w:p>
      <w:pPr/>
      <w:r>
        <w:rPr>
          <w:b/>
        </w:rPr>
        <w:t>Shared claim-specific concepts:</w:t>
      </w:r>
      <w:r>
        <w:t xml:space="preserve"> order, meet, emissions, reduction, high; EU scope visible. This is a provisional connection, not an outcome finding.</w:t>
      </w:r>
    </w:p>
    <w:p>
      <w:pPr>
        <w:pStyle w:val="SourceNote"/>
      </w:pPr>
      <w:r>
        <w:rPr>
          <w:b/>
        </w:rPr>
        <w:t>Available abstract (not full text):</w:t>
      </w:r>
      <w:r>
        <w:t xml:space="preserve"> A problematic issue in agriculture is the high quantity of ammonia being released resulting in a partial loss of the nitrogen which is contained in urea fertilizers. Alignment with European Union legislation on the regulation of ammonia emission from mineral fertilizers after 2030, urea fertilizers with reduced ammonia emissions by at least 30% will be allowed to remain in use. Currently, laboratory and field tests are carried out to assess the effectiveness of inhibiting nitrogen losses from urea fertilizers. Both urease and nitrification inhibitors are tested. The best results were noticed for the urease inhibitor - NBPT (N-(n-Butyl) thiophosphoric triamide) that can reduce ammonia emissions from urea fertilizers by 30-70% in both laboratory and field tests. The addition of NBPT to the UAN (urea ammonium nitrate solution) fertilizer allowed for the reduction of ammonia emission by 50%. Combining nitrification inhibitors with urease inhibitors may lead to an increase in ammonia emission because they prolong the retention time of ammonium ions in soil, which are the precursors in the process of ammonia emission. In order to meet the imposed requirements under field conditions, in addition factors such as: dose and date of application, method of application, type of soil cultivation, its type and pH and atmospheric conditions should be considered. This review gives an overview o</w:t>
      </w:r>
    </w:p>
    <w:p>
      <w:pPr/>
      <w:r>
        <w:rPr>
          <w:b/>
        </w:rPr>
        <w:t>POSSIBLE 2021:</w:t>
      </w:r>
      <w:r>
        <w:t xml:space="preserve"> Climate-Friendly Seafood: The Potential for Emissions Reduction and Carbon Capture in Marine Aquaculture — https://doi.org/10.1093/biosci/biab126</w:t>
      </w:r>
    </w:p>
    <w:p>
      <w:pPr/>
      <w:r>
        <w:rPr>
          <w:b/>
        </w:rPr>
        <w:t>Shared claim-specific concepts:</w:t>
      </w:r>
      <w:r>
        <w:t xml:space="preserve"> meet, carbon, emissions, reduction, potential; EU scope not established. This is a provisional connection, not an outcome finding.</w:t>
      </w:r>
    </w:p>
    <w:p>
      <w:pPr>
        <w:pStyle w:val="SourceNote"/>
      </w:pPr>
      <w:r>
        <w:rPr>
          <w:b/>
        </w:rPr>
        <w:t>Available abstract (not full text):</w:t>
      </w:r>
      <w:r>
        <w:t xml:space="preserve"> Aquaculture is a critical food source for the world's growing population, producing 52% of the aquatic animal products consumed. Marine aquaculture (mariculture) generates 37.5% of this production and 97% of the world's seaweed harvest. Mariculture products may offer a climate-friendly, high-protein food source, because they often have lower greenhouse gas (GHG) emission footprints than do the equivalent products farmed on land. However, sustainable intensification of low-emissions mariculture is key to maintaining a low GHG footprint as production scales up to meet future demand. We examine the major GHG sources and carbon sinks associated with fed finfish, macroalgae and bivalve mariculture, and the factors influencing variability across sectors. We highlight knowledge gaps and provide recommendations for GHG emissions reductions and carbon storage, including accounting for interactions between mariculture operations and surrounding marine ecosystems. By linking the provision of maricultured products to GHG abatement opportunities, we can advance climate-friendly practices that generate sustainable environmental, social, and economic outcomes.</w:t>
      </w:r>
    </w:p>
    <w:p>
      <w:pPr/>
      <w:r>
        <w:rPr>
          <w:b/>
        </w:rPr>
        <w:t>POSSIBLE 2021:</w:t>
      </w:r>
      <w:r>
        <w:t xml:space="preserve"> Optimal order quantity considering carbon emission costs, defective items, and partial backorder — https://doi.org/10.5267/j.uscm.2021.3.002</w:t>
      </w:r>
    </w:p>
    <w:p>
      <w:pPr/>
      <w:r>
        <w:rPr>
          <w:b/>
        </w:rPr>
        <w:t>Shared claim-specific concepts:</w:t>
      </w:r>
      <w:r>
        <w:t xml:space="preserve"> order, meet, carbon, emissions, reduction, facing; EU scope not established. This is a provisional connection, not an outcome finding.</w:t>
      </w:r>
    </w:p>
    <w:p>
      <w:pPr>
        <w:pStyle w:val="SourceNote"/>
      </w:pPr>
      <w:r>
        <w:rPr>
          <w:b/>
        </w:rPr>
        <w:t>Available abstract (not full text):</w:t>
      </w:r>
      <w:r>
        <w:t xml:space="preserve"> To respond to the adoption of carbon pricing regulations, researchers and industry are developing low carbon inventory models that can meet emission reduction targets while maintaining company profits. The challenge is getting tougher when the company is still facing problems related to imperfect product quality. This research solves this problem by developing an economic order quantity (EOQ) model by considering several sources of carbon emissions, as well as the influence of the defective rates, different demand rates, selling price and holding cost for defective products, and shortages backorder. The objective function of the formulated mathematical model is to minimize the total costs which include the emission costs. A numerical example is developed to illustrate the model based on the previous data set. Sensitivity analysis is also carried out to validate the model and to learn more about the system characteristics. The total emissions are calculated and the affecting factors are identified.</w:t>
      </w:r>
    </w:p>
    <w:p>
      <w:pPr>
        <w:pStyle w:val="Heading2"/>
      </w:pPr>
      <w:r>
        <w:t>937.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r>
        <w:rPr>
          <w:b/>
        </w:rPr>
        <w:t>POSSIBLE 2021:</w:t>
      </w:r>
      <w:r>
        <w:t xml:space="preserve"> European Resuscitation Council Guidelines 2021: Ethics of resuscitation and end of life decisions — https://doi.org/10.1016/j.resuscitation.2021.02.017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pPr/>
      <w:r>
        <w:rPr>
          <w:b/>
        </w:rPr>
        <w:t>POSSIBLE 2021:</w:t>
      </w:r>
      <w:r>
        <w:t xml:space="preserve"> Vaccination as a Matter of Security and Security Management in European Union — https://doi.org/10.35808/ersj/2729</w:t>
      </w:r>
    </w:p>
    <w:p>
      <w:pPr/>
      <w:r>
        <w:rPr>
          <w:b/>
        </w:rPr>
        <w:t>Shared claim-specific concepts:</w:t>
      </w:r>
      <w:r>
        <w:t xml:space="preserve"> making, including, security, process, possible; EU scope visible. This is a provisional connection, not an outcome finding.</w:t>
      </w:r>
    </w:p>
    <w:p>
      <w:pPr>
        <w:pStyle w:val="SourceNote"/>
      </w:pPr>
      <w:r>
        <w:rPr>
          <w:b/>
        </w:rPr>
        <w:t>Available abstract (not full text):</w:t>
      </w:r>
      <w:r>
        <w:t xml:space="preserve">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pPr/>
      <w:r>
        <w:rPr>
          <w:b/>
        </w:rPr>
        <w:t>POSSIBLE 2021:</w:t>
      </w:r>
      <w:r>
        <w:t xml:space="preserve"> A Security-by-Design Decision-Making Model for Risk Management in Autonomous Vehicles — https://doi.org/10.1109/access.2021.3098675</w:t>
      </w:r>
    </w:p>
    <w:p>
      <w:pPr/>
      <w:r>
        <w:rPr>
          <w:b/>
        </w:rPr>
        <w:t>Shared claim-specific concepts:</w:t>
      </w:r>
      <w:r>
        <w:t xml:space="preserve"> security, process, methods, used; EU scope not established. This is a provisional connection, not an outcome finding.</w:t>
      </w:r>
    </w:p>
    <w:p>
      <w:pPr>
        <w:pStyle w:val="SourceNote"/>
      </w:pPr>
      <w:r>
        <w:rPr>
          <w:b/>
        </w:rPr>
        <w:t>Available abstract (not full text):</w:t>
      </w:r>
      <w:r>
        <w:t xml:space="preserve">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pPr/>
      <w:r>
        <w:rPr>
          <w:b/>
        </w:rPr>
        <w:t>POSSIBLE 2020:</w:t>
      </w:r>
      <w:r>
        <w:t xml:space="preserve"> Storylines for decision-making: climate and food security in Namibia — https://doi.org/10.1080/17565529.2020.1808438</w:t>
      </w:r>
    </w:p>
    <w:p>
      <w:pPr/>
      <w:r>
        <w:rPr>
          <w:b/>
        </w:rPr>
        <w:t>Shared claim-specific concepts:</w:t>
      </w:r>
      <w:r>
        <w:t xml:space="preserve"> security, used, possible; EU scope not established. This is a provisional connection, not an outcome finding.</w:t>
      </w:r>
    </w:p>
    <w:p>
      <w:pPr>
        <w:pStyle w:val="SourceNote"/>
      </w:pPr>
      <w:r>
        <w:rPr>
          <w:b/>
        </w:rPr>
        <w:t>Available abstract (not full text):</w:t>
      </w:r>
      <w:r>
        <w:t xml:space="preserve">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pPr/>
      <w:r>
        <w:rPr>
          <w:b/>
        </w:rPr>
        <w:t>POSSIBLE 2019:</w:t>
      </w:r>
      <w:r>
        <w:t xml:space="preserve"> The European guideline on management of major bleeding and coagulopathy following trauma: fifth edition — https://doi.org/10.1186/s13054-019-2347-3</w:t>
      </w:r>
    </w:p>
    <w:p>
      <w:pPr/>
      <w:r>
        <w:rPr>
          <w:b/>
        </w:rPr>
        <w:t>Shared claim-specific concepts:</w:t>
      </w:r>
      <w:r>
        <w:t xml:space="preserve"> major, including, process, methods; EU scope visible. This is a provisional connection, not an outcome finding.</w:t>
      </w:r>
    </w:p>
    <w:p>
      <w:pPr>
        <w:pStyle w:val="SourceNote"/>
      </w:pPr>
      <w:r>
        <w:rPr>
          <w:b/>
        </w:rPr>
        <w:t>Available abstract (not full text):</w:t>
      </w:r>
      <w:r>
        <w:t xml:space="preserve">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938.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r>
        <w:rPr>
          <w:b/>
        </w:rPr>
        <w:t>POSSIBLE 2022:</w:t>
      </w:r>
      <w:r>
        <w:t xml:space="preserve"> Direct and indirect effect of European Uniondirectives in the context of European UnionCourt of Justice decisions — https://doi.org/10.46925//rdluz.38.06</w:t>
      </w:r>
    </w:p>
    <w:p>
      <w:pPr/>
      <w:r>
        <w:rPr>
          <w:b/>
        </w:rPr>
        <w:t>Shared claim-specific concepts:</w:t>
      </w:r>
      <w:r>
        <w:t xml:space="preserve"> direct, indirect, particular; EU scope visible. This is a provisional connection, not an outcome finding.</w:t>
      </w:r>
    </w:p>
    <w:p>
      <w:pPr>
        <w:pStyle w:val="SourceNote"/>
      </w:pPr>
      <w:r>
        <w:rPr>
          <w:b/>
        </w:rPr>
        <w:t>Available abstract (not full text):</w:t>
      </w:r>
      <w:r>
        <w:t xml:space="preserve">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pPr/>
      <w:r>
        <w:rPr>
          <w:b/>
        </w:rPr>
        <w:t>POSSIBLE 2022:</w:t>
      </w:r>
      <w:r>
        <w:t xml:space="preserve"> Investigating the Effects of Climate Change on Structural Actions — https://doi.org/10.1080/10168664.2022.2098894</w:t>
      </w:r>
    </w:p>
    <w:p>
      <w:pPr/>
      <w:r>
        <w:rPr>
          <w:b/>
        </w:rPr>
        <w:t>Shared claim-specific concepts:</w:t>
      </w:r>
      <w:r>
        <w:t xml:space="preserve"> investigate, direct, indirect, climate, likely, consequences; EU scope visible. This is a provisional connection, not an outcome finding.</w:t>
      </w:r>
    </w:p>
    <w:p>
      <w:pPr>
        <w:pStyle w:val="SourceNote"/>
      </w:pPr>
      <w:r>
        <w:rPr>
          <w:b/>
        </w:rPr>
        <w:t>Available abstract (not full text):</w:t>
      </w:r>
      <w:r>
        <w:t xml:space="preserve">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pPr/>
      <w:r>
        <w:rPr>
          <w:b/>
        </w:rPr>
        <w:t>POSSIBLE 2021:</w:t>
      </w:r>
      <w:r>
        <w:t xml:space="preserve"> Investigating direct and indirect globalization-based acculturation — https://doi.org/10.1016/j.ijintrel.2021.07.012</w:t>
      </w:r>
    </w:p>
    <w:p>
      <w:pPr/>
      <w:r>
        <w:rPr>
          <w:b/>
        </w:rPr>
        <w:t>Shared claim-specific concepts:</w:t>
      </w:r>
      <w:r>
        <w:t xml:space="preserve"> direct, indirect, associated; EU scope not established. This is a provisional connection, not an outcome finding.</w:t>
      </w:r>
    </w:p>
    <w:p>
      <w:pPr>
        <w:pStyle w:val="SourceNote"/>
      </w:pPr>
      <w:r>
        <w:rPr>
          <w:b/>
        </w:rPr>
        <w:t>Available abstract (not full text):</w:t>
      </w:r>
      <w:r>
        <w:t xml:space="preserve">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Climate Change and Glacier Reaction in the European Alps — https://doi.org/10.1093/acrefore/9780190228620.013.763</w:t>
      </w:r>
    </w:p>
    <w:p>
      <w:pPr/>
      <w:r>
        <w:rPr>
          <w:b/>
        </w:rPr>
        <w:t>Shared claim-specific concepts:</w:t>
      </w:r>
      <w:r>
        <w:t xml:space="preserve"> direct, climate, important, particular; EU scope visible. This is a provisional connection, not an outcome finding.</w:t>
      </w:r>
    </w:p>
    <w:p>
      <w:pPr>
        <w:pStyle w:val="SourceNote"/>
      </w:pPr>
      <w:r>
        <w:rPr>
          <w:b/>
        </w:rPr>
        <w:t>Available abstract (not full text):</w:t>
      </w:r>
      <w:r>
        <w:t xml:space="preserve">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pPr/>
      <w:r>
        <w:rPr>
          <w:b/>
        </w:rPr>
        <w:t>POSSIBLE 2020:</w:t>
      </w:r>
      <w:r>
        <w:t xml:space="preserve"> Investigating the direct and indirect effects of forest fragmentation on plant functional diversity — https://doi.org/10.1371/journal.pone.0235210</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939.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r>
        <w:rPr>
          <w:b/>
        </w:rPr>
        <w:t>POSSIBLE 2023:</w:t>
      </w:r>
      <w:r>
        <w:t xml:space="preserve"> Healthcare price transparency in North America and Europe — https://doi.org/10.1259/bjr.20230236</w:t>
      </w:r>
    </w:p>
    <w:p>
      <w:pPr/>
      <w:r>
        <w:rPr>
          <w:b/>
        </w:rPr>
        <w:t>Shared claim-specific concepts:</w:t>
      </w:r>
      <w:r>
        <w:t xml:space="preserve"> healthcare, result; EU scope visible. This is a provisional connection, not an outcome finding.</w:t>
      </w:r>
    </w:p>
    <w:p>
      <w:pPr>
        <w:pStyle w:val="SourceNote"/>
      </w:pPr>
      <w:r>
        <w:rPr>
          <w:b/>
        </w:rPr>
        <w:t>Available abstract (not full text):</w:t>
      </w:r>
      <w:r>
        <w:t xml:space="preserve"> Healthcare price transparency is an effort to inform patient decision-making, but also to decrease prices and their variation across healthcare systems for equivalent medical services. The initiative is meaningful only for medical services that are shoppable-such as imaging examinations-for which patients incur out-of-pocket costs. Therefore, several countries in which patients commonly share a portion of their healthcare costs have been implementing mandates to improve healthcare price transparency. However, the provisional implementation has many issues, especially in the United States, including provider non-compliance and limited accessibility of price transparency tools by the general public. Many of the existing tools are not user-friendly, are difficult to navigate, focus on charges and health plan negotiated rates rather than patients' out-of-pocket costs, and disclose prices on the service level instead of per episode of care. As such, the disclosed amounts are often not reliable. Many price transparency tools also lack valid and measurable quality metrics, which can result in a selection of high-cost care as a proxy for high-value care, as well as an increase in healthcare prices when providers want to imply they offer high-quality care. Nevertheless, the impact of the initiatives on patients' decision-making and healthcare costs remains unclear. While transparency in</w:t>
      </w:r>
    </w:p>
    <w:p>
      <w:pPr/>
      <w:r>
        <w:rPr>
          <w:b/>
        </w:rPr>
        <w:t>POSSIBLE 2022:</w:t>
      </w:r>
      <w:r>
        <w:t xml:space="preserve"> Healthcare resource utilisation and medical costs for children with interstitial lung diseases (chILD) in Europe — https://doi.org/10.1136/thoraxjnl-2021-217751</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BACKGROUND: No data on healthcare utilisation and associated costs for the many rare entities of children's interstitial lung diseases (chILD) exist. This paper portrays healthcare utilisation structures among individuals with chILD, provides a pan-European estimate of a 3-month interval per-capita costs and delineates crucial cost drivers. METHODS: Based on longitudinal healthcare resource utilisation pattern of 445 children included in the Kids Lung Register diagnosed with chILD across 10 European countries, we delineated direct medical and non-medical costs of care per 3-month interval. Country-specific utilisation patterns were assessed with a children-tailored modification of the validated FIMA questionnaire and valued by German unit costs. Costs of care and their drivers were subsequently identified via gamma-distributed generalised linear regression models. RESULTS: During the 3 months prior to inclusion into the registry (baseline), the rate of hospital admissions and inpatient days was high. Unadjusted direct medical per capita costs (€19 818) exceeded indirect (€1 907) and direct non-medical costs (€1 125) by far. Country-specific total costs ranged from €8 713 in Italy to €28 788 in Poland. Highest expenses were caused by the disease categories 'diffuse parenchymal lung disease (DPLD)-diffuse developmental disorders' (€45 536) and 'DPLD-unclear in the non-neonate' (€</w:t>
      </w:r>
    </w:p>
    <w:p>
      <w:pPr/>
      <w:r>
        <w:rPr>
          <w:b/>
        </w:rPr>
        <w:t>POSSIBLE 2022:</w:t>
      </w:r>
      <w:r>
        <w:t xml:space="preserve"> Direct healthcare costs of Rome IV or Rome III ‐defined irritable bowel syndrome in the United Kingdom — https://doi.org/10.1111/apt.16939</w:t>
      </w:r>
    </w:p>
    <w:p>
      <w:pPr/>
      <w:r>
        <w:rPr>
          <w:b/>
        </w:rPr>
        <w:t>Shared claim-specific concepts:</w:t>
      </w:r>
      <w:r>
        <w:t xml:space="preserve"> direct, healthcare, billion; EU scope not established. This is a provisional connection, not an outcome finding.</w:t>
      </w:r>
    </w:p>
    <w:p>
      <w:pPr>
        <w:pStyle w:val="SourceNote"/>
      </w:pPr>
      <w:r>
        <w:rPr>
          <w:b/>
        </w:rPr>
        <w:t>Available abstract (not full text):</w:t>
      </w:r>
      <w:r>
        <w:t xml:space="preserve"> BACKGROUND: Previous studies have demonstrated a substantial economic impact of irritable bowel syndrome (IBS). AIMS: To provide contemporaneous estimates of direct healthcare costs of IBS in the United Kingdom. METHODS: We collected demographic, gastrointestinal and psychological symptoms, quality of life and healthcare usage data from adults with Rome IV or Rome III IBS in the United Kingdom. We calculated the mean annual direct healthcare costs of IBS per person and used contemporaneous IBS prevalence data, together with census data, to estimate annual direct costs of IBS. We also examined predictors of higher costs. RESULTS: The mean annual direct cost of IBS per person among 752 individuals with Rome IV IBS was £556.65 (SD £1023.92) and £474.16 (SD £897.86) for 995 individuals with Rome III IBS. We estimate the annual direct healthcare cost of IBS in the United Kingdom is £1.27 billion if the Rome IV criteria are used to define IBS, and £2.07 billion using Rome III. Among individuals with Rome IV IBS, mean annual costs were higher in those with opiate use (£907.90 vs £470.58, p &lt; 0.001), more severe symptoms (p &lt; 0.001 for trend), a shorter duration of IBS (1 year, £1227.14 vs &gt;5 years £501.60, p = 0.002), lower quality of life (p &lt; 0.001 for trend), and higher depression, somatisation and gastrointestinal symptom-specific anxiety scores (P &lt; 0.001 for trend for all). CONC</w:t>
      </w:r>
    </w:p>
    <w:p>
      <w:pPr/>
      <w:r>
        <w:rPr>
          <w:b/>
        </w:rPr>
        <w:t>POSSIBLE 2021:</w:t>
      </w:r>
      <w:r>
        <w:t xml:space="preserve"> Direct healthcare costs of lip, oral cavity and oropharyngeal cancer in Brazil — https://doi.org/10.1371/journal.pone.0246475</w:t>
      </w:r>
    </w:p>
    <w:p>
      <w:pPr/>
      <w:r>
        <w:rPr>
          <w:b/>
        </w:rPr>
        <w:t>Shared claim-specific concepts:</w:t>
      </w:r>
      <w:r>
        <w:t xml:space="preserve"> direct, healthcare, associated, million, spent, over; EU scope not established. This is a provisional connection, not an outcome finding.</w:t>
      </w:r>
    </w:p>
    <w:p>
      <w:pPr>
        <w:pStyle w:val="SourceNote"/>
      </w:pPr>
      <w:r>
        <w:rPr>
          <w:b/>
        </w:rPr>
        <w:t>Available abstract (not full text):</w:t>
      </w:r>
      <w:r>
        <w:t xml:space="preserve"> The efficiency of public policies includes the measurement of the health resources used and their associated costs. There is a lack of studies evaluating the economic impact of oral cancer (OC). This study aims to estimate the healthcare costs of OC in Brazil from 2008 to 2016. This is a partial economic evaluation using the gross costing top-down method, considering the direct healthcare costs related to outpatients, inpatients, intensive care units, and the number of procedures, from the perspective of the public health sector. The data were extracted from the Outpatient and Inpatient Information System of the National Health System, by diagnosis according to the 10th Revision of the International Classification of Diseases, according to sites of interest: C00 to C06, C09 and C10. The values were adjusted for annual accumulated inflation and expressed in 2018 I$ (1 I$ = R$2,044). Expenditure on OC healthcare in Brazil was I$495.6 million, which was composed of 50.8% (I$251.6 million) outpatient and 49.2% (I$244.0 million) inpatient healthcare. About 177,317 admissions and 6,224,236 outpatient procedures were registered. Chemotherapy and radiotherapy comprised the largest number of procedures (88.8%) and costs (94.9%). Most of the costs were spent on people over 50 years old (72.9%) and on males (75.6%). Direct healthcare costs in Brazil for OC are substantial. Outpatient proc</w:t>
      </w:r>
    </w:p>
    <w:p>
      <w:pPr/>
      <w:r>
        <w:rPr>
          <w:b/>
        </w:rPr>
        <w:t>POSSIBLE 2020:</w:t>
      </w:r>
      <w:r>
        <w:t xml:space="preserve"> Real‐world data for direct stage‐specific costs of melanoma healthcare — https://doi.org/10.1111/bjd.18896</w:t>
      </w:r>
    </w:p>
    <w:p>
      <w:pPr/>
      <w:r>
        <w:rPr>
          <w:b/>
        </w:rPr>
        <w:t>Shared claim-specific concepts:</w:t>
      </w:r>
      <w:r>
        <w:t xml:space="preserve"> direct, healthcare, population; EU scope visible. This is a provisional connection, not an outcome finding.</w:t>
      </w:r>
    </w:p>
    <w:p>
      <w:pPr>
        <w:pStyle w:val="SourceNote"/>
      </w:pPr>
      <w:r>
        <w:rPr>
          <w:b/>
        </w:rPr>
        <w:t>Available abstract (not full text):</w:t>
      </w:r>
      <w:r>
        <w:t xml:space="preserve"> Dear Editor, In Europe, melanoma is the fourth most common cancer diagnosed in young adults (20–45 years old).1 It also has one of the fastest‐growing incidence rates globally, and this trend is expected to continue in all European countries.2 Thus, and also due to the costly new treatment options available, the economic burden of this illness is expected to keep increasing as well.3 In times of limited resources, evidence of the cost of a disease should be among the main pillars supporting policymakers. Thus, we aimed to provide a detailed estimate of the real‐world, stage‐specific, direct healthcare costs of melanoma from the perspective of the Italian National Healthcare Service, to enable policymakers to draw comparisons and make decisions regarding the allocation of public resources in this era of promising, but expensive, novel pharmacological strategies. We considered 599 cases of melanoma diagnosed in 2015 in four provinces of the Veneto region. Melanomas of unknown thickness at diagnosis (39 patients) were disregarded. We considered the costs of delivering care to patients from the first suspicion of pathology until the end of the second year after the diagnosis, stratified by cost item and tumour–nodes–metastasis (TNM) stage of melanoma at diagnosis, in two ways. We calculated firstly, overall costs (including all the health expenditures of a given patient) and second</w:t>
      </w:r>
    </w:p>
    <w:p>
      <w:pPr/>
      <w:r>
        <w:rPr>
          <w:b/>
        </w:rPr>
        <w:t>POSSIBLE 2020:</w:t>
      </w:r>
      <w:r>
        <w:t xml:space="preserve"> Estimate of Burden and Direct Healthcare Cost of Infectious Waterborne Disease in the United States — https://doi.org/10.3201/eid2701.190676</w:t>
      </w:r>
    </w:p>
    <w:p>
      <w:pPr/>
      <w:r>
        <w:rPr>
          <w:b/>
        </w:rPr>
        <w:t>Shared claim-specific concepts:</w:t>
      </w:r>
      <w:r>
        <w:t xml:space="preserve"> direct, healthcare, billion, million; EU scope not established. This is a provisional connection, not an outcome finding.</w:t>
      </w:r>
    </w:p>
    <w:p>
      <w:pPr>
        <w:pStyle w:val="SourceNote"/>
      </w:pPr>
      <w:r>
        <w:rPr>
          <w:b/>
        </w:rPr>
        <w:t>Available abstract (not full text):</w:t>
      </w:r>
      <w:r>
        <w:t xml:space="preserve"> Provision of safe drinking water in the United States is a great public health achievement. However, new waterborne disease challenges have emerged (e.g., aging infrastructure, chlorine-tolerant and biofilm-related pathogens, increased recreational water use). Comprehensive estimates of the health burden for all water exposure routes (ingestion, contact, inhalation) and sources (drinking, recreational, environmental) are needed. We estimated total illnesses, emergency department (ED) visits, hospitalizations, deaths, and direct healthcare costs for 17 waterborne infectious diseases. About 7.15 million waterborne illnesses occur annually (95% credible interval [CrI] 3.88 million-12.0 million), results in 601,000 ED visits (95% CrI 364,000-866,000), 118,000 hospitalizations (95% CrI 86,800-150,000), and 6,630 deaths (95% CrI 4,520-8,870) and incurring US $3.33 billion (95% CrI 1.37 billion-8.77 billion) in direct healthcare costs. Otitis externa and norovirus infection were the most common illnesses. Most hospitalizations and deaths were caused by biofilm-associated pathogens (nontuberculous mycobacteria, Pseudomonas, Legionella), costing US $2.39 billion annually.</w:t>
      </w:r>
    </w:p>
    <w:p>
      <w:pPr>
        <w:pStyle w:val="Heading2"/>
      </w:pPr>
      <w:r>
        <w:t>940.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due, climate, show;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2023:</w:t>
      </w:r>
      <w:r>
        <w:t xml:space="preserve"> Advanced mycotoxin control and decontamination techniques in view of an increased aflatoxin risk in Europe due to climate change — https://doi.org/10.3389/fmicb.2022.1085891</w:t>
      </w:r>
    </w:p>
    <w:p>
      <w:pPr/>
      <w:r>
        <w:rPr>
          <w:b/>
        </w:rPr>
        <w:t>Shared claim-specific concepts:</w:t>
      </w:r>
      <w:r>
        <w:t xml:space="preserve"> due, climate, factors, health, both; EU scope visible. This is a provisional connection, not an outcome finding.</w:t>
      </w:r>
    </w:p>
    <w:p>
      <w:pPr>
        <w:pStyle w:val="SourceNote"/>
      </w:pPr>
      <w:r>
        <w:rPr>
          <w:b/>
        </w:rPr>
        <w:t>Available abstract (not full text):</w:t>
      </w:r>
      <w:r>
        <w:t xml:space="preserve">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pPr/>
      <w:r>
        <w:rPr>
          <w:b/>
        </w:rPr>
        <w:t>POSSIBLE 2022:</w:t>
      </w:r>
      <w:r>
        <w:t xml:space="preserve"> Assessing the Projected Changes in European Air Stagnation due to Climate Change — https://doi.org/10.1175/jcli-d-22-0180.1</w:t>
      </w:r>
    </w:p>
    <w:p>
      <w:pPr/>
      <w:r>
        <w:rPr>
          <w:b/>
        </w:rPr>
        <w:t>Shared claim-specific concepts:</w:t>
      </w:r>
      <w:r>
        <w:t xml:space="preserve"> due, climate, air, pollution, health, weather; EU scope visible. This is a provisional connection, not an outcome finding.</w:t>
      </w:r>
    </w:p>
    <w:p>
      <w:pPr>
        <w:pStyle w:val="SourceNote"/>
      </w:pPr>
      <w:r>
        <w:rPr>
          <w:b/>
        </w:rPr>
        <w:t>Available abstract (not full text):</w:t>
      </w:r>
      <w:r>
        <w:t xml:space="preserve">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pPr/>
      <w:r>
        <w:rPr>
          <w:b/>
        </w:rPr>
        <w:t>POSSIBLE 2022:</w:t>
      </w:r>
      <w:r>
        <w:t xml:space="preserve"> The State of Dark Coniferous Forests on the East European Plain Due to Climate Change — https://doi.org/10.3390/life12111874</w:t>
      </w:r>
    </w:p>
    <w:p>
      <w:pPr/>
      <w:r>
        <w:rPr>
          <w:b/>
        </w:rPr>
        <w:t>Shared claim-specific concepts:</w:t>
      </w:r>
      <w:r>
        <w:t xml:space="preserve"> due, climate, factors, changing, significant; EU scope visible. This is a provisional connection, not an outcome finding.</w:t>
      </w:r>
    </w:p>
    <w:p>
      <w:pPr>
        <w:pStyle w:val="SourceNote"/>
      </w:pPr>
      <w:r>
        <w:rPr>
          <w:b/>
        </w:rPr>
        <w:t>Available abstract (not full text):</w:t>
      </w:r>
      <w:r>
        <w:t xml:space="preserve">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due, climate, other, air, pollution;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2021:</w:t>
      </w:r>
      <w:r>
        <w:t xml:space="preserve"> Predicted Aflatoxin B1 Increase in Europe Due to Climate Change: Actions and Reactions at Global Level — https://doi.org/10.3390/toxins13040292</w:t>
      </w:r>
    </w:p>
    <w:p>
      <w:pPr/>
      <w:r>
        <w:rPr>
          <w:b/>
        </w:rPr>
        <w:t>Shared claim-specific concepts:</w:t>
      </w:r>
      <w:r>
        <w:t xml:space="preserve"> due, climate, areas, health, both; EU scope visible. This is a provisional connection, not an outcome finding.</w:t>
      </w:r>
    </w:p>
    <w:p>
      <w:pPr>
        <w:pStyle w:val="SourceNote"/>
      </w:pPr>
      <w:r>
        <w:rPr>
          <w:b/>
        </w:rPr>
        <w:t>Available abstract (not full text):</w:t>
      </w:r>
      <w:r>
        <w:t xml:space="preserve">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pPr/>
      <w:r>
        <w:rPr>
          <w:b/>
        </w:rPr>
        <w:t>POSSIBLE 2020:</w:t>
      </w:r>
      <w:r>
        <w:t xml:space="preserve"> Campylobacter infections expected to increase due to climate change in Northern Europe — https://doi.org/10.1038/s41598-020-70593-y</w:t>
      </w:r>
    </w:p>
    <w:p>
      <w:pPr/>
      <w:r>
        <w:rPr>
          <w:b/>
        </w:rPr>
        <w:t>Shared claim-specific concepts:</w:t>
      </w:r>
      <w:r>
        <w:t xml:space="preserve"> due, climate, patterns, world, health, show; EU scope visible. This is a provisional connection, not an outcome finding.</w:t>
      </w:r>
    </w:p>
    <w:p>
      <w:pPr>
        <w:pStyle w:val="SourceNote"/>
      </w:pPr>
      <w:r>
        <w:rPr>
          <w:b/>
        </w:rPr>
        <w:t>Available abstract (not full text):</w:t>
      </w:r>
      <w:r>
        <w:t xml:space="preserve">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pPr/>
      <w:r>
        <w:rPr>
          <w:b/>
        </w:rPr>
        <w:t>POSSIBLE 2020:</w:t>
      </w:r>
      <w:r>
        <w:t xml:space="preserve"> Climate and air quality impacts due to mitigation of non-methane near-term climate forcers — https://doi.org/10.5194/acp-20-9641-2020</w:t>
      </w:r>
    </w:p>
    <w:p>
      <w:pPr/>
      <w:r>
        <w:rPr>
          <w:b/>
        </w:rPr>
        <w:t>Shared claim-specific concepts:</w:t>
      </w:r>
      <w:r>
        <w:t xml:space="preserve"> due, climate, other, air, significant, effect; EU scope not established. This is a provisional connection, not an outcome finding.</w:t>
      </w:r>
    </w:p>
    <w:p>
      <w:pPr>
        <w:pStyle w:val="SourceNote"/>
      </w:pPr>
      <w:r>
        <w:rPr>
          <w:b/>
        </w:rPr>
        <w:t>Available abstract (not full text):</w:t>
      </w:r>
      <w:r>
        <w:t xml:space="preserve">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pPr/>
      <w:r>
        <w:rPr>
          <w:b/>
        </w:rPr>
        <w:t>POSSIBLE 2019:</w:t>
      </w:r>
      <w:r>
        <w:t xml:space="preserve"> Changes to Land Area Used for Grain Maize Production in Central Europe due to Predicted Climate Change — https://doi.org/10.1155/2019/9168285</w:t>
      </w:r>
    </w:p>
    <w:p>
      <w:pPr/>
      <w:r>
        <w:rPr>
          <w:b/>
        </w:rPr>
        <w:t>Shared claim-specific concepts:</w:t>
      </w:r>
      <w:r>
        <w:t xml:space="preserve"> due, climate, other, conditions; EU scope visible. This is a provisional connection, not an outcome finding.</w:t>
      </w:r>
    </w:p>
    <w:p>
      <w:pPr>
        <w:pStyle w:val="SourceNote"/>
      </w:pPr>
      <w:r>
        <w:rPr>
          <w:b/>
        </w:rPr>
        <w:t>Available abstract (not full text):</w:t>
      </w:r>
      <w:r>
        <w:t xml:space="preserve">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941.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r>
        <w:rPr>
          <w:b/>
        </w:rPr>
        <w:t>POSSIBLE 2020:</w:t>
      </w:r>
      <w:r>
        <w:t xml:space="preserve"> Smart Flexible Electronics‐Integrated Wound Dressing for Real‐Time Monitoring and On‐Demand Treatment of Infected Wounds — https://doi.org/10.1002/advs.201902673</w:t>
      </w:r>
    </w:p>
    <w:p>
      <w:pPr/>
      <w:r>
        <w:rPr>
          <w:b/>
        </w:rPr>
        <w:t>Shared claim-specific concepts:</w:t>
      </w:r>
      <w:r>
        <w:t xml:space="preserve"> here, developing; EU scope not established. This is a provisional connection, not an outcome finding.</w:t>
      </w:r>
    </w:p>
    <w:p>
      <w:pPr>
        <w:pStyle w:val="SourceNote"/>
      </w:pPr>
      <w:r>
        <w:rPr>
          <w:b/>
        </w:rPr>
        <w:t>Available abstract (not full text):</w:t>
      </w:r>
      <w:r>
        <w:t xml:space="preserve">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pPr/>
      <w:r>
        <w:rPr>
          <w:b/>
        </w:rPr>
        <w:t>POSSIBLE 2019:</w:t>
      </w:r>
      <w:r>
        <w:t xml:space="preserve"> Travel demand modeling for developing countries — https://doi.org/10.25669/e9jn-xt5w</w:t>
      </w:r>
    </w:p>
    <w:p>
      <w:pPr/>
      <w:r>
        <w:rPr>
          <w:b/>
        </w:rPr>
        <w:t>Shared claim-specific concepts:</w:t>
      </w:r>
      <w:r>
        <w:t xml:space="preserve"> significant, developing, primarily; EU scope not established. This is a provisional connection, not an outcome finding.</w:t>
      </w:r>
    </w:p>
    <w:p>
      <w:pPr>
        <w:pStyle w:val="SourceNote"/>
      </w:pPr>
      <w:r>
        <w:rPr>
          <w:b/>
        </w:rPr>
        <w:t>Available abstract (not full text):</w:t>
      </w:r>
      <w:r>
        <w:t xml:space="preserve">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pPr/>
      <w:r>
        <w:rPr>
          <w:b/>
        </w:rPr>
        <w:t>POSSIBLE 2019:</w:t>
      </w:r>
      <w:r>
        <w:t xml:space="preserve"> Meat Supply and Demand in Developing Countries: Past Trends and Projections to 2000 — https://doi.org/10.1201/9780429307225-2</w:t>
      </w:r>
    </w:p>
    <w:p>
      <w:pPr/>
      <w:r>
        <w:rPr>
          <w:b/>
        </w:rPr>
        <w:t>Shared claim-specific concepts:</w:t>
      </w:r>
      <w:r>
        <w:t xml:space="preserve"> here, significant, developing, rise, consumption; EU scope not established. This is a provisional connection, not an outcome finding.</w:t>
      </w:r>
    </w:p>
    <w:p>
      <w:pPr>
        <w:pStyle w:val="SourceNote"/>
      </w:pPr>
      <w:r>
        <w:rPr>
          <w:b/>
        </w:rPr>
        <w:t>Available abstract (not full text):</w:t>
      </w:r>
      <w:r>
        <w:t xml:space="preserve">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942.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2022:</w:t>
      </w:r>
      <w:r>
        <w:t xml:space="preserve"> Spatiotemporal Variation in Emotional Responses to 2017 Terrorist Attacks in London Using Twitter Data — https://doi.org/10.57709/12007502</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pPr/>
      <w:r>
        <w:rPr>
          <w:b/>
        </w:rPr>
        <w:t>POSSIBLE 2022:</w:t>
      </w:r>
      <w:r>
        <w:t xml:space="preserve"> Psychosocial care responses to terrorist attacks: a country case study of Norway, France and Belgium — https://doi.org/10.1186/s12913-022-07691-2</w:t>
      </w:r>
    </w:p>
    <w:p>
      <w:pPr/>
      <w:r>
        <w:rPr>
          <w:b/>
        </w:rPr>
        <w:t>Shared claim-specific concepts:</w:t>
      </w:r>
      <w:r>
        <w:t xml:space="preserve"> terrorist, attacks, throughout, approach, long-term; EU scope visible. This is a provisional connection, not an outcome finding.</w:t>
      </w:r>
    </w:p>
    <w:p>
      <w:pPr>
        <w:pStyle w:val="SourceNote"/>
      </w:pPr>
      <w:r>
        <w:rPr>
          <w:b/>
        </w:rPr>
        <w:t>Available abstract (not full text):</w:t>
      </w:r>
      <w:r>
        <w:t xml:space="preserve">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pPr/>
      <w:r>
        <w:rPr>
          <w:b/>
        </w:rPr>
        <w:t>POSSIBLE 2021:</w:t>
      </w:r>
      <w:r>
        <w:t xml:space="preserve"> Media coverage of terrorist attacks in London in 2017: Comparison of news portals Aktuálně.cz and The Guardian — https://openalex.org/W7135787987</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pPr/>
      <w:r>
        <w:rPr>
          <w:b/>
        </w:rPr>
        <w:t>POSSIBLE 2021:</w:t>
      </w:r>
      <w:r>
        <w:t xml:space="preserve"> Analyzing Canadian PM Justin Trudeau’s Speech about Terrorist Attack on a Muslim Family in Ontario’s London: A Critical Perspective — https://doi.org/10.32996/ijls.2021.1.2.2</w:t>
      </w:r>
    </w:p>
    <w:p>
      <w:pPr/>
      <w:r>
        <w:rPr>
          <w:b/>
        </w:rPr>
        <w:t>Shared claim-specific concepts:</w:t>
      </w:r>
      <w:r>
        <w:t xml:space="preserve"> terrorist, london, approach, practice, levels, about; EU scope not established. This is a provisional connection, not an outcome finding.</w:t>
      </w:r>
    </w:p>
    <w:p>
      <w:pPr>
        <w:pStyle w:val="SourceNote"/>
      </w:pPr>
      <w:r>
        <w:rPr>
          <w:b/>
        </w:rPr>
        <w:t>Available abstract (not full text):</w:t>
      </w:r>
      <w:r>
        <w:t xml:space="preserve">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pPr/>
      <w:r>
        <w:rPr>
          <w:b/>
        </w:rPr>
        <w:t>POSSIBLE 2021:</w:t>
      </w:r>
      <w:r>
        <w:t xml:space="preserve"> Getting under the Skin: The Impact of Terrorist Attacks on Native and Immigrant Sentiment — https://doi.org/10.1093/sf/soab135</w:t>
      </w:r>
    </w:p>
    <w:p>
      <w:pPr/>
      <w:r>
        <w:rPr>
          <w:b/>
        </w:rPr>
        <w:t>Shared claim-specific concepts:</w:t>
      </w:r>
      <w:r>
        <w:t xml:space="preserve"> terrorist, attacks, understanding, little; EU scope visible. This is a provisional connection, not an outcome finding.</w:t>
      </w:r>
    </w:p>
    <w:p>
      <w:pPr>
        <w:pStyle w:val="SourceNote"/>
      </w:pPr>
      <w:r>
        <w:rPr>
          <w:b/>
        </w:rPr>
        <w:t>Available abstract (not full text):</w:t>
      </w:r>
      <w:r>
        <w:t xml:space="preserve">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pPr/>
      <w:r>
        <w:rPr>
          <w:b/>
        </w:rPr>
        <w:t>POSSIBLE 2020:</w:t>
      </w:r>
      <w:r>
        <w:t xml:space="preserve"> Space-Time Surveillance of Negative Emotions after Consecutive Terrorist Attacks in London — https://doi.org/10.3390/ijerph17114000</w:t>
      </w:r>
    </w:p>
    <w:p>
      <w:pPr/>
      <w:r>
        <w:rPr>
          <w:b/>
        </w:rPr>
        <w:t>Shared claim-specific concepts:</w:t>
      </w:r>
      <w:r>
        <w:t xml:space="preserve"> terrorist, attacks, london, levels, about, attention; EU scope not established. This is a provisional connection, not an outcome finding.</w:t>
      </w:r>
    </w:p>
    <w:p>
      <w:pPr>
        <w:pStyle w:val="SourceNote"/>
      </w:pPr>
      <w:r>
        <w:rPr>
          <w:b/>
        </w:rPr>
        <w:t>Available abstract (not full text):</w:t>
      </w:r>
      <w:r>
        <w:t xml:space="preserve">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943.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decrease, area, management, based;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Global Impact of COVID-19 Restrictions on the Surface Concentrations of Nitrogen Dioxide and Ozone — https://openalex.org/W3087582936</w:t>
      </w:r>
    </w:p>
    <w:p>
      <w:pPr/>
      <w:r>
        <w:rPr>
          <w:b/>
        </w:rPr>
        <w:t>Shared claim-specific concepts:</w:t>
      </w:r>
      <w:r>
        <w:t xml:space="preserve"> total, nitrogen, decrease, due, reduced; EU scope visible. This is a provisional connection, not an outcome finding.</w:t>
      </w:r>
    </w:p>
    <w:p>
      <w:pPr>
        <w:pStyle w:val="SourceNote"/>
      </w:pPr>
      <w:r>
        <w:rPr>
          <w:b/>
        </w:rPr>
        <w:t>Available abstract (not full text):</w:t>
      </w:r>
      <w:r>
        <w:t xml:space="preserve"> Social distancing to combat the COVID-19 pandemic has led to widespread reductions in air pollutant emissions. Quantifying these changes requires a business-as-usual counterfactual that accounts for the synoptic and seasonal variability of air pollutants. We use a machine learning algorithm driven by information from the NASA GEOS-CF model to assess changes in nitrogen dioxide (NO2) and ozone (O3) at 5756 observation sites in 46 countries from January through June 2020. Reductions in NO2 coincide with the timing and intensity of COVID-19 restrictions, ranging from 60 % in severely affected cities (e.g., Wuhan, Milan) to little change (e.g., Rio de Janeiro, Taipei). On average, NO2 concentrations were 18 (13-23) % lower than business as usual from February 2020 onward. China experienced the earliest and steepest decline, but concentrations since April have mostly recovered and remained within 5 % of the business-as-usual estimate. NO2 reductions in Europe and the US have been more gradual, with a halting recovery starting in late March. We estimate that the global NOx (NO + NO2) emission reduction during the first 6 months of 2020 amounted to 3.1 (2.6-3.6) TgN, equivalent to 5.5 (4.7-6.4) % of the annual anthropogenic total. The response of surface O3 is complicated by competing influences of nonlinear atmospheric chemistry. While surface O3 increased by up to 50 % in some locat</w:t>
      </w:r>
    </w:p>
    <w:p>
      <w:pPr/>
      <w:r>
        <w:rPr>
          <w:b/>
        </w:rPr>
        <w:t>POSSIBLE 2021:</w:t>
      </w:r>
      <w:r>
        <w:t xml:space="preserve"> Response of chlorophyll a to total nitrogen and total phosphorus concentrations in lotic ecosystems: a systematic review — https://doi.org/10.1186/s13750-021-00238-8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Abstract Background Eutrophication of freshwater ecosystems resulting from nitrogen and phosphorus pollution is a major environmental stressor across the globe. In this systematic review, we compiled and synthesized literature on sestonic and benthic chlorophyll a (chl-a) responses to total nitrogen (TN) and total phosphorus (TP) concentrations in the water column in streams and rivers to provide a state-of-the-science summary of nutrient impacts on these endpoints. This review was motivated by the need for comprehensive information on stressor-response relationships for the most common nutrient and biotic response measures used by state-level environmental managers in the United States to assess eutrophication of lotic ecosystems and support environmental decision making. Methods Searches for peer-reviewed and non-peer-reviewed articles were conducted using bibliographic databases, specialist websites, and search engines. These returns were supplemented with citation mapping and requests for material from experts. Articles were screened for relevance using pre-determined eligibility criteria, and risk of bias was evaluated for each included article based on study type-specific criteria. Narrative summaries and meta-analysis were used to evaluate four primary stressor-response relationships: TN-benthic chl-a, TP-benthic chl-a, TN-sestonic chl-a, and TP-sestonic chl-a. Potential</w:t>
      </w:r>
    </w:p>
    <w:p>
      <w:pPr/>
      <w:r>
        <w:rPr>
          <w:b/>
        </w:rPr>
        <w:t>POSSIBLE 2020:</w:t>
      </w:r>
      <w:r>
        <w:t xml:space="preserve"> Nitrogen Dioxide (NO2) Pollution Monitoring with Sentinel-5P Satellite Imagery over Europe during the Coronavirus Pandemic Outbreak — https://doi.org/10.3390/rs12213575</w:t>
      </w:r>
    </w:p>
    <w:p>
      <w:pPr/>
      <w:r>
        <w:rPr>
          <w:b/>
        </w:rPr>
        <w:t>Shared claim-specific concepts:</w:t>
      </w:r>
      <w:r>
        <w:t xml:space="preserve"> nitrogen, decrease, based; EU scope visible. This is a provisional connection, not an outcome finding.</w:t>
      </w:r>
    </w:p>
    <w:p>
      <w:pPr>
        <w:pStyle w:val="SourceNote"/>
      </w:pPr>
      <w:r>
        <w:rPr>
          <w:b/>
        </w:rPr>
        <w:t>Available abstract (not full text):</w:t>
      </w:r>
      <w:r>
        <w:t xml:space="preserve"> Nitrogen dioxide (NO2) is one of the main air quality pollutants of concern in many urban and industrial areas worldwide, and particularly in the European region, where in 2017 almost 20 countries exceeded the NO2 annual limit values imposed by the European Commission Directive 2008/50/EC (EEA, 2019). NO2 pollution monitoring and regulation is a necessary task to help decision makers to search for a sustainable solution for environmental quality and population health status improvement. In this study, we propose a comparative analysis of the tropospheric NO2 column spatial configuration over Europe between similar periods in 2019 and 2020, based on the ESA Copernicus Sentinel-5P products. The results highlight the NO2 pollution dynamics over the abrupt transition from a normal condition situation to the COVID-19 outbreak context, characterized by a short-time decrease of traffic intensities and industrial activities, revealing remarkable tropospheric NO2 column number density decreases even of 85% in some of the European big cities. The validation approach of the satellite-derived data, based on a cross-correlation analysis with independent data from ground-based observations, provided encouraging values of the correlation coefficients (R2), ranging between 0.5 and 0.75 in different locations. The remarkable decrease of NO2 pollution over Europe during the COVID-19 lockdown is </w:t>
      </w:r>
    </w:p>
    <w:p>
      <w:pPr/>
      <w:r>
        <w:rPr>
          <w:b/>
        </w:rPr>
        <w:t>POSSIBLE 2020:</w:t>
      </w:r>
      <w:r>
        <w:t xml:space="preserve"> Nitrogen Surplus—A Unified Indicator for Water Pollution in Europe? — https://doi.org/10.3390/w12041197</w:t>
      </w:r>
    </w:p>
    <w:p>
      <w:pPr/>
      <w:r>
        <w:rPr>
          <w:b/>
        </w:rPr>
        <w:t>Shared claim-specific concepts:</w:t>
      </w:r>
      <w:r>
        <w:t xml:space="preserve"> nitrogen, well, management; EU scope visible. This is a provisional connection, not an outcome finding.</w:t>
      </w:r>
    </w:p>
    <w:p>
      <w:pPr>
        <w:pStyle w:val="SourceNote"/>
      </w:pPr>
      <w:r>
        <w:rPr>
          <w:b/>
        </w:rPr>
        <w:t>Available abstract (not full text):</w:t>
      </w:r>
      <w:r>
        <w:t xml:space="preserve">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pPr/>
      <w:r>
        <w:rPr>
          <w:b/>
        </w:rPr>
        <w:t>POSSIBLE 2020:</w:t>
      </w:r>
      <w:r>
        <w:t xml:space="preserve"> Is the lady's-slipper orchid (Cypripedium calceolus) likely to shortly become extinct in Europe?—Insights based on ecological niche modelling — https://doi.org/10.1371/journal.pone.0228420</w:t>
      </w:r>
    </w:p>
    <w:p>
      <w:pPr/>
      <w:r>
        <w:rPr>
          <w:b/>
        </w:rPr>
        <w:t>Shared claim-specific concepts:</w:t>
      </w:r>
      <w:r>
        <w:t xml:space="preserve"> total, likely, area, result, based; EU scope visible. This is a provisional connection, not an outcome finding.</w:t>
      </w:r>
    </w:p>
    <w:p>
      <w:pPr>
        <w:pStyle w:val="SourceNote"/>
      </w:pPr>
      <w:r>
        <w:rPr>
          <w:b/>
        </w:rPr>
        <w:t>Available abstract (not full text):</w:t>
      </w:r>
      <w:r>
        <w:t xml:space="preserve"> Lady's-slipper orchid (Cypripedium calceolus) is considered an endangered species in most countries within its geographical range. The main reason for the decline in the number of populations of this species in Europe is habitat destruction. In this paper the ecological niche modelling approach was used to estimate the effect of future climate change on the area of niches suitable for C. calceolus. Predictions of the extent of the potential range of this species in 2070 were made using climate projections obtained from the Community Climate System Model for four representative concentration pathways: rcp2.6, rcp4.5, rcp6.0 and rcp8.5. According to these analyses all the scenarios of future climate change will result in the total area of niches suitable for C. calceolus decreasing. Considering areas characterized by a suitability of at least 0.4 the loss of habitat will vary between ca. 30% and 63%. The highest habitat loss of ca. 63% is predicted to occur in scenario rcp 8.5. Surprisingly, in the most damaging rcp 8.5 prediction the highest overlap between potential range of C. calceolus and its pollinators will be observed and in all other scenarios some pollinators will be available for this species in various geographical regions. Based on these results at least two approaches should be implemented to improve the chances of survival of C. calceolus. In view of the unavoidabl</w:t>
      </w:r>
    </w:p>
    <w:p>
      <w:pPr/>
      <w:r>
        <w:rPr>
          <w:b/>
        </w:rPr>
        <w:t>POSSIBLE 2019:</w:t>
      </w:r>
      <w:r>
        <w:t xml:space="preserve"> Effects of anthropogenic nitrogen discharge on dissolved inorganic nitrogen transport in global rivers — https://doi.org/10.1111/gcb.14570</w:t>
      </w:r>
    </w:p>
    <w:p>
      <w:pPr/>
      <w:r>
        <w:rPr>
          <w:b/>
        </w:rPr>
        <w:t>Shared claim-specific concepts:</w:t>
      </w:r>
      <w:r>
        <w:t xml:space="preserve"> total, nitrogen, based; EU scope visible. This is a provisional connection, not an outcome finding.</w:t>
      </w:r>
    </w:p>
    <w:p>
      <w:pPr>
        <w:pStyle w:val="SourceNote"/>
      </w:pPr>
      <w:r>
        <w:rPr>
          <w:b/>
        </w:rPr>
        <w:t>Available abstract (not full text):</w:t>
      </w:r>
      <w:r>
        <w:t xml:space="preserve"> Excess nutrients from fertilizer application, pollution discharge, and water regulations outflow through rivers from lands to oceans, seriously impacting coastal ecosystems. A reasonable representation of these processes in land surface models and River Transport Models (RTMs) is very important for understanding human-environment interactions. In this study, the schemes of riverine dissolved inorganic nitrogen (DIN) transport and human activities including nitrogen discharge and water regulation, were synchronously incorporated into a land surface model coupled with a RTM. The effects of anthropogenic nitrogen discharge on the DIN transport in rivers were studied based on simulations of the period 1991-2010 throughout the entire world, conducted using the developed model, which had a spatial resolution of about 1° for land processes and 0.5° for river transport, and data on fertilizer application, point source pollution, and water use. Our results showed that rivers in western Europe and eastern China were seriously polluted, on average, at a rate of 5,000-15,000 tons per year. In the Yangtze River Basin, the amount of point source pollution in 2010 was about four times more than that in 1991, while the amount of fertilizer used in 2010 doubled, which resulted in the increased riverine DIN levels. Further comparisons suggested that the riverine DIN in the USA was affected prima</w:t>
      </w:r>
    </w:p>
    <w:p>
      <w:pPr/>
      <w:r>
        <w:rPr>
          <w:b/>
        </w:rPr>
        <w:t>POSSIBLE 2019:</w:t>
      </w:r>
      <w:r>
        <w:t xml:space="preserve"> Long-term health impact assessment of total PM2.5 in Europe during the 1990–2015 period — https://doi.org/10.1016/j.aeaoa.2019.100032</w:t>
      </w:r>
    </w:p>
    <w:p>
      <w:pPr/>
      <w:r>
        <w:rPr>
          <w:b/>
        </w:rPr>
        <w:t>Shared claim-specific concepts:</w:t>
      </w:r>
      <w:r>
        <w:t xml:space="preserve"> indicate, total, decrease, well; EU scope visible. This is a provisional connection, not an outcome finding.</w:t>
      </w:r>
    </w:p>
    <w:p>
      <w:pPr>
        <w:pStyle w:val="SourceNote"/>
      </w:pPr>
      <w:r>
        <w:rPr>
          <w:b/>
        </w:rPr>
        <w:t>Available abstract (not full text):</w:t>
      </w:r>
      <w:r>
        <w:t xml:space="preserve"> Several datasets of PM 2.5 concentrations over Europe during the 1990–2015 period, were used to calculate health impacts from chronic exposure to total particle matter below 2.5 μm (i.e. PM 2.5 ). The datasets used in the analysis include the European Topic Centre on Air Pollution and Climate Change Mitigation (ETC/ACM), the Copernicus Atmospheric Monitoring Service (CAMS), the Global Burden of Disease (GBD), the World Health Organization (WHO) as well as the EURODELTA-Trends (EDT) multi-model reanalysis developed specifically for Europe. The exposure to ambient PM 2.5 concentrations was calculated as population weighted annual average PM 2.5 concentrations by country. The calculated exposure to PM 2.5 was later used as input in the health impact assessment (HIA) Alpha-RiskPoll (ARP) tool to retrieve the total number of premature deaths. Our results indicate a substantial reduction in the number of premature deaths from PM 2.5 exposure in Europe over the 1990–2010 period, between nearly 30 and 50%. Putting all the data-sets together, even if they do not cover the whole period, a decrease of even around 60% is observed between 1990 and 2015. For the countries included in this study, the estimated number of premature deaths from PM 2.5 in 1990 was found to be around 960 000 (median of all the available datasets), whereas in 2015 it was found to be around 445 000. However, the var</w:t>
      </w:r>
    </w:p>
    <w:p>
      <w:pPr>
        <w:pStyle w:val="Heading2"/>
      </w:pPr>
      <w:r>
        <w:t>944.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relevant;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2021:</w:t>
      </w:r>
      <w:r>
        <w:t xml:space="preserve"> Air traffic and contrail changes over Europe during COVID-19: a model study — https://doi.org/10.5194/acp-21-7429-2021</w:t>
      </w:r>
    </w:p>
    <w:p>
      <w:pPr/>
      <w:r>
        <w:rPr>
          <w:b/>
        </w:rPr>
        <w:t>Shared claim-specific concepts:</w:t>
      </w:r>
      <w:r>
        <w:t xml:space="preserve"> air, climate, reference; EU scope visible. This is a provisional connection, not an outcome finding.</w:t>
      </w:r>
    </w:p>
    <w:p>
      <w:pPr>
        <w:pStyle w:val="SourceNote"/>
      </w:pPr>
      <w:r>
        <w:rPr>
          <w:b/>
        </w:rPr>
        <w:t>Available abstract (not full text):</w:t>
      </w:r>
      <w:r>
        <w:t xml:space="preserve">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policies;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945.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2019:</w:t>
      </w:r>
      <w:r>
        <w:t xml:space="preserve"> Why do people seek knowledge? Tracing factors that affect knowledge seeking intention — https://doi.org/10.1108/vjikms-04-2019-0059</w:t>
      </w:r>
    </w:p>
    <w:p>
      <w:pPr/>
      <w:r>
        <w:rPr>
          <w:b/>
        </w:rPr>
        <w:t>Shared claim-specific concepts:</w:t>
      </w:r>
      <w:r>
        <w:t xml:space="preserve"> purpose, seeks, used, understand, implications; EU scope not established. This is a provisional connection, not an outcome finding.</w:t>
      </w:r>
    </w:p>
    <w:p>
      <w:pPr>
        <w:pStyle w:val="SourceNote"/>
      </w:pPr>
      <w:r>
        <w:rPr>
          <w:b/>
        </w:rPr>
        <w:t>Available abstract (not full text):</w:t>
      </w:r>
      <w:r>
        <w:t xml:space="preserve">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pPr/>
      <w:r>
        <w:rPr>
          <w:b/>
        </w:rPr>
        <w:t>POSSIBLE 2019:</w:t>
      </w:r>
      <w:r>
        <w:t xml:space="preserve"> Using the Theory of Planned Behavior to Understand Factors Influencing South Asian Consumers’ Intention to Seek Pharmacist-Provided Medication Therapy Management Services — https://doi.org/10.3390/pharmacy7030088</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pPr/>
      <w:r>
        <w:rPr>
          <w:b/>
        </w:rPr>
        <w:t>POSSIBLE 2017:</w:t>
      </w:r>
      <w:r>
        <w:t xml:space="preserve"> Purposing: How Purpose Develops Self-Organizing Capacities — https://doi.org/10.5465/ambpp.2017.17754abstract</w:t>
      </w:r>
    </w:p>
    <w:p>
      <w:pPr/>
      <w:r>
        <w:rPr>
          <w:b/>
        </w:rPr>
        <w:t>Shared claim-specific concepts:</w:t>
      </w:r>
      <w:r>
        <w:t xml:space="preserve"> purpose, seeks, understand; EU scope not established. This is a provisional connection, not an outcome finding.</w:t>
      </w:r>
    </w:p>
    <w:p>
      <w:pPr>
        <w:pStyle w:val="SourceNote"/>
      </w:pPr>
      <w:r>
        <w:rPr>
          <w:b/>
        </w:rPr>
        <w:t>Available abstract (not full text):</w:t>
      </w:r>
      <w:r>
        <w:t xml:space="preserve">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pPr/>
      <w:r>
        <w:rPr>
          <w:b/>
        </w:rPr>
        <w:t>POSSIBLE 2017:</w:t>
      </w:r>
      <w:r>
        <w:t xml:space="preserve"> Factors that influence the use of the Internet for job-seeking purposes amongst a sample of final-year students in the Eastern Cape province of South Africa — https://doi.org/10.4102/sajhrm.v15i0.790</w:t>
      </w:r>
    </w:p>
    <w:p>
      <w:pPr/>
      <w:r>
        <w:rPr>
          <w:b/>
        </w:rPr>
        <w:t>Shared claim-specific concepts:</w:t>
      </w:r>
      <w:r>
        <w:t xml:space="preserve"> purpose, used, understand, implications; EU scope not established. This is a provisional connection, not an outcome finding.</w:t>
      </w:r>
    </w:p>
    <w:p>
      <w:pPr>
        <w:pStyle w:val="SourceNote"/>
      </w:pPr>
      <w:r>
        <w:rPr>
          <w:b/>
        </w:rPr>
        <w:t>Available abstract (not full text):</w:t>
      </w:r>
      <w:r>
        <w:t xml:space="preserve">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pPr/>
      <w:r>
        <w:rPr>
          <w:b/>
        </w:rPr>
        <w:t>POSSIBLE 2016:</w:t>
      </w:r>
      <w:r>
        <w:t xml:space="preserve"> On Purpose: Motivational and Contextual Predictors of Purpose and Positive Engagement Among Urban-Residing, African American Youth. — https://openalex.org/W2753589041</w:t>
      </w:r>
    </w:p>
    <w:p>
      <w:pPr/>
      <w:r>
        <w:rPr>
          <w:b/>
        </w:rPr>
        <w:t>Shared claim-specific concepts:</w:t>
      </w:r>
      <w:r>
        <w:t xml:space="preserve"> purpose, used, context; EU scope not established. This is a provisional connection, not an outcome finding.</w:t>
      </w:r>
    </w:p>
    <w:p>
      <w:pPr>
        <w:pStyle w:val="SourceNote"/>
      </w:pPr>
      <w:r>
        <w:rPr>
          <w:b/>
        </w:rPr>
        <w:t>Available abstract (not full text):</w:t>
      </w:r>
      <w:r>
        <w:t xml:space="preserve">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946.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Invited Commentary: Drug Checking for Novel Insights Into the Unregulated Drug Supply — https://doi.org/10.17615/s217-j120</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r>
        <w:rPr>
          <w:b/>
        </w:rPr>
        <w:t>POSSIBLE 2021:</w:t>
      </w:r>
      <w:r>
        <w:t xml:space="preserve"> Roadmap on digital holography [Invited] — https://doi.org/10.1364/oe.435915</w:t>
      </w:r>
    </w:p>
    <w:p>
      <w:pPr/>
      <w:r>
        <w:rPr>
          <w:b/>
        </w:rPr>
        <w:t>Shared claim-specific concepts:</w:t>
      </w:r>
      <w:r>
        <w:t xml:space="preserve"> invited, experts, vision; EU scope not established. This is a provisional connection, not an outcome finding.</w:t>
      </w:r>
    </w:p>
    <w:p>
      <w:pPr>
        <w:pStyle w:val="SourceNote"/>
      </w:pPr>
      <w:r>
        <w:rPr>
          <w:b/>
        </w:rPr>
        <w:t>Available abstract (not full text):</w:t>
      </w:r>
      <w:r>
        <w:t xml:space="preserve"> This Roadmap article on digital holography provides an overview of a vast array of research activities in the field of digital holography. The paper consists of a series of 25 sections from the prominent experts in digital holography presenting various aspects of the field on sensing, 3D imaging and displays, virtual and augmented reality, microscopy, cell identification, tomography, label-free live cell imaging, and other applications. Each section represents the vision of its author to describe the significant progress, potential impact, important developments, and challenging issues in the field of digital holography.</w:t>
      </w:r>
    </w:p>
    <w:p>
      <w:pPr/>
      <w:r>
        <w:rPr>
          <w:b/>
        </w:rPr>
        <w:t>POSSIBLE 2021:</w:t>
      </w:r>
      <w:r>
        <w:t xml:space="preserve"> Invited Commentary: Drug Checking for Novel Insights Into the Unregulated Drug Supply — https://doi.org/10.1093/aje/kwab233</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2020:</w:t>
      </w:r>
      <w:r>
        <w:t xml:space="preserve"> European Society of Coloproctology: guidelines for the management of diverticular disease of the colon — https://doi.org/10.1111/codi.15140</w:t>
      </w:r>
    </w:p>
    <w:p>
      <w:pPr/>
      <w:r>
        <w:rPr>
          <w:b/>
        </w:rPr>
        <w:t>Shared claim-specific concepts:</w:t>
      </w:r>
      <w:r>
        <w:t xml:space="preserve"> project, invited, three, international; EU scope visible. This is a provisional connection, not an outcome finding.</w:t>
      </w:r>
    </w:p>
    <w:p>
      <w:pPr>
        <w:pStyle w:val="SourceNote"/>
      </w:pPr>
      <w:r>
        <w:rPr>
          <w:b/>
        </w:rPr>
        <w:t>Available abstract (not full text):</w:t>
      </w:r>
      <w:r>
        <w:t xml:space="preserve"> AIM: The goal of this European Society of Coloproctology (ESCP) guideline project is to give an overview of the existing evidence on the management of diverticular disease, primarily as a guidance to surgeons. METHODS: The guideline was developed during several working phases including three voting rounds and one consensus meeting. The two project leads (JKS and EA) appointed by the ESCP guideline committee together with one member of the guideline committee (WB) agreed on the methodology, decided on six themes for working groups (WGs) and drafted a list of research questions. Senior WG members, mostly colorectal surgeons within the ESCP, were invited based on publication records and geographical aspects. Other specialties were included in the WGs where relevant. In addition, one trainee or PhD fellow was invited in each WG. All six WGs revised the research questions if necessary, did a literature search, created evidence tables where feasible, and drafted supporting text to each research question and statement. The text and statement proposals from each WG were arranged as one document by the first and last authors before online voting by all authors in two rounds. For the second voting ESCP national representatives were also invited. More than 90% agreement was considered a consensus. The final phrasing of the statements with &lt; 90% agreement was discussed in a consensus meeti</w:t>
      </w:r>
    </w:p>
    <w:p>
      <w:pPr/>
      <w:r>
        <w:rPr>
          <w:b/>
        </w:rPr>
        <w:t>POSSIBLE 2019:</w:t>
      </w:r>
      <w:r>
        <w:t xml:space="preserve"> Just Europe — https://doi.org/10.1111/papa.12133</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In a letter written in 1998, John Rawls invites Europeans to give up the project of constructing a federal union that would make Europe more like the United States. This invitation is consistent with the approach to justice he developed in The Law of Peoples. By contrast, both Thomas Nagel’s approach and an understanding of social justice as global justice lead to a more ambitious interpretation of the demands of distributive justice within the European Union that calls for the pursuit of European integration. Further integration of the required sort would need to make European institutions more like those of the United States in three respects: a transfer union, a common electoral space, a shared language. However, given the trap, insightfully anticipated by Friedrich Hayek, in which the European Union finds itself today, even those inclined to adopt Rawls’s approach to justice may be well advised to opt for a similar strategy.</w:t>
      </w:r>
    </w:p>
    <w:p>
      <w:pPr/>
      <w:r>
        <w:rPr>
          <w:b/>
        </w:rPr>
        <w:t>POSSIBLE 2018:</w:t>
      </w:r>
      <w:r>
        <w:t xml:space="preserve"> The Feminist Project under Threat in Europe — https://doi.org/10.17645/pag.v6i3.1736</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Is the feminist project under threat in Europe? This thematic issue addresses the question in both theoretical and empirical ways, focusing on the various ways in which feminist politics are opposed and why, on what the impact of such opposition is, and how to improve our theoretical understanding of this particular manifestation of gender and politics. The issue addresses three major challenges: a need to reflect on the most suited concepts and theories in political and social sciences to understand what is at stake in Europe today; a need to vernacularize existing knowledge while forging global frames of analysis; and a need to avoid the risk of reifying oppositional forces and of reiterating dichotomous frames and categories. The responses to these challenges are: to analyse the threats to the feminist project as parts of larger projects against social justice and equality; to contrast macro narratives by engaging with the microlevel of the anti-feminist project, enabling a critique of mainstream scholarship; to analyse the threats to the feminist project as related to processes of changes to democracy, such as democratic backsliding; to give prominent attention to discursive, epistemic and symbolic processes; and finally to include studies on the response of feminist actors to the threats experienced. This collection of articles offers a variety of perspectives on the vario</w:t>
      </w:r>
    </w:p>
    <w:p>
      <w:pPr/>
      <w:r>
        <w:rPr>
          <w:b/>
        </w:rPr>
        <w:t>POSSIBLE 2018:</w:t>
      </w:r>
      <w:r>
        <w:t xml:space="preserve"> Adaptability and reproducibility of a memory disruption rTMS protocol in the PharmaCog IMI European project — https://doi.org/10.1038/s41598-018-27502-1</w:t>
      </w:r>
    </w:p>
    <w:p>
      <w:pPr/>
      <w:r>
        <w:rPr>
          <w:b/>
        </w:rPr>
        <w:t>Shared claim-specific concepts:</w:t>
      </w:r>
      <w:r>
        <w:t xml:space="preserve"> project, invited, three; EU scope visible. This is a provisional connection, not an outcome finding.</w:t>
      </w:r>
    </w:p>
    <w:p>
      <w:pPr>
        <w:pStyle w:val="SourceNote"/>
      </w:pPr>
      <w:r>
        <w:rPr>
          <w:b/>
        </w:rPr>
        <w:t>Available abstract (not full text):</w:t>
      </w:r>
      <w:r>
        <w:t xml:space="preserve"> Transcranial magnetic stimulation (TMS) can interfere with cognitive processes, such as transiently impairing memory. As part of a multi-center European project, we investigated the adaptability and reproducibility of a previously published TMS memory interfering protocol in two centers using EEG or fMRI scenarios. Participants were invited to attend three experimental sessions on different days, with sham repetitive TMS (rTMS) applied on day 1 and real rTMS on days 2 and 3. Sixty-eight healthy young men were included. On each experimental day, volunteers were instructed to remember visual pictures while receiving neuronavigated rTMS trains (20 Hz, 900 ms) during picture encoding at the left dorsolateral prefrontal cortex (L-DLPFC) and the vertex. Mixed ANOVA model analyses were performed. rTMS to the L-DLPFC significantly disrupted recognition memory on experimental day 2. No differences were found between centers or between fMRI and EEG recordings. Subjects with lower baseline memory performances were more susceptible to TMS disruption. No stability of TMS-induced memory interference could be demonstrated on day 3. Our data suggests that adapted cognitive rTMS protocols can be implemented in multi-center studies incorporating standardized experimental procedures. However, our center and modality effects analyses lacked sufficient statistical power, hence highlighting the need</w:t>
      </w:r>
    </w:p>
    <w:p>
      <w:pPr>
        <w:pStyle w:val="Heading2"/>
      </w:pPr>
      <w:r>
        <w:t>947.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2020:</w:t>
      </w:r>
      <w:r>
        <w:t xml:space="preserve"> Marine Foresight Study — https://openalex.org/W3147024838</w:t>
      </w:r>
    </w:p>
    <w:p>
      <w:pPr/>
      <w:r>
        <w:rPr>
          <w:b/>
        </w:rPr>
        <w:t>Shared claim-specific concepts:</w:t>
      </w:r>
      <w:r>
        <w:t xml:space="preserve"> foresight, government, national; EU scope visible. This is a provisional connection, not an outcome finding.</w:t>
      </w:r>
    </w:p>
    <w:p>
      <w:pPr>
        <w:pStyle w:val="SourceNote"/>
      </w:pPr>
      <w:r>
        <w:rPr>
          <w:b/>
        </w:rPr>
        <w:t>Available abstract (not full text):</w:t>
      </w:r>
      <w:r>
        <w:t xml:space="preserve">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backed;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2016:</w:t>
      </w:r>
      <w:r>
        <w:t xml:space="preserve"> NCRR - New Foresight Research Method — https://openalex.org/W2555381373</w:t>
      </w:r>
    </w:p>
    <w:p>
      <w:pPr/>
      <w:r>
        <w:rPr>
          <w:b/>
        </w:rPr>
        <w:t>Shared claim-specific concepts:</w:t>
      </w:r>
      <w:r>
        <w:t xml:space="preserve"> purpose, foresight, project, qualitative; EU scope not established. This is a provisional connection, not an outcome finding.</w:t>
      </w:r>
    </w:p>
    <w:p>
      <w:pPr>
        <w:pStyle w:val="SourceNote"/>
      </w:pPr>
      <w:r>
        <w:rPr>
          <w:b/>
        </w:rPr>
        <w:t>Available abstract (not full text):</w:t>
      </w:r>
      <w:r>
        <w:t xml:space="preserve">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pPr/>
      <w:r>
        <w:rPr>
          <w:b/>
        </w:rPr>
        <w:t>POSSIBLE 2016:</w:t>
      </w:r>
      <w:r>
        <w:t xml:space="preserve"> THE APPLICATION OF FORESIGHT PROJECTS IN FORMATION OF TECHNOLOGICAL COMPANIES’ INNOVATION DEVELOPMENT STRATEGY — https://doi.org/10.18184/2079-4665.2016.7.4.108.114</w:t>
      </w:r>
    </w:p>
    <w:p>
      <w:pPr/>
      <w:r>
        <w:rPr>
          <w:b/>
        </w:rPr>
        <w:t>Shared claim-specific concepts:</w:t>
      </w:r>
      <w:r>
        <w:t xml:space="preserve"> purpose, foresight, project, national, scientists; EU scope not established. This is a provisional connection, not an outcome finding.</w:t>
      </w:r>
    </w:p>
    <w:p>
      <w:pPr>
        <w:pStyle w:val="SourceNote"/>
      </w:pPr>
      <w:r>
        <w:rPr>
          <w:b/>
        </w:rPr>
        <w:t>Available abstract (not full text):</w:t>
      </w:r>
      <w:r>
        <w:t xml:space="preserve">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pPr/>
      <w:r>
        <w:rPr>
          <w:b/>
        </w:rPr>
        <w:t>POSSIBLE 2016:</w:t>
      </w:r>
      <w:r>
        <w:t xml:space="preserve"> Foresight Project “Psychological and Pedagogical Educational Platform for Teachers of Professional School” — https://openalex.org/W7139567451</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pPr/>
      <w:r>
        <w:rPr>
          <w:b/>
        </w:rPr>
        <w:t>POSSIBLE 2015:</w:t>
      </w:r>
      <w:r>
        <w:t xml:space="preserve"> Wild Cards in Polish Foresight Practice — https://doi.org/10.1016/j.sbspro.2015.11.510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948.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949.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r>
        <w:rPr>
          <w:b/>
        </w:rPr>
        <w:t>POSSIBLE 2020:</w:t>
      </w:r>
      <w:r>
        <w:t xml:space="preserve"> The issue of so-called hate speech in the context of freedom of speech — https://openalex.org/W7135460664</w:t>
      </w:r>
    </w:p>
    <w:p>
      <w:pPr/>
      <w:r>
        <w:rPr>
          <w:b/>
        </w:rPr>
        <w:t>Shared claim-specific concepts:</w:t>
      </w:r>
      <w:r>
        <w:t xml:space="preserve"> first, so-called, context, describe, relevant, provide; EU scope visible. This is a provisional connection, not an outcome finding.</w:t>
      </w:r>
    </w:p>
    <w:p>
      <w:pPr>
        <w:pStyle w:val="SourceNote"/>
      </w:pPr>
      <w:r>
        <w:rPr>
          <w:b/>
        </w:rPr>
        <w:t>Available abstract (not full text):</w:t>
      </w:r>
      <w:r>
        <w:t xml:space="preserve"> The issue of so called hate speech in the context of freedom of speech Abstract This thesis titled The issue of so-called hate speech in the context of freedom of speech deals with the legal regulation of hate speech at the international and national level. The thesis contains a comprehensive analysis of legal instruments regulating hate speech in civil, anti-discrimination, administrative and criminal law. This thesis combines the theoretical basis of hate speech regulation with practical knowledge about the applicability of individual legal norms and is supplemented by relevant case law of the Czech courts and the European Court of Human Rights. The aim of this work is to describe the phenomenon of hate speech, provide an analysis of legal instruments regulating hate speech and also to analyse legal arguments for hate speech regulation. The thesis attempts to find the boundary between protected speech and speech that is unprotected by the international and constitutional framework of freedom of speech protection, by means of an analysis of individual court decisions. The thesis also contains a critical reflection of the current legal framework of hate speech regulation and suggests possible variants of legislative changes in the future. The thesis is structured into five chapters. The first part...</w:t>
      </w:r>
    </w:p>
    <w:p>
      <w:pPr/>
      <w:r>
        <w:rPr>
          <w:b/>
        </w:rPr>
        <w:t>POSSIBLE 2020:</w:t>
      </w:r>
      <w:r>
        <w:t xml:space="preserve"> Awareness of Spitzenkandidaten in the 2019 European elections: The effects of news exposure in domestic campaign contexts — https://doi.org/10.1177/2053168020915332</w:t>
      </w:r>
    </w:p>
    <w:p>
      <w:pPr/>
      <w:r>
        <w:rPr>
          <w:b/>
        </w:rPr>
        <w:t>Shared claim-specific concepts:</w:t>
      </w:r>
      <w:r>
        <w:t xml:space="preserve"> first, so-called, context, relevant, but; EU scope visible. This is a provisional connection, not an outcome finding.</w:t>
      </w:r>
    </w:p>
    <w:p>
      <w:pPr>
        <w:pStyle w:val="SourceNote"/>
      </w:pPr>
      <w:r>
        <w:rPr>
          <w:b/>
        </w:rPr>
        <w:t>Available abstract (not full text):</w:t>
      </w:r>
      <w:r>
        <w:t xml:space="preserve"> With the introduction of the so-called Spitzenkandidaten procedure, by which European party families nominate lead candidates for the post of President of the European Commission for European elections, the European Parliament (EP) sought to raise voter awareness and engagement by personalizing the campaigns. This article studies candidate recognition with respect to Spitzenkandidaten, which is an important prerequisite in the study of personalization effects on voter behaviour. We use novel survey data collected in 10 European countries in the 2019 EP election campaign ( n = 17,027). The article focuses on the role of voters’ news exposure in various media and argues that news exposure is crucial for candidate recognition, but its effect is contingent upon the domestic campaign context. The article is the first to show that the campaign context matters to the extent that news exposure is particularly relevant in those domestic contexts in which Spitzenkandidaten were not previously present. In other campaign contexts additional news exposure adds little to the effect of news exposure on candidate recognition. The results have important implications for understanding EP election campaigns.</w:t>
      </w:r>
    </w:p>
    <w:p>
      <w:pPr/>
      <w:r>
        <w:rPr>
          <w:b/>
        </w:rPr>
        <w:t>POSSIBLE 2020:</w:t>
      </w:r>
      <w:r>
        <w:t xml:space="preserve"> Problem of so-called social dumping in EU law — https://openalex.org/W7135789766</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Problem of so-called social dumping in EU law Abstract Social dumping in EU law is becoming an increasingly pressing problem. Due to the creation of the EU internal market and the accession of the new Member States, in particular southern and eastern Europe, social dumping is occurring in many forms in the European Union. Is it possible to prevent social dumping, or by what means can it be minimized? This diploma thesis in its first chapter deals with the definition of social dumping in EU law in general, focusing on social dumping in the form of so-called regulatory arbitrage, both theoretically and practically. In the second chapter, the author presents the development of social policy in the context of the EU internal market, since the interaction between the economic and social objectives of European integration is crucial for the existence of social dumping. This chapter is followed by the case law of the Court of Justice of the European Union in Rush Portuguesa, Viking Line, Laval, Rüffert and Commission v. Luxembourg, which concerns a conflict of fundamental freedoms and fundamental social rights. This chapter discusses how the Court of Justice of the European Union decides in the event of a conflict of these rights. Furthermore, that case-law has a considerable impact on the interpretation of the...</w:t>
      </w:r>
    </w:p>
    <w:p>
      <w:pPr/>
      <w:r>
        <w:rPr>
          <w:b/>
        </w:rPr>
        <w:t>POSSIBLE 2019:</w:t>
      </w:r>
      <w:r>
        <w:t xml:space="preserve"> Social enterprises and their ecosystems in Europe — https://doi.org/10.2767/330252</w:t>
      </w:r>
    </w:p>
    <w:p>
      <w:pPr/>
      <w:r>
        <w:rPr>
          <w:b/>
        </w:rPr>
        <w:t>Shared claim-specific concepts:</w:t>
      </w:r>
      <w:r>
        <w:t xml:space="preserve"> context, but;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2018:</w:t>
      </w:r>
      <w:r>
        <w:t xml:space="preserve"> East Central Europe in the First Globalization (1850-1914) — https://doi.org/10.2478/sho-2018-0004</w:t>
      </w:r>
    </w:p>
    <w:p>
      <w:pPr/>
      <w:r>
        <w:rPr>
          <w:b/>
        </w:rPr>
        <w:t>Shared claim-specific concepts:</w:t>
      </w:r>
      <w:r>
        <w:t xml:space="preserve"> first, so-called, context, different, developments, but; EU scope visible. This is a provisional connection, not an outcome finding.</w:t>
      </w:r>
    </w:p>
    <w:p>
      <w:pPr>
        <w:pStyle w:val="SourceNote"/>
      </w:pPr>
      <w:r>
        <w:rPr>
          <w:b/>
        </w:rPr>
        <w:t>Available abstract (not full text):</w:t>
      </w:r>
      <w:r>
        <w:t xml:space="preserve"> Summary The article analyzes the position and the positioning strategy of East Central Europe in the so-called “first globalization (1850-1914)”. The focus is on foreign trade and the transfer of the two most important production factors, i.e. capital and labor. East Central Europe included in this period the territories of the Habsburg Monarchy, the Kingdom of Poland as a part of the Russian Empire, and the eastern provinces of the Kingdom of Prussia which were from 1871 onwards part of the German Reich. The article combines the theories and methods of economic history and transnational history. It sees itself as a contribution to a trans-regional history of East Central Europe by analyzing first the main “flows” and then the influence of “controls”. The article analyzes to what extent and in what way East Central Europe was involved in the globalization processes of the late 19 th century. It discusses whether East Central Europe was only the object of global developments or even shaped them. In this context it asks about the role of the empires (Habsburg monarchy, German Reich, Russia) for the position of East Central European economies in the world economy. It shows that the economic elites in the centers but also on the edges of the empires developed different strategies for how to respond to the challenges of globalization.</w:t>
      </w:r>
    </w:p>
    <w:p>
      <w:pPr/>
      <w:r>
        <w:rPr>
          <w:b/>
        </w:rPr>
        <w:t>POSSIBLE 2018:</w:t>
      </w:r>
      <w:r>
        <w:t xml:space="preserve"> Administrative Justice in the CSR in the Years 1918 - 1938 within European context — https://openalex.org/W7135476898</w:t>
      </w:r>
    </w:p>
    <w:p>
      <w:pPr/>
      <w:r>
        <w:rPr>
          <w:b/>
        </w:rPr>
        <w:t>Shared claim-specific concepts:</w:t>
      </w:r>
      <w:r>
        <w:t xml:space="preserve"> first, so-called, context, but; EU scope visible. This is a provisional connection, not an outcome finding.</w:t>
      </w:r>
    </w:p>
    <w:p>
      <w:pPr>
        <w:pStyle w:val="SourceNote"/>
      </w:pPr>
      <w:r>
        <w:rPr>
          <w:b/>
        </w:rPr>
        <w:t>Available abstract (not full text):</w:t>
      </w:r>
      <w:r>
        <w:t xml:space="preserve"> Administrative Justice in the CSR in the Years 1918 - 1938 within European context. For my thesis I chose as a topic 'Administrative Justice in the CSR in the Years 1918 - 1938 within European Context', as administrative justice including the protection against illegal interventions of executive power is topical for any democratic state at any time. The purpose of administrative justice is reviewing administrative acts of public administration namely by independent courts. I decided to target my thesis on the period of so-called first republic thus on the period from 28 October 1918 i.e. from establishing the independent Czechoslovak state to 30 September 1938, i.e. the signing of the Munich agreement. After establishing the independent Czechoslovak state The Act on the Supreme Administrative Court and on Solving Competence Litigations was one of the first acts passed by the National Czechoslovak Committee. This year i.e. in 2018 it has been 100 years since constituting administrative justice in the Czechoslovak Republic. However, when the Czechoslovak Republic came into being administrative justice was not formed from scratch, but by the above mentioned Act on Administrative Justice and Solving Competence Litigations Austrian administrative justice was adopted. During the first republic, however,...</w:t>
      </w:r>
    </w:p>
    <w:p>
      <w:pPr/>
      <w:r>
        <w:rPr>
          <w:b/>
        </w:rPr>
        <w:t>POSSIBLE 2018:</w:t>
      </w:r>
      <w:r>
        <w:t xml:space="preserve"> Drivers of Irrational Use of Antibiotics in Europe — https://doi.org/10.3390/ijerph16010027</w:t>
      </w:r>
    </w:p>
    <w:p>
      <w:pPr/>
      <w:r>
        <w:rPr>
          <w:b/>
        </w:rPr>
        <w:t>Shared claim-specific concepts:</w:t>
      </w:r>
      <w:r>
        <w:t xml:space="preserve"> describe, relevant, provide;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r>
        <w:rPr>
          <w:b/>
        </w:rPr>
        <w:t>POSSIBLE 2016:</w:t>
      </w:r>
      <w:r>
        <w:t xml:space="preserve"> Partnership Patterns in the United States and across Europe: The Role of Education and Country Context — https://doi.org/10.1093/sf/sow054</w:t>
      </w:r>
    </w:p>
    <w:p>
      <w:pPr/>
      <w:r>
        <w:rPr>
          <w:b/>
        </w:rPr>
        <w:t>Shared claim-specific concepts:</w:t>
      </w:r>
      <w:r>
        <w:t xml:space="preserve"> context, developments, but; EU scope visible. This is a provisional connection, not an outcome finding.</w:t>
      </w:r>
    </w:p>
    <w:p>
      <w:pPr>
        <w:pStyle w:val="SourceNote"/>
      </w:pPr>
      <w:r>
        <w:rPr>
          <w:b/>
        </w:rPr>
        <w:t>Available abstract (not full text):</w:t>
      </w:r>
      <w:r>
        <w:t xml:space="preserve"> Patterns of partnership formation and dissolution are changing dramatically across the Western world. Some scholars have argued that women's trajectories of union formation and dissolution are diverging by education, with the higher educated postponing but eventually marrying and the lower educated more likely to cohabit or divorce if they do marry. At the same time, the variation in partnership behavior has also increased across countries, suggesting that country context plays an important role. Here, we use latent class growth models to compare the educational gradient of partnership trajectories in the United States and 14 countries in Europe and investigate the role of education and country context. Our results indicate a consistent positive educational gradient for partnership patterns showing the postponement of marriage, regardless of whether marriage was preceded by cohabitation, but a less consistent gradient for patterns reflecting long-term cohabitation and union dissolution. Although the US results show evidence of an educational divergence in marriage and union dissolution, the evidence from the other countries is weak. In addition, country context explains more of the variation in class membership than education, with context becoming more important over time. The divergence in behaviors across country contexts suggests that social, cultural, political, and econom</w:t>
      </w:r>
    </w:p>
    <w:p>
      <w:pPr>
        <w:pStyle w:val="Heading2"/>
      </w:pPr>
      <w:r>
        <w:t>950.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Hepatitis E Seroprevalence in Europe: A Meta-Analysis — https://doi.org/10.3390/v8080211</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951.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2022:</w:t>
      </w:r>
      <w:r>
        <w:t xml:space="preserve"> Modeling and Simulation of Household Appliances Power Consumption — https://doi.org/10.3390/app12073689</w:t>
      </w:r>
    </w:p>
    <w:p>
      <w:pPr/>
      <w:r>
        <w:rPr>
          <w:b/>
        </w:rPr>
        <w:t>Shared claim-specific concepts:</w:t>
      </w:r>
      <w:r>
        <w:t xml:space="preserve"> increase, power, consumption, compared, levels, electricity; EU scope not established. This is a provisional connection, not an outcome finding.</w:t>
      </w:r>
    </w:p>
    <w:p>
      <w:pPr>
        <w:pStyle w:val="SourceNote"/>
      </w:pPr>
      <w:r>
        <w:rPr>
          <w:b/>
        </w:rPr>
        <w:t>Available abstract (not full text):</w:t>
      </w:r>
      <w:r>
        <w:t xml:space="preserve"> The consumption of household appliances tends to increase. Therefore, the application of energy efficiency measurements is urgently needed to reduce the levels of power consumption. Over the last years, various methods have been used to predict household electricity consumption. As a novelty, this paper proposed a method of predicting the consumption of household appliances by evaluating statistical distributions (Kolmogorov–Smirnov Test and Pearson’s X2 test). To test the veracity of the evaluations, first, a set of random values was simulated for each hour, and their respective averages were calculated. These were compared with the averages of the real values for each hour. With the exception of HVAC during working days, great results were obtained. For the refrigerator, the maximum error was 3.91%, while for the lighting, it was 4.27%. At the point of consumption, the accuracy was even higher, with an error of 1.17% for the dryer while for the washing machine and dishwasher, their minimum errors were less than 1%. The error results confirm that the applied methodology is perfectly acceptable for modeling household appliance consumption and consequently predicting it. However, these consumptions can be only extrapolated to dwellings with similar surface areas and habitats.</w:t>
      </w:r>
    </w:p>
    <w:p>
      <w:pPr/>
      <w:r>
        <w:rPr>
          <w:b/>
        </w:rPr>
        <w:t>POSSIBLE 2022:</w:t>
      </w:r>
      <w:r>
        <w:t xml:space="preserve"> Dynamic Process Modeling of Topside Systems for Evaluating Power Consumption and Possibilities of Using Wind Power — https://doi.org/10.3390/en15249482</w:t>
      </w:r>
    </w:p>
    <w:p>
      <w:pPr/>
      <w:r>
        <w:rPr>
          <w:b/>
        </w:rPr>
        <w:t>Shared claim-specific concepts:</w:t>
      </w:r>
      <w:r>
        <w:t xml:space="preserve"> power, consumption, use; EU scope not established. This is a provisional connection, not an outcome finding.</w:t>
      </w:r>
    </w:p>
    <w:p>
      <w:pPr>
        <w:pStyle w:val="SourceNote"/>
      </w:pPr>
      <w:r>
        <w:rPr>
          <w:b/>
        </w:rPr>
        <w:t>Available abstract (not full text):</w:t>
      </w:r>
      <w:r>
        <w:t xml:space="preserve"> Norwegian offshore wind farms may be able to supply power to offshore oil and gas platforms in the near future thanks to the expeditious development of offshore wind technology. This would result in a reduction in CO2 emissions from oil and gas offshore installations, which are currently powered predominantly by gas turbines. The challenge with using wind power is that offshore oil and gas installations require a fairly constant and stable source of power, whereas wind power typically exhibits significant fluctuations over time. The purpose of this study is to perform a technical feasibility evaluation of using wind power to supply an offshore oil and gas installation on the basis of dynamic process simulations. Throughout the study, only the topside processing system is considered, since it is the most energy-intensive part of an oil and gas facility. An offshore field on the Norwegian Continental Shelf is used as a case study. The results indicate that, when the processing system operates in steady-state conditions, it cannot be powered solely by wind energy, and another power source is required to compensate for low wind power generation intervals. An alternative would be to store wind energy during periods of high generation (e.g., by producing hydrogen or ammonia) and use it during periods of low generation. Utilizing energy storage methods, wind energy can be continuously</w:t>
      </w:r>
    </w:p>
    <w:p>
      <w:pPr/>
      <w:r>
        <w:rPr>
          <w:b/>
        </w:rPr>
        <w:t>POSSIBLE 2021:</w:t>
      </w:r>
      <w:r>
        <w:t xml:space="preserve"> Current and projected regional economic impacts of heatwaves in Europe — https://doi.org/10.1038/s41467-021-26050-z</w:t>
      </w:r>
    </w:p>
    <w:p>
      <w:pPr/>
      <w:r>
        <w:rPr>
          <w:b/>
        </w:rPr>
        <w:t>Shared claim-specific concepts:</w:t>
      </w:r>
      <w:r>
        <w:t xml:space="preserve"> increase, current, compared;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current, climate, compared;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2021:</w:t>
      </w:r>
      <w:r>
        <w:t xml:space="preserve"> The European Electricity Market Model EMMA - Model Description — https://openalex.org/W3212963869</w:t>
      </w:r>
    </w:p>
    <w:p>
      <w:pPr/>
      <w:r>
        <w:rPr>
          <w:b/>
        </w:rPr>
        <w:t>Shared claim-specific concepts:</w:t>
      </w:r>
      <w:r>
        <w:t xml:space="preserve"> projects, power, consumption, partial, equilibrium, electricity; EU scope visible. This is a provisional connection, not an outcome finding.</w:t>
      </w:r>
    </w:p>
    <w:p>
      <w:pPr>
        <w:pStyle w:val="SourceNote"/>
      </w:pPr>
      <w:r>
        <w:rPr>
          <w:b/>
        </w:rPr>
        <w:t>Available abstract (not full text):</w:t>
      </w:r>
      <w:r>
        <w:t xml:space="preserve"> The Electricity Market Model EMMA is a techno-economic model of the integrated European power system. It simulates investment, dispatch, and trade, minimizing total costs subject to a large set of technical constraints. In economics terms, it is a partial equilibrium model of the wholesale electricity market. It calculates scenario-based or green-field optima (equilibria) and estimates the corresponding capacity mix as well as hourly prices, generation, storage dispatch, flexible consumption, and cross-border trade for each market area. Technically, EMMA is a linear program, written in GAMS and solved by CPLEX on a desktop computer in about two hours. EMMA has been used for a number of peer-reviewed publications as well as in consulting projects. EMMA is open-source: the model code and input data are freely available under the MIT Software License and the Create Commons BY-SA 4.0 License, respectively, and can be downloaded from https://github.com/emma-model</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pStyle w:val="Heading2"/>
      </w:pPr>
      <w:r>
        <w:t>952.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2023:</w:t>
      </w:r>
      <w:r>
        <w:t xml:space="preserve"> The overlooked contribution of trees outside forests to tree cover and woody biomass across Europe — https://doi.org/10.1126/sciadv.adh4097</w:t>
      </w:r>
    </w:p>
    <w:p>
      <w:pPr/>
      <w:r>
        <w:rPr>
          <w:b/>
        </w:rPr>
        <w:t>Shared claim-specific concepts:</w:t>
      </w:r>
      <w:r>
        <w:t xml:space="preserve"> biomass, stock, high, forests; EU scope visible. This is a provisional connection, not an outcome finding.</w:t>
      </w:r>
    </w:p>
    <w:p>
      <w:pPr>
        <w:pStyle w:val="SourceNote"/>
      </w:pPr>
      <w:r>
        <w:rPr>
          <w:b/>
        </w:rPr>
        <w:t>Available abstract (not full text):</w:t>
      </w:r>
      <w:r>
        <w:t xml:space="preserve">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pPr/>
      <w:r>
        <w:rPr>
          <w:b/>
        </w:rPr>
        <w:t>POSSIBLE 2023:</w:t>
      </w:r>
      <w:r>
        <w:t xml:space="preserve"> Global increase in biomass carbon stock dominated by growth of northern young forests over past decade — https://doi.org/10.1038/s41561-023-01274-4</w:t>
      </w:r>
    </w:p>
    <w:p>
      <w:pPr/>
      <w:r>
        <w:rPr>
          <w:b/>
        </w:rPr>
        <w:t>Shared claim-specific concepts:</w:t>
      </w:r>
      <w:r>
        <w:t xml:space="preserve"> biomass, stock, forests, increase;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Allometric relationships between above-ground biomass increment and stand characteristics for crimean pine in Taşköprü, Turkey — https://doi.org/10.1590/01047760202329013169</w:t>
      </w:r>
    </w:p>
    <w:p>
      <w:pPr/>
      <w:r>
        <w:rPr>
          <w:b/>
        </w:rPr>
        <w:t>Shared claim-specific concepts:</w:t>
      </w:r>
      <w:r>
        <w:t xml:space="preserve"> investigated, biomass, increments, one, high, increment; EU scope not established. This is a provisional connection, not an outcome finding.</w:t>
      </w:r>
    </w:p>
    <w:p>
      <w:pPr>
        <w:pStyle w:val="SourceNote"/>
      </w:pPr>
      <w:r>
        <w:rPr>
          <w:b/>
        </w:rPr>
        <w:t>Available abstract (not full text):</w:t>
      </w:r>
      <w:r>
        <w:t xml:space="preserve">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pPr/>
      <w:r>
        <w:rPr>
          <w:b/>
        </w:rPr>
        <w:t>POSSIBLE 2022:</w:t>
      </w:r>
      <w:r>
        <w:t xml:space="preserve"> Biomass allocation and carbon stock in Douglas fir and Norway spruce at the tree and stand level — https://doi.org/10.2478/forj-2022-0005</w:t>
      </w:r>
    </w:p>
    <w:p>
      <w:pPr/>
      <w:r>
        <w:rPr>
          <w:b/>
        </w:rPr>
        <w:t>Shared claim-specific concepts:</w:t>
      </w:r>
      <w:r>
        <w:t xml:space="preserve"> investigated, biomass, stock, high, forests, wood; EU scope visible. This is a provisional connection, not an outcome finding.</w:t>
      </w:r>
    </w:p>
    <w:p>
      <w:pPr>
        <w:pStyle w:val="SourceNote"/>
      </w:pPr>
      <w:r>
        <w:rPr>
          <w:b/>
        </w:rPr>
        <w:t>Available abstract (not full text):</w:t>
      </w:r>
      <w:r>
        <w:t xml:space="preserve">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pPr/>
      <w:r>
        <w:rPr>
          <w:b/>
        </w:rPr>
        <w:t>POSSIBLE 2022:</w:t>
      </w:r>
      <w:r>
        <w:t xml:space="preserve"> Wall-to-Wall Mapping of Forest Biomass and Wood Volume Increment in Italy — https://doi.org/10.3390/f13121989</w:t>
      </w:r>
    </w:p>
    <w:p>
      <w:pPr/>
      <w:r>
        <w:rPr>
          <w:b/>
        </w:rPr>
        <w:t>Shared claim-specific concepts:</w:t>
      </w:r>
      <w:r>
        <w:t xml:space="preserve"> biomass, develop, climate, two, management, store; EU scope visible. This is a provisional connection, not an outcome finding.</w:t>
      </w:r>
    </w:p>
    <w:p>
      <w:pPr>
        <w:pStyle w:val="SourceNote"/>
      </w:pPr>
      <w:r>
        <w:rPr>
          <w:b/>
        </w:rPr>
        <w:t>Available abstract (not full text):</w:t>
      </w:r>
      <w:r>
        <w:t xml:space="preserve">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pPr/>
      <w:r>
        <w:rPr>
          <w:b/>
        </w:rPr>
        <w:t>POSSIBLE 2021:</w:t>
      </w:r>
      <w:r>
        <w:t xml:space="preserve"> Assessment of Carbon Stock in Forest Biomass and Emission Reduction Potential in Malaysia — https://doi.org/10.3390/f12101294</w:t>
      </w:r>
    </w:p>
    <w:p>
      <w:pPr/>
      <w:r>
        <w:rPr>
          <w:b/>
        </w:rPr>
        <w:t>Shared claim-specific concepts:</w:t>
      </w:r>
      <w:r>
        <w:t xml:space="preserve"> biomass, stock, climate, management, forests, other; EU scope not established. This is a provisional connection, not an outcome finding.</w:t>
      </w:r>
    </w:p>
    <w:p>
      <w:pPr>
        <w:pStyle w:val="SourceNote"/>
      </w:pPr>
      <w:r>
        <w:rPr>
          <w:b/>
        </w:rPr>
        <w:t>Available abstract (not full text):</w:t>
      </w:r>
      <w:r>
        <w:t xml:space="preserve">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pPr/>
      <w:r>
        <w:rPr>
          <w:b/>
        </w:rPr>
        <w:t>POSSIBLE 2021:</w:t>
      </w:r>
      <w:r>
        <w:t xml:space="preserve"> Impact of Ex-Closure in above and below Ground Carbon Stock Biomass — https://doi.org/10.3390/f12020130</w:t>
      </w:r>
    </w:p>
    <w:p>
      <w:pPr/>
      <w:r>
        <w:rPr>
          <w:b/>
        </w:rPr>
        <w:t>Shared claim-specific concepts:</w:t>
      </w:r>
      <w:r>
        <w:t xml:space="preserve"> biomass, stock, different, climate, high, forests; EU scope not established. This is a provisional connection, not an outcome finding.</w:t>
      </w:r>
    </w:p>
    <w:p>
      <w:pPr>
        <w:pStyle w:val="SourceNote"/>
      </w:pPr>
      <w:r>
        <w:rPr>
          <w:b/>
        </w:rPr>
        <w:t>Available abstract (not full text):</w:t>
      </w:r>
      <w:r>
        <w:t xml:space="preserve">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953.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use, project, direct;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The Blue Map of Europe: Conservative Parliamentarians and European Integration — https://doi.org/10.1201/9781315037691-4</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pPr/>
      <w:r>
        <w:rPr>
          <w:b/>
        </w:rPr>
        <w:t>POSSIBLE 2020:</w:t>
      </w:r>
      <w:r>
        <w:t xml:space="preserve"> The Blue Fix: What's driving blue growth? — https://doi.org/10.1007/s11625-019-00777-7</w:t>
      </w:r>
    </w:p>
    <w:p>
      <w:pPr/>
      <w:r>
        <w:rPr>
          <w:b/>
        </w:rPr>
        <w:t>Shared claim-specific concepts:</w:t>
      </w:r>
      <w:r>
        <w:t xml:space="preserve"> blue, dimension; EU scope not established. This is a provisional connection, not an outcome finding.</w:t>
      </w:r>
    </w:p>
    <w:p>
      <w:pPr>
        <w:pStyle w:val="SourceNote"/>
      </w:pPr>
      <w:r>
        <w:rPr>
          <w:b/>
        </w:rPr>
        <w:t>Available abstract (not full text):</w:t>
      </w:r>
      <w:r>
        <w:t xml:space="preserve">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pPr/>
      <w:r>
        <w:rPr>
          <w:b/>
        </w:rPr>
        <w:t>POSSIBLE 2020:</w:t>
      </w:r>
      <w:r>
        <w:t xml:space="preserve"> Current practice in project appraisal in Europe — https://doi.org/10.5278/ojs.td.v12i1.5126</w:t>
      </w:r>
    </w:p>
    <w:p>
      <w:pPr/>
      <w:r>
        <w:rPr>
          <w:b/>
        </w:rPr>
        <w:t>Shared claim-specific concepts:</w:t>
      </w:r>
      <w:r>
        <w:t xml:space="preserve"> use, project, dimension, general; EU scope visible. This is a provisional connection, not an outcome finding.</w:t>
      </w:r>
    </w:p>
    <w:p>
      <w:pPr>
        <w:pStyle w:val="SourceNote"/>
      </w:pPr>
      <w:r>
        <w:rPr>
          <w:b/>
        </w:rPr>
        <w:t>Available abstract (not full text):</w:t>
      </w:r>
      <w:r>
        <w:t xml:space="preserve">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pPr/>
      <w:r>
        <w:rPr>
          <w:b/>
        </w:rPr>
        <w:t>POSSIBLE 2018:</w:t>
      </w:r>
      <w:r>
        <w:t xml:space="preserve"> Basilicata and Blue Economy — https://doi.org/10.1432/91440</w:t>
      </w:r>
    </w:p>
    <w:p>
      <w:pPr/>
      <w:r>
        <w:rPr>
          <w:b/>
        </w:rPr>
        <w:t>Shared claim-specific concepts:</w:t>
      </w:r>
      <w:r>
        <w:t xml:space="preserve"> use, blue, maritime; EU scope visible. This is a provisional connection, not an outcome finding.</w:t>
      </w:r>
    </w:p>
    <w:p>
      <w:pPr>
        <w:pStyle w:val="SourceNote"/>
      </w:pPr>
      <w:r>
        <w:rPr>
          <w:b/>
        </w:rPr>
        <w:t>Available abstract (not full text):</w:t>
      </w:r>
      <w:r>
        <w:t xml:space="preserve">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pPr/>
      <w:r>
        <w:rPr>
          <w:b/>
        </w:rPr>
        <w:t>POSSIBLE 2018:</w:t>
      </w:r>
      <w:r>
        <w:t xml:space="preserve"> Blue care: a systematic review of blue space interventions for health and wellbeing — https://doi.org/10.1093/heapro/day103</w:t>
      </w:r>
    </w:p>
    <w:p>
      <w:pPr/>
      <w:r>
        <w:rPr>
          <w:b/>
        </w:rPr>
        <w:t>Shared claim-specific concepts:</w:t>
      </w:r>
      <w:r>
        <w:t xml:space="preserve"> use, blue, direct; EU scope not established. This is a provisional connection, not an outcome finding.</w:t>
      </w:r>
    </w:p>
    <w:p>
      <w:pPr>
        <w:pStyle w:val="SourceNote"/>
      </w:pPr>
      <w:r>
        <w:rPr>
          <w:b/>
        </w:rPr>
        <w:t>Available abstract (not full text):</w:t>
      </w:r>
      <w:r>
        <w:t xml:space="preserve">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pPr/>
      <w:r>
        <w:rPr>
          <w:b/>
        </w:rPr>
        <w:t>POSSIBLE 2018:</w:t>
      </w:r>
      <w:r>
        <w:t xml:space="preserve"> Drivers of Irrational Use of Antibiotics in Europe — https://doi.org/10.3390/ijerph16010027</w:t>
      </w:r>
    </w:p>
    <w:p>
      <w:pPr/>
      <w:r>
        <w:rPr>
          <w:b/>
        </w:rPr>
        <w:t>Shared claim-specific concepts:</w:t>
      </w:r>
      <w:r>
        <w:t xml:space="preserve"> use, aimed, general;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pStyle w:val="Heading2"/>
      </w:pPr>
      <w:r>
        <w:t>954.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r>
        <w:rPr>
          <w:b/>
        </w:rPr>
        <w:t>POSSIBLE 2018:</w:t>
      </w:r>
      <w:r>
        <w:t xml:space="preserve"> Post-Daesh Challenges for Europe — https://doi.org/10.31175/hi.2018.01.05</w:t>
      </w:r>
    </w:p>
    <w:p>
      <w:pPr/>
      <w:r>
        <w:rPr>
          <w:b/>
        </w:rPr>
        <w:t>Shared claim-specific concepts:</w:t>
      </w:r>
      <w:r>
        <w:t xml:space="preserve"> studied, challenges, made, four; EU scope visible. This is a provisional connection, not an outcome finding.</w:t>
      </w:r>
    </w:p>
    <w:p>
      <w:pPr>
        <w:pStyle w:val="SourceNote"/>
      </w:pPr>
      <w:r>
        <w:rPr>
          <w:b/>
        </w:rPr>
        <w:t>Available abstract (not full text):</w:t>
      </w:r>
      <w:r>
        <w:t xml:space="preserve"> Daesh is about to lose the whole territory it holds in Syria and Iraq once as big as the UK. The Salafi jihadist organization, ruling over 6 million population with an army of 30.000 in 2015, had benefited from sectarian and ethnic tensions and imposed its ideology to recruit and attract more than 40.000 foreign terrorist fighters from across the globe. The question that keeps busy most European capitals currently is; “What awaits Europe after Daesh loses all territory it controls?” The answer to this question will help show the next steps to neutralize its negative effects. Within the scope of this study, the trends shaping the flow of events have been studied to prescribe four future scenarios. Accordingly, the first scenario foresees that Daesh will revert gradually to terrorism from its proto-statehood. The second foresees that as long as it holds a social base, Daesh will survive and pose a real threat for Europe in the foreseeable future though in decreasing intensity. The third finds its transformation to a “Virtual Caliphate” a low probability. The fourth and last scenario finds the possibility of its replication in one of its eight provinces a small chance. At the end of each scenario policy recommendations have been made to reverse those trends.</w:t>
      </w:r>
    </w:p>
    <w:p>
      <w:pPr>
        <w:pStyle w:val="Heading2"/>
      </w:pPr>
      <w:r>
        <w:t>955.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956.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r>
        <w:rPr>
          <w:b/>
        </w:rPr>
        <w:t>POSSIBLE 2023:</w:t>
      </w:r>
      <w:r>
        <w:t xml:space="preserve"> Opposition Discourse About National Recovery and Resilience Plans. Poland and Hungary Compared — https://doi.org/10.33067/se.1.2023.2</w:t>
      </w:r>
    </w:p>
    <w:p>
      <w:pPr/>
      <w:r>
        <w:rPr>
          <w:b/>
        </w:rPr>
        <w:t>Shared claim-specific concepts:</w:t>
      </w:r>
      <w:r>
        <w:t xml:space="preserve"> national, poland, within, article, polish; EU scope visible. This is a provisional connection, not an outcome finding.</w:t>
      </w:r>
    </w:p>
    <w:p>
      <w:pPr>
        <w:pStyle w:val="SourceNote"/>
      </w:pPr>
      <w:r>
        <w:rPr>
          <w:b/>
        </w:rPr>
        <w:t>Available abstract (not full text):</w:t>
      </w:r>
      <w:r>
        <w:t xml:space="preserve"> Although the governments of Poland and Hungary seem to similarly contest the conditionality mechanism that requires one to respect the rule of law when using EU funds, there are differences between these countries. They become visible in the framing of political communication as regards the opposition parties. This article seeks to identify the grounds of the competition from parliamentary opposition of the governments in relation to the EU Recovery and Resilience Fund. An analysis of 2021’s parliamentary debates on national recovery and resilience plans revealed three communication frameworks: the financial frame (the policy dimension), the quality of governance frame (the politics dimension), and the European integration frame which shaped domestic political rivalry (the polity dimension). Differences within these framings between the narrative of the Polish and Hungarian opposition resulted from different institutional and structural contexts. The study confirms the importance of national opposition parties for the analysis of the process of European integration. The existence of a liberal opposition may promote the salience of the topic of European integration in domestic political debate.</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r>
        <w:rPr>
          <w:b/>
        </w:rPr>
        <w:t>POSSIBLE 2021:</w:t>
      </w:r>
      <w:r>
        <w:t xml:space="preserve"> Current Wildland Fire Patterns and Challenges in Europe: A Synthesis of National Perspectives — https://doi.org/10.1177/11786221211028185</w:t>
      </w:r>
    </w:p>
    <w:p>
      <w:pPr/>
      <w:r>
        <w:rPr>
          <w:b/>
        </w:rPr>
        <w:t>Shared claim-specific concepts:</w:t>
      </w:r>
      <w:r>
        <w:t xml:space="preserve"> funded, national, science, within, aim, article; EU scope visible. This is a provisional connection, not an outcome finding.</w:t>
      </w:r>
    </w:p>
    <w:p>
      <w:pPr>
        <w:pStyle w:val="SourceNote"/>
      </w:pPr>
      <w:r>
        <w:rPr>
          <w:b/>
        </w:rPr>
        <w:t>Available abstract (not full text):</w:t>
      </w:r>
      <w:r>
        <w:t xml:space="preserve">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pPr/>
      <w:r>
        <w:rPr>
          <w:b/>
        </w:rPr>
        <w:t>POSSIBLE 2020:</w:t>
      </w:r>
      <w:r>
        <w:t xml:space="preserve"> Thematic variations and auctorial foresights: The French National Funding Agency (Agence Nationale de la Recherche - ANR) (Biennial Conference of the European Society for the History of Science, London, UK, 14/09/2018-17/09/2018) — https://openalex.org/W3096754253</w:t>
      </w:r>
    </w:p>
    <w:p>
      <w:pPr/>
      <w:r>
        <w:rPr>
          <w:b/>
        </w:rPr>
        <w:t>Shared claim-specific concepts:</w:t>
      </w:r>
      <w:r>
        <w:t xml:space="preserve"> national, science, shaping; EU scope visible. This is a provisional connection, not an outcome finding.</w:t>
      </w:r>
    </w:p>
    <w:p>
      <w:pPr>
        <w:pStyle w:val="SourceNote"/>
      </w:pPr>
      <w:r>
        <w:rPr>
          <w:b/>
        </w:rPr>
        <w:t>Available abstract (not full text):</w:t>
      </w:r>
      <w:r>
        <w:t xml:space="preserve"> The French national funding agency (Agence Nationale de la Recherche - ANR) represents since 2005 the “delegation authority” of the public science system. As being the principal national funding agency, ANR influence regarding research communities is a mix of huge prestige, when getting a grant, and a collective satiric humour shared on Twitter (Agence Nationale de l'Excellence Scientifique, @Excelleagence). In between, the fact and the fears that ANR role in shaping and reconfiguring French research priorities is regularly debated. Based on the analysis of ANR data (2006 to 2016), recently released, our proposition aims to observe how and to what extent, ANR research priorities are impacting French communities research agenda. From a comparison between ANR thematic, grants thematic and research prospective expressed then realised by researchers themselves, the analysis will provide elements to depict the way researchers are adapting to the ANR authority. Our approach is both quantitative and qualitative and takes into account the longitudinal dimension to observe the variations occurred during 2006-2016 period.</w:t>
      </w:r>
    </w:p>
    <w:p>
      <w:pPr/>
      <w:r>
        <w:rPr>
          <w:b/>
        </w:rPr>
        <w:t>POSSIBLE 2019:</w:t>
      </w:r>
      <w:r>
        <w:t xml:space="preserve"> Funders in Europe and incentivizing Open Science — https://doi.org/10.7557/5.4919</w:t>
      </w:r>
    </w:p>
    <w:p>
      <w:pPr/>
      <w:r>
        <w:rPr>
          <w:b/>
        </w:rPr>
        <w:t>Shared claim-specific concepts:</w:t>
      </w:r>
      <w:r>
        <w:t xml:space="preserve"> national, science, project, present; EU scope visible. This is a provisional connection, not an outcome finding.</w:t>
      </w:r>
    </w:p>
    <w:p>
      <w:pPr>
        <w:pStyle w:val="SourceNote"/>
      </w:pPr>
      <w:r>
        <w:rPr>
          <w:b/>
        </w:rPr>
        <w:t>Available abstract (not full text):</w:t>
      </w:r>
      <w:r>
        <w:t xml:space="preserve"> Watch the VIDEO. Funders across Europe are using scholarly communications to increase the impact of their grant results, thereby incentivizing researchers to share their research more openly. This panel session will start by describing the results of a research study called the RIF Project that gleans insights into the policy, rewards and incentives being employed by European research funders to encourage open access to publications and research data for the research they fund. The panel will then respond to the findings and will present and share experience on their policies. Funders across Europe are using scholarly communications to increase the impact of their grant results. More than 60 funders responded to a survey that was conducted in early Spring 2019 coming from key international funding bodies, national funding agencies, major charities and foundations, and national academies; from over 25 countries. The study was led by SPARC Europe in consultation with Science Europe, ALLEA and the EFC. Research Consulting conducted the research. The survey is the first of its kind, since it includes national funding agencies, academies, foundations and charities in Europe. What kinds of policy choices have funders made to influence how grantees increase open access to their research results with as few restrictions as possible? How can funders contribute to changing the research e</w:t>
      </w:r>
    </w:p>
    <w:p>
      <w:pPr/>
      <w:r>
        <w:rPr>
          <w:b/>
        </w:rPr>
        <w:t>POSSIBLE 2019:</w:t>
      </w:r>
      <w:r>
        <w:t xml:space="preserve"> Insights into European research funder Open policies and practices — https://doi.org/10.5281/zenodo.3401277</w:t>
      </w:r>
    </w:p>
    <w:p>
      <w:pPr/>
      <w:r>
        <w:rPr>
          <w:b/>
        </w:rPr>
        <w:t>Shared claim-specific concepts:</w:t>
      </w:r>
      <w:r>
        <w:t xml:space="preserve"> national, science, centre; EU scope visible. This is a provisional connection, not an outcome finding.</w:t>
      </w:r>
    </w:p>
    <w:p>
      <w:pPr>
        <w:pStyle w:val="SourceNote"/>
      </w:pPr>
      <w:r>
        <w:rPr>
          <w:b/>
        </w:rPr>
        <w:t>Available abstract (not full text):</w:t>
      </w:r>
      <w:r>
        <w:t xml:space="preserve"> This report summarises the results of a survey of European research funders on Open Access (OA) and Research Data (RD) policies, commissioned by SPARC Europe, in consultation with representatives from the following organisations: ALLEA, the European Foundation Centre and Science Europe and a wider advisory group. Launched in the spring of 2019, the survey, which targeted about 400 funders, garnered just over 60 responses from 29 countries. The cohort includes important national funding agencies (almost 50%), pan-European funders, national and regional academies, foundations and philanthropic organisations and research charities.</w:t>
      </w:r>
    </w:p>
    <w:p>
      <w:pPr/>
      <w:r>
        <w:rPr>
          <w:b/>
        </w:rPr>
        <w:t>POSSIBLE 2019:</w:t>
      </w:r>
      <w:r>
        <w:t xml:space="preserve"> Funding cardiovascular research in Europe — https://doi.org/10.1093/eurheartj/ehy817</w:t>
      </w:r>
    </w:p>
    <w:p>
      <w:pPr/>
      <w:r>
        <w:rPr>
          <w:b/>
        </w:rPr>
        <w:t>Shared claim-specific concepts:</w:t>
      </w:r>
      <w:r>
        <w:t xml:space="preserve"> funded, national, poland, within, project, number; EU scope visible. This is a provisional connection, not an outcome finding.</w:t>
      </w:r>
    </w:p>
    <w:p>
      <w:pPr>
        <w:pStyle w:val="SourceNote"/>
      </w:pPr>
      <w:r>
        <w:rPr>
          <w:b/>
        </w:rPr>
        <w:t>Available abstract (not full text):</w:t>
      </w:r>
      <w:r>
        <w:t xml:space="preserve"> The second of a two-part article1 examining funding for cardiovascular research on both sides of the Atlantic Ocean, Mark Nicholls speaks to Professor Axel Pries about the current position within Europe Advances in cardiovascular research are being made at a steadily increasing rate across Europe, but this critical work is underpinned with consistent, reliable, and regular funding to ensure that studies, research and clinical trials can continue to be conducted at a high level. There is an array of sources for funding, and while that can vary from one country to another and there are differences in the way it is distributed, it is all directed towards a common goal: of improving and extending knowledge of cardiovascular disease (CVD) and facilitate world-class research to reduce and treat CVD to deliver better outcomes for patients and reduce mortality. Cardiovascular disease remains a prime source of death, killing over four million people a year in the WHO European Region and 1.9 million in the European Union (EU). It is also estimated to cost the EU economy €196 billion every year. Professor Axel Pries, who is President of the Alliance for Biomedical Research in Europe (BioMed Alliance)—which represents the main European societies in the biomedical field and was co-founded by the ESC—explained that most of the funding for cardiovascular research in the EU comes from governme</w:t>
      </w:r>
    </w:p>
    <w:p>
      <w:pPr>
        <w:pStyle w:val="Heading2"/>
      </w:pPr>
      <w:r>
        <w:t>957.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2015:</w:t>
      </w:r>
      <w:r>
        <w:t xml:space="preserve"> Residential heating with wood and coal: health impacts and policy options in Europe and North America — https://openalex.org/W2240014870</w:t>
      </w:r>
    </w:p>
    <w:p>
      <w:pPr/>
      <w:r>
        <w:rPr>
          <w:b/>
        </w:rPr>
        <w:t>Shared claim-specific concepts:</w:t>
      </w:r>
      <w:r>
        <w:t xml:space="preserve"> without, emissions; EU scope visible. This is a provisional connection, not an outcome finding.</w:t>
      </w:r>
    </w:p>
    <w:p>
      <w:pPr>
        <w:pStyle w:val="SourceNote"/>
      </w:pPr>
      <w:r>
        <w:rPr>
          <w:b/>
        </w:rPr>
        <w:t>Available abstract (not full text):</w:t>
      </w:r>
      <w:r>
        <w:t xml:space="preserve">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pPr/>
      <w:r>
        <w:rPr>
          <w:b/>
        </w:rPr>
        <w:t>POSSIBLE 2014:</w:t>
      </w:r>
      <w:r>
        <w:t xml:space="preserve"> POLICY OPTIONS FOR THE COMPETITIVENESS OF THE CONSTRUCTION SECTOR IN THE EUROPEAN UNION — https://openalex.org/W2175025550</w:t>
      </w:r>
    </w:p>
    <w:p>
      <w:pPr/>
      <w:r>
        <w:rPr>
          <w:b/>
        </w:rPr>
        <w:t>Shared claim-specific concepts:</w:t>
      </w:r>
      <w:r>
        <w:t xml:space="preserve"> include, general; EU scope visible. This is a provisional connection, not an outcome finding.</w:t>
      </w:r>
    </w:p>
    <w:p>
      <w:pPr>
        <w:pStyle w:val="SourceNote"/>
      </w:pPr>
      <w:r>
        <w:rPr>
          <w:b/>
        </w:rPr>
        <w:t>Available abstract (not full text):</w:t>
      </w:r>
      <w:r>
        <w:t xml:space="preserve">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pPr/>
      <w:r>
        <w:rPr>
          <w:b/>
        </w:rPr>
        <w:t>POSSIBLE 2014:</w:t>
      </w:r>
      <w:r>
        <w:t xml:space="preserve"> 2014 European guideline on the management of syphilis — https://doi.org/10.1111/jdv.12734</w:t>
      </w:r>
    </w:p>
    <w:p>
      <w:pPr/>
      <w:r>
        <w:rPr>
          <w:b/>
        </w:rPr>
        <w:t>Shared claim-specific concepts:</w:t>
      </w:r>
      <w:r>
        <w:t xml:space="preserve"> option, include, countries; EU scope visible. This is a provisional connection, not an outcome finding.</w:t>
      </w:r>
    </w:p>
    <w:p>
      <w:pPr>
        <w:pStyle w:val="SourceNote"/>
      </w:pPr>
      <w:r>
        <w:rPr>
          <w:b/>
        </w:rPr>
        <w:t>Available abstract (not full text):</w:t>
      </w:r>
      <w:r>
        <w:t xml:space="preserve">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pPr/>
      <w:r>
        <w:rPr>
          <w:b/>
        </w:rPr>
        <w:t>POSSIBLE 2014:</w:t>
      </w:r>
      <w:r>
        <w:t xml:space="preserve"> Carbon Emission Option Pricing Calculation and Clean Development Mechanism Strategy of Jiangsu:Based on the Pricing Analysis of B-S Model — https://openalex.org/W2372091501</w:t>
      </w:r>
    </w:p>
    <w:p>
      <w:pPr/>
      <w:r>
        <w:rPr>
          <w:b/>
        </w:rPr>
        <w:t>Shared claim-specific concepts:</w:t>
      </w:r>
      <w:r>
        <w:t xml:space="preserve"> option, cdm, clean, mechanism, emissions; EU scope visible. This is a provisional connection, not an outcome finding.</w:t>
      </w:r>
    </w:p>
    <w:p>
      <w:pPr>
        <w:pStyle w:val="SourceNote"/>
      </w:pPr>
      <w:r>
        <w:rPr>
          <w:b/>
        </w:rPr>
        <w:t>Available abstract (not full text):</w:t>
      </w:r>
      <w:r>
        <w:t xml:space="preserve">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958.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2020:</w:t>
      </w:r>
      <w:r>
        <w:t xml:space="preserve"> Methane emissions from natural gas and LNG imports: An increasingly urgent issue for the future of gas in Europe — https://openalex.org/W3129629820</w:t>
      </w:r>
    </w:p>
    <w:p>
      <w:pPr/>
      <w:r>
        <w:rPr>
          <w:b/>
        </w:rPr>
        <w:t>Shared claim-specific concepts:</w:t>
      </w:r>
      <w:r>
        <w:t xml:space="preserve"> import, gas, already, there, countries; EU scope visible. This is a provisional connection, not an outcome finding.</w:t>
      </w:r>
    </w:p>
    <w:p>
      <w:pPr>
        <w:pStyle w:val="SourceNote"/>
      </w:pPr>
      <w:r>
        <w:rPr>
          <w:b/>
        </w:rPr>
        <w:t>Available abstract (not full text):</w:t>
      </w:r>
      <w:r>
        <w:t xml:space="preserve"> Pressure is mounting on the natural gas and LNG community to reduce methane emissions and this is most urgent in EU countries following the adoption of much tougher greenhouse gas reduction targets of 2030 and the publication of the European Commission's Methane Strategy. With rapidly declining indigenous EU production and therefore rising import dependence, there are increasing calls for emissions from imported pipeline gas and LNG to be quantified and based on actual measurements, as opposed to standard emission factors. The Methane Strategy promises to be a significant milestone in that process. Companies which are supplying (or intending to supply) natural gas to the EU - the largest global import market for pipeline gas and a very significant market for LNG - would be well advised to pay close attention to how the regulation of methane emissions is unfolding, and to make an immediate and positive response. Failure to do so could accelerate the demise of natural gas in European energy balances faster than would otherwise have been the case, and shorten the time available for transition to decarbonised gases - specifically hydrogen - using existing natural gas infrastructure. This EU initiative will (and arguably already has) attracted attention from non-EU governments and companies involved in global gas and LNG trade. We have already seen deliveries of 'carbon neutral' LNG</w:t>
      </w:r>
    </w:p>
    <w:p>
      <w:pPr/>
      <w:r>
        <w:rPr>
          <w:b/>
        </w:rPr>
        <w:t>POSSIBLE 2020:</w:t>
      </w:r>
      <w:r>
        <w:t xml:space="preserve"> The dilemma of gas importing and exporting countries — https://doi.org/10.26889/9781784671624</w:t>
      </w:r>
    </w:p>
    <w:p>
      <w:pPr/>
      <w:r>
        <w:rPr>
          <w:b/>
        </w:rPr>
        <w:t>Shared claim-specific concepts:</w:t>
      </w:r>
      <w:r>
        <w:t xml:space="preserve"> gas, there, especially, countries; EU scope not established. This is a provisional connection, not an outcome finding.</w:t>
      </w:r>
    </w:p>
    <w:p>
      <w:pPr>
        <w:pStyle w:val="SourceNote"/>
      </w:pPr>
      <w:r>
        <w:rPr>
          <w:b/>
        </w:rPr>
        <w:t>Available abstract (not full text):</w:t>
      </w:r>
      <w:r>
        <w:t xml:space="preserve"> At a time of low prices and an apparent surplus of supply in the global gas market it is important to try and identify new sources of demand, especially for LNG. In this respect, one interesting theme is how some countries are switching from their traditional role as LNG exporters to becoming importers of gas as their indigenous demand grows. Ieda Gomes explores this concept using the case studies of Malaysia and Indonesia, and she attempts to identify the key drivers behind the shifts in the gas economies of both countries. Significantly, though, there are also a few countries where gas has an existing role in the domestic energy economy, and which have historically imported gas, which have now found new gas resources and are starting to export. A prime example of this is Argentina, where the discovery of large shale gas resources has led to a gas surplus and the opportunity to generate export revenues. This paper analyses this example as a contrast to the first two and examines whether it is a sustainable situation. Overall, we believe that this paper can provide some important insights into the factors which can influence the position of gas in a country’s energy balance, especially if the prevalence of hydrocarbons has created a dependency via subsidies prices or other politically-driven strategies. There are a number of other examples around the world where the demands of </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2018:</w:t>
      </w:r>
      <w:r>
        <w:t xml:space="preserve"> Predicting Medical Students’ Current Attitudes Toward Psychiatry, Interest in Psychiatry, and Estimated Likelihood of Working in Psychiatry: A Cross-Sectional Study in Four European Countries — https://doi.org/10.3389/fpsyt.2018.00049</w:t>
      </w:r>
    </w:p>
    <w:p>
      <w:pPr/>
      <w:r>
        <w:rPr>
          <w:b/>
        </w:rPr>
        <w:t>Shared claim-specific concepts:</w:t>
      </w:r>
      <w:r>
        <w:t xml:space="preserve"> current, need, there, countries; EU scope visible. This is a provisional connection, not an outcome finding.</w:t>
      </w:r>
    </w:p>
    <w:p>
      <w:pPr>
        <w:pStyle w:val="SourceNote"/>
      </w:pPr>
      <w:r>
        <w:rPr>
          <w:b/>
        </w:rPr>
        <w:t>Available abstract (not full text):</w:t>
      </w:r>
      <w:r>
        <w:t xml:space="preserve"> Psychiatry as a medical discipline is becoming increasingly important due to the high and increasing world-wide burden associated with mental disorders. Surprisingly, however, there is a lack of young academics choosing psychiatry as a career. Previous evidence on medical students’ perspectives is abundant but has methodological shortcomings. Therefore, by attempting to avoid previous shortcomings, we aimed to contribute to a better understanding of the predictors of the following three outcome variables: current medical students’ attitudes towards psychiatry, interest in psychiatry and estimated likelihood of working in psychiatry. The sample consisted of N = 1356 medical students at 45 medical schools in Germany and Austria as well as regions of Switzerland and Hungary with a German language curriculum. We used snowball sampling via Facebook with a link to an online questionnaire as recruitment procedure. Snowball sampling is based on referrals made among people. This questionnaire included a German version of the Attitudes Towards Psychiatry Scale (ATP-30-G) and further variables related to outcomes and potential predictors in terms of sociodemography (e.g. gender) or medical training (e.g. curriculum-related experience with psychiatry). Data were analysed by linear mixed models and further regression models. On average, students had a positive attitude to and high general i</w:t>
      </w:r>
    </w:p>
    <w:p>
      <w:pPr/>
      <w:r>
        <w:rPr>
          <w:b/>
        </w:rPr>
        <w:t>POSSIBLE 2018:</w:t>
      </w:r>
      <w:r>
        <w:t xml:space="preserve"> Annual number of candidates for transcatheter aortic valve implantation per country: current estimates and future projections — https://doi.org/10.1093/eurheartj/ehy107</w:t>
      </w:r>
    </w:p>
    <w:p>
      <w:pPr/>
      <w:r>
        <w:rPr>
          <w:b/>
        </w:rPr>
        <w:t>Shared claim-specific concepts:</w:t>
      </w:r>
      <w:r>
        <w:t xml:space="preserve"> current, estimates, predict, countries; EU scope visible. This is a provisional connection, not an outcome finding.</w:t>
      </w:r>
    </w:p>
    <w:p>
      <w:pPr>
        <w:pStyle w:val="SourceNote"/>
      </w:pPr>
      <w:r>
        <w:rPr>
          <w:b/>
        </w:rPr>
        <w:t>Available abstract (not full text):</w:t>
      </w:r>
      <w:r>
        <w:t xml:space="preserve"> Aims: The number of transcatheter aortic valve implantation (TAVI) procedures is rapidly increasing. This has a major impact on health care resource planning. However, the annual numbers of TAVI candidates per country are unknown. The aim of this study was to estimate current and future number of annual TAVI candidates in 27 European countries, the USA and Canada. Methods and results: Systematic literature searches and meta-analyses were performed on aortic stenosis (AS) epidemiology and decision-making in severe symptomatic AS. The incidence rate of severe AS was determined. Findings were combined with population statistics and integrated into a model employing Monte Carlo simulations to predict the annual number of TAVI candidates. Various future scenarios and sensitivity analyses were explored. Data from 37 studies (n = 26 402) informed the model. The calculated incidence rate of severe AS was 4.4‰/year [95% confidence interval (95% CI) 3.0-6.1‰] in patients ≥65 years. AS-related symptoms were present in 68.3% (95% CI 60.8-75.9%) of patients with severe AS. Despite having severe symptomatic AS, 41.6% (95% CI 36.9-46.3%) did not undergo surgical aortic valve replacement. Of the non-operated patients, 61.7% (95% CI 42.0-81.7%) received TAVI. The model predicted 114 757 (95% CI 69 380-172 799) European and 58 556 (95% CI 35 631-87 738) Northern-American TAVI candidates annually</w:t>
      </w:r>
    </w:p>
    <w:p>
      <w:pPr/>
      <w:r>
        <w:rPr>
          <w:b/>
        </w:rPr>
        <w:t>POSSIBLE 2018:</w:t>
      </w:r>
      <w:r>
        <w:t xml:space="preserve"> The Influence of Imports and Exports on the Evolution of Greenhouse Gas Emissions: The Case for the European Union — https://doi.org/10.3390/en11071644</w:t>
      </w:r>
    </w:p>
    <w:p>
      <w:pPr/>
      <w:r>
        <w:rPr>
          <w:b/>
        </w:rPr>
        <w:t>Shared claim-specific concepts:</w:t>
      </w:r>
      <w:r>
        <w:t xml:space="preserve"> import, gas, countries; EU scope visible. This is a provisional connection, not an outcome finding.</w:t>
      </w:r>
    </w:p>
    <w:p>
      <w:pPr>
        <w:pStyle w:val="SourceNote"/>
      </w:pPr>
      <w:r>
        <w:rPr>
          <w:b/>
        </w:rPr>
        <w:t>Available abstract (not full text):</w:t>
      </w:r>
      <w:r>
        <w:t xml:space="preserve"> Part of a country’s emissions are caused by producing goods for export to other countries, while a country’s own needs also generate emissions in other parts of the world that are associated with the products they import. Our interest was to evaluate the influence of imports and exports of goods and services on greenhouse gas (GHG) emissions in a data panel composed of 30 countries over 21 years. We included as control variables the gross domestic product per capita, employment, an indicator of the economic crisis and a non-linear trend and inferences were performed using a Bayesian framework. The results showed that it was the exports and imports of goods, rather than services, that were related to CO2-equivalent levels. Exports and imports of goods were very inelastic, albeit less so in the case of the index. In summary, the more a country imports, the higher their GHG emission levels are. However, it is important to point out that when employment rates are higher more energy is consumed and GHG emissions are greater. In richer countries, GDP per capita is the factor that best explains why their emissions are so high.</w:t>
      </w:r>
    </w:p>
    <w:p>
      <w:pPr/>
      <w:r>
        <w:rPr>
          <w:b/>
        </w:rPr>
        <w:t>POSSIBLE 2018:</w:t>
      </w:r>
      <w:r>
        <w:t xml:space="preserve"> Anticipatory strategies for Eastern European natural gas security — https://doi.org/10.15781/t2gh9bt0w</w:t>
      </w:r>
    </w:p>
    <w:p>
      <w:pPr/>
      <w:r>
        <w:rPr>
          <w:b/>
        </w:rPr>
        <w:t>Shared claim-specific concepts:</w:t>
      </w:r>
      <w:r>
        <w:t xml:space="preserve"> import, gas, russian, eastern, countries; EU scope visible. This is a provisional connection, not an outcome finding.</w:t>
      </w:r>
    </w:p>
    <w:p>
      <w:pPr>
        <w:pStyle w:val="SourceNote"/>
      </w:pPr>
      <w:r>
        <w:rPr>
          <w:b/>
        </w:rPr>
        <w:t>Available abstract (not full text):</w:t>
      </w:r>
      <w:r>
        <w:t xml:space="preserve"> Countries asymmetrically dependent on the import of energy resources are potentially vulnerable to coercion from supplier states. Anticipating the potential for coercion, asymmetrically dependent states will make infrastructure improvements to substitute supply if the cost of these improvements is lower than the potential cost of coercion. This thesis provides a pricing framework for members of the European Union to estimate substitution strategies in order to reduce dependence on and the potential for coercion by Russia. Currently, Russia provides roughly 30% of the EU’s natural gas consumption and half of this gas is transported by pipeline through Ukraine in order to secure gas security. In 2006 and 2009, supply disruptions occurred due to a breakdown in negotiations between Russia and Ukraine, and EU members responded by constructing the necessary infrastructure to substitute Russian gas transited through Ukraine. The infrastructure improvements employed by the EU and its member states are examined to provide a pricing framework for countries still asymmetrically dependent. These strategies include LNG import facilities, new pipeline construction, reversing the flow of existing pipelines, and adding natural gas storage. This thesis applies the pricing framework to Finland and Bulgaria to evaluate which strategies would be most effective in terms of cost and the provision of</w:t>
      </w:r>
    </w:p>
    <w:p>
      <w:pPr/>
      <w:r>
        <w:rPr>
          <w:b/>
        </w:rPr>
        <w:t>POSSIBLE 2018:</w:t>
      </w:r>
      <w:r>
        <w:t xml:space="preserve"> Persistence of Oil Prices in Gas Import Prices and the Resilience of the Oil-Indexation Mechanism. The Case of Spanish Gas Import Prices — https://doi.org/10.3390/en11123486</w:t>
      </w:r>
    </w:p>
    <w:p>
      <w:pPr/>
      <w:r>
        <w:rPr>
          <w:b/>
        </w:rPr>
        <w:t>Shared claim-specific concepts:</w:t>
      </w:r>
      <w:r>
        <w:t xml:space="preserve"> import, gas, about; EU scope visible. This is a provisional connection, not an outcome finding.</w:t>
      </w:r>
    </w:p>
    <w:p>
      <w:pPr>
        <w:pStyle w:val="SourceNote"/>
      </w:pPr>
      <w:r>
        <w:rPr>
          <w:b/>
        </w:rPr>
        <w:t>Available abstract (not full text):</w:t>
      </w:r>
      <w:r>
        <w:t xml:space="preserve"> Regardless of the rapid development of national gas centers around the world, oil price indexation remains the prevailing pricing process in Continental Europe and the Far East. The instance of Spain is a genuine case where gas supply conditions may, to some extent, clarify the slower pace of execution of a traded gas hub in the nation. This article seeks to explain the persistence of oil-indexed pricing mechanisms, a price model that differs oddly from that of other major commodities, the price of which is normally discovered on the market. In order to do that, we examine time-varying volatility to find that since 2013 until 2016, just about 33% of gradual volatility clustering rooted within oil Brent prices is reflected in Spanish gas prices. In this sense, our research provides quantitative tools to better understand that market-based approaches such as spot and medium-term supply alternatives seem to be a key driver for success in transforming gas markets. Regular updates on the size of the effects observed should facilitate an exact appraisal of the level of progression of national gas liberalization processes and enhance gas markets transparency, these issues of extraordinary importance for both policymakers and gas market agents.</w:t>
      </w:r>
    </w:p>
    <w:p>
      <w:pPr>
        <w:pStyle w:val="Heading2"/>
      </w:pPr>
      <w:r>
        <w:t>959.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r>
        <w:rPr>
          <w:b/>
        </w:rPr>
        <w:t>POSSIBLE 2021:</w:t>
      </w:r>
      <w:r>
        <w:t xml:space="preserve"> Foresight Capacity Building — https://doi.org/10.5281/zenodo.6630549</w:t>
      </w:r>
    </w:p>
    <w:p>
      <w:pPr/>
      <w:r>
        <w:rPr>
          <w:b/>
        </w:rPr>
        <w:t>Shared claim-specific concepts:</w:t>
      </w:r>
      <w:r>
        <w:t xml:space="preserve"> foresight, used, specific, also, related;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2020:</w:t>
      </w:r>
      <w:r>
        <w:t xml:space="preserve"> Project FORESIGHT: A ten-year retrospective — https://doi.org/10.1016/j.fsisyn.2020.08.005</w:t>
      </w:r>
    </w:p>
    <w:p>
      <w:pPr/>
      <w:r>
        <w:rPr>
          <w:b/>
        </w:rPr>
        <w:t>Shared claim-specific concepts:</w:t>
      </w:r>
      <w:r>
        <w:t xml:space="preserve"> foresight, used, process, also; EU scope not established. This is a provisional connection, not an outcome finding.</w:t>
      </w:r>
    </w:p>
    <w:p>
      <w:pPr>
        <w:pStyle w:val="SourceNote"/>
      </w:pPr>
      <w:r>
        <w:rPr>
          <w:b/>
        </w:rPr>
        <w:t>Available abstract (not full text):</w:t>
      </w:r>
      <w:r>
        <w:t xml:space="preserve">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projects, used, world, process, also;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2019:</w:t>
      </w:r>
      <w:r>
        <w:t xml:space="preserve"> European electricity sector decarbonization under different levels of foresight — https://doi.org/10.1016/j.renene.2019.02.099</w:t>
      </w:r>
    </w:p>
    <w:p>
      <w:pPr/>
      <w:r>
        <w:rPr>
          <w:b/>
        </w:rPr>
        <w:t>Shared claim-specific concepts:</w:t>
      </w:r>
      <w:r>
        <w:t xml:space="preserve"> foresight, specific, also; EU scope visible. This is a provisional connection, not an outcome finding.</w:t>
      </w:r>
    </w:p>
    <w:p>
      <w:pPr>
        <w:pStyle w:val="SourceNote"/>
      </w:pPr>
      <w:r>
        <w:rPr>
          <w:b/>
        </w:rPr>
        <w:t>Available abstract (not full text):</w:t>
      </w:r>
      <w:r>
        <w:t xml:space="preserve">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960.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r>
        <w:rPr>
          <w:b/>
        </w:rPr>
        <w:t>POSSIBLE 2022:</w:t>
      </w:r>
      <w:r>
        <w:t xml:space="preserve"> Chemical Looping Combustion and Gasification: A Review and a Focus on European Research Projects — https://doi.org/10.1021/acs.iecr.2c02677</w:t>
      </w:r>
    </w:p>
    <w:p>
      <w:pPr/>
      <w:r>
        <w:rPr>
          <w:b/>
        </w:rPr>
        <w:t>Shared claim-specific concepts:</w:t>
      </w:r>
      <w:r>
        <w:t xml:space="preserve"> focus, they, provide; EU scope visible. This is a provisional connection, not an outcome finding.</w:t>
      </w:r>
    </w:p>
    <w:p>
      <w:pPr>
        <w:pStyle w:val="SourceNote"/>
      </w:pPr>
      <w:r>
        <w:rPr>
          <w:b/>
        </w:rPr>
        <w:t>Available abstract (not full text):</w:t>
      </w:r>
      <w:r>
        <w:t xml:space="preserve">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pPr/>
      <w:r>
        <w:rPr>
          <w:b/>
        </w:rPr>
        <w:t>POSSIBLE 2022:</w:t>
      </w:r>
      <w:r>
        <w:t xml:space="preserve"> Approaches to Implementing National Action Plans on Women, Peace and Security — https://doi.org/10.19088/k4d.2022.049</w:t>
      </w:r>
    </w:p>
    <w:p>
      <w:pPr/>
      <w:r>
        <w:rPr>
          <w:b/>
        </w:rPr>
        <w:t>Shared claim-specific concepts:</w:t>
      </w:r>
      <w:r>
        <w:t xml:space="preserve"> approaches, focus, security, time, support, they; EU scope not established. This is a provisional connection, not an outcome finding.</w:t>
      </w:r>
    </w:p>
    <w:p>
      <w:pPr>
        <w:pStyle w:val="SourceNote"/>
      </w:pPr>
      <w:r>
        <w:rPr>
          <w:b/>
        </w:rPr>
        <w:t>Available abstract (not full text):</w:t>
      </w:r>
      <w:r>
        <w:t xml:space="preserve">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pPr/>
      <w:r>
        <w:rPr>
          <w:b/>
        </w:rPr>
        <w:t>POSSIBLE 2021:</w:t>
      </w:r>
      <w:r>
        <w:t xml:space="preserve"> Project FOCUS: an interdisciplinary approach to monitor disturbances in European forest ecosystems — https://doi.org/10.5281/zenodo.5607114</w:t>
      </w:r>
    </w:p>
    <w:p>
      <w:pPr/>
      <w:r>
        <w:rPr>
          <w:b/>
        </w:rPr>
        <w:t>Shared claim-specific concepts:</w:t>
      </w:r>
      <w:r>
        <w:t xml:space="preserve"> focus, project, environment; EU scope visible. This is a provisional connection, not an outcome finding.</w:t>
      </w:r>
    </w:p>
    <w:p>
      <w:pPr>
        <w:pStyle w:val="SourceNote"/>
      </w:pPr>
      <w:r>
        <w:rPr>
          <w:b/>
        </w:rPr>
        <w:t>Available abstract (not full text):</w:t>
      </w:r>
      <w:r>
        <w:t xml:space="preserve">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pPr/>
      <w:r>
        <w:rPr>
          <w:b/>
        </w:rPr>
        <w:t>POSSIBLE 2020:</w:t>
      </w:r>
      <w:r>
        <w:t xml:space="preserve"> What Is the Future of European Cyber Security? Three Principles of European Cooperation and the Hybrid Joint Strategy of Cyber Defence — https://doi.org/10.33067/se.2.2020.3</w:t>
      </w:r>
    </w:p>
    <w:p>
      <w:pPr/>
      <w:r>
        <w:rPr>
          <w:b/>
        </w:rPr>
        <w:t>Shared claim-specific concepts:</w:t>
      </w:r>
      <w:r>
        <w:t xml:space="preserve"> focus, security, support, environment; EU scope visible. This is a provisional connection, not an outcome finding.</w:t>
      </w:r>
    </w:p>
    <w:p>
      <w:pPr>
        <w:pStyle w:val="SourceNote"/>
      </w:pPr>
      <w:r>
        <w:rPr>
          <w:b/>
        </w:rPr>
        <w:t>Available abstract (not full text):</w:t>
      </w:r>
      <w:r>
        <w:t xml:space="preserve">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pPr/>
      <w:r>
        <w:rPr>
          <w:b/>
        </w:rPr>
        <w:t>POSSIBLE 2019:</w:t>
      </w:r>
      <w:r>
        <w:t xml:space="preserve"> Engineering Education for Sustainable Development: The European Project Semester Approach — https://doi.org/10.1109/te.2019.2926944</w:t>
      </w:r>
    </w:p>
    <w:p>
      <w:pPr/>
      <w:r>
        <w:rPr>
          <w:b/>
        </w:rPr>
        <w:t>Shared claim-specific concepts:</w:t>
      </w:r>
      <w:r>
        <w:t xml:space="preserve"> focus, project, framework; EU scope visible. This is a provisional connection, not an outcome finding.</w:t>
      </w:r>
    </w:p>
    <w:p>
      <w:pPr>
        <w:pStyle w:val="SourceNote"/>
      </w:pPr>
      <w:r>
        <w:rPr>
          <w:b/>
        </w:rPr>
        <w:t>Available abstract (not full text):</w:t>
      </w:r>
      <w:r>
        <w:t xml:space="preserve">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961.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2021:</w:t>
      </w:r>
      <w:r>
        <w:t xml:space="preserve"> Thermal flight performance reveals impact of warming on bumblebee foraging potential — https://doi.org/10.1111/1365-2435.13887</w:t>
      </w:r>
    </w:p>
    <w:p>
      <w:pPr/>
      <w:r>
        <w:rPr>
          <w:b/>
        </w:rPr>
        <w:t>Shared claim-specific concepts:</w:t>
      </w:r>
      <w:r>
        <w:t xml:space="preserve"> warming, species, across; EU scope not established. This is a provisional connection, not an outcome finding.</w:t>
      </w:r>
    </w:p>
    <w:p>
      <w:pPr>
        <w:pStyle w:val="SourceNote"/>
      </w:pPr>
      <w:r>
        <w:rPr>
          <w:b/>
        </w:rPr>
        <w:t>Available abstract (not full text):</w:t>
      </w:r>
      <w:r>
        <w:t xml:space="preserve">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pPr/>
      <w:r>
        <w:rPr>
          <w:b/>
        </w:rPr>
        <w:t>POSSIBLE 2020:</w:t>
      </w:r>
      <w:r>
        <w:t xml:space="preserve"> Paleoclimate records reveal elusive ~200-kyr eccentricity cycle for the first time — https://doi.org/10.1016/j.gloplacha.2020.103296</w:t>
      </w:r>
    </w:p>
    <w:p>
      <w:pPr/>
      <w:r>
        <w:rPr>
          <w:b/>
        </w:rPr>
        <w:t>Shared claim-specific concepts:</w:t>
      </w:r>
      <w:r>
        <w:t xml:space="preserve"> reveal, first, time; EU scope visible. This is a provisional connection, not an outcome finding.</w:t>
      </w:r>
    </w:p>
    <w:p>
      <w:pPr>
        <w:pStyle w:val="SourceNote"/>
      </w:pPr>
      <w:r>
        <w:rPr>
          <w:b/>
        </w:rPr>
        <w:t>Available abstract (not full text):</w:t>
      </w:r>
      <w:r>
        <w:t xml:space="preserve">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pPr/>
      <w:r>
        <w:rPr>
          <w:b/>
        </w:rPr>
        <w:t>POSSIBLE 2020:</w:t>
      </w:r>
      <w:r>
        <w:t xml:space="preserve"> Intraspecific variation in tolerance of warming in fishes — https://doi.org/10.1111/jfb.14620</w:t>
      </w:r>
    </w:p>
    <w:p>
      <w:pPr/>
      <w:r>
        <w:rPr>
          <w:b/>
        </w:rPr>
        <w:t>Shared claim-specific concepts:</w:t>
      </w:r>
      <w:r>
        <w:t xml:space="preserve"> reveal, first, impacts, warming, species, across; EU scope not established. This is a provisional connection, not an outcome finding.</w:t>
      </w:r>
    </w:p>
    <w:p>
      <w:pPr>
        <w:pStyle w:val="SourceNote"/>
      </w:pPr>
      <w:r>
        <w:rPr>
          <w:b/>
        </w:rPr>
        <w:t>Available abstract (not full text):</w:t>
      </w:r>
      <w:r>
        <w:t xml:space="preserve">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pPr/>
      <w:r>
        <w:rPr>
          <w:b/>
        </w:rPr>
        <w:t>POSSIBLE 2020:</w:t>
      </w:r>
      <w:r>
        <w:t xml:space="preserve"> Intraspecific responses to climate reveal nonintuitive warming impacts on a widespread thermophilic conifer — https://doi.org/10.1111/nph.16656</w:t>
      </w:r>
    </w:p>
    <w:p>
      <w:pPr/>
      <w:r>
        <w:rPr>
          <w:b/>
        </w:rPr>
        <w:t>Shared claim-specific concepts:</w:t>
      </w:r>
      <w:r>
        <w:t xml:space="preserve"> reveal, impacts, warming, species, across; EU scope visible. This is a provisional connection, not an outcome finding.</w:t>
      </w:r>
    </w:p>
    <w:p>
      <w:pPr>
        <w:pStyle w:val="SourceNote"/>
      </w:pPr>
      <w:r>
        <w:rPr>
          <w:b/>
        </w:rPr>
        <w:t>Available abstract (not full text):</w:t>
      </w:r>
      <w:r>
        <w:t xml:space="preserve">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pPr/>
      <w:r>
        <w:rPr>
          <w:b/>
        </w:rPr>
        <w:t>POSSIBLE 2020:</w:t>
      </w:r>
      <w:r>
        <w:t xml:space="preserve"> A quantitative framework reveals ecological drivers of grassland microbial community assembly in response to warming — https://doi.org/10.1038/s41467-020-18560-z</w:t>
      </w:r>
    </w:p>
    <w:p>
      <w:pPr/>
      <w:r>
        <w:rPr>
          <w:b/>
        </w:rPr>
        <w:t>Shared claim-specific concepts:</w:t>
      </w:r>
      <w:r>
        <w:t xml:space="preserve"> time, warming, plant, communities, productivity; EU scope not established. This is a provisional connection, not an outcome finding.</w:t>
      </w:r>
    </w:p>
    <w:p>
      <w:pPr>
        <w:pStyle w:val="SourceNote"/>
      </w:pPr>
      <w:r>
        <w:rPr>
          <w:b/>
        </w:rPr>
        <w:t>Available abstract (not full text):</w:t>
      </w:r>
      <w:r>
        <w:t xml:space="preserve">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962.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r>
        <w:rPr>
          <w:b/>
        </w:rPr>
        <w:t>POSSIBLE 2022:</w:t>
      </w:r>
      <w:r>
        <w:t xml:space="preserve"> Privacy and Robustness in Federated Learning: Attacks and Defenses — https://doi.org/10.1109/tnnls.2022.3216981</w:t>
      </w:r>
    </w:p>
    <w:p>
      <w:pPr/>
      <w:r>
        <w:rPr>
          <w:b/>
        </w:rPr>
        <w:t>Shared claim-specific concepts:</w:t>
      </w:r>
      <w:r>
        <w:t xml:space="preserve"> robustness, learning, robust; EU scope not established. This is a provisional connection, not an outcome finding.</w:t>
      </w:r>
    </w:p>
    <w:p>
      <w:pPr>
        <w:pStyle w:val="SourceNote"/>
      </w:pPr>
      <w:r>
        <w:rPr>
          <w:b/>
        </w:rPr>
        <w:t>Available abstract (not full text):</w:t>
      </w:r>
      <w:r>
        <w:t xml:space="preserve">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pPr/>
      <w:r>
        <w:rPr>
          <w:b/>
        </w:rPr>
        <w:t>POSSIBLE 2022:</w:t>
      </w:r>
      <w:r>
        <w:t xml:space="preserve"> Safe Learning in Robotics: From Learning-Based Control to Safe Reinforcement Learning — https://doi.org/10.1146/annurev-control-042920-020211</w:t>
      </w:r>
    </w:p>
    <w:p>
      <w:pPr/>
      <w:r>
        <w:rPr>
          <w:b/>
        </w:rPr>
        <w:t>Shared claim-specific concepts:</w:t>
      </w:r>
      <w:r>
        <w:t xml:space="preserve"> robustness, learning, but; EU scope not established. This is a provisional connection, not an outcome finding.</w:t>
      </w:r>
    </w:p>
    <w:p>
      <w:pPr>
        <w:pStyle w:val="SourceNote"/>
      </w:pPr>
      <w:r>
        <w:rPr>
          <w:b/>
        </w:rPr>
        <w:t>Available abstract (not full text):</w:t>
      </w:r>
      <w:r>
        <w:t xml:space="preserve">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pPr/>
      <w:r>
        <w:rPr>
          <w:b/>
        </w:rPr>
        <w:t>POSSIBLE 2022:</w:t>
      </w:r>
      <w:r>
        <w:t xml:space="preserve"> On Robustness in Optimization-Based Constrained Iterative Learning Control — https://doi.org/10.3929/ethz-b-000549153</w:t>
      </w:r>
    </w:p>
    <w:p>
      <w:pPr/>
      <w:r>
        <w:rPr>
          <w:b/>
        </w:rPr>
        <w:t>Shared claim-specific concepts:</w:t>
      </w:r>
      <w:r>
        <w:t xml:space="preserve"> based, robustness, learning, robust, uncertainty; EU scope not established. This is a provisional connection, not an outcome finding.</w:t>
      </w:r>
    </w:p>
    <w:p>
      <w:pPr>
        <w:pStyle w:val="SourceNote"/>
      </w:pPr>
      <w:r>
        <w:rPr>
          <w:b/>
        </w:rPr>
        <w:t>Available abstract (not full text):</w:t>
      </w:r>
      <w:r>
        <w:t xml:space="preserve">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pPr/>
      <w:r>
        <w:rPr>
          <w:b/>
        </w:rPr>
        <w:t>POSSIBLE 2021:</w:t>
      </w:r>
      <w:r>
        <w:t xml:space="preserve"> Possibilities of the Development of Edible Insect-Based Foods in Europe — https://doi.org/10.3390/foods10040766</w:t>
      </w:r>
    </w:p>
    <w:p>
      <w:pPr/>
      <w:r>
        <w:rPr>
          <w:b/>
        </w:rPr>
        <w:t>Shared claim-specific concepts:</w:t>
      </w:r>
      <w:r>
        <w:t xml:space="preserve"> two, possibilities, but, not;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2021:</w:t>
      </w:r>
      <w:r>
        <w:t xml:space="preserve"> Approval of artificial intelligence and machine learning-based medical devices in the USA and Europe (2015–20): a comparative analysis — https://doi.org/10.1016/s2589-7500(20)30292-2</w:t>
      </w:r>
    </w:p>
    <w:p>
      <w:pPr/>
      <w:r>
        <w:rPr>
          <w:b/>
        </w:rPr>
        <w:t>Shared claim-specific concepts:</w:t>
      </w:r>
      <w:r>
        <w:t xml:space="preserve"> based, learning, increased; EU scope visible. This is a provisional connection, not an outcome finding.</w:t>
      </w:r>
    </w:p>
    <w:p>
      <w:pPr>
        <w:pStyle w:val="SourceNote"/>
      </w:pPr>
      <w:r>
        <w:rPr>
          <w:b/>
        </w:rPr>
        <w:t>Available abstract (not full text):</w:t>
      </w:r>
      <w:r>
        <w:t xml:space="preserve">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pPr/>
      <w:r>
        <w:rPr>
          <w:b/>
        </w:rPr>
        <w:t>POSSIBLE 2021:</w:t>
      </w:r>
      <w:r>
        <w:t xml:space="preserve"> Time-sequencing European options and pricing with deep learning – Analyzing based on interpretable ALE method — https://doi.org/10.1016/j.eswa.2021.115951</w:t>
      </w:r>
    </w:p>
    <w:p>
      <w:pPr/>
      <w:r>
        <w:rPr>
          <w:b/>
        </w:rPr>
        <w:t>Shared claim-specific concepts:</w:t>
      </w:r>
      <w:r>
        <w:t xml:space="preserve"> based, learning, method; EU scope visible. This is a provisional connection, not an outcome finding.</w:t>
      </w:r>
    </w:p>
    <w:p>
      <w:pPr>
        <w:pStyle w:val="SourceNote"/>
      </w:pPr>
      <w:r>
        <w:rPr>
          <w:b/>
        </w:rPr>
        <w:t>Available abstract (not full text):</w:t>
      </w:r>
      <w:r>
        <w:t xml:space="preserve"> Unavailable</w:t>
      </w:r>
    </w:p>
    <w:p>
      <w:pPr>
        <w:pStyle w:val="Heading2"/>
      </w:pPr>
      <w:r>
        <w:t>963.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r>
        <w:rPr>
          <w:b/>
        </w:rPr>
        <w:t>POSSIBLE 2020:</w:t>
      </w:r>
      <w:r>
        <w:t xml:space="preserve"> Public perception of air pollution sources across Europe — https://doi.org/10.1007/s13280-020-01450-5</w:t>
      </w:r>
    </w:p>
    <w:p>
      <w:pPr/>
      <w:r>
        <w:rPr>
          <w:b/>
        </w:rPr>
        <w:t>Shared claim-specific concepts:</w:t>
      </w:r>
      <w:r>
        <w:t xml:space="preserve"> perception, all, one; EU scope visible. This is a provisional connection, not an outcome finding.</w:t>
      </w:r>
    </w:p>
    <w:p>
      <w:pPr>
        <w:pStyle w:val="SourceNote"/>
      </w:pPr>
      <w:r>
        <w:rPr>
          <w:b/>
        </w:rPr>
        <w:t>Available abstract (not full text):</w:t>
      </w:r>
      <w:r>
        <w:t xml:space="preserve">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pPr/>
      <w:r>
        <w:rPr>
          <w:b/>
        </w:rPr>
        <w:t>POSSIBLE 2019:</w:t>
      </w:r>
      <w:r>
        <w:t xml:space="preserve"> Household carbon footprint patterns by the degree of urbanisation in Europe — https://doi.org/10.1088/1748-9326/ab443d</w:t>
      </w:r>
    </w:p>
    <w:p>
      <w:pPr/>
      <w:r>
        <w:rPr>
          <w:b/>
        </w:rPr>
        <w:t>Shared claim-specific concepts:</w:t>
      </w:r>
      <w:r>
        <w:t xml:space="preserve"> all, but, not; EU scope visible. This is a provisional connection, not an outcome finding.</w:t>
      </w:r>
    </w:p>
    <w:p>
      <w:pPr>
        <w:pStyle w:val="SourceNote"/>
      </w:pPr>
      <w:r>
        <w:rPr>
          <w:b/>
        </w:rPr>
        <w:t>Available abstract (not full text):</w:t>
      </w:r>
      <w:r>
        <w:t xml:space="preserve">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pPr/>
      <w:r>
        <w:rPr>
          <w:b/>
        </w:rPr>
        <w:t>POSSIBLE 2019:</w:t>
      </w:r>
      <w:r>
        <w:t xml:space="preserve"> Plantation forests in Europe: challenges and opportunities — https://doi.org/10.36333/fs09</w:t>
      </w:r>
    </w:p>
    <w:p>
      <w:pPr/>
      <w:r>
        <w:rPr>
          <w:b/>
        </w:rPr>
        <w:t>Shared claim-specific concepts:</w:t>
      </w:r>
      <w:r>
        <w:t xml:space="preserve"> there, past, but, policies, not, effective;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2018:</w:t>
      </w:r>
      <w:r>
        <w:t xml:space="preserve"> Europe - a project worthy of being built — https://doi.org/10.21814/unio.4.1.3</w:t>
      </w:r>
    </w:p>
    <w:p>
      <w:pPr/>
      <w:r>
        <w:rPr>
          <w:b/>
        </w:rPr>
        <w:t>Shared claim-specific concepts:</w:t>
      </w:r>
      <w:r>
        <w:t xml:space="preserve"> built, all, but, not, way, second; EU scope visible. This is a provisional connection, not an outcome finding.</w:t>
      </w:r>
    </w:p>
    <w:p>
      <w:pPr>
        <w:pStyle w:val="SourceNote"/>
      </w:pPr>
      <w:r>
        <w:rPr>
          <w:b/>
        </w:rPr>
        <w:t>Available abstract (not full text):</w:t>
      </w:r>
      <w:r>
        <w:t xml:space="preserve">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pPr/>
      <w:r>
        <w:rPr>
          <w:b/>
        </w:rPr>
        <w:t>POSSIBLE 2018:</w:t>
      </w:r>
      <w:r>
        <w:t xml:space="preserve"> The Challenges of Urban Ageing: Making Cities Age-Friendly in Europe — https://doi.org/10.3390/ijerph15112473</w:t>
      </w:r>
    </w:p>
    <w:p>
      <w:pPr/>
      <w:r>
        <w:rPr>
          <w:b/>
        </w:rPr>
        <w:t>Shared claim-specific concepts:</w:t>
      </w:r>
      <w:r>
        <w:t xml:space="preserve"> way, compared, one; EU scope visible. This is a provisional connection, not an outcome finding.</w:t>
      </w:r>
    </w:p>
    <w:p>
      <w:pPr>
        <w:pStyle w:val="SourceNote"/>
      </w:pPr>
      <w:r>
        <w:rPr>
          <w:b/>
        </w:rPr>
        <w:t>Available abstract (not full text):</w:t>
      </w:r>
      <w:r>
        <w:t xml:space="preserve">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964.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2019:</w:t>
      </w:r>
      <w:r>
        <w:t xml:space="preserve"> Parallel clines in native and introduced ragweed populations are likely due to adaptation — https://doi.org/10.1101/773838</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pPr/>
      <w:r>
        <w:rPr>
          <w:b/>
        </w:rPr>
        <w:t>POSSIBLE 2018:</w:t>
      </w:r>
      <w:r>
        <w:t xml:space="preserve"> Intercultural Scale Adaptation Stages, Language and Culture Adaptation: Updated Guideline — https://doi.org/10.26650/fnjn397481</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pPr/>
      <w:r>
        <w:rPr>
          <w:b/>
        </w:rPr>
        <w:t>POSSIBLE 2017:</w:t>
      </w:r>
      <w:r>
        <w:t xml:space="preserve"> The FLC Locus: A Platform for Discoveries in Epigenetics and Adaptation — https://doi.org/10.1146/annurev-cellbio-100616-060546</w:t>
      </w:r>
    </w:p>
    <w:p>
      <w:pPr/>
      <w:r>
        <w:rPr>
          <w:b/>
        </w:rPr>
        <w:t>Shared claim-specific concepts:</w:t>
      </w:r>
      <w:r>
        <w:t xml:space="preserve"> therefore, adaptation, regulate; EU scope not established. This is a provisional connection, not an outcome finding.</w:t>
      </w:r>
    </w:p>
    <w:p>
      <w:pPr>
        <w:pStyle w:val="SourceNote"/>
      </w:pPr>
      <w:r>
        <w:rPr>
          <w:b/>
        </w:rPr>
        <w:t>Available abstract (not full text):</w:t>
      </w:r>
      <w:r>
        <w:t xml:space="preserve">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pPr/>
      <w:r>
        <w:rPr>
          <w:b/>
        </w:rPr>
        <w:t>POSSIBLE 2017:</w:t>
      </w:r>
      <w:r>
        <w:t xml:space="preserve"> Cross-Adaptation: Heat and Cold Adaptation to Improve Physiological and Cellular Responses to Hypoxia — https://doi.org/10.1007/s40279-017-0717-z</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pPr/>
      <w:r>
        <w:rPr>
          <w:b/>
        </w:rPr>
        <w:t>POSSIBLE 2017:</w:t>
      </w:r>
      <w:r>
        <w:t xml:space="preserve"> Epigenetic and Genetic Contributions to Adaptation in Chlamydomonas — https://doi.org/10.1093/molbev/msx166</w:t>
      </w:r>
    </w:p>
    <w:p>
      <w:pPr/>
      <w:r>
        <w:rPr>
          <w:b/>
        </w:rPr>
        <w:t>Shared claim-specific concepts:</w:t>
      </w:r>
      <w:r>
        <w:t xml:space="preserve"> adaptation, between; EU scope not established. This is a provisional connection, not an outcome finding.</w:t>
      </w:r>
    </w:p>
    <w:p>
      <w:pPr>
        <w:pStyle w:val="SourceNote"/>
      </w:pPr>
      <w:r>
        <w:rPr>
          <w:b/>
        </w:rPr>
        <w:t>Available abstract (not full text):</w:t>
      </w:r>
      <w:r>
        <w:t xml:space="preserve">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pPr/>
      <w:r>
        <w:rPr>
          <w:b/>
        </w:rPr>
        <w:t>POSSIBLE 2016:</w:t>
      </w:r>
      <w:r>
        <w:t xml:space="preserve"> An uncertain future, deep uncertainty, scenarios, robustness and adaptation: How do they fit together? — https://doi.org/10.1016/j.envsoft.2016.03.014</w:t>
      </w:r>
    </w:p>
    <w:p>
      <w:pPr/>
      <w:r>
        <w:rPr>
          <w:b/>
        </w:rPr>
        <w:t>Shared claim-specific concepts:</w:t>
      </w:r>
      <w:r>
        <w:t xml:space="preserve"> adaptation, conditions, climate; EU scope not established. This is a provisional connection, not an outcome finding.</w:t>
      </w:r>
    </w:p>
    <w:p>
      <w:pPr>
        <w:pStyle w:val="SourceNote"/>
      </w:pPr>
      <w:r>
        <w:rPr>
          <w:b/>
        </w:rPr>
        <w:t>Available abstract (not full text):</w:t>
      </w:r>
      <w:r>
        <w:t xml:space="preserve">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965.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important, however, used;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r>
        <w:rPr>
          <w:b/>
        </w:rPr>
        <w:t>POSSIBLE 2018:</w:t>
      </w:r>
      <w:r>
        <w:t xml:space="preserve"> Home Exercise Training Improves Exercise Capacity in Cirrhosis Patients: Role of Exercise Adherence — https://doi.org/10.1038/s41598-017-18320-y</w:t>
      </w:r>
    </w:p>
    <w:p>
      <w:pPr/>
      <w:r>
        <w:rPr>
          <w:b/>
        </w:rPr>
        <w:t>Shared claim-specific concepts:</w:t>
      </w:r>
      <w:r>
        <w:t xml:space="preserve"> exercise, objective, used; EU scope not established. This is a provisional connection, not an outcome finding.</w:t>
      </w:r>
    </w:p>
    <w:p>
      <w:pPr>
        <w:pStyle w:val="SourceNote"/>
      </w:pPr>
      <w:r>
        <w:rPr>
          <w:b/>
        </w:rPr>
        <w:t>Available abstract (not full text):</w:t>
      </w:r>
      <w:r>
        <w:t xml:space="preserve">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pPr/>
      <w:r>
        <w:rPr>
          <w:b/>
        </w:rPr>
        <w:t>POSSIBLE 2018:</w:t>
      </w:r>
      <w:r>
        <w:t xml:space="preserve"> Challenges and Action Points to Amplify Agroecology in Europe — https://doi.org/10.3390/su10051598</w:t>
      </w:r>
    </w:p>
    <w:p>
      <w:pPr/>
      <w:r>
        <w:rPr>
          <w:b/>
        </w:rPr>
        <w:t>Shared claim-specific concepts:</w:t>
      </w:r>
      <w:r>
        <w:t xml:space="preserve"> important, exercise, carried, out, present; EU scope visible. This is a provisional connection, not an outcome finding.</w:t>
      </w:r>
    </w:p>
    <w:p>
      <w:pPr>
        <w:pStyle w:val="SourceNote"/>
      </w:pPr>
      <w:r>
        <w:rPr>
          <w:b/>
        </w:rPr>
        <w:t>Available abstract (not full text):</w:t>
      </w:r>
      <w:r>
        <w:t xml:space="preserve">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pPr/>
      <w:r>
        <w:rPr>
          <w:b/>
        </w:rPr>
        <w:t>POSSIBLE 2017:</w:t>
      </w:r>
      <w:r>
        <w:t xml:space="preserve"> Exercise for intermittent claudication — https://doi.org/10.1002/14651858.cd000990.pub4</w:t>
      </w:r>
    </w:p>
    <w:p>
      <w:pPr/>
      <w:r>
        <w:rPr>
          <w:b/>
        </w:rPr>
        <w:t>Shared claim-specific concepts:</w:t>
      </w:r>
      <w:r>
        <w:t xml:space="preserve"> important, however, exercise, case, only, used; EU scope not established. This is a provisional connection, not an outcome finding.</w:t>
      </w:r>
    </w:p>
    <w:p>
      <w:pPr>
        <w:pStyle w:val="SourceNote"/>
      </w:pPr>
      <w:r>
        <w:rPr>
          <w:b/>
        </w:rPr>
        <w:t>Available abstract (not full text):</w:t>
      </w:r>
      <w:r>
        <w:t xml:space="preserve">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pPr/>
      <w:r>
        <w:rPr>
          <w:b/>
        </w:rPr>
        <w:t>POSSIBLE 2016:</w:t>
      </w:r>
      <w:r>
        <w:t xml:space="preserve"> The second gamma-H2AX assay inter-comparison exercise carried out in the framework of the European biodosimetry network (RENEB) — https://doi.org/10.1080/09553002.2016.1207822</w:t>
      </w:r>
    </w:p>
    <w:p>
      <w:pPr/>
      <w:r>
        <w:rPr>
          <w:b/>
        </w:rPr>
        <w:t>Shared claim-specific concepts:</w:t>
      </w:r>
      <w:r>
        <w:t xml:space="preserve"> way, exercise, carried, out, only, purpose; EU scope visible. This is a provisional connection, not an outcome finding.</w:t>
      </w:r>
    </w:p>
    <w:p>
      <w:pPr>
        <w:pStyle w:val="SourceNote"/>
      </w:pPr>
      <w:r>
        <w:rPr>
          <w:b/>
        </w:rPr>
        <w:t>Available abstract (not full text):</w:t>
      </w:r>
      <w:r>
        <w:t xml:space="preserve">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pPr/>
      <w:r>
        <w:rPr>
          <w:b/>
        </w:rPr>
        <w:t>POSSIBLE 2015:</w:t>
      </w:r>
      <w:r>
        <w:t xml:space="preserve"> Epidemiology of traumatic brain injury in Europe — https://doi.org/10.1007/s00701-015-2512-7</w:t>
      </w:r>
    </w:p>
    <w:p>
      <w:pPr/>
      <w:r>
        <w:rPr>
          <w:b/>
        </w:rPr>
        <w:t>Shared claim-specific concepts:</w:t>
      </w:r>
      <w:r>
        <w:t xml:space="preserve"> case, only; EU scope visible. This is a provisional connection, not an outcome finding.</w:t>
      </w:r>
    </w:p>
    <w:p>
      <w:pPr>
        <w:pStyle w:val="SourceNote"/>
      </w:pPr>
      <w:r>
        <w:rPr>
          <w:b/>
        </w:rPr>
        <w:t>Available abstract (not full text):</w:t>
      </w:r>
      <w:r>
        <w:t xml:space="preserve">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966.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Simulating Ecological Functions of Vegetation Using a Dynamic Vegetation Model — https://doi.org/10.3390/f13091464</w:t>
      </w:r>
    </w:p>
    <w:p>
      <w:pPr/>
      <w:r>
        <w:rPr>
          <w:b/>
        </w:rPr>
        <w:t>Shared claim-specific concepts:</w:t>
      </w:r>
      <w:r>
        <w:t xml:space="preserve"> used, vegetation, forest; EU scope not established. This is a provisional connection, not an outcome finding.</w:t>
      </w:r>
    </w:p>
    <w:p>
      <w:pPr>
        <w:pStyle w:val="SourceNote"/>
      </w:pPr>
      <w:r>
        <w:rPr>
          <w:b/>
        </w:rPr>
        <w:t>Available abstract (not full text):</w:t>
      </w:r>
      <w:r>
        <w:t xml:space="preserve">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used, forest, part;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2021:</w:t>
      </w:r>
      <w:r>
        <w:t xml:space="preserve"> Analysing the relationship between drought and soil erosion using vegetation health index and RUSLE models in Godavari middle sub-basin, India — https://doi.org/10.1016/j.gsf.2021.101312</w:t>
      </w:r>
    </w:p>
    <w:p>
      <w:pPr/>
      <w:r>
        <w:rPr>
          <w:b/>
        </w:rPr>
        <w:t>Shared claim-specific concepts:</w:t>
      </w:r>
      <w:r>
        <w:t xml:space="preserve"> vegetation, one; EU scope not established. This is a provisional connection, not an outcome finding.</w:t>
      </w:r>
    </w:p>
    <w:p>
      <w:pPr>
        <w:pStyle w:val="SourceNote"/>
      </w:pPr>
      <w:r>
        <w:rPr>
          <w:b/>
        </w:rPr>
        <w:t>Available abstract (not full text):</w:t>
      </w:r>
      <w:r>
        <w:t xml:space="preserve">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pPr/>
      <w:r>
        <w:rPr>
          <w:b/>
        </w:rPr>
        <w:t>POSSIBLE 2020:</w:t>
      </w:r>
      <w:r>
        <w:t xml:space="preserve"> Sentinel-1 Cross Ratio and Vegetation Optical Depth: A Comparison over Europe — https://doi.org/10.3390/rs12203404</w:t>
      </w:r>
    </w:p>
    <w:p>
      <w:pPr/>
      <w:r>
        <w:rPr>
          <w:b/>
        </w:rPr>
        <w:t>Shared claim-specific concepts:</w:t>
      </w:r>
      <w:r>
        <w:t xml:space="preserve"> used, vegetation, one; EU scope visible. This is a provisional connection, not an outcome finding.</w:t>
      </w:r>
    </w:p>
    <w:p>
      <w:pPr>
        <w:pStyle w:val="SourceNote"/>
      </w:pPr>
      <w:r>
        <w:rPr>
          <w:b/>
        </w:rPr>
        <w:t>Available abstract (not full text):</w:t>
      </w:r>
      <w:r>
        <w:t xml:space="preserve">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pPr/>
      <w:r>
        <w:rPr>
          <w:b/>
        </w:rPr>
        <w:t>POSSIBLE 2017:</w:t>
      </w:r>
      <w:r>
        <w:t xml:space="preserve"> Vegetation dynamics and fire history at the southern boundary of the forest vegetation zone in European Russia during the middle and late Holocene — https://doi.org/10.1177/0959683617721331</w:t>
      </w:r>
    </w:p>
    <w:p>
      <w:pPr/>
      <w:r>
        <w:rPr>
          <w:b/>
        </w:rPr>
        <w:t>Shared claim-specific concepts:</w:t>
      </w:r>
      <w:r>
        <w:t xml:space="preserve"> vegetation, forest, part, russia; EU scope visible. This is a provisional connection, not an outcome finding.</w:t>
      </w:r>
    </w:p>
    <w:p>
      <w:pPr>
        <w:pStyle w:val="SourceNote"/>
      </w:pPr>
      <w:r>
        <w:rPr>
          <w:b/>
        </w:rPr>
        <w:t>Available abstract (not full text):</w:t>
      </w:r>
      <w:r>
        <w:t xml:space="preserve">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pPr/>
      <w:r>
        <w:rPr>
          <w:b/>
        </w:rPr>
        <w:t>POSSIBLE 2015:</w:t>
      </w:r>
      <w:r>
        <w:t xml:space="preserve"> A Conceptual Model of Vegetation–hydrogeomorphology Interactions Within River Corridors — https://doi.org/10.1002/rra.2928</w:t>
      </w:r>
    </w:p>
    <w:p>
      <w:pPr/>
      <w:r>
        <w:rPr>
          <w:b/>
        </w:rPr>
        <w:t>Shared claim-specific concepts:</w:t>
      </w:r>
      <w:r>
        <w:t xml:space="preserve"> vegetation, one; EU scope visible. This is a provisional connection, not an outcome finding.</w:t>
      </w:r>
    </w:p>
    <w:p>
      <w:pPr>
        <w:pStyle w:val="SourceNote"/>
      </w:pPr>
      <w:r>
        <w:rPr>
          <w:b/>
        </w:rPr>
        <w:t>Available abstract (not full text):</w:t>
      </w:r>
      <w:r>
        <w:t xml:space="preserve">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967.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2023:</w:t>
      </w:r>
      <w:r>
        <w:t xml:space="preserve"> Emerging threats and opportunities to managed bee species in European agricultural systems: a horizon scan — https://doi.org/10.1038/s41598-023-45279-w</w:t>
      </w:r>
    </w:p>
    <w:p>
      <w:pPr/>
      <w:r>
        <w:rPr>
          <w:b/>
        </w:rPr>
        <w:t>Shared claim-specific concepts:</w:t>
      </w:r>
      <w:r>
        <w:t xml:space="preserve"> issues, horizon, scanning, exercise; EU scope visible. This is a provisional connection, not an outcome finding.</w:t>
      </w:r>
    </w:p>
    <w:p>
      <w:pPr>
        <w:pStyle w:val="SourceNote"/>
      </w:pPr>
      <w:r>
        <w:rPr>
          <w:b/>
        </w:rPr>
        <w:t>Available abstract (not full text):</w:t>
      </w:r>
      <w:r>
        <w:t xml:space="preserve">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scanning, light, challenges;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2022:</w:t>
      </w:r>
      <w:r>
        <w:t xml:space="preserve"> AI hyped? A horizon scan of discourse on artificial intelligence in education (AIED) and development — https://doi.org/10.1080/17439884.2022.2095568</w:t>
      </w:r>
    </w:p>
    <w:p>
      <w:pPr/>
      <w:r>
        <w:rPr>
          <w:b/>
        </w:rPr>
        <w:t>Shared claim-specific concepts:</w:t>
      </w:r>
      <w:r>
        <w:t xml:space="preserve"> key, horizon; EU scope not established. This is a provisional connection, not an outcome finding.</w:t>
      </w:r>
    </w:p>
    <w:p>
      <w:pPr>
        <w:pStyle w:val="SourceNote"/>
      </w:pPr>
      <w:r>
        <w:rPr>
          <w:b/>
        </w:rPr>
        <w:t>Available abstract (not full text):</w:t>
      </w:r>
      <w:r>
        <w:t xml:space="preserve">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pPr/>
      <w:r>
        <w:rPr>
          <w:b/>
        </w:rPr>
        <w:t>POSSIBLE 2021:</w:t>
      </w:r>
      <w:r>
        <w:t xml:space="preserve"> Issues that mobilize Europe. The role of key policy issues for voter turnout in the 2019 European Parliament election — https://doi.org/10.1177/14651165211040337</w:t>
      </w:r>
    </w:p>
    <w:p>
      <w:pPr/>
      <w:r>
        <w:rPr>
          <w:b/>
        </w:rPr>
        <w:t>Shared claim-specific concepts:</w:t>
      </w:r>
      <w:r>
        <w:t xml:space="preserve"> key, issues, systemic, light; EU scope visible. This is a provisional connection, not an outcome finding.</w:t>
      </w:r>
    </w:p>
    <w:p>
      <w:pPr>
        <w:pStyle w:val="SourceNote"/>
      </w:pPr>
      <w:r>
        <w:rPr>
          <w:b/>
        </w:rPr>
        <w:t>Available abstract (not full text):</w:t>
      </w:r>
      <w:r>
        <w:t xml:space="preserve">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pPr/>
      <w:r>
        <w:rPr>
          <w:b/>
        </w:rPr>
        <w:t>POSSIBLE 2021:</w:t>
      </w:r>
      <w:r>
        <w:t xml:space="preserve"> The Imperative to Discuss European Islam: A Response to Grinell and Črnič — https://doi.org/10.1017/s1062798721000193</w:t>
      </w:r>
    </w:p>
    <w:p>
      <w:pPr/>
      <w:r>
        <w:rPr>
          <w:b/>
        </w:rPr>
        <w:t>Shared claim-specific concepts:</w:t>
      </w:r>
      <w:r>
        <w:t xml:space="preserve"> discuss, key, issues; EU scope visible. This is a provisional connection, not an outcome finding.</w:t>
      </w:r>
    </w:p>
    <w:p>
      <w:pPr>
        <w:pStyle w:val="SourceNote"/>
      </w:pPr>
      <w:r>
        <w:rPr>
          <w:b/>
        </w:rPr>
        <w:t>Available abstract (not full text):</w:t>
      </w:r>
      <w:r>
        <w:t xml:space="preserve">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968.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r>
        <w:rPr>
          <w:b/>
        </w:rPr>
        <w:t>POSSIBLE 2020:</w:t>
      </w:r>
      <w:r>
        <w:t xml:space="preserve"> Effects of global ship emissions on European air pollution levels — https://doi.org/10.5194/acp-20-11399-2020</w:t>
      </w:r>
    </w:p>
    <w:p>
      <w:pPr/>
      <w:r>
        <w:rPr>
          <w:b/>
        </w:rPr>
        <w:t>Shared claim-specific concepts:</w:t>
      </w:r>
      <w:r>
        <w:t xml:space="preserve"> air, pollution, both, but; EU scope visible. This is a provisional connection, not an outcome finding.</w:t>
      </w:r>
    </w:p>
    <w:p>
      <w:pPr>
        <w:pStyle w:val="SourceNote"/>
      </w:pPr>
      <w:r>
        <w:rPr>
          <w:b/>
        </w:rPr>
        <w:t>Available abstract (not full text):</w:t>
      </w:r>
      <w:r>
        <w:t xml:space="preserve">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pPr/>
      <w:r>
        <w:rPr>
          <w:b/>
        </w:rPr>
        <w:t>POSSIBLE 2019:</w:t>
      </w:r>
      <w:r>
        <w:t xml:space="preserve"> Cardiovascular disease burden from ambient air pollution in Europe reassessed using novel hazard ratio functions — https://doi.org/10.1093/eurheartj/ehz135</w:t>
      </w:r>
    </w:p>
    <w:p>
      <w:pPr/>
      <w:r>
        <w:rPr>
          <w:b/>
        </w:rPr>
        <w:t>Shared claim-specific concepts:</w:t>
      </w:r>
      <w:r>
        <w:t xml:space="preserve"> air, pollution, leading, about; EU scope visible. This is a provisional connection, not an outcome finding.</w:t>
      </w:r>
    </w:p>
    <w:p>
      <w:pPr>
        <w:pStyle w:val="SourceNote"/>
      </w:pPr>
      <w:r>
        <w:rPr>
          <w:b/>
        </w:rPr>
        <w:t>Available abstract (not full text):</w:t>
      </w:r>
      <w:r>
        <w:t xml:space="preserve">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pPr/>
      <w:r>
        <w:rPr>
          <w:b/>
        </w:rPr>
        <w:t>POSSIBLE 2017:</w:t>
      </w:r>
      <w:r>
        <w:t xml:space="preserve"> Air pollution and social inequality in the European Union — https://openalex.org/W2897528287</w:t>
      </w:r>
    </w:p>
    <w:p>
      <w:pPr/>
      <w:r>
        <w:rPr>
          <w:b/>
        </w:rPr>
        <w:t>Shared claim-specific concepts:</w:t>
      </w:r>
      <w:r>
        <w:t xml:space="preserve"> air, pollution, but, about; EU scope visible. This is a provisional connection, not an outcome finding.</w:t>
      </w:r>
    </w:p>
    <w:p>
      <w:pPr>
        <w:pStyle w:val="SourceNote"/>
      </w:pPr>
      <w:r>
        <w:rPr>
          <w:b/>
        </w:rPr>
        <w:t>Available abstract (not full text):</w:t>
      </w:r>
      <w:r>
        <w:t xml:space="preserve">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969.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2017:</w:t>
      </w:r>
      <w:r>
        <w:t xml:space="preserve"> Migrating Huns and modified heads: Eigenshape analysis comparing intentionally modified crania from Hungary and Georgia in the Migration Period of Europe — https://doi.org/10.1371/journal.pone.0171064</w:t>
      </w:r>
    </w:p>
    <w:p>
      <w:pPr/>
      <w:r>
        <w:rPr>
          <w:b/>
        </w:rPr>
        <w:t>Shared claim-specific concepts:</w:t>
      </w:r>
      <w:r>
        <w:t xml:space="preserve"> comparing, baseline, period; EU scope visible. This is a provisional connection, not an outcome finding.</w:t>
      </w:r>
    </w:p>
    <w:p>
      <w:pPr>
        <w:pStyle w:val="SourceNote"/>
      </w:pPr>
      <w:r>
        <w:rPr>
          <w:b/>
        </w:rPr>
        <w:t>Available abstract (not full text):</w:t>
      </w:r>
      <w:r>
        <w:t xml:space="preserve">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pPr/>
      <w:r>
        <w:rPr>
          <w:b/>
        </w:rPr>
        <w:t>POSSIBLE 2016:</w:t>
      </w:r>
      <w:r>
        <w:t xml:space="preserve"> Time trends of contact allergy to the European baseline series in Lithuania — https://doi.org/10.1111/cod.12726</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pPr/>
      <w:r>
        <w:rPr>
          <w:b/>
        </w:rPr>
        <w:t>POSSIBLE 2015:</w:t>
      </w:r>
      <w:r>
        <w:t xml:space="preserve"> Influenza surveillance in E urope: comparing intensity levels calculated using the moving epidemic method — https://doi.org/10.1111/irv.12330</w:t>
      </w:r>
    </w:p>
    <w:p>
      <w:pPr/>
      <w:r>
        <w:rPr>
          <w:b/>
        </w:rPr>
        <w:t>Shared claim-specific concepts:</w:t>
      </w:r>
      <w:r>
        <w:t xml:space="preserve"> comparing, baseline, period, belgium, spain; EU scope visible. This is a provisional connection, not an outcome finding.</w:t>
      </w:r>
    </w:p>
    <w:p>
      <w:pPr>
        <w:pStyle w:val="SourceNote"/>
      </w:pPr>
      <w:r>
        <w:rPr>
          <w:b/>
        </w:rPr>
        <w:t>Available abstract (not full text):</w:t>
      </w:r>
      <w:r>
        <w:t xml:space="preserve">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pPr/>
      <w:r>
        <w:rPr>
          <w:b/>
        </w:rPr>
        <w:t>POSSIBLE 2014:</w:t>
      </w:r>
      <w:r>
        <w:t xml:space="preserve"> The Importance of Baseline Surveys of Near-Surface Gas Geochemistry for CCS Monitoring, as Shown from Onshore Case Studies in Northern and Southern Europe — https://doi.org/10.2516/ogst/2014009</w:t>
      </w:r>
    </w:p>
    <w:p>
      <w:pPr/>
      <w:r>
        <w:rPr>
          <w:b/>
        </w:rPr>
        <w:t>Shared claim-specific concepts:</w:t>
      </w:r>
      <w:r>
        <w:t xml:space="preserve"> baseline, much, larger, climate; EU scope visible. This is a provisional connection, not an outcome finding.</w:t>
      </w:r>
    </w:p>
    <w:p>
      <w:pPr>
        <w:pStyle w:val="SourceNote"/>
      </w:pPr>
      <w:r>
        <w:rPr>
          <w:b/>
        </w:rPr>
        <w:t>Available abstract (not full text):</w:t>
      </w:r>
      <w:r>
        <w:t xml:space="preserve">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970.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r>
        <w:rPr>
          <w:b/>
        </w:rPr>
        <w:t>POSSIBLE 2021:</w:t>
      </w:r>
      <w:r>
        <w:t xml:space="preserve"> A Model for Examining Challenges and Opportunities in Use of Cloud Computing for Health Information Systems — https://doi.org/10.3390/asi4010015</w:t>
      </w:r>
    </w:p>
    <w:p>
      <w:pPr/>
      <w:r>
        <w:rPr>
          <w:b/>
        </w:rPr>
        <w:t>Shared claim-specific concepts:</w:t>
      </w:r>
      <w:r>
        <w:t xml:space="preserve"> systems, but, not, technology; EU scope not established. This is a provisional connection, not an outcome finding.</w:t>
      </w:r>
    </w:p>
    <w:p>
      <w:pPr>
        <w:pStyle w:val="SourceNote"/>
      </w:pPr>
      <w:r>
        <w:rPr>
          <w:b/>
        </w:rPr>
        <w:t>Available abstract (not full text):</w:t>
      </w:r>
      <w:r>
        <w:t xml:space="preserve">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pPr/>
      <w:r>
        <w:rPr>
          <w:b/>
        </w:rPr>
        <w:t>POSSIBLE 2020:</w:t>
      </w:r>
      <w:r>
        <w:t xml:space="preserve"> Applying focused ethnographic methods: examining implications of intracultural diversity for nutrition interventions — https://doi.org/10.1093/nutrit/nuaa002</w:t>
      </w:r>
    </w:p>
    <w:p>
      <w:pPr/>
      <w:r>
        <w:rPr>
          <w:b/>
        </w:rPr>
        <w:t>Shared claim-specific concepts:</w:t>
      </w:r>
      <w:r>
        <w:t xml:space="preserve"> then, examines, implications, approach, but; EU scope not established. This is a provisional connection, not an outcome finding.</w:t>
      </w:r>
    </w:p>
    <w:p>
      <w:pPr>
        <w:pStyle w:val="SourceNote"/>
      </w:pPr>
      <w:r>
        <w:rPr>
          <w:b/>
        </w:rPr>
        <w:t>Available abstract (not full text):</w:t>
      </w:r>
      <w:r>
        <w:t xml:space="preserve">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pPr/>
      <w:r>
        <w:rPr>
          <w:b/>
        </w:rPr>
        <w:t>POSSIBLE 2018:</w:t>
      </w:r>
      <w:r>
        <w:t xml:space="preserve"> Measuring learning gains and examining implications for student success in STEM — https://doi.org/10.1080/23752696.2018.1425096</w:t>
      </w:r>
    </w:p>
    <w:p>
      <w:pPr/>
      <w:r>
        <w:rPr>
          <w:b/>
        </w:rPr>
        <w:t>Shared claim-specific concepts:</w:t>
      </w:r>
      <w:r>
        <w:t xml:space="preserve"> implications, technology, mix; EU scope not established. This is a provisional connection, not an outcome finding.</w:t>
      </w:r>
    </w:p>
    <w:p>
      <w:pPr>
        <w:pStyle w:val="SourceNote"/>
      </w:pPr>
      <w:r>
        <w:rPr>
          <w:b/>
        </w:rPr>
        <w:t>Available abstract (not full text):</w:t>
      </w:r>
      <w:r>
        <w:t xml:space="preserve">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pPr/>
      <w:r>
        <w:rPr>
          <w:b/>
        </w:rPr>
        <w:t>POSSIBLE 2016:</w:t>
      </w:r>
      <w:r>
        <w:t xml:space="preserve"> Commodification of natural resources and forest ecosystem services: examining implications for forest protection — https://doi.org/10.1017/s0376892916000436</w:t>
      </w:r>
    </w:p>
    <w:p>
      <w:pPr/>
      <w:r>
        <w:rPr>
          <w:b/>
        </w:rPr>
        <w:t>Shared claim-specific concepts:</w:t>
      </w:r>
      <w:r>
        <w:t xml:space="preserve"> implications, approach; EU scope not established. This is a provisional connection, not an outcome finding.</w:t>
      </w:r>
    </w:p>
    <w:p>
      <w:pPr>
        <w:pStyle w:val="SourceNote"/>
      </w:pPr>
      <w:r>
        <w:rPr>
          <w:b/>
        </w:rPr>
        <w:t>Available abstract (not full text):</w:t>
      </w:r>
      <w:r>
        <w:t xml:space="preserve">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pPr/>
      <w:r>
        <w:rPr>
          <w:b/>
        </w:rPr>
        <w:t>POSSIBLE 2014:</w:t>
      </w:r>
      <w:r>
        <w:t xml:space="preserve"> RFID integrated systems in libraries: extending TAM model for empirically examining the use — https://doi.org/10.1108/jeim-10-2013-0079</w:t>
      </w:r>
    </w:p>
    <w:p>
      <w:pPr/>
      <w:r>
        <w:rPr>
          <w:b/>
        </w:rPr>
        <w:t>Shared claim-specific concepts:</w:t>
      </w:r>
      <w:r>
        <w:t xml:space="preserve"> systems, approach, significantly, technology; EU scope not established. This is a provisional connection, not an outcome finding.</w:t>
      </w:r>
    </w:p>
    <w:p>
      <w:pPr>
        <w:pStyle w:val="SourceNote"/>
      </w:pPr>
      <w:r>
        <w:rPr>
          <w:b/>
        </w:rPr>
        <w:t>Available abstract (not full text):</w:t>
      </w:r>
      <w:r>
        <w:t xml:space="preserve">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971.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2023:</w:t>
      </w:r>
      <w:r>
        <w:t xml:space="preserve"> Z-Delphi: A Z-Number-Based Delphi Technique for Technological Forecasting to Reduce Optimism/Pessimism Bias in Experts’ Convergent Opinions — https://doi.org/10.1007/s44196-023-00270-1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pPr/>
      <w:r>
        <w:rPr>
          <w:b/>
        </w:rPr>
        <w:t>POSSIBLE 2022:</w:t>
      </w:r>
      <w:r>
        <w:t xml:space="preserve"> A Conceptual Framework for Determining Quality Requirements for Mobile Learning Applications Using Delphi Method — https://doi.org/10.3390/electronics11050788</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pPr/>
      <w:r>
        <w:rPr>
          <w:b/>
        </w:rPr>
        <w:t>POSSIBLE 2022:</w:t>
      </w:r>
      <w:r>
        <w:t xml:space="preserve"> Grand Challenges in global eye health: a global prioritisation process using Delphi method — https://doi.org/10.1016/s2666-7568(21)00302-0</w:t>
      </w:r>
    </w:p>
    <w:p>
      <w:pPr/>
      <w:r>
        <w:rPr>
          <w:b/>
        </w:rPr>
        <w:t>Shared claim-specific concepts:</w:t>
      </w:r>
      <w:r>
        <w:t xml:space="preserve"> used, delphi, method, systems, each; EU scope visible. This is a provisional connection, not an outcome finding.</w:t>
      </w:r>
    </w:p>
    <w:p>
      <w:pPr>
        <w:pStyle w:val="SourceNote"/>
      </w:pPr>
      <w:r>
        <w:rPr>
          <w:b/>
        </w:rPr>
        <w:t>Available abstract (not full text):</w:t>
      </w:r>
      <w:r>
        <w:t xml:space="preserve">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pPr/>
      <w:r>
        <w:rPr>
          <w:b/>
        </w:rPr>
        <w:t>POSSIBLE 2022:</w:t>
      </w:r>
      <w:r>
        <w:t xml:space="preserve"> Forecasting Food Innovations with a Delphi Study — https://doi.org/10.3390/foods11223723</w:t>
      </w:r>
    </w:p>
    <w:p>
      <w:pPr/>
      <w:r>
        <w:rPr>
          <w:b/>
        </w:rPr>
        <w:t>Shared claim-specific concepts:</w:t>
      </w:r>
      <w:r>
        <w:t xml:space="preserve"> delphi, method, food; EU scope not established. This is a provisional connection, not an outcome finding.</w:t>
      </w:r>
    </w:p>
    <w:p>
      <w:pPr>
        <w:pStyle w:val="SourceNote"/>
      </w:pPr>
      <w:r>
        <w:rPr>
          <w:b/>
        </w:rPr>
        <w:t>Available abstract (not full text):</w:t>
      </w:r>
      <w:r>
        <w:t xml:space="preserve">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pPr/>
      <w:r>
        <w:rPr>
          <w:b/>
        </w:rPr>
        <w:t>POSSIBLE 2021:</w:t>
      </w:r>
      <w:r>
        <w:t xml:space="preserve"> A Study on the Classification of Autonomous Functions of Unmanned Aircraft Using Delphi Method — https://doi.org/10.25052/kscm.2021.05.21.1.55</w:t>
      </w:r>
    </w:p>
    <w:p>
      <w:pPr/>
      <w:r>
        <w:rPr>
          <w:b/>
        </w:rPr>
        <w:t>Shared claim-specific concepts:</w:t>
      </w:r>
      <w:r>
        <w:t xml:space="preserve"> delphi, method, systems, each; EU scope not established. This is a provisional connection, not an outcome finding.</w:t>
      </w:r>
    </w:p>
    <w:p>
      <w:pPr>
        <w:pStyle w:val="SourceNote"/>
      </w:pPr>
      <w:r>
        <w:rPr>
          <w:b/>
        </w:rPr>
        <w:t>Available abstract (not full text):</w:t>
      </w:r>
      <w:r>
        <w:t xml:space="preserve">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pPr/>
      <w:r>
        <w:rPr>
          <w:b/>
        </w:rPr>
        <w:t>POSSIBLE 2021:</w:t>
      </w:r>
      <w:r>
        <w:t xml:space="preserve"> Conceptual framework for task shifting and task sharing: an international Delphi study — https://doi.org/10.1186/s12960-021-00605-z</w:t>
      </w:r>
    </w:p>
    <w:p>
      <w:pPr/>
      <w:r>
        <w:rPr>
          <w:b/>
        </w:rPr>
        <w:t>Shared claim-specific concepts:</w:t>
      </w:r>
      <w:r>
        <w:t xml:space="preserve"> used, delphi, within; EU scope not established. This is a provisional connection, not an outcome finding.</w:t>
      </w:r>
    </w:p>
    <w:p>
      <w:pPr>
        <w:pStyle w:val="SourceNote"/>
      </w:pPr>
      <w:r>
        <w:rPr>
          <w:b/>
        </w:rPr>
        <w:t>Available abstract (not full text):</w:t>
      </w:r>
      <w:r>
        <w:t xml:space="preserve"> BACKGROUND: Task shifting and sharing (TS/S) involves the redistribution of health tasks within workforces and communities. Conceptual frameworks lay out the key factors, constructs, and variables involved in a given phenomenon, as well as the relationships between those factors. Though TS/S is a leading strategy to address health worker shortages and improve access to services worldwide, a conceptual framework for this approach is lacking. METHODS: We used an online Delphi process to engage an international panel of scholars with experience in knowledge synthesis concerning TS/S and develop a conceptual framework for TS/S. We invited 55 prospective panelists to participate in a series of questionnaires exploring the purpose of TS/S and the characteristics of contexts amenable to TS/S programmes. Panelist responses were analysed and integrated through an iterative process to achieve consensus on the elements included in the conceptual framework. RESULTS: The panel achieved consensus concerning the included concepts after three Delphi rounds among 15 panelists. The COATS Framework (Concepts and Opportunities to Advance Task Shifting and Task Sharing) offers a refined definition of TS/S and a general purpose statement to guide TS/S programmes. COATS describes that opportunities for health system improvement arising from TS/S programmes depending on the implementation context, and</w:t>
      </w:r>
    </w:p>
    <w:p>
      <w:pPr>
        <w:pStyle w:val="Heading2"/>
      </w:pPr>
      <w:r>
        <w:t>972.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r>
        <w:rPr>
          <w:b/>
        </w:rPr>
        <w:t>POSSIBLE 2021:</w:t>
      </w:r>
      <w:r>
        <w:t xml:space="preserve"> PROJECT ACTIVITIES OF STUDENTS AND CRITERIA FOR EVALUATING RESULTS — https://doi.org/10.33989/2075-146x.2020.26.227655</w:t>
      </w:r>
    </w:p>
    <w:p>
      <w:pPr/>
      <w:r>
        <w:rPr>
          <w:b/>
        </w:rPr>
        <w:t>Shared claim-specific concepts:</w:t>
      </w:r>
      <w:r>
        <w:t xml:space="preserve"> projects, evaluation, thinking, between, activities; EU scope not established. This is a provisional connection, not an outcome finding.</w:t>
      </w:r>
    </w:p>
    <w:p>
      <w:pPr>
        <w:pStyle w:val="SourceNote"/>
      </w:pPr>
      <w:r>
        <w:rPr>
          <w:b/>
        </w:rPr>
        <w:t>Available abstract (not full text):</w:t>
      </w:r>
      <w:r>
        <w:t xml:space="preserve">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pPr/>
      <w:r>
        <w:rPr>
          <w:b/>
        </w:rPr>
        <w:t>POSSIBLE 2021:</w:t>
      </w:r>
      <w:r>
        <w:t xml:space="preserve"> Urban-PLUMBER model evaluation project: initial results — https://doi.org/10.5194/egusphere-egu21-15230</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pPr/>
      <w:r>
        <w:rPr>
          <w:b/>
        </w:rPr>
        <w:t>POSSIBLE 2020:</w:t>
      </w:r>
      <w:r>
        <w:t xml:space="preserve"> Results of the Collaborative International Evaluated Library Organisation (CIELO) Project — https://doi.org/10.1051/epjconf/202023915003</w:t>
      </w:r>
    </w:p>
    <w:p>
      <w:pPr/>
      <w:r>
        <w:rPr>
          <w:b/>
        </w:rPr>
        <w:t>Shared claim-specific concepts:</w:t>
      </w:r>
      <w:r>
        <w:t xml:space="preserve"> projects, evaluation, data, between, activities; EU scope visible. This is a provisional connection, not an outcome finding.</w:t>
      </w:r>
    </w:p>
    <w:p>
      <w:pPr>
        <w:pStyle w:val="SourceNote"/>
      </w:pPr>
      <w:r>
        <w:rPr>
          <w:b/>
        </w:rPr>
        <w:t>Available abstract (not full text):</w:t>
      </w:r>
      <w:r>
        <w:t xml:space="preserve">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pPr/>
      <w:r>
        <w:rPr>
          <w:b/>
        </w:rPr>
        <w:t>POSSIBLE 2020:</w:t>
      </w:r>
      <w:r>
        <w:t xml:space="preserve"> Optimization of Time and Cost for a Research Project by Project Crashing Method — https://doi.org/10.1088/1757-899x/998/1/012057</w:t>
      </w:r>
    </w:p>
    <w:p>
      <w:pPr/>
      <w:r>
        <w:rPr>
          <w:b/>
        </w:rPr>
        <w:t>Shared claim-specific concepts:</w:t>
      </w:r>
      <w:r>
        <w:t xml:space="preserve"> current, between, activities; EU scope not established. This is a provisional connection, not an outcome finding.</w:t>
      </w:r>
    </w:p>
    <w:p>
      <w:pPr>
        <w:pStyle w:val="SourceNote"/>
      </w:pPr>
      <w:r>
        <w:rPr>
          <w:b/>
        </w:rPr>
        <w:t>Available abstract (not full text):</w:t>
      </w:r>
      <w:r>
        <w:t xml:space="preserve">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973.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2018:</w:t>
      </w:r>
      <w:r>
        <w:t xml:space="preserve"> Compact or spread? A quantitative spatial model of urban areas in Europe since 1990 — https://doi.org/10.1371/journal.pone.0192326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pPr/>
      <w:r>
        <w:rPr>
          <w:b/>
        </w:rPr>
        <w:t>POSSIBLE 2018:</w:t>
      </w:r>
      <w:r>
        <w:t xml:space="preserve"> Quantitative Sovereign Default Models and the European Debt Crisis — https://doi.org/10.3386/w24981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2016:</w:t>
      </w:r>
      <w:r>
        <w:t xml:space="preserve"> Congestion management in power systems - Long-term modeling framework and large-scale application — https://openalex.org/W3122947640</w:t>
      </w:r>
    </w:p>
    <w:p>
      <w:pPr/>
      <w:r>
        <w:rPr>
          <w:b/>
        </w:rPr>
        <w:t>Shared claim-specific concepts:</w:t>
      </w:r>
      <w:r>
        <w:t xml:space="preserve"> framework, analyzing, long-term; EU scope visible. This is a provisional connection, not an outcome finding.</w:t>
      </w:r>
    </w:p>
    <w:p>
      <w:pPr>
        <w:pStyle w:val="SourceNote"/>
      </w:pPr>
      <w:r>
        <w:rPr>
          <w:b/>
        </w:rPr>
        <w:t>Available abstract (not full text):</w:t>
      </w:r>
      <w:r>
        <w:t xml:space="preserve">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pPr/>
      <w:r>
        <w:rPr>
          <w:b/>
        </w:rPr>
        <w:t>POSSIBLE 2013:</w:t>
      </w:r>
      <w:r>
        <w:t xml:space="preserve"> Continental-scale assessment of provisioning soil functions in Europe — https://doi.org/10.1186/2192-1709-2-32</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974.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r>
        <w:rPr>
          <w:b/>
        </w:rPr>
        <w:t>POSSIBLE 2025:</w:t>
      </w:r>
      <w:r>
        <w:t xml:space="preserve"> Advantages and pitfalls of green public procurement as a European strategic tool — https://openalex.org/W7116591833</w:t>
      </w:r>
    </w:p>
    <w:p>
      <w:pPr/>
      <w:r>
        <w:rPr>
          <w:b/>
        </w:rPr>
        <w:t>Shared claim-specific concepts:</w:t>
      </w:r>
      <w:r>
        <w:t xml:space="preserve"> tool, strategic, support, sector; EU scope visible. This is a provisional connection, not an outcome finding.</w:t>
      </w:r>
    </w:p>
    <w:p>
      <w:pPr>
        <w:pStyle w:val="SourceNote"/>
      </w:pPr>
      <w:r>
        <w:rPr>
          <w:b/>
        </w:rPr>
        <w:t>Available abstract (not full text):</w:t>
      </w:r>
      <w:r>
        <w:t xml:space="preserve">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pPr/>
      <w:r>
        <w:rPr>
          <w:b/>
        </w:rPr>
        <w:t>POSSIBLE 2025:</w:t>
      </w:r>
      <w:r>
        <w:t xml:space="preserve"> ENHANCING REGIONAL COMPETITIVENESS THROUGH STRATEGIC MANAGEMENT OF TOURISM CLUSTERS: EVIDENCE FROM EUROPEAN COUNTRIES — https://openalex.org/W7220001405</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pPr/>
      <w:r>
        <w:rPr>
          <w:b/>
        </w:rPr>
        <w:t>POSSIBLE 2024:</w:t>
      </w:r>
      <w:r>
        <w:t xml:space="preserve"> Digital Tools in Strategic Global Sports Brand Management — https://doi.org/10.2478/jec-2024-0029</w:t>
      </w:r>
    </w:p>
    <w:p>
      <w:pPr/>
      <w:r>
        <w:rPr>
          <w:b/>
        </w:rPr>
        <w:t>Shared claim-specific concepts:</w:t>
      </w:r>
      <w:r>
        <w:t xml:space="preserve"> qualitative, tool, strategic, findings; EU scope visible. This is a provisional connection, not an outcome finding.</w:t>
      </w:r>
    </w:p>
    <w:p>
      <w:pPr>
        <w:pStyle w:val="SourceNote"/>
      </w:pPr>
      <w:r>
        <w:rPr>
          <w:b/>
        </w:rPr>
        <w:t>Available abstract (not full text):</w:t>
      </w:r>
      <w:r>
        <w:t xml:space="preserve">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pPr/>
      <w:r>
        <w:rPr>
          <w:b/>
        </w:rPr>
        <w:t>POSSIBLE 2024:</w:t>
      </w:r>
      <w:r>
        <w:t xml:space="preserve"> Rethinking Barriers and Enablers in Qualitative Health Research: Limitations, Alternatives, and Enhancements — https://doi.org/10.1177/10497323241230890</w:t>
      </w:r>
    </w:p>
    <w:p>
      <w:pPr/>
      <w:r>
        <w:rPr>
          <w:b/>
        </w:rPr>
        <w:t>Shared claim-specific concepts:</w:t>
      </w:r>
      <w:r>
        <w:t xml:space="preserve"> qualitative, researchers, findings; EU scope not established. This is a provisional connection, not an outcome finding.</w:t>
      </w:r>
    </w:p>
    <w:p>
      <w:pPr>
        <w:pStyle w:val="SourceNote"/>
      </w:pPr>
      <w:r>
        <w:rPr>
          <w:b/>
        </w:rPr>
        <w:t>Available abstract (not full text):</w:t>
      </w:r>
      <w:r>
        <w:t xml:space="preserve">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pPr/>
      <w:r>
        <w:rPr>
          <w:b/>
        </w:rPr>
        <w:t>POSSIBLE 2024:</w:t>
      </w:r>
      <w:r>
        <w:t xml:space="preserve"> Attitudes of European psychiatrists on psychedelics: a qualitative study — https://doi.org/10.3389/fpsyt.2024.1411234</w:t>
      </w:r>
    </w:p>
    <w:p>
      <w:pPr/>
      <w:r>
        <w:rPr>
          <w:b/>
        </w:rPr>
        <w:t>Shared claim-specific concepts:</w:t>
      </w:r>
      <w:r>
        <w:t xml:space="preserve"> qualitative, main, findings; EU scope visible. This is a provisional connection, not an outcome finding.</w:t>
      </w:r>
    </w:p>
    <w:p>
      <w:pPr>
        <w:pStyle w:val="SourceNote"/>
      </w:pPr>
      <w:r>
        <w:rPr>
          <w:b/>
        </w:rPr>
        <w:t>Available abstract (not full text):</w:t>
      </w:r>
      <w:r>
        <w:t xml:space="preserve">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pPr/>
      <w:r>
        <w:rPr>
          <w:b/>
        </w:rPr>
        <w:t>POSSIBLE 2023:</w:t>
      </w:r>
      <w:r>
        <w:t xml:space="preserve"> 4 Research Methods: Quantitative and Qualitative Approaches — https://doi.org/10.21832/9781800417151-006</w:t>
      </w:r>
    </w:p>
    <w:p>
      <w:pPr/>
      <w:r>
        <w:rPr>
          <w:b/>
        </w:rPr>
        <w:t>Shared claim-specific concepts:</w:t>
      </w:r>
      <w:r>
        <w:t xml:space="preserve"> qualitative, identify, discussed; EU scope not established. This is a provisional connection, not an outcome finding.</w:t>
      </w:r>
    </w:p>
    <w:p>
      <w:pPr>
        <w:pStyle w:val="SourceNote"/>
      </w:pPr>
      <w:r>
        <w:rPr>
          <w:b/>
        </w:rPr>
        <w:t>Available abstract (not full text):</w:t>
      </w:r>
      <w:r>
        <w:t xml:space="preserve">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975.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r>
        <w:rPr>
          <w:b/>
        </w:rPr>
        <w:t>POSSIBLE 2020:</w:t>
      </w:r>
      <w:r>
        <w:t xml:space="preserve"> Twenty-seven-year time trends in dementia incidence in Europe and the United States — https://doi.org/10.1212/wnl.0000000000010022</w:t>
      </w:r>
    </w:p>
    <w:p>
      <w:pPr/>
      <w:r>
        <w:rPr>
          <w:b/>
        </w:rPr>
        <w:t>Shared claim-specific concepts:</w:t>
      </w:r>
      <w:r>
        <w:t xml:space="preserve"> similar, trends, increased, over, north; EU scope visible. This is a provisional connection, not an outcome finding.</w:t>
      </w:r>
    </w:p>
    <w:p>
      <w:pPr>
        <w:pStyle w:val="SourceNote"/>
      </w:pPr>
      <w:r>
        <w:rPr>
          <w:b/>
        </w:rPr>
        <w:t>Available abstract (not full text):</w:t>
      </w:r>
      <w:r>
        <w:t xml:space="preserve">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pPr/>
      <w:r>
        <w:rPr>
          <w:b/>
        </w:rPr>
        <w:t>POSSIBLE 2020:</w:t>
      </w:r>
      <w:r>
        <w:t xml:space="preserve"> Flood trends in Europe: are changes in small and big floods different? — https://doi.org/10.5194/hess-24-1805-2020</w:t>
      </w:r>
    </w:p>
    <w:p>
      <w:pPr/>
      <w:r>
        <w:rPr>
          <w:b/>
        </w:rPr>
        <w:t>Shared claim-specific concepts:</w:t>
      </w:r>
      <w:r>
        <w:t xml:space="preserve"> trends, over, southern, distribution, related;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trends, likely, over, southern, conditions, north;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trends, increased, over, decreased, distribution;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976.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977.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r>
        <w:rPr>
          <w:b/>
        </w:rPr>
        <w:t>POSSIBLE 2019:</w:t>
      </w:r>
      <w:r>
        <w:t xml:space="preserve"> Design of a Novel Piezoelectric Energy Harvester Based on Integrated Multistage Force Amplification Frame — https://doi.org/10.1109/tmech.2019.2906999</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pPr/>
      <w:r>
        <w:rPr>
          <w:b/>
        </w:rPr>
        <w:t>POSSIBLE 2018:</w:t>
      </w:r>
      <w:r>
        <w:t xml:space="preserve">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The integrated motivational–volitional model of suicidal behaviour — https://doi.org/10.1098/rstb.2017.0268</w:t>
      </w:r>
    </w:p>
    <w:p>
      <w:pPr/>
      <w:r>
        <w:rPr>
          <w:b/>
        </w:rPr>
        <w:t>Shared claim-specific concepts:</w:t>
      </w:r>
      <w:r>
        <w:t xml:space="preserve"> integrated, about; EU scope not established. This is a provisional connection, not an outcome finding.</w:t>
      </w:r>
    </w:p>
    <w:p>
      <w:pPr>
        <w:pStyle w:val="SourceNote"/>
      </w:pPr>
      <w:r>
        <w:rPr>
          <w:b/>
        </w:rPr>
        <w:t>Available abstract (not full text):</w:t>
      </w:r>
      <w:r>
        <w:t xml:space="preserve">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pPr/>
      <w:r>
        <w:rPr>
          <w:b/>
        </w:rPr>
        <w:t>POSSIBLE 2018:</w:t>
      </w:r>
      <w:r>
        <w:t xml:space="preserve"> An integrated phenology modelling framework in r — https://doi.org/10.1111/2041-210x.12970</w:t>
      </w:r>
    </w:p>
    <w:p>
      <w:pPr/>
      <w:r>
        <w:rPr>
          <w:b/>
        </w:rPr>
        <w:t>Shared claim-specific concepts:</w:t>
      </w:r>
      <w:r>
        <w:t xml:space="preserve"> integrated, first, climate, show; EU scope visible. This is a provisional connection, not an outcome finding.</w:t>
      </w:r>
    </w:p>
    <w:p>
      <w:pPr>
        <w:pStyle w:val="SourceNote"/>
      </w:pPr>
      <w:r>
        <w:rPr>
          <w:b/>
        </w:rPr>
        <w:t>Available abstract (not full text):</w:t>
      </w:r>
      <w:r>
        <w:t xml:space="preserve">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pPr/>
      <w:r>
        <w:rPr>
          <w:b/>
        </w:rPr>
        <w:t>POSSIBLE 2018:</w:t>
      </w:r>
      <w:r>
        <w:t xml:space="preserve"> An Integrated Cytoskeletal Model of Neurite Outgrowth — https://doi.org/10.3389/fncel.2018.00447</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978.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2019:</w:t>
      </w:r>
      <w:r>
        <w:t xml:space="preserve"> From Moscow to Simferopol: How the Russian Cubo-Futurists Accessed the Provinces — https://doi.org/10.1353/ths.2019.0003</w:t>
      </w:r>
    </w:p>
    <w:p>
      <w:pPr/>
      <w:r>
        <w:rPr>
          <w:b/>
        </w:rPr>
        <w:t>Shared claim-specific concepts:</w:t>
      </w:r>
      <w:r>
        <w:t xml:space="preserve"> futurists, radically, different, but, also, project; EU scope not established. This is a provisional connection, not an outcome finding.</w:t>
      </w:r>
    </w:p>
    <w:p>
      <w:pPr>
        <w:pStyle w:val="SourceNote"/>
      </w:pPr>
      <w:r>
        <w:rPr>
          <w:b/>
        </w:rPr>
        <w:t>Available abstract (not full text):</w:t>
      </w:r>
      <w:r>
        <w:t xml:space="preserve">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pPr/>
      <w:r>
        <w:rPr>
          <w:b/>
        </w:rPr>
        <w:t>POSSIBLE 2017:</w:t>
      </w:r>
      <w:r>
        <w:t xml:space="preserve"> The Anti-Neutral Suit: international legal futurists, 1914–2017 — https://doi.org/10.1093/lril/lrw023</w:t>
      </w:r>
    </w:p>
    <w:p>
      <w:pPr/>
      <w:r>
        <w:rPr>
          <w:b/>
        </w:rPr>
        <w:t>Shared claim-specific concepts:</w:t>
      </w:r>
      <w:r>
        <w:t xml:space="preserve"> futurists, not, but; EU scope not established. This is a provisional connection, not an outcome finding.</w:t>
      </w:r>
    </w:p>
    <w:p>
      <w:pPr>
        <w:pStyle w:val="SourceNote"/>
      </w:pPr>
      <w:r>
        <w:rPr>
          <w:b/>
        </w:rPr>
        <w:t>Available abstract (not full text):</w:t>
      </w:r>
      <w:r>
        <w:t xml:space="preserve">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pPr/>
      <w:r>
        <w:rPr>
          <w:b/>
        </w:rPr>
        <w:t>POSSIBLE 2016:</w:t>
      </w:r>
      <w:r>
        <w:t xml:space="preserve"> Futurist Painting Sculpture (Plastic Dynamism) — https://openalex.org/W2753318073</w:t>
      </w:r>
    </w:p>
    <w:p>
      <w:pPr/>
      <w:r>
        <w:rPr>
          <w:b/>
        </w:rPr>
        <w:t>Shared claim-specific concepts:</w:t>
      </w:r>
      <w:r>
        <w:t xml:space="preserve"> futurists, not, only, but, also, political; EU scope visible. This is a provisional connection, not an outcome finding.</w:t>
      </w:r>
    </w:p>
    <w:p>
      <w:pPr>
        <w:pStyle w:val="SourceNote"/>
      </w:pPr>
      <w:r>
        <w:rPr>
          <w:b/>
        </w:rPr>
        <w:t>Available abstract (not full text):</w:t>
      </w:r>
      <w:r>
        <w:t xml:space="preserve">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979.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2018:</w:t>
      </w:r>
      <w:r>
        <w:t xml:space="preserve"> Is a 100% renewable European power system feasible by 2050? — https://doi.org/10.1016/j.apenergy.2018.08.109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pPr/>
      <w:r>
        <w:rPr>
          <w:b/>
        </w:rPr>
        <w:t>POSSIBLE 2017:</w:t>
      </w:r>
      <w:r>
        <w:t xml:space="preserve"> Gap assessment in current soil monitoring networks across Europe for measuring soil functions — https://doi.org/10.1088/1748-9326/aa9c5c</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pPr/>
      <w:r>
        <w:rPr>
          <w:b/>
        </w:rPr>
        <w:t>POSSIBLE 2017:</w:t>
      </w:r>
      <w:r>
        <w:t xml:space="preserve"> Current state of the plastic waste recycling system in the European Union and in Germany — https://openalex.org/W2802287539</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pPr/>
      <w:r>
        <w:rPr>
          <w:b/>
        </w:rPr>
        <w:t>POSSIBLE 2015:</w:t>
      </w:r>
      <w:r>
        <w:t xml:space="preserve"> Current Trends in Urolithiasis Treatment in Various European Health Systems — https://doi.org/10.1159/000441041</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980.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r>
        <w:rPr>
          <w:b/>
        </w:rPr>
        <w:t>POSSIBLE 2020:</w:t>
      </w:r>
      <w:r>
        <w:t xml:space="preserve"> Ethical Challenges in European Parliamentary Debates with Regards to Audiovisual Sexual Risks on the Internet — https://doi.org/10.17576/jkmjc-2020-3602-17</w:t>
      </w:r>
    </w:p>
    <w:p>
      <w:pPr/>
      <w:r>
        <w:rPr>
          <w:b/>
        </w:rPr>
        <w:t>Shared claim-specific concepts:</w:t>
      </w:r>
      <w:r>
        <w:t xml:space="preserve"> regards, assumption; EU scope visible. This is a provisional connection, not an outcome finding.</w:t>
      </w:r>
    </w:p>
    <w:p>
      <w:pPr>
        <w:pStyle w:val="SourceNote"/>
      </w:pPr>
      <w:r>
        <w:rPr>
          <w:b/>
        </w:rPr>
        <w:t>Available abstract (not full text):</w:t>
      </w:r>
      <w:r>
        <w:t xml:space="preserve">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pPr/>
      <w:r>
        <w:rPr>
          <w:b/>
        </w:rPr>
        <w:t>POSSIBLE 2020:</w:t>
      </w:r>
      <w:r>
        <w:t xml:space="preserve"> A linguistically-informed way of introducing Japanese verbs to second language learners — https://doi.org/10.1515/jjl-2019-2017</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pPr/>
      <w:r>
        <w:rPr>
          <w:b/>
        </w:rPr>
        <w:t>POSSIBLE 2020:</w:t>
      </w:r>
      <w:r>
        <w:t xml:space="preserve"> Life’s Simple 7 and Incident Hypertension: The REGARDS Study — https://doi.org/10.1161/jaha.120.016482</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pPr/>
      <w:r>
        <w:rPr>
          <w:b/>
        </w:rPr>
        <w:t>POSSIBLE 2019:</w:t>
      </w:r>
      <w:r>
        <w:t xml:space="preserve"> Modelling Associative-Semantic Content as Regards the Logic-of-Semantics Dimension of the Adolescents’ Speech — https://doi.org/10.31470/2309-1797-2019-26-1-324-341</w:t>
      </w:r>
    </w:p>
    <w:p>
      <w:pPr/>
      <w:r>
        <w:rPr>
          <w:b/>
        </w:rPr>
        <w:t>Shared claim-specific concepts:</w:t>
      </w:r>
      <w:r>
        <w:t xml:space="preserve"> regards, modelling, activity, potential, strategies; EU scope not established. This is a provisional connection, not an outcome finding.</w:t>
      </w:r>
    </w:p>
    <w:p>
      <w:pPr>
        <w:pStyle w:val="SourceNote"/>
      </w:pPr>
      <w:r>
        <w:rPr>
          <w:b/>
        </w:rPr>
        <w:t>Available abstract (not full text):</w:t>
      </w:r>
      <w:r>
        <w:t xml:space="preserve">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981.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r>
        <w:rPr>
          <w:b/>
        </w:rPr>
        <w:t>POSSIBLE 2020:</w:t>
      </w:r>
      <w:r>
        <w:t xml:space="preserve"> Knowledge workers’ stated preferences for important characteristics of activity-based workspaces — https://doi.org/10.1080/09613218.2020.1726169</w:t>
      </w:r>
    </w:p>
    <w:p>
      <w:pPr/>
      <w:r>
        <w:rPr>
          <w:b/>
        </w:rPr>
        <w:t>Shared claim-specific concepts:</w:t>
      </w:r>
      <w:r>
        <w:t xml:space="preserve"> important, different, possible; EU scope not established. This is a provisional connection, not an outcome finding.</w:t>
      </w:r>
    </w:p>
    <w:p>
      <w:pPr>
        <w:pStyle w:val="SourceNote"/>
      </w:pPr>
      <w:r>
        <w:rPr>
          <w:b/>
        </w:rPr>
        <w:t>Available abstract (not full text):</w:t>
      </w:r>
      <w:r>
        <w:t xml:space="preserve">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pPr/>
      <w:r>
        <w:rPr>
          <w:b/>
        </w:rPr>
        <w:t>POSSIBLE 2020:</w:t>
      </w:r>
      <w:r>
        <w:t xml:space="preserve"> Possible Roles for Basal Levels of (p)ppGpp: Growth Efficiency Vs. Surviving Stress — https://doi.org/10.3389/fmicb.2020.592718</w:t>
      </w:r>
    </w:p>
    <w:p>
      <w:pPr/>
      <w:r>
        <w:rPr>
          <w:b/>
        </w:rPr>
        <w:t>Shared claim-specific concepts:</w:t>
      </w:r>
      <w:r>
        <w:t xml:space="preserve"> important, different, possible, over; EU scope not established. This is a provisional connection, not an outcome finding.</w:t>
      </w:r>
    </w:p>
    <w:p>
      <w:pPr>
        <w:pStyle w:val="SourceNote"/>
      </w:pPr>
      <w:r>
        <w:rPr>
          <w:b/>
        </w:rPr>
        <w:t>Available abstract (not full text):</w:t>
      </w:r>
      <w:r>
        <w:t xml:space="preserve">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pPr/>
      <w:r>
        <w:rPr>
          <w:b/>
        </w:rPr>
        <w:t>POSSIBLE 2020:</w:t>
      </w:r>
      <w:r>
        <w:t xml:space="preserve"> Performance Comparison of Gesture Recognition System Based on Different Classifiers — https://doi.org/10.1109/tcds.2020.2969297</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pPr/>
      <w:r>
        <w:rPr>
          <w:b/>
        </w:rPr>
        <w:t>POSSIBLE 2019:</w:t>
      </w:r>
      <w:r>
        <w:t xml:space="preserve"> Comparing different supervised machine learning algorithms for disease prediction — https://doi.org/10.1186/s12911-019-1004-8</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982.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r>
        <w:rPr>
          <w:b/>
        </w:rPr>
        <w:t>POSSIBLE 2017:</w:t>
      </w:r>
      <w:r>
        <w:t xml:space="preserve"> Reforming the European Union Emissions Trading System (EU ETS) — https://doi.org/10.14279/depositonce-5946</w:t>
      </w:r>
    </w:p>
    <w:p>
      <w:pPr/>
      <w:r>
        <w:rPr>
          <w:b/>
        </w:rPr>
        <w:t>Shared claim-specific concepts:</w:t>
      </w:r>
      <w:r>
        <w:t xml:space="preserve"> governance, three; EU scope visible. This is a provisional connection, not an outcome finding.</w:t>
      </w:r>
    </w:p>
    <w:p>
      <w:pPr>
        <w:pStyle w:val="SourceNote"/>
      </w:pPr>
      <w:r>
        <w:rPr>
          <w:b/>
        </w:rPr>
        <w:t>Available abstract (not full text):</w:t>
      </w:r>
      <w:r>
        <w:t xml:space="preserve">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pPr/>
      <w:r>
        <w:rPr>
          <w:b/>
        </w:rPr>
        <w:t>POSSIBLE 2016:</w:t>
      </w:r>
      <w:r>
        <w:t xml:space="preserve"> THE REFORM OF NATIONAL SOCIAL-ECONOMIC SYSTEMS AND EUROPEAN REFORM — https://openalex.org/W4381135264</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pPr/>
      <w:r>
        <w:rPr>
          <w:b/>
        </w:rPr>
        <w:t>POSSIBLE 2016:</w:t>
      </w:r>
      <w:r>
        <w:t xml:space="preserve"> From National Enclaves to Supporting Offices: an Analysis of the 1999 Reform of European Commissioners’ Cabinets — https://doi.org/10.30950/jcer.v12i3.724</w:t>
      </w:r>
    </w:p>
    <w:p>
      <w:pPr/>
      <w:r>
        <w:rPr>
          <w:b/>
        </w:rPr>
        <w:t>Shared claim-specific concepts:</w:t>
      </w:r>
      <w:r>
        <w:t xml:space="preserve"> reforms, article, three; EU scope visible. This is a provisional connection, not an outcome finding.</w:t>
      </w:r>
    </w:p>
    <w:p>
      <w:pPr>
        <w:pStyle w:val="SourceNote"/>
      </w:pPr>
      <w:r>
        <w:rPr>
          <w:b/>
        </w:rPr>
        <w:t>Available abstract (not full text):</w:t>
      </w:r>
      <w:r>
        <w:t xml:space="preserve">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pPr/>
      <w:r>
        <w:rPr>
          <w:b/>
        </w:rPr>
        <w:t>POSSIBLE 2014:</w:t>
      </w:r>
      <w:r>
        <w:t xml:space="preserve"> Reforming the European Union’s Common Fisheries Policy: Why was there a successful reform of the Common Fisheries Policy possible in 2013, after years of ineffective policy and unsuccessful attempts at reforms? — https://openalex.org/W1500832518</w:t>
      </w:r>
    </w:p>
    <w:p>
      <w:pPr/>
      <w:r>
        <w:rPr>
          <w:b/>
        </w:rPr>
        <w:t>Shared claim-specific concepts:</w:t>
      </w:r>
      <w:r>
        <w:t xml:space="preserve"> reforms, agreed, possible; EU scope visible. This is a provisional connection, not an outcome finding.</w:t>
      </w:r>
    </w:p>
    <w:p>
      <w:pPr>
        <w:pStyle w:val="SourceNote"/>
      </w:pPr>
      <w:r>
        <w:rPr>
          <w:b/>
        </w:rPr>
        <w:t>Available abstract (not full text):</w:t>
      </w:r>
      <w:r>
        <w:t xml:space="preserve">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983.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r>
        <w:rPr>
          <w:b/>
        </w:rPr>
        <w:t>POSSIBLE 2022:</w:t>
      </w:r>
      <w:r>
        <w:t xml:space="preserve"> 21st Century water withdrawal decoupling: A pathway to a more water-wise world? — https://doi.org/10.1016/j.wre.2022.100197</w:t>
      </w:r>
    </w:p>
    <w:p>
      <w:pPr/>
      <w:r>
        <w:rPr>
          <w:b/>
        </w:rPr>
        <w:t>Shared claim-specific concepts:</w:t>
      </w:r>
      <w:r>
        <w:t xml:space="preserve"> water, withdrawals, increase, increasing, resources; EU scope not established. This is a provisional connection, not an outcome finding.</w:t>
      </w:r>
    </w:p>
    <w:p>
      <w:pPr>
        <w:pStyle w:val="SourceNote"/>
      </w:pPr>
      <w:r>
        <w:rPr>
          <w:b/>
        </w:rPr>
        <w:t>Available abstract (not full text):</w:t>
      </w:r>
      <w:r>
        <w:t xml:space="preserve">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pPr/>
      <w:r>
        <w:rPr>
          <w:b/>
        </w:rPr>
        <w:t>POSSIBLE 2022:</w:t>
      </w:r>
      <w:r>
        <w:t xml:space="preserve"> The delusive accuracy of global irrigation water withdrawal estimates — https://doi.org/10.1038/s41467-022-30731-8</w:t>
      </w:r>
    </w:p>
    <w:p>
      <w:pPr/>
      <w:r>
        <w:rPr>
          <w:b/>
        </w:rPr>
        <w:t>Shared claim-specific concepts:</w:t>
      </w:r>
      <w:r>
        <w:t xml:space="preserve"> water, withdrawals, freshwater; EU scope not established. This is a provisional connection, not an outcome finding.</w:t>
      </w:r>
    </w:p>
    <w:p>
      <w:pPr>
        <w:pStyle w:val="SourceNote"/>
      </w:pPr>
      <w:r>
        <w:rPr>
          <w:b/>
        </w:rPr>
        <w:t>Available abstract (not full text):</w:t>
      </w:r>
      <w:r>
        <w:t xml:space="preserve">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pPr/>
      <w:r>
        <w:rPr>
          <w:b/>
        </w:rPr>
        <w:t>POSSIBLE 2021:</w:t>
      </w:r>
      <w:r>
        <w:t xml:space="preserve"> Irrigated areas drive irrigation water withdrawals — https://doi.org/10.1038/s41467-021-24508-8</w:t>
      </w:r>
    </w:p>
    <w:p>
      <w:pPr/>
      <w:r>
        <w:rPr>
          <w:b/>
        </w:rPr>
        <w:t>Shared claim-specific concepts:</w:t>
      </w:r>
      <w:r>
        <w:t xml:space="preserve"> water, withdrawals, freshwater, resources; EU scope not established. This is a provisional connection, not an outcome finding.</w:t>
      </w:r>
    </w:p>
    <w:p>
      <w:pPr>
        <w:pStyle w:val="SourceNote"/>
      </w:pPr>
      <w:r>
        <w:rPr>
          <w:b/>
        </w:rPr>
        <w:t>Available abstract (not full text):</w:t>
      </w:r>
      <w:r>
        <w:t xml:space="preserve">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pPr/>
      <w:r>
        <w:rPr>
          <w:b/>
        </w:rPr>
        <w:t>POSSIBLE 2021:</w:t>
      </w:r>
      <w:r>
        <w:t xml:space="preserve"> Global water scarcity including surface water quality and expansions of clean water technologies — https://doi.org/10.1088/1748-9326/abbfc3</w:t>
      </w:r>
    </w:p>
    <w:p>
      <w:pPr/>
      <w:r>
        <w:rPr>
          <w:b/>
        </w:rPr>
        <w:t>Shared claim-specific concepts:</w:t>
      </w:r>
      <w:r>
        <w:t xml:space="preserve"> water, withdrawals, increase; EU scope not established. This is a provisional connection, not an outcome finding.</w:t>
      </w:r>
    </w:p>
    <w:p>
      <w:pPr>
        <w:pStyle w:val="SourceNote"/>
      </w:pPr>
      <w:r>
        <w:rPr>
          <w:b/>
        </w:rPr>
        <w:t>Available abstract (not full text):</w:t>
      </w:r>
      <w:r>
        <w:t xml:space="preserve">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984.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2019:</w:t>
      </w:r>
      <w:r>
        <w:t xml:space="preserve"> Facial recognition technology in schools: critical questions and concerns — https://doi.org/10.1080/17439884.2020.1686014</w:t>
      </w:r>
    </w:p>
    <w:p>
      <w:pPr/>
      <w:r>
        <w:rPr>
          <w:b/>
        </w:rPr>
        <w:t>Shared claim-specific concepts:</w:t>
      </w:r>
      <w:r>
        <w:t xml:space="preserve"> critical, question, article, whether; EU scope not established. This is a provisional connection, not an outcome finding.</w:t>
      </w:r>
    </w:p>
    <w:p>
      <w:pPr>
        <w:pStyle w:val="SourceNote"/>
      </w:pPr>
      <w:r>
        <w:rPr>
          <w:b/>
        </w:rPr>
        <w:t>Available abstract (not full text):</w:t>
      </w:r>
      <w:r>
        <w:t xml:space="preserve">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pPr/>
      <w:r>
        <w:rPr>
          <w:b/>
        </w:rPr>
        <w:t>POSSIBLE 2018:</w:t>
      </w:r>
      <w:r>
        <w:t xml:space="preserve"> Some critical questions — https://doi.org/10.4324/9780429431333-4</w:t>
      </w:r>
    </w:p>
    <w:p>
      <w:pPr/>
      <w:r>
        <w:rPr>
          <w:b/>
        </w:rPr>
        <w:t>Shared claim-specific concepts:</w:t>
      </w:r>
      <w:r>
        <w:t xml:space="preserve"> critical, question, considered, whether; EU scope not established. This is a provisional connection, not an outcome finding.</w:t>
      </w:r>
    </w:p>
    <w:p>
      <w:pPr>
        <w:pStyle w:val="SourceNote"/>
      </w:pPr>
      <w:r>
        <w:rPr>
          <w:b/>
        </w:rPr>
        <w:t>Available abstract (not full text):</w:t>
      </w:r>
      <w:r>
        <w:t xml:space="preserve">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pPr/>
      <w:r>
        <w:rPr>
          <w:b/>
        </w:rPr>
        <w:t>POSSIBLE 2017:</w:t>
      </w:r>
      <w:r>
        <w:t xml:space="preserve"> On Critical Service Recovery After Massive Network Failures — https://doi.org/10.1109/tnet.2017.2688330</w:t>
      </w:r>
    </w:p>
    <w:p>
      <w:pPr/>
      <w:r>
        <w:rPr>
          <w:b/>
        </w:rPr>
        <w:t>Shared claim-specific concepts:</w:t>
      </w:r>
      <w:r>
        <w:t xml:space="preserve"> critical, massive, use; EU scope not established. This is a provisional connection, not an outcome finding.</w:t>
      </w:r>
    </w:p>
    <w:p>
      <w:pPr>
        <w:pStyle w:val="SourceNote"/>
      </w:pPr>
      <w:r>
        <w:rPr>
          <w:b/>
        </w:rPr>
        <w:t>Available abstract (not full text):</w:t>
      </w:r>
      <w:r>
        <w:t xml:space="preserve">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pPr/>
      <w:r>
        <w:rPr>
          <w:b/>
        </w:rPr>
        <w:t>POSSIBLE 2017:</w:t>
      </w:r>
      <w:r>
        <w:t xml:space="preserve"> Critical discussions on the Massive Open Online Course (MOOC) in India and China — https://openalex.org/W2780843825</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985.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2019:</w:t>
      </w:r>
      <w:r>
        <w:t xml:space="preserve"> How Does Credit Supply Expansion Affect the Real Economy? The Productive Capacity and Household Demand Channels — https://doi.org/10.1111/jofi.12869</w:t>
      </w:r>
    </w:p>
    <w:p>
      <w:pPr/>
      <w:r>
        <w:rPr>
          <w:b/>
        </w:rPr>
        <w:t>Shared claim-specific concepts:</w:t>
      </w:r>
      <w:r>
        <w:t xml:space="preserve"> expansion, increasing; EU scope not established. This is a provisional connection, not an outcome finding.</w:t>
      </w:r>
    </w:p>
    <w:p>
      <w:pPr>
        <w:pStyle w:val="SourceNote"/>
      </w:pPr>
      <w:r>
        <w:rPr>
          <w:b/>
        </w:rPr>
        <w:t>Available abstract (not full text):</w:t>
      </w:r>
      <w:r>
        <w:t xml:space="preserve">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pPr/>
      <w:r>
        <w:rPr>
          <w:b/>
        </w:rPr>
        <w:t>POSSIBLE 2019:</w:t>
      </w:r>
      <w:r>
        <w:t xml:space="preserve"> Stam Portugal and its expansion through Europe — https://openalex.org/W2971433702</w:t>
      </w:r>
    </w:p>
    <w:p>
      <w:pPr/>
      <w:r>
        <w:rPr>
          <w:b/>
        </w:rPr>
        <w:t>Shared claim-specific concepts:</w:t>
      </w:r>
      <w:r>
        <w:t xml:space="preserve"> expansion, increasing, gap; EU scope visible. This is a provisional connection, not an outcome finding.</w:t>
      </w:r>
    </w:p>
    <w:p>
      <w:pPr>
        <w:pStyle w:val="SourceNote"/>
      </w:pPr>
      <w:r>
        <w:rPr>
          <w:b/>
        </w:rPr>
        <w:t>Available abstract (not full text):</w:t>
      </w:r>
      <w:r>
        <w:t xml:space="preserve">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pPr/>
      <w:r>
        <w:rPr>
          <w:b/>
        </w:rPr>
        <w:t>POSSIBLE 2018:</w:t>
      </w:r>
      <w:r>
        <w:t xml:space="preserve"> Robust demand should continue in 2018 — https://doi.org/10.1021/cen-09602-cover9</w:t>
      </w:r>
    </w:p>
    <w:p>
      <w:pPr/>
      <w:r>
        <w:rPr>
          <w:b/>
        </w:rPr>
        <w:t>Shared claim-specific concepts:</w:t>
      </w:r>
      <w:r>
        <w:t xml:space="preserve"> likely, continued, expansion, production; EU scope visible. This is a provisional connection, not an outcome finding.</w:t>
      </w:r>
    </w:p>
    <w:p>
      <w:pPr>
        <w:pStyle w:val="SourceNote"/>
      </w:pPr>
      <w:r>
        <w:rPr>
          <w:b/>
        </w:rPr>
        <w:t>Available abstract (not full text):</w:t>
      </w:r>
      <w:r>
        <w:t xml:space="preserve">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pPr/>
      <w:r>
        <w:rPr>
          <w:b/>
        </w:rPr>
        <w:t>POSSIBLE 2018:</w:t>
      </w:r>
      <w:r>
        <w:t xml:space="preserve"> A review of demand side flexibility potential in Northern Europe — https://doi.org/10.1016/j.rser.2018.03.104</w:t>
      </w:r>
    </w:p>
    <w:p>
      <w:pPr/>
      <w:r>
        <w:rPr>
          <w:b/>
        </w:rPr>
        <w:t>Shared claim-specific concepts:</w:t>
      </w:r>
      <w:r>
        <w:t xml:space="preserve"> increasing, production, between; EU scope visible. This is a provisional connection, not an outcome finding.</w:t>
      </w:r>
    </w:p>
    <w:p>
      <w:pPr>
        <w:pStyle w:val="SourceNote"/>
      </w:pPr>
      <w:r>
        <w:rPr>
          <w:b/>
        </w:rPr>
        <w:t>Available abstract (not full text):</w:t>
      </w:r>
      <w:r>
        <w:t xml:space="preserve">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pPr/>
      <w:r>
        <w:rPr>
          <w:b/>
        </w:rPr>
        <w:t>POSSIBLE 2018:</w:t>
      </w:r>
      <w:r>
        <w:t xml:space="preserve"> Cereal yield gaps across Europe — https://doi.org/10.1016/j.eja.2018.09.003</w:t>
      </w:r>
    </w:p>
    <w:p>
      <w:pPr/>
      <w:r>
        <w:rPr>
          <w:b/>
        </w:rPr>
        <w:t>Shared claim-specific concepts:</w:t>
      </w:r>
      <w:r>
        <w:t xml:space="preserve"> whether, increasing, production, gap, between, food; EU scope visible. This is a provisional connection, not an outcome finding.</w:t>
      </w:r>
    </w:p>
    <w:p>
      <w:pPr>
        <w:pStyle w:val="SourceNote"/>
      </w:pPr>
      <w:r>
        <w:rPr>
          <w:b/>
        </w:rPr>
        <w:t>Available abstract (not full text):</w:t>
      </w:r>
      <w:r>
        <w:t xml:space="preserve">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pPr/>
      <w:r>
        <w:rPr>
          <w:b/>
        </w:rPr>
        <w:t>POSSIBLE 2016:</w:t>
      </w:r>
      <w:r>
        <w:t xml:space="preserve"> Impacts of +2 °C global warming on winter tourism demand in Europe — https://doi.org/10.1016/j.cliser.2016.07.003</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pPr/>
      <w:r>
        <w:rPr>
          <w:b/>
        </w:rPr>
        <w:t>POSSIBLE 2015:</w:t>
      </w:r>
      <w:r>
        <w:t xml:space="preserve"> Global biomass production potentials exceed expected future demand without the need for cropland expansion — https://doi.org/10.1038/ncomms9946</w:t>
      </w:r>
    </w:p>
    <w:p>
      <w:pPr/>
      <w:r>
        <w:rPr>
          <w:b/>
        </w:rPr>
        <w:t>Shared claim-specific concepts:</w:t>
      </w:r>
      <w:r>
        <w:t xml:space="preserve"> expansion, increasing, production, between; EU scope not established. This is a provisional connection, not an outcome finding.</w:t>
      </w:r>
    </w:p>
    <w:p>
      <w:pPr>
        <w:pStyle w:val="SourceNote"/>
      </w:pPr>
      <w:r>
        <w:rPr>
          <w:b/>
        </w:rPr>
        <w:t>Available abstract (not full text):</w:t>
      </w:r>
      <w:r>
        <w:t xml:space="preserve">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986.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2022:</w:t>
      </w:r>
      <w:r>
        <w:t xml:space="preserve"> A REVIEW OF RECENT TRENDS TO INCREASE THE SHARE OF POST-CONSUMER PACKAGING WASTE TO RECYCLING IN EUROPE — https://doi.org/10.31025/2611-4135/2022.15198</w:t>
      </w:r>
    </w:p>
    <w:p>
      <w:pPr/>
      <w:r>
        <w:rPr>
          <w:b/>
        </w:rPr>
        <w:t>Shared claim-specific concepts:</w:t>
      </w:r>
      <w:r>
        <w:t xml:space="preserve"> recent, literature, article; EU scope visible. This is a provisional connection, not an outcome finding.</w:t>
      </w:r>
    </w:p>
    <w:p>
      <w:pPr>
        <w:pStyle w:val="SourceNote"/>
      </w:pPr>
      <w:r>
        <w:rPr>
          <w:b/>
        </w:rPr>
        <w:t>Available abstract (not full text):</w:t>
      </w:r>
      <w:r>
        <w:t xml:space="preserve"> Through the Circular Economy Package, the EU aims to reduce material imports and environmental impacts of waste management. Ambitious recycling targets should help to achieve these objectives. As a response, the waste industry developed technical and organizational solutions that can intervene at different stages of a waste management system in order to increase the recovery of recycling materials, starting with improved separate collection over the use of modern material recovery facilities up to the enhanced treatment of waste incineration ashes. The large question is how each of these options can contribute to increase recycling rates to achieve a circular economy. By reviewing case studies as presented in the most recent literature published since the year 2010 from European countries on the recycling of post-consumer packaging waste of glass, metals, paper, and plastics, this study contributes to answer this question. In the first stage, the review found 644 articles matching with the search terms and published since the year 2010. Of these, 46 remained for an in-depth analysis, since 319 did not present case studies as defined in the scope of this article. The articles reviewed provide a good overview on the state of knowledge on increasing recycling of post-consumer packaging waste by improved separate collection, material recovery facilities, and waste incineration bott</w:t>
      </w:r>
    </w:p>
    <w:p>
      <w:pPr/>
      <w:r>
        <w:rPr>
          <w:b/>
        </w:rPr>
        <w:t>POSSIBLE 2022:</w:t>
      </w:r>
      <w:r>
        <w:t xml:space="preserve"> Gestational Diabetes Mellitus—Recent Literature Review — https://doi.org/10.3390/jcm11195736</w:t>
      </w:r>
    </w:p>
    <w:p>
      <w:pPr/>
      <w:r>
        <w:rPr>
          <w:b/>
        </w:rPr>
        <w:t>Shared claim-specific concepts:</w:t>
      </w:r>
      <w:r>
        <w:t xml:space="preserve"> recent, literature, leads; EU scope not established. This is a provisional connection, not an outcome finding.</w:t>
      </w:r>
    </w:p>
    <w:p>
      <w:pPr>
        <w:pStyle w:val="SourceNote"/>
      </w:pPr>
      <w:r>
        <w:rPr>
          <w:b/>
        </w:rPr>
        <w:t>Available abstract (not full text):</w:t>
      </w:r>
      <w:r>
        <w:t xml:space="preserve"> Gestational diabetes mellitus (GDM), which is defined as a state of hyperglycemia that is first recognized during pregnancy, is currently the most common medical complication in pregnancy. GDM affects approximately 15% of pregnancies worldwide, accounting for approximately 18 million births annually. Mothers with GDM are at risk of developing gestational hypertension, pre-eclampsia and termination of pregnancy via Caesarean section. In addition, GDM increases the risk of complications, including cardiovascular disease, obesity and impaired carbohydrate metabolism, leading to the development of type 2 diabetes (T2DM) in both the mother and infant. The increase in the incidence of GDM also leads to a significant economic burden and deserves greater attention and awareness. A deeper understanding of the risk factors and pathogenesis becomes a necessity, with particular emphasis on the influence of SARS-CoV-2 and diagnostics, as well as an effective treatment, which may reduce perinatal and metabolic complications. The primary treatments for GDM are diet and increased exercise. Insulin, glibenclamide and metformin can be used to intensify the treatment. This paper provides an overview of the latest reports on the epidemiology, pathogenesis, diagnosis and treatment of GDM based on the literature.</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2020:</w:t>
      </w:r>
      <w:r>
        <w:t xml:space="preserve"> Migrants’ and refugees’ health status and healthcare in Europe: a scoping literature review — https://doi.org/10.1186/s12889-020-08749-8</w:t>
      </w:r>
    </w:p>
    <w:p>
      <w:pPr/>
      <w:r>
        <w:rPr>
          <w:b/>
        </w:rPr>
        <w:t>Shared claim-specific concepts:</w:t>
      </w:r>
      <w:r>
        <w:t xml:space="preserve"> literature, difficult, population; EU scope visible. This is a provisional connection, not an outcome finding.</w:t>
      </w:r>
    </w:p>
    <w:p>
      <w:pPr>
        <w:pStyle w:val="SourceNote"/>
      </w:pPr>
      <w:r>
        <w:rPr>
          <w:b/>
        </w:rPr>
        <w:t>Available abstract (not full text):</w:t>
      </w:r>
      <w:r>
        <w:t xml:space="preserve">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pPr/>
      <w:r>
        <w:rPr>
          <w:b/>
        </w:rPr>
        <w:t>POSSIBLE 2018:</w:t>
      </w:r>
      <w:r>
        <w:t xml:space="preserve"> The European media discourse on immigration and its effects: a literature review — https://doi.org/10.1080/23808985.2018.1497452</w:t>
      </w:r>
    </w:p>
    <w:p>
      <w:pPr/>
      <w:r>
        <w:rPr>
          <w:b/>
        </w:rPr>
        <w:t>Shared claim-specific concepts:</w:t>
      </w:r>
      <w:r>
        <w:t xml:space="preserve"> literature, shown, leads, negative; EU scope visible. This is a provisional connection, not an outcome finding.</w:t>
      </w:r>
    </w:p>
    <w:p>
      <w:pPr>
        <w:pStyle w:val="SourceNote"/>
      </w:pPr>
      <w:r>
        <w:rPr>
          <w:b/>
        </w:rPr>
        <w:t>Available abstract (not full text):</w:t>
      </w:r>
      <w:r>
        <w:t xml:space="preserve">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pPr/>
      <w:r>
        <w:rPr>
          <w:b/>
        </w:rPr>
        <w:t>POSSIBLE 2018:</w:t>
      </w:r>
      <w:r>
        <w:t xml:space="preserve"> Oral Health Impact Profile in Celiac Patients: Analysis of Recent Findings in a Literature Review — https://doi.org/10.1155/2018/7848735</w:t>
      </w:r>
    </w:p>
    <w:p>
      <w:pPr/>
      <w:r>
        <w:rPr>
          <w:b/>
        </w:rPr>
        <w:t>Shared claim-specific concepts:</w:t>
      </w:r>
      <w:r>
        <w:t xml:space="preserve"> recent, literature, according; EU scope not established. This is a provisional connection, not an outcome finding.</w:t>
      </w:r>
    </w:p>
    <w:p>
      <w:pPr>
        <w:pStyle w:val="SourceNote"/>
      </w:pPr>
      <w:r>
        <w:rPr>
          <w:b/>
        </w:rPr>
        <w:t>Available abstract (not full text):</w:t>
      </w:r>
      <w:r>
        <w:t xml:space="preserve">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pPr>
        <w:pStyle w:val="Heading2"/>
      </w:pPr>
      <w:r>
        <w:t>987.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r>
        <w:rPr>
          <w:b/>
        </w:rPr>
        <w:t>POSSIBLE 2022:</w:t>
      </w:r>
      <w:r>
        <w:t xml:space="preserve"> Depression and anxiety among children and adolescents during the COVID-19 pandemic in Europe: A systematic review protocol — https://doi.org/10.21203/rs.3.rs-1638547/v1</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pPr/>
      <w:r>
        <w:rPr>
          <w:b/>
        </w:rPr>
        <w:t>POSSIBLE 2022:</w:t>
      </w:r>
      <w:r>
        <w:t xml:space="preserve"> Depression and anxiety among children and adolescents during the COVID-19 pandemic in Europe: A systematic review protocol — https://doi.org/10.21203/rs.3.rs-1638547/v2</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pPr/>
      <w:r>
        <w:rPr>
          <w:b/>
        </w:rPr>
        <w:t>POSSIBLE 2022:</w:t>
      </w:r>
      <w:r>
        <w:t xml:space="preserve"> The 2018–2020 Multi‐Year Drought Sets a New Benchmark in Europe — https://doi.org/10.1029/2021ef002394</w:t>
      </w:r>
    </w:p>
    <w:p>
      <w:pPr/>
      <w:r>
        <w:rPr>
          <w:b/>
        </w:rPr>
        <w:t>Shared claim-specific concepts:</w:t>
      </w:r>
      <w:r>
        <w:t xml:space="preserve"> abstract, during, climate, conditions, but;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2021:</w:t>
      </w:r>
      <w:r>
        <w:t xml:space="preserve"> Mapping species richness of plant families in European vegetation — https://doi.org/10.1111/jvs.13035</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pPr/>
      <w:r>
        <w:rPr>
          <w:b/>
        </w:rPr>
        <w:t>POSSIBLE 2021:</w:t>
      </w:r>
      <w:r>
        <w:t xml:space="preserve"> The critical role of tree species and human disturbance in determining the macrofungal diversity in Europe — https://doi.org/10.1111/geb.13372</w:t>
      </w:r>
    </w:p>
    <w:p>
      <w:pPr/>
      <w:r>
        <w:rPr>
          <w:b/>
        </w:rPr>
        <w:t>Shared claim-specific concepts:</w:t>
      </w:r>
      <w:r>
        <w:t xml:space="preserve"> abstract, aim, species, climate, remains; EU scope visible. This is a provisional connection, not an outcome finding.</w:t>
      </w:r>
    </w:p>
    <w:p>
      <w:pPr>
        <w:pStyle w:val="SourceNote"/>
      </w:pPr>
      <w:r>
        <w:rPr>
          <w:b/>
        </w:rPr>
        <w:t>Available abstract (not full text):</w:t>
      </w:r>
      <w:r>
        <w:t xml:space="preserve">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pPr/>
      <w:r>
        <w:rPr>
          <w:b/>
        </w:rPr>
        <w:t>POSSIBLE 2021:</w:t>
      </w:r>
      <w:r>
        <w:t xml:space="preserve"> Introduction, spread, and impacts of invasive alien mammal species in Europe — https://doi.org/10.1111/mam.12277</w:t>
      </w:r>
    </w:p>
    <w:p>
      <w:pPr/>
      <w:r>
        <w:rPr>
          <w:b/>
        </w:rPr>
        <w:t>Shared claim-specific concepts:</w:t>
      </w:r>
      <w:r>
        <w:t xml:space="preserve"> abstract, species, ranges; EU scope visible. This is a provisional connection, not an outcome finding.</w:t>
      </w:r>
    </w:p>
    <w:p>
      <w:pPr>
        <w:pStyle w:val="SourceNote"/>
      </w:pPr>
      <w:r>
        <w:rPr>
          <w:b/>
        </w:rPr>
        <w:t>Available abstract (not full text):</w:t>
      </w:r>
      <w:r>
        <w:t xml:space="preserve">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pPr/>
      <w:r>
        <w:rPr>
          <w:b/>
        </w:rPr>
        <w:t>POSSIBLE 2021:</w:t>
      </w:r>
      <w:r>
        <w:t xml:space="preserve"> Recent pension reforms in Europe: More challenges, new directions. An overview — https://doi.org/10.1111/spol.12712</w:t>
      </w:r>
    </w:p>
    <w:p>
      <w:pPr/>
      <w:r>
        <w:rPr>
          <w:b/>
        </w:rPr>
        <w:t>Shared claim-specific concepts:</w:t>
      </w:r>
      <w:r>
        <w:t xml:space="preserve"> abstract, adapted, during, recent; EU scope visible. This is a provisional connection, not an outcome finding.</w:t>
      </w:r>
    </w:p>
    <w:p>
      <w:pPr>
        <w:pStyle w:val="SourceNote"/>
      </w:pPr>
      <w:r>
        <w:rPr>
          <w:b/>
        </w:rPr>
        <w:t>Available abstract (not full text):</w:t>
      </w:r>
      <w:r>
        <w:t xml:space="preserve">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pPr/>
      <w:r>
        <w:rPr>
          <w:b/>
        </w:rPr>
        <w:t>POSSIBLE 2021:</w:t>
      </w:r>
      <w:r>
        <w:t xml:space="preserve"> Adapting a Circular Economy in Regional Strategies of the European Union — https://doi.org/10.3390/su13031518</w:t>
      </w:r>
    </w:p>
    <w:p>
      <w:pPr/>
      <w:r>
        <w:rPr>
          <w:b/>
        </w:rPr>
        <w:t>Shared claim-specific concepts:</w:t>
      </w:r>
      <w:r>
        <w:t xml:space="preserve"> but, keep; EU scope visible. This is a provisional connection, not an outcome finding.</w:t>
      </w:r>
    </w:p>
    <w:p>
      <w:pPr>
        <w:pStyle w:val="SourceNote"/>
      </w:pPr>
      <w:r>
        <w:rPr>
          <w:b/>
        </w:rPr>
        <w:t>Available abstract (not full text):</w:t>
      </w:r>
      <w:r>
        <w:t xml:space="preserve">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988.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r>
        <w:rPr>
          <w:b/>
        </w:rPr>
        <w:t>POSSIBLE 2023:</w:t>
      </w:r>
      <w:r>
        <w:t xml:space="preserve"> Blockchain and Business Process Management (BPM) Synergy: A Comparative Analysis of Modeling Approaches — https://doi.org/10.3390/info15010009</w:t>
      </w:r>
    </w:p>
    <w:p>
      <w:pPr/>
      <w:r>
        <w:rPr>
          <w:b/>
        </w:rPr>
        <w:t>Shared claim-specific concepts:</w:t>
      </w:r>
      <w:r>
        <w:t xml:space="preserve"> bpm, part, investigating; EU scope not established. This is a provisional connection, not an outcome finding.</w:t>
      </w:r>
    </w:p>
    <w:p>
      <w:pPr>
        <w:pStyle w:val="SourceNote"/>
      </w:pPr>
      <w:r>
        <w:rPr>
          <w:b/>
        </w:rPr>
        <w:t>Available abstract (not full text):</w:t>
      </w:r>
      <w:r>
        <w:t xml:space="preserve">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pPr/>
      <w:r>
        <w:rPr>
          <w:b/>
        </w:rPr>
        <w:t>POSSIBLE 2022:</w:t>
      </w:r>
      <w:r>
        <w:t xml:space="preserve"> Tackling the translational challenges of multi-omics research in the realm of European personalised medicine: A workshop report — https://doi.org/10.3389/fmolb.2022.974799</w:t>
      </w:r>
    </w:p>
    <w:p>
      <w:pPr/>
      <w:r>
        <w:rPr>
          <w:b/>
        </w:rPr>
        <w:t>Shared claim-specific concepts:</w:t>
      </w:r>
      <w:r>
        <w:t xml:space="preserve"> article, reflects, workshop; EU scope visible. This is a provisional connection, not an outcome finding.</w:t>
      </w:r>
    </w:p>
    <w:p>
      <w:pPr>
        <w:pStyle w:val="SourceNote"/>
      </w:pPr>
      <w:r>
        <w:rPr>
          <w:b/>
        </w:rPr>
        <w:t>Available abstract (not full text):</w:t>
      </w:r>
      <w:r>
        <w:t xml:space="preserve">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pPr/>
      <w:r>
        <w:rPr>
          <w:b/>
        </w:rPr>
        <w:t>POSSIBLE 2022:</w:t>
      </w:r>
      <w:r>
        <w:t xml:space="preserve"> The influence of BPM-supportive culture and individual process orientation on process conformance — https://doi.org/10.1108/bpmj-08-2020-0363</w:t>
      </w:r>
    </w:p>
    <w:p>
      <w:pPr/>
      <w:r>
        <w:rPr>
          <w:b/>
        </w:rPr>
        <w:t>Shared claim-specific concepts:</w:t>
      </w:r>
      <w:r>
        <w:t xml:space="preserve"> bpm, conducted, contribute; EU scope not established. This is a provisional connection, not an outcome finding.</w:t>
      </w:r>
    </w:p>
    <w:p>
      <w:pPr>
        <w:pStyle w:val="SourceNote"/>
      </w:pPr>
      <w:r>
        <w:rPr>
          <w:b/>
        </w:rPr>
        <w:t>Available abstract (not full text):</w:t>
      </w:r>
      <w:r>
        <w:t xml:space="preserve">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pPr>
        <w:pStyle w:val="Heading2"/>
      </w:pPr>
      <w:r>
        <w:t>989.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over, many, increases;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2020:</w:t>
      </w:r>
      <w:r>
        <w:t xml:space="preserve"> An annotated checklist of bryophytes of Europe, Macaronesia and Cyprus — https://doi.org/10.1080/03736687.2019.1694329</w:t>
      </w:r>
    </w:p>
    <w:p>
      <w:pPr/>
      <w:r>
        <w:rPr>
          <w:b/>
        </w:rPr>
        <w:t>Shared claim-specific concepts:</w:t>
      </w:r>
      <w:r>
        <w:t xml:space="preserve"> over, next, few, many; EU scope visible. This is a provisional connection, not an outcome finding.</w:t>
      </w:r>
    </w:p>
    <w:p>
      <w:pPr>
        <w:pStyle w:val="SourceNote"/>
      </w:pPr>
      <w:r>
        <w:rPr>
          <w:b/>
        </w:rPr>
        <w:t>Available abstract (not full text):</w:t>
      </w:r>
      <w:r>
        <w:t xml:space="preserve">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pPr/>
      <w:r>
        <w:rPr>
          <w:b/>
        </w:rPr>
        <w:t>POSSIBLE 2020:</w:t>
      </w:r>
      <w:r>
        <w:t xml:space="preserve"> Diverging hydrological drought traits over Europe with global warming — https://doi.org/10.5194/hess-24-5919-2020</w:t>
      </w:r>
    </w:p>
    <w:p>
      <w:pPr/>
      <w:r>
        <w:rPr>
          <w:b/>
        </w:rPr>
        <w:t>Shared claim-specific concepts:</w:t>
      </w:r>
      <w:r>
        <w:t xml:space="preserve"> over, many,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2020:</w:t>
      </w:r>
      <w:r>
        <w:t xml:space="preserve"> On the Institutional Foundations of the Varieties of Entrepreneurship in Europe — https://doi.org/10.1007/978-3-662-61007-7_4</w:t>
      </w:r>
    </w:p>
    <w:p>
      <w:pPr/>
      <w:r>
        <w:rPr>
          <w:b/>
        </w:rPr>
        <w:t>Shared claim-specific concepts:</w:t>
      </w:r>
      <w:r>
        <w:t xml:space="preserve"> next, few, decades; EU scope visible. This is a provisional connection, not an outcome finding.</w:t>
      </w:r>
    </w:p>
    <w:p>
      <w:pPr>
        <w:pStyle w:val="SourceNote"/>
      </w:pPr>
      <w:r>
        <w:rPr>
          <w:b/>
        </w:rPr>
        <w:t>Available abstract (not full text):</w:t>
      </w:r>
      <w:r>
        <w:t xml:space="preserve"> For decades, research into the link between national institutions and entrepreneurship has been characterized by three shortcomings: First, clear-cut concepts of institutions are rare. Second, a parsimonious understanding of how a few core institutions influence entrepreneurship is missing. Third, scholars often ignore that incrementally innovative ventures constitute a distinct (and under-researched) type of entrepreneurship next to the (over-researched) form of radically innovative, high-growth or high-tech entrepreneurship. This chapter seeks to illustrate how the application of the “Varieties-of-Capitalism” (VoC) reasoning does not only enable focused rather than eclectic analyses of institutional influences on entrepreneurship but also reveals the institutionally induced equifinality of the varieties of entrepreneurship across Europe. These insights invite future entrepreneurship research to move away from the ideology that displays radically innovative entrepreneurship as, by far, the most desirable form of entrepreneurship. This finding also invites policymakers to target entrepreneurial support measures more specifically to their economy’s institutional environment.</w:t>
      </w:r>
    </w:p>
    <w:p>
      <w:pPr/>
      <w:r>
        <w:rPr>
          <w:b/>
        </w:rPr>
        <w:t>POSSIBLE 2019:</w:t>
      </w:r>
      <w:r>
        <w:t xml:space="preserve"> Explaining carsharing supply across Western European cities — https://doi.org/10.1080/15568318.2018.1542756</w:t>
      </w:r>
    </w:p>
    <w:p>
      <w:pPr/>
      <w:r>
        <w:rPr>
          <w:b/>
        </w:rPr>
        <w:t>Shared claim-specific concepts:</w:t>
      </w:r>
      <w:r>
        <w:t xml:space="preserve"> many, western, countries, striking; EU scope visible. This is a provisional connection, not an outcome finding.</w:t>
      </w:r>
    </w:p>
    <w:p>
      <w:pPr>
        <w:pStyle w:val="SourceNote"/>
      </w:pPr>
      <w:r>
        <w:rPr>
          <w:b/>
        </w:rPr>
        <w:t>Available abstract (not full text):</w:t>
      </w:r>
      <w:r>
        <w:t xml:space="preserve">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pPr>
        <w:pStyle w:val="Heading2"/>
      </w:pPr>
      <w:r>
        <w:t>990.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2023:</w:t>
      </w:r>
      <w:r>
        <w:t xml:space="preserve"> GHG emissions of semiconductor manufacturing in 2021 — https://openalex.org/W4386614028</w:t>
      </w:r>
    </w:p>
    <w:p>
      <w:pPr/>
      <w:r>
        <w:rPr>
          <w:b/>
        </w:rPr>
        <w:t>Shared claim-specific concepts:</w:t>
      </w:r>
      <w:r>
        <w:t xml:space="preserve"> ghg, emissions, energy, systems; EU scope not established. This is a provisional connection, not an outcome finding.</w:t>
      </w:r>
    </w:p>
    <w:p>
      <w:pPr>
        <w:pStyle w:val="SourceNote"/>
      </w:pPr>
      <w:r>
        <w:rPr>
          <w:b/>
        </w:rPr>
        <w:t>Available abstract (not full text):</w:t>
      </w:r>
      <w:r>
        <w:t xml:space="preserve"> The greenhouse gas (GHG) emissions of semiconductor manufacturing represent an important share of the embodied carbon footprint of electronics systems. Manufacturing emissions are disclosed in the sustainability reports of semiconductor companies. This paper proposes a study of global semiconductor manufacturing carbon emissions, focusing on Scope 1 (direct emissions) and Scope 2 (emissions induced by consuming energy). The fifteen companies on the semiconductor market with highest 2021 revenues are considered, as well as the four main merchant foundries, over the years 2020 and 2021. As a large scale evaluation of carbon impacts, the resulting numbers compile heterogeneous figures and require a comprehensive discussion on the strengths and limitations of the evaluation. Most of the efforts on this paper are thus allocated to this discussion. The 2021 carbon emissions for the semiconductor industry worldwide are estimated at 76.5M tons of CO2 equivalent, breaking down into 30.6M tons CO2e of Scope 1 emissions (direct emissions), and 45.9M tons CO2e of scope 2 emissions (emissions induced by the energy consumption of manufacturing). These numbers do not include the Scope 3 impacts, neither downwards (usage of the products) nor upwards (constructing fabrication facilities, building fabrication machines, extracting raw materials, smelting and refining materials). Between 2020 and </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period;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r>
        <w:rPr>
          <w:b/>
        </w:rPr>
        <w:t>POSSIBLE 2022:</w:t>
      </w:r>
      <w:r>
        <w:t xml:space="preserve"> GHG Emissions by (Petro)Chemical Processes and Decarbonization Priorities—A Review — https://doi.org/10.3390/en15207560</w:t>
      </w:r>
    </w:p>
    <w:p>
      <w:pPr/>
      <w:r>
        <w:rPr>
          <w:b/>
        </w:rPr>
        <w:t>Shared claim-specific concepts:</w:t>
      </w:r>
      <w:r>
        <w:t xml:space="preserve"> ghg, emissions, same; EU scope not established. This is a provisional connection, not an outcome finding.</w:t>
      </w:r>
    </w:p>
    <w:p>
      <w:pPr>
        <w:pStyle w:val="SourceNote"/>
      </w:pPr>
      <w:r>
        <w:rPr>
          <w:b/>
        </w:rPr>
        <w:t>Available abstract (not full text):</w:t>
      </w:r>
      <w:r>
        <w:t xml:space="preserve"> Global warming is becoming an increasing issue, and greenhouse gas (GHG) emissions represent the engine of such a phenomenon. This review aims to identify the origin of GHG emissions and focus in detail on the ones related to (petro) chemical industries. The industrial sector is the primary GHG emitter among all the other anthropogenic sources. The chemical industry is the first in charge of that (having accounted for about 6.5% of the global GHG emissions in 2018). Thought-provoking data such as yearly productivities and emission factors related to the predominant chemicals prompt the reader to acquire a sense of the critical activities responsible for carbon-intensive emissions, which should be the first to be decarbonized. Specifically, ammonia synthesis and steam cracking resulted in the most polluting processes of the chemical industry, being responsible for the release of about 440 and 228 Mt-CO2,eq/y, respectively, in 2020. The same approach also applies to oil refining. Due to the massive amounts of oil barrels produced daily, oil refining is a key player in industrial GHG emissions (about 3% of the global emissions in 2018). Indeed, in 2020, refineries emitted nearly 1313 Mt-CO2,eq/y.</w:t>
      </w:r>
    </w:p>
    <w:p>
      <w:pPr/>
      <w:r>
        <w:rPr>
          <w:b/>
        </w:rPr>
        <w:t>POSSIBLE 2021:</w:t>
      </w:r>
      <w:r>
        <w:t xml:space="preserve"> S26 An assessment of short-acting β2-agonist (SABA) use and subsequent greenhouse gas (GHG) emissions in five European countries and the consequence of their potential overuse for asthma in the UK — https://doi.org/10.1136/thorax-2020-btsabstracts.32</w:t>
      </w:r>
    </w:p>
    <w:p>
      <w:pPr/>
      <w:r>
        <w:rPr>
          <w:b/>
        </w:rPr>
        <w:t>Shared claim-specific concepts:</w:t>
      </w:r>
      <w:r>
        <w:t xml:space="preserve"> consequence, ghg, emissions, compared, reference, period; EU scope visible. This is a provisional connection, not an outcome finding.</w:t>
      </w:r>
    </w:p>
    <w:p>
      <w:pPr>
        <w:pStyle w:val="SourceNote"/>
      </w:pPr>
      <w:r>
        <w:rPr>
          <w:b/>
        </w:rPr>
        <w:t>Available abstract (not full text):</w:t>
      </w:r>
      <w:r>
        <w:t xml:space="preserve">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pPr>
        <w:pStyle w:val="Heading2"/>
      </w:pPr>
      <w:r>
        <w:t>991.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2017:</w:t>
      </w:r>
      <w:r>
        <w:t xml:space="preserve"> Stakeholder Participation in European Standardization: A Mapping and an Assessment of Three Categories of Regulation — https://doi.org/10.54648/leie2017021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pPr/>
      <w:r>
        <w:rPr>
          <w:b/>
        </w:rPr>
        <w:t>POSSIBLE 2016:</w:t>
      </w:r>
      <w:r>
        <w:t xml:space="preserve"> Different antisemitisms: on three distinct forms of antisemitism in contemporary Europe. With special focus on Sweden — https://doi.org/10.30752/nj.67611</w:t>
      </w:r>
    </w:p>
    <w:p>
      <w:pPr/>
      <w:r>
        <w:rPr>
          <w:b/>
        </w:rPr>
        <w:t>Shared claim-specific concepts:</w:t>
      </w:r>
      <w:r>
        <w:t xml:space="preserve"> three, different, kinds, based, country; EU scope visible. This is a provisional connection, not an outcome finding.</w:t>
      </w:r>
    </w:p>
    <w:p>
      <w:pPr>
        <w:pStyle w:val="SourceNote"/>
      </w:pPr>
      <w:r>
        <w:rPr>
          <w:b/>
        </w:rPr>
        <w:t>Available abstract (not full text):</w:t>
      </w:r>
      <w:r>
        <w:t xml:space="preserve">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pPr/>
      <w:r>
        <w:rPr>
          <w:b/>
        </w:rPr>
        <w:t>POSSIBLE 2015:</w:t>
      </w:r>
      <w:r>
        <w:t xml:space="preserve"> Educational Genres in Eastern Europe: A Comparison of the Genres in the Humanities Departments of three Countries of Three Different Universities in Three Different Countries — https://doi.org/10.18552/joaw.v5i1.164</w:t>
      </w:r>
    </w:p>
    <w:p>
      <w:pPr/>
      <w:r>
        <w:rPr>
          <w:b/>
        </w:rPr>
        <w:t>Shared claim-specific concepts:</w:t>
      </w:r>
      <w:r>
        <w:t xml:space="preserve"> three, different, country; EU scope visible. This is a provisional connection, not an outcome finding.</w:t>
      </w:r>
    </w:p>
    <w:p>
      <w:pPr>
        <w:pStyle w:val="SourceNote"/>
      </w:pPr>
      <w:r>
        <w:rPr>
          <w:b/>
        </w:rPr>
        <w:t>Available abstract (not full text):</w:t>
      </w:r>
      <w:r>
        <w:t xml:space="preserve">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pPr/>
      <w:r>
        <w:rPr>
          <w:b/>
        </w:rPr>
        <w:t>POSSIBLE 2015:</w:t>
      </w:r>
      <w:r>
        <w:t xml:space="preserve"> A process-based 222 radon flux map for Europe and its comparison to long-term observations — https://doi.org/10.5194/acp-15-12845-2015</w:t>
      </w:r>
    </w:p>
    <w:p>
      <w:pPr/>
      <w:r>
        <w:rPr>
          <w:b/>
        </w:rPr>
        <w:t>Shared claim-specific concepts:</w:t>
      </w:r>
      <w:r>
        <w:t xml:space="preserve"> different, based, transport; EU scope visible. This is a provisional connection, not an outcome finding.</w:t>
      </w:r>
    </w:p>
    <w:p>
      <w:pPr>
        <w:pStyle w:val="SourceNote"/>
      </w:pPr>
      <w:r>
        <w:rPr>
          <w:b/>
        </w:rPr>
        <w:t>Available abstract (not full text):</w:t>
      </w:r>
      <w:r>
        <w:t xml:space="preserve">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992.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2018:</w:t>
      </w:r>
      <w:r>
        <w:t xml:space="preserve"> Europe since 1970 — https://doi.org/10.5040/9781474207775.093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2017:</w:t>
      </w:r>
      <w:r>
        <w:t xml:space="preserve"> Benchmarking Framework to Encourage Energy Efficiency Investments in South Europe. The Trust EPC South Approach — https://doi.org/10.1016/j.proenv.2017.03.125</w:t>
      </w:r>
    </w:p>
    <w:p>
      <w:pPr/>
      <w:r>
        <w:rPr>
          <w:b/>
        </w:rPr>
        <w:t>Shared claim-specific concepts:</w:t>
      </w:r>
      <w:r>
        <w:t xml:space="preserve"> all, since, order, national, large; EU scope visible. This is a provisional connection, not an outcome finding.</w:t>
      </w:r>
    </w:p>
    <w:p>
      <w:pPr>
        <w:pStyle w:val="SourceNote"/>
      </w:pPr>
      <w:r>
        <w:rPr>
          <w:b/>
        </w:rPr>
        <w:t>Available abstract (not full text):</w:t>
      </w:r>
      <w:r>
        <w:t xml:space="preserve">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pPr/>
      <w:r>
        <w:rPr>
          <w:b/>
        </w:rPr>
        <w:t>POSSIBLE 2016:</w:t>
      </w:r>
      <w:r>
        <w:t xml:space="preserve"> Estimating HIV incidence and number of undiagnosed individuals living with HIV in the European Union/European Economic Area, 2015 — https://doi.org/10.2807/1560-7917.es.2016.21.48.30417</w:t>
      </w:r>
    </w:p>
    <w:p>
      <w:pPr/>
      <w:r>
        <w:rPr>
          <w:b/>
        </w:rPr>
        <w:t>Shared claim-specific concepts:</w:t>
      </w:r>
      <w:r>
        <w:t xml:space="preserve"> all, since, appears; EU scope visible. This is a provisional connection, not an outcome finding.</w:t>
      </w:r>
    </w:p>
    <w:p>
      <w:pPr>
        <w:pStyle w:val="SourceNote"/>
      </w:pPr>
      <w:r>
        <w:rPr>
          <w:b/>
        </w:rPr>
        <w:t>Available abstract (not full text):</w:t>
      </w:r>
      <w:r>
        <w:t xml:space="preserve"> Since 2011, human immunodeficiency virus (HIV) incidence appears unchanged in the European Union/European Economic Area with between 29,000 and 33,000 new cases reported annually up to 2015. Despite evidence that HIV diagnosis is occurring earlier post-infection, the estimated number of people living with HIV (PLHIV) who were unaware of being infected in 2015 was 122,000, or 15% of all PLHIV (n=810,000). This is concerning as such individuals cannot benefit from highly effective treatment and may unknowingly sustain transmission.</w:t>
      </w:r>
    </w:p>
    <w:p>
      <w:pPr/>
      <w:r>
        <w:rPr>
          <w:b/>
        </w:rPr>
        <w:t>POSSIBLE 2016:</w:t>
      </w:r>
      <w:r>
        <w:t xml:space="preserve"> Europe and Embodiment: A Levinasian Perspective — https://doi.org/10.1353/lev.2016.0016</w:t>
      </w:r>
    </w:p>
    <w:p>
      <w:pPr/>
      <w:r>
        <w:rPr>
          <w:b/>
        </w:rPr>
        <w:t>Shared claim-specific concepts:</w:t>
      </w:r>
      <w:r>
        <w:t xml:space="preserve"> all, since, appears, national; EU scope visible. This is a provisional connection, not an outcome finding.</w:t>
      </w:r>
    </w:p>
    <w:p>
      <w:pPr>
        <w:pStyle w:val="SourceNote"/>
      </w:pPr>
      <w:r>
        <w:rPr>
          <w:b/>
        </w:rPr>
        <w:t>Available abstract (not full text):</w:t>
      </w:r>
      <w:r>
        <w:t xml:space="preserve"> Europe and EmbodimentA Levinasian Perspective James Mensch (bio) The question of Europe has been raised continually. Behind it is the division of the continent into different peoples, languages, and cultures, all in close proximity to one another. Their plurality and proximity give rise to the opposing imperatives of trade and war. Since ancient times, the need to promote trade and the desire to prevent war have driven the search for a basis for European unity. Various candidates, from that of Roman law in ancient times to the current economic and regulatory union of today, have been tried. Such bureaucratic solutions, however, have not proved sufficient. They regulate external relations but do not touch what is within. This, however, is the difficulty: how do we understand nations and their relations from within? On an individual level, it is customary to speak of the inner as “subjectivity.” Such a term generally means the “subject” of experience, the unique and individual self that has experience. If we are to avoid the Cartesian conceptions of this self, we have to speak of such a subject as an embodied whole: an organic unity that is both conscious of its environment and distinguishes itself from the latter. Such an organic unity cannot be thought in terms of Descartes’s distinction between mind and body, the mind being nonextended and the body being extended. The body gra</w:t>
      </w:r>
    </w:p>
    <w:p>
      <w:pPr/>
      <w:r>
        <w:rPr>
          <w:b/>
        </w:rPr>
        <w:t>POSSIBLE 2016:</w:t>
      </w:r>
      <w:r>
        <w:t xml:space="preserve"> Hepatitis E Seroprevalence in Europe: A Meta-Analysis — https://doi.org/10.3390/v8080211</w:t>
      </w:r>
    </w:p>
    <w:p>
      <w:pPr/>
      <w:r>
        <w:rPr>
          <w:b/>
        </w:rPr>
        <w:t>Shared claim-specific concepts:</w:t>
      </w:r>
      <w:r>
        <w:t xml:space="preserve"> all, any, large, aim; EU scope visible. This is a provisional connection, not an outcome finding.</w:t>
      </w:r>
    </w:p>
    <w:p>
      <w:pPr>
        <w:pStyle w:val="SourceNote"/>
      </w:pPr>
      <w:r>
        <w:rPr>
          <w:b/>
        </w:rPr>
        <w:t>Available abstract (not full text):</w:t>
      </w:r>
      <w:r>
        <w:t xml:space="preserve">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r>
        <w:rPr>
          <w:b/>
        </w:rPr>
        <w:t>POSSIBLE 2015:</w:t>
      </w:r>
      <w:r>
        <w:t xml:space="preserve"> Modelling recent and future climatic suitability for fasciolosis in Europe — https://doi.org/10.4081/gh.2015.352</w:t>
      </w:r>
    </w:p>
    <w:p>
      <w:pPr/>
      <w:r>
        <w:rPr>
          <w:b/>
        </w:rPr>
        <w:t>Shared claim-specific concepts:</w:t>
      </w:r>
      <w:r>
        <w:t xml:space="preserve"> all, since, appears, order, programmes; EU scope visible. This is a provisional connection, not an outcome finding.</w:t>
      </w:r>
    </w:p>
    <w:p>
      <w:pPr>
        <w:pStyle w:val="SourceNote"/>
      </w:pPr>
      <w:r>
        <w:rPr>
          <w:b/>
        </w:rPr>
        <w:t>Available abstract (not full text):</w:t>
      </w:r>
      <w:r>
        <w:t xml:space="preserve">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pPr/>
      <w:r>
        <w:rPr>
          <w:b/>
        </w:rPr>
        <w:t>POSSIBLE 2015:</w:t>
      </w:r>
      <w:r>
        <w:t xml:space="preserve"> National Immigration and Integration Policies in Europe Since 1973 — https://doi.org/10.1007/978-3-319-21674-4_4</w:t>
      </w:r>
    </w:p>
    <w:p>
      <w:pPr/>
      <w:r>
        <w:rPr>
          <w:b/>
        </w:rPr>
        <w:t>Shared claim-specific concepts:</w:t>
      </w:r>
      <w:r>
        <w:t xml:space="preserve"> since, national, governments, aim; EU scope visible. This is a provisional connection, not an outcome finding.</w:t>
      </w:r>
    </w:p>
    <w:p>
      <w:pPr>
        <w:pStyle w:val="SourceNote"/>
      </w:pPr>
      <w:r>
        <w:rPr>
          <w:b/>
        </w:rPr>
        <w:t>Available abstract (not full text):</w:t>
      </w:r>
      <w:r>
        <w:t xml:space="preserve"> This chapter provides a historical review of the evolution of immigration and integration policies in Europe from 1973 up to now. It reconstructs the different challenges that migration flows have posed to European countries over the years and the policymaking responses developed accordingly. The chapter distinguishes three European migratory regimes: (i) North-Western Europe; (ii) Southern Europe; (iii) and Central and Eastern Europe. The diversity of migration policies adopted in each of these migratory systems is explained in relation to their geographical location, economic context, political history, and also notions of nationhood, national belonging and organization of government. Also integration policies are discussed, with the overall aim to clarify how the concept of integration has been used in policy formulation and policy practice in Europe. Furthermore, the chapter analyses the developments towards creation of a comprehensive European migration and asylum regime. Policymaking at the EU level has supplemented and sometimes challenged national policymaking in two main ways. First, the EU may subsidize local integration initiatives that would otherwise remain unfunded (e.g., by national governments). Second, EU mandates may limit objectives established at the national level that are at odds with EU law (e.g., restricting nations’ power to restrict the rights of third</w:t>
      </w:r>
    </w:p>
    <w:p>
      <w:pPr>
        <w:pStyle w:val="Heading2"/>
      </w:pPr>
      <w:r>
        <w:t>993.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994.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2020:</w:t>
      </w:r>
      <w:r>
        <w:t xml:space="preserve"> The Humanistic and Economic Burden of Migraine in Europe: A Cross-Sectional Survey in Five Countries — https://doi.org/10.1007/s40120-020-00196-2</w:t>
      </w:r>
    </w:p>
    <w:p>
      <w:pPr/>
      <w:r>
        <w:rPr>
          <w:b/>
        </w:rPr>
        <w:t>Shared claim-specific concepts:</w:t>
      </w:r>
      <w:r>
        <w:t xml:space="preserve"> aim, five, methods; EU scope visible. This is a provisional connection, not an outcome finding.</w:t>
      </w:r>
    </w:p>
    <w:p>
      <w:pPr>
        <w:pStyle w:val="SourceNote"/>
      </w:pPr>
      <w:r>
        <w:rPr>
          <w:b/>
        </w:rPr>
        <w:t>Available abstract (not full text):</w:t>
      </w:r>
      <w:r>
        <w:t xml:space="preserve">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pPr/>
      <w:r>
        <w:rPr>
          <w:b/>
        </w:rPr>
        <w:t>POSSIBLE 2018:</w:t>
      </w:r>
      <w:r>
        <w:t xml:space="preserve"> European In-Situ Snow Measurements: Practices and Purposes — https://doi.org/10.3390/s18072016</w:t>
      </w:r>
    </w:p>
    <w:p>
      <w:pPr/>
      <w:r>
        <w:rPr>
          <w:b/>
        </w:rPr>
        <w:t>Shared claim-specific concepts:</w:t>
      </w:r>
      <w:r>
        <w:t xml:space="preserve"> describe, methods, range; EU scope visible. This is a provisional connection, not an outcome finding.</w:t>
      </w:r>
    </w:p>
    <w:p>
      <w:pPr>
        <w:pStyle w:val="SourceNote"/>
      </w:pPr>
      <w:r>
        <w:rPr>
          <w:b/>
        </w:rPr>
        <w:t>Available abstract (not full text):</w:t>
      </w:r>
      <w:r>
        <w:t xml:space="preserve">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pPr/>
      <w:r>
        <w:rPr>
          <w:b/>
        </w:rPr>
        <w:t>POSSIBLE 2018:</w:t>
      </w:r>
      <w:r>
        <w:t xml:space="preserve"> A longitudinal and comparative analysis of competitive balance in five European football leagues — https://doi.org/10.1108/tpm-09-2017-0055</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pPr/>
      <w:r>
        <w:rPr>
          <w:b/>
        </w:rPr>
        <w:t>POSSIBLE 2017:</w:t>
      </w:r>
      <w:r>
        <w:t xml:space="preserve"> The search for an appropriate end-of-life formula for the purpose of the European Commission Environmental Footprint initiative — https://doi.org/10.1007/s11367-016-1244-0</w:t>
      </w:r>
    </w:p>
    <w:p>
      <w:pPr/>
      <w:r>
        <w:rPr>
          <w:b/>
        </w:rPr>
        <w:t>Shared claim-specific concepts:</w:t>
      </w:r>
      <w:r>
        <w:t xml:space="preserve"> purpose, aim, methods, approach; EU scope visible. This is a provisional connection, not an outcome finding.</w:t>
      </w:r>
    </w:p>
    <w:p>
      <w:pPr>
        <w:pStyle w:val="SourceNote"/>
      </w:pPr>
      <w:r>
        <w:rPr>
          <w:b/>
        </w:rPr>
        <w:t>Available abstract (not full text):</w:t>
      </w:r>
      <w:r>
        <w:t xml:space="preserve">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pPr/>
      <w:r>
        <w:rPr>
          <w:b/>
        </w:rPr>
        <w:t>POSSIBLE 2017:</w:t>
      </w:r>
      <w:r>
        <w:t xml:space="preserve"> Regional differences in insulin therapy regimens in five European countries — https://doi.org/10.5414/cp202906</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pPr/>
      <w:r>
        <w:rPr>
          <w:b/>
        </w:rPr>
        <w:t>POSSIBLE 2016:</w:t>
      </w:r>
      <w:r>
        <w:t xml:space="preserve"> Forestry applications of UAVs in Europe: a review — https://doi.org/10.1080/01431161.2016.1252477</w:t>
      </w:r>
    </w:p>
    <w:p>
      <w:pPr/>
      <w:r>
        <w:rPr>
          <w:b/>
        </w:rPr>
        <w:t>Shared claim-specific concepts:</w:t>
      </w:r>
      <w:r>
        <w:t xml:space="preserve"> aim, use, used; EU scope visible. This is a provisional connection, not an outcome finding.</w:t>
      </w:r>
    </w:p>
    <w:p>
      <w:pPr>
        <w:pStyle w:val="SourceNote"/>
      </w:pPr>
      <w:r>
        <w:rPr>
          <w:b/>
        </w:rPr>
        <w:t>Available abstract (not full text):</w:t>
      </w:r>
      <w:r>
        <w:t xml:space="preserve">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pPr/>
      <w:r>
        <w:rPr>
          <w:b/>
        </w:rPr>
        <w:t>POSSIBLE 2016:</w:t>
      </w:r>
      <w:r>
        <w:t xml:space="preserve"> Moving beyond the “Five Freedoms” by Updating the “Five Provisions” and Introducing Aligned “Animal Welfare Aims” — https://doi.org/10.3390/ani6100059</w:t>
      </w:r>
    </w:p>
    <w:p>
      <w:pPr/>
      <w:r>
        <w:rPr>
          <w:b/>
        </w:rPr>
        <w:t>Shared claim-specific concepts:</w:t>
      </w:r>
      <w:r>
        <w:t xml:space="preserve"> five, application, range, first; EU scope visible. This is a provisional connection, not an outcome finding.</w:t>
      </w:r>
    </w:p>
    <w:p>
      <w:pPr>
        <w:pStyle w:val="SourceNote"/>
      </w:pPr>
      <w:r>
        <w:rPr>
          <w:b/>
        </w:rPr>
        <w:t>Available abstract (not full text):</w:t>
      </w:r>
      <w:r>
        <w:t xml:space="preserve">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995.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r>
        <w:rPr>
          <w:b/>
        </w:rPr>
        <w:t>POSSIBLE 2023:</w:t>
      </w:r>
      <w:r>
        <w:t xml:space="preserve"> Four ways blue foods can help achieve food system ambitions across nations — https://doi.org/10.1038/s41586-023-05737-x</w:t>
      </w:r>
    </w:p>
    <w:p>
      <w:pPr/>
      <w:r>
        <w:rPr>
          <w:b/>
        </w:rPr>
        <w:t>Shared claim-specific concepts:</w:t>
      </w:r>
      <w:r>
        <w:t xml:space="preserve"> findings, four, help, people, south; EU scope not established. This is a provisional connection, not an outcome finding.</w:t>
      </w:r>
    </w:p>
    <w:p>
      <w:pPr>
        <w:pStyle w:val="SourceNote"/>
      </w:pPr>
      <w:r>
        <w:rPr>
          <w:b/>
        </w:rPr>
        <w:t>Available abstract (not full text):</w:t>
      </w:r>
      <w:r>
        <w:t xml:space="preserve">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pPr/>
      <w:r>
        <w:rPr>
          <w:b/>
        </w:rPr>
        <w:t>POSSIBLE 2023:</w:t>
      </w:r>
      <w:r>
        <w:t xml:space="preserve"> Current Antibiotic Use Among Hospitals in the sub-Saharan Africa Region; Findings and Implications — https://doi.org/10.2147/idr.s398223</w:t>
      </w:r>
    </w:p>
    <w:p>
      <w:pPr/>
      <w:r>
        <w:rPr>
          <w:b/>
        </w:rPr>
        <w:t>Shared claim-specific concepts:</w:t>
      </w:r>
      <w:r>
        <w:t xml:space="preserve"> findings, region, longer, south; EU scope not established. This is a provisional connection, not an outcome finding.</w:t>
      </w:r>
    </w:p>
    <w:p>
      <w:pPr>
        <w:pStyle w:val="SourceNote"/>
      </w:pPr>
      <w:r>
        <w:rPr>
          <w:b/>
        </w:rPr>
        <w:t>Available abstract (not full text):</w:t>
      </w:r>
      <w:r>
        <w:t xml:space="preserve">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pPr/>
      <w:r>
        <w:rPr>
          <w:b/>
        </w:rPr>
        <w:t>POSSIBLE 2022:</w:t>
      </w:r>
      <w:r>
        <w:t xml:space="preserve"> Developing a scale to measure problems in finding a good fit — https://doi.org/10.1108/jfmm-11-2021-0302</w:t>
      </w:r>
    </w:p>
    <w:p>
      <w:pPr/>
      <w:r>
        <w:rPr>
          <w:b/>
        </w:rPr>
        <w:t>Shared claim-specific concepts:</w:t>
      </w:r>
      <w:r>
        <w:t xml:space="preserve"> findings, four, purpose; EU scope not established. This is a provisional connection, not an outcome finding.</w:t>
      </w:r>
    </w:p>
    <w:p>
      <w:pPr>
        <w:pStyle w:val="SourceNote"/>
      </w:pPr>
      <w:r>
        <w:rPr>
          <w:b/>
        </w:rPr>
        <w:t>Available abstract (not full text):</w:t>
      </w:r>
      <w:r>
        <w:t xml:space="preserve">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pPr/>
      <w:r>
        <w:rPr>
          <w:b/>
        </w:rPr>
        <w:t>POSSIBLE 2020:</w:t>
      </w:r>
      <w:r>
        <w:t xml:space="preserve"> Region-specific sex differences in the hippocampus — https://doi.org/10.1016/j.neuroimage.2020.116781</w:t>
      </w:r>
    </w:p>
    <w:p>
      <w:pPr/>
      <w:r>
        <w:rPr>
          <w:b/>
        </w:rPr>
        <w:t>Shared claim-specific concepts:</w:t>
      </w:r>
      <w:r>
        <w:t xml:space="preserve"> findings, four, region, help, young; EU scope not established. This is a provisional connection, not an outcome finding.</w:t>
      </w:r>
    </w:p>
    <w:p>
      <w:pPr>
        <w:pStyle w:val="SourceNote"/>
      </w:pPr>
      <w:r>
        <w:rPr>
          <w:b/>
        </w:rPr>
        <w:t>Available abstract (not full text):</w:t>
      </w:r>
      <w:r>
        <w:t xml:space="preserve">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pPr/>
      <w:r>
        <w:rPr>
          <w:b/>
        </w:rPr>
        <w:t>POSSIBLE 2020:</w:t>
      </w:r>
      <w:r>
        <w:t xml:space="preserve"> Variations in newspaper reporting of suicidal behavior in the WHO–South-East Asian region — https://doi.org/10.1093/pubmed/fdaa139</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pPr/>
      <w:r>
        <w:rPr>
          <w:b/>
        </w:rPr>
        <w:t>POSSIBLE 2019:</w:t>
      </w:r>
      <w:r>
        <w:t xml:space="preserve"> Seeking help for sexual difficulties: findings from a study with older adults in four European countries — https://doi.org/10.1007/s10433-019-00536-8</w:t>
      </w:r>
    </w:p>
    <w:p>
      <w:pPr/>
      <w:r>
        <w:rPr>
          <w:b/>
        </w:rPr>
        <w:t>Shared claim-specific concepts:</w:t>
      </w:r>
      <w:r>
        <w:t xml:space="preserve"> findings, four, help, inform; EU scope visible. This is a provisional connection, not an outcome finding.</w:t>
      </w:r>
    </w:p>
    <w:p>
      <w:pPr>
        <w:pStyle w:val="SourceNote"/>
      </w:pPr>
      <w:r>
        <w:rPr>
          <w:b/>
        </w:rPr>
        <w:t>Available abstract (not full text):</w:t>
      </w:r>
      <w:r>
        <w:t xml:space="preserve">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pPr/>
      <w:r>
        <w:rPr>
          <w:b/>
        </w:rPr>
        <w:t>POSSIBLE 2018:</w:t>
      </w:r>
      <w:r>
        <w:t xml:space="preserve"> Applying GRADE-CERQual to qualitative evidence synthesis findings—paper 2: how to make an overall CERQual assessment of confidence and create a Summary of Qualitative Findings table — https://doi.org/10.1186/s13012-017-0689-2</w:t>
      </w:r>
    </w:p>
    <w:p>
      <w:pPr/>
      <w:r>
        <w:rPr>
          <w:b/>
        </w:rPr>
        <w:t>Shared claim-specific concepts:</w:t>
      </w:r>
      <w:r>
        <w:t xml:space="preserve"> findings, four, developed, making; EU scope not established. This is a provisional connection, not an outcome finding.</w:t>
      </w:r>
    </w:p>
    <w:p>
      <w:pPr>
        <w:pStyle w:val="SourceNote"/>
      </w:pPr>
      <w:r>
        <w:rPr>
          <w:b/>
        </w:rPr>
        <w:t>Available abstract (not full text):</w:t>
      </w:r>
      <w:r>
        <w:t xml:space="preserve">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pPr/>
      <w:r>
        <w:rPr>
          <w:b/>
        </w:rPr>
        <w:t>POSSIBLE 2018:</w:t>
      </w:r>
      <w:r>
        <w:t xml:space="preserve"> Real time four channel phase comparison direction finding method — https://doi.org/10.1109/siu.2018.8404590</w:t>
      </w:r>
    </w:p>
    <w:p>
      <w:pPr/>
      <w:r>
        <w:rPr>
          <w:b/>
        </w:rPr>
        <w:t>Shared claim-specific concepts:</w:t>
      </w:r>
      <w:r>
        <w:t xml:space="preserve"> four, developed, possible; EU scope not established. This is a provisional connection, not an outcome finding.</w:t>
      </w:r>
    </w:p>
    <w:p>
      <w:pPr>
        <w:pStyle w:val="SourceNote"/>
      </w:pPr>
      <w:r>
        <w:rPr>
          <w:b/>
        </w:rPr>
        <w:t>Available abstract (not full text):</w:t>
      </w:r>
      <w:r>
        <w:t xml:space="preserve">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996.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r>
        <w:rPr>
          <w:b/>
        </w:rPr>
        <w:t>POSSIBLE 2015:</w:t>
      </w:r>
      <w:r>
        <w:t xml:space="preserve"> Modelling the Potential Biogas Productivity Range from a MSW Landfill for Its Sustainable Exploitation — https://doi.org/10.3390/su7010482</w:t>
      </w:r>
    </w:p>
    <w:p>
      <w:pPr/>
      <w:r>
        <w:rPr>
          <w:b/>
        </w:rPr>
        <w:t>Shared claim-specific concepts:</w:t>
      </w:r>
      <w:r>
        <w:t xml:space="preserve"> then, countries, italy; EU scope visible. This is a provisional connection, not an outcome finding.</w:t>
      </w:r>
    </w:p>
    <w:p>
      <w:pPr>
        <w:pStyle w:val="SourceNote"/>
      </w:pPr>
      <w:r>
        <w:rPr>
          <w:b/>
        </w:rPr>
        <w:t>Available abstract (not full text):</w:t>
      </w:r>
      <w:r>
        <w:t xml:space="preserve">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pPr/>
      <w:r>
        <w:rPr>
          <w:b/>
        </w:rPr>
        <w:t>POSSIBLE 2013:</w:t>
      </w:r>
      <w:r>
        <w:t xml:space="preserve"> Maintenance strategies and local impact of MSW incinerators — https://doi.org/10.2495/esus130201</w:t>
      </w:r>
    </w:p>
    <w:p>
      <w:pPr/>
      <w:r>
        <w:rPr>
          <w:b/>
        </w:rPr>
        <w:t>Shared claim-specific concepts:</w:t>
      </w:r>
      <w:r>
        <w:t xml:space="preserve"> incinerators, italy; EU scope visible. This is a provisional connection, not an outcome finding.</w:t>
      </w:r>
    </w:p>
    <w:p>
      <w:pPr>
        <w:pStyle w:val="SourceNote"/>
      </w:pPr>
      <w:r>
        <w:rPr>
          <w:b/>
        </w:rPr>
        <w:t>Available abstract (not full text):</w:t>
      </w:r>
      <w:r>
        <w:t xml:space="preserve">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pPr/>
      <w:r>
        <w:rPr>
          <w:b/>
        </w:rPr>
        <w:t>POSSIBLE 2013:</w:t>
      </w:r>
      <w:r>
        <w:t xml:space="preserve"> The ultimate sacrifice : a comparative study of self-immolation as a tactic of political protest in India and South Korea. — https://doi.org/10.18297/etd/508</w:t>
      </w:r>
    </w:p>
    <w:p>
      <w:pPr/>
      <w:r>
        <w:rPr>
          <w:b/>
        </w:rPr>
        <w:t>Shared claim-specific concepts:</w:t>
      </w:r>
      <w:r>
        <w:t xml:space="preserve"> moderately, three; EU scope not established. This is a provisional connection, not an outcome finding.</w:t>
      </w:r>
    </w:p>
    <w:p>
      <w:pPr>
        <w:pStyle w:val="SourceNote"/>
      </w:pPr>
      <w:r>
        <w:rPr>
          <w:b/>
        </w:rPr>
        <w:t>Available abstract (not full text):</w:t>
      </w:r>
      <w:r>
        <w:t xml:space="preserve">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pPr/>
      <w:r>
        <w:rPr>
          <w:b/>
        </w:rPr>
        <w:t>POSSIBLE 2012:</w:t>
      </w:r>
      <w:r>
        <w:t xml:space="preserve"> Cancer mortality in towns in the vicinity of incinerators and installations for the recovery or disposal of hazardous waste — https://doi.org/10.1016/j.envint.2012.10.003</w:t>
      </w:r>
    </w:p>
    <w:p>
      <w:pPr/>
      <w:r>
        <w:rPr>
          <w:b/>
        </w:rPr>
        <w:t>Shared claim-specific concepts:</w:t>
      </w:r>
      <w:r>
        <w:t xml:space="preserve"> incinerators, cancer, due, exposure; EU scope not established. This is a provisional connection, not an outcome finding.</w:t>
      </w:r>
    </w:p>
    <w:p>
      <w:pPr>
        <w:pStyle w:val="SourceNote"/>
      </w:pPr>
      <w:r>
        <w:rPr>
          <w:b/>
        </w:rPr>
        <w:t>Available abstract (not full text):</w:t>
      </w:r>
      <w:r>
        <w:t xml:space="preserve">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997.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2020:</w:t>
      </w:r>
      <w:r>
        <w:t xml:space="preserve"> Broadsides as Sources: A Methodological Discussion and Overview of Key Findings — https://doi.org/10.1057/978-1-137-59789-2_2</w:t>
      </w:r>
    </w:p>
    <w:p>
      <w:pPr/>
      <w:r>
        <w:rPr>
          <w:b/>
        </w:rPr>
        <w:t>Shared claim-specific concepts:</w:t>
      </w:r>
      <w:r>
        <w:t xml:space="preserve"> findings, several, people; EU scope not established. This is a provisional connection, not an outcome finding.</w:t>
      </w:r>
    </w:p>
    <w:p>
      <w:pPr>
        <w:pStyle w:val="SourceNote"/>
      </w:pPr>
      <w:r>
        <w:rPr>
          <w:b/>
        </w:rPr>
        <w:t>Available abstract (not full text):</w:t>
      </w:r>
      <w:r>
        <w:t xml:space="preserve">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pPr/>
      <w:r>
        <w:rPr>
          <w:b/>
        </w:rPr>
        <w:t>POSSIBLE 2020:</w:t>
      </w:r>
      <w:r>
        <w:t xml:space="preserve"> Cloud Migration Methodologies Preliminary Findings — https://openalex.org/W3019771303</w:t>
      </w:r>
    </w:p>
    <w:p>
      <w:pPr/>
      <w:r>
        <w:rPr>
          <w:b/>
        </w:rPr>
        <w:t>Shared claim-specific concepts:</w:t>
      </w:r>
      <w:r>
        <w:t xml:space="preserve"> findings, several, methodologies; EU scope not established. This is a provisional connection, not an outcome finding.</w:t>
      </w:r>
    </w:p>
    <w:p>
      <w:pPr>
        <w:pStyle w:val="SourceNote"/>
      </w:pPr>
      <w:r>
        <w:rPr>
          <w:b/>
        </w:rPr>
        <w:t>Available abstract (not full text):</w:t>
      </w:r>
      <w:r>
        <w:t xml:space="preserve">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pPr/>
      <w:r>
        <w:rPr>
          <w:b/>
        </w:rPr>
        <w:t>POSSIBLE 2019:</w:t>
      </w:r>
      <w:r>
        <w:t xml:space="preserve"> Transcriptome-wide association study of attention deficit hyperactivity disorder identifies associated genes and phenotypes — https://doi.org/10.1038/s41467-019-12450-9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pPr/>
      <w:r>
        <w:rPr>
          <w:b/>
        </w:rPr>
        <w:t>POSSIBLE 2017:</w:t>
      </w:r>
      <w:r>
        <w:t xml:space="preserve"> Genome-wide association meta-analysis of 78,308 individuals identifies new loci and genes influencing human intelligence — https://doi.org/10.1038/ng.3869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pPr/>
      <w:r>
        <w:rPr>
          <w:b/>
        </w:rPr>
        <w:t>POSSIBLE 2016:</w:t>
      </w:r>
      <w:r>
        <w:t xml:space="preserve"> Disaster Mental Health Epidemiology: Methodological Review and Interpretation of Research Findings — https://doi.org/10.1080/00332747.2016.1155926</w:t>
      </w:r>
    </w:p>
    <w:p>
      <w:pPr/>
      <w:r>
        <w:rPr>
          <w:b/>
        </w:rPr>
        <w:t>Shared claim-specific concepts:</w:t>
      </w:r>
      <w:r>
        <w:t xml:space="preserve"> findings, several; EU scope not established. This is a provisional connection, not an outcome finding.</w:t>
      </w:r>
    </w:p>
    <w:p>
      <w:pPr>
        <w:pStyle w:val="SourceNote"/>
      </w:pPr>
      <w:r>
        <w:rPr>
          <w:b/>
        </w:rPr>
        <w:t>Available abstract (not full text):</w:t>
      </w:r>
      <w:r>
        <w:t xml:space="preserve">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pPr/>
      <w:r>
        <w:rPr>
          <w:b/>
        </w:rPr>
        <w:t>POSSIBLE 2016:</w:t>
      </w:r>
      <w:r>
        <w:t xml:space="preserve"> Auditory Hallucinations and the Brain’s Resting-State Networks: Findings and Methodological Observations — https://doi.org/10.1093/schbul/sbw078</w:t>
      </w:r>
    </w:p>
    <w:p>
      <w:pPr/>
      <w:r>
        <w:rPr>
          <w:b/>
        </w:rPr>
        <w:t>Shared claim-specific concepts:</w:t>
      </w:r>
      <w:r>
        <w:t xml:space="preserve"> findings, control, well; EU scope not established. This is a provisional connection, not an outcome finding.</w:t>
      </w:r>
    </w:p>
    <w:p>
      <w:pPr>
        <w:pStyle w:val="SourceNote"/>
      </w:pPr>
      <w:r>
        <w:rPr>
          <w:b/>
        </w:rPr>
        <w:t>Available abstract (not full text):</w:t>
      </w:r>
      <w:r>
        <w:t xml:space="preserve">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pPr/>
      <w:r>
        <w:rPr>
          <w:b/>
        </w:rPr>
        <w:t>POSSIBLE 2016:</w:t>
      </w:r>
      <w:r>
        <w:t xml:space="preserve"> Methodological support for the further abstraction of and philosophical examination of empirical findings in the context of caring science — https://doi.org/10.3402/qhw.v11.30482</w:t>
      </w:r>
    </w:p>
    <w:p>
      <w:pPr/>
      <w:r>
        <w:rPr>
          <w:b/>
        </w:rPr>
        <w:t>Shared claim-specific concepts:</w:t>
      </w:r>
      <w:r>
        <w:t xml:space="preserve"> findings, several, present, well; EU scope not established. This is a provisional connection, not an outcome finding.</w:t>
      </w:r>
    </w:p>
    <w:p>
      <w:pPr>
        <w:pStyle w:val="SourceNote"/>
      </w:pPr>
      <w:r>
        <w:rPr>
          <w:b/>
        </w:rPr>
        <w:t>Available abstract (not full text):</w:t>
      </w:r>
      <w:r>
        <w:t xml:space="preserve">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998.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999.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civil, because, they, guide, safety;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2018:</w:t>
      </w:r>
      <w:r>
        <w:t xml:space="preserve"> A changing economic vote in Western Europe? Long-term vs. short-term forces — https://doi.org/10.1017/s1755773918000231</w:t>
      </w:r>
    </w:p>
    <w:p>
      <w:pPr/>
      <w:r>
        <w:rPr>
          <w:b/>
        </w:rPr>
        <w:t>Shared claim-specific concepts:</w:t>
      </w:r>
      <w:r>
        <w:t xml:space="preserve"> long-term, against, because; EU scope visible. This is a provisional connection, not an outcome finding.</w:t>
      </w:r>
    </w:p>
    <w:p>
      <w:pPr>
        <w:pStyle w:val="SourceNote"/>
      </w:pPr>
      <w:r>
        <w:rPr>
          <w:b/>
        </w:rPr>
        <w:t>Available abstract (not full text):</w:t>
      </w:r>
      <w:r>
        <w:t xml:space="preserve">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pPr/>
      <w:r>
        <w:rPr>
          <w:b/>
        </w:rPr>
        <w:t>POSSIBLE 2018:</w:t>
      </w:r>
      <w:r>
        <w:t xml:space="preserve"> Mediterranean Civil Economy and the European System — https://doi.org/10.23756/sp.v6i1.403</w:t>
      </w:r>
    </w:p>
    <w:p>
      <w:pPr/>
      <w:r>
        <w:rPr>
          <w:b/>
        </w:rPr>
        <w:t>Shared claim-specific concepts:</w:t>
      </w:r>
      <w:r>
        <w:t xml:space="preserve"> currently, civil, against; EU scope visible. This is a provisional connection, not an outcome finding.</w:t>
      </w:r>
    </w:p>
    <w:p>
      <w:pPr>
        <w:pStyle w:val="SourceNote"/>
      </w:pPr>
      <w:r>
        <w:rPr>
          <w:b/>
        </w:rPr>
        <w:t>Available abstract (not full text):</w:t>
      </w:r>
      <w:r>
        <w:t xml:space="preserve">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1000.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2021:</w:t>
      </w:r>
      <w:r>
        <w:t xml:space="preserve"> The role of land cover in the climate of glacial Europe — https://doi.org/10.5194/cp-17-1161-2021</w:t>
      </w:r>
    </w:p>
    <w:p>
      <w:pPr/>
      <w:r>
        <w:rPr>
          <w:b/>
        </w:rPr>
        <w:t>Shared claim-specific concepts:</w:t>
      </w:r>
      <w:r>
        <w:t xml:space="preserve"> climate, land, cover, vegetation, used, over; EU scope visible. This is a provisional connection, not an outcome finding.</w:t>
      </w:r>
    </w:p>
    <w:p>
      <w:pPr>
        <w:pStyle w:val="SourceNote"/>
      </w:pPr>
      <w:r>
        <w:rPr>
          <w:b/>
        </w:rPr>
        <w:t>Available abstract (not full text):</w:t>
      </w:r>
      <w:r>
        <w:t xml:space="preserve">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2020:</w:t>
      </w:r>
      <w:r>
        <w:t xml:space="preserve"> Influence of climate, soil, and land cover on plant species distribution in the European Alps — https://doi.org/10.1002/ecm.1433</w:t>
      </w:r>
    </w:p>
    <w:p>
      <w:pPr/>
      <w:r>
        <w:rPr>
          <w:b/>
        </w:rPr>
        <w:t>Shared claim-specific concepts:</w:t>
      </w:r>
      <w:r>
        <w:t xml:space="preserve"> climate, land, cover; EU scope visible. This is a provisional connection, not an outcome finding.</w:t>
      </w:r>
    </w:p>
    <w:p>
      <w:pPr>
        <w:pStyle w:val="SourceNote"/>
      </w:pPr>
      <w:r>
        <w:rPr>
          <w:b/>
        </w:rPr>
        <w:t>Available abstract (not full text):</w:t>
      </w:r>
      <w:r>
        <w:t xml:space="preserve">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pPr/>
      <w:r>
        <w:rPr>
          <w:b/>
        </w:rPr>
        <w:t>POSSIBLE 2020:</w:t>
      </w:r>
      <w:r>
        <w:t xml:space="preserve"> Climate change will affect global water availability through compounding changes in seasonal precipitation and evaporation — https://doi.org/10.1038/s41467-020-16757-w</w:t>
      </w:r>
    </w:p>
    <w:p>
      <w:pPr/>
      <w:r>
        <w:rPr>
          <w:b/>
        </w:rPr>
        <w:t>Shared claim-specific concepts:</w:t>
      </w:r>
      <w:r>
        <w:t xml:space="preserve"> climate, land, precipitation, used; EU scope not established. This is a provisional connection, not an outcome finding.</w:t>
      </w:r>
    </w:p>
    <w:p>
      <w:pPr>
        <w:pStyle w:val="SourceNote"/>
      </w:pPr>
      <w:r>
        <w:rPr>
          <w:b/>
        </w:rPr>
        <w:t>Available abstract (not full text):</w:t>
      </w:r>
      <w:r>
        <w:t xml:space="preserve">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pPr/>
      <w:r>
        <w:rPr>
          <w:b/>
        </w:rPr>
        <w:t>POSSIBLE 2020:</w:t>
      </w:r>
      <w:r>
        <w:t xml:space="preserve"> Climate change impact on flood and extreme precipitation increases with water availability — https://doi.org/10.1038/s41598-020-70816-2</w:t>
      </w:r>
    </w:p>
    <w:p>
      <w:pPr/>
      <w:r>
        <w:rPr>
          <w:b/>
        </w:rPr>
        <w:t>Shared claim-specific concepts:</w:t>
      </w:r>
      <w:r>
        <w:t xml:space="preserve"> climate, precipitation, over; EU scope not established. This is a provisional connection, not an outcome finding.</w:t>
      </w:r>
    </w:p>
    <w:p>
      <w:pPr>
        <w:pStyle w:val="SourceNote"/>
      </w:pPr>
      <w:r>
        <w:rPr>
          <w:b/>
        </w:rPr>
        <w:t>Available abstract (not full text):</w:t>
      </w:r>
      <w:r>
        <w:t xml:space="preserve">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pPr/>
      <w:r>
        <w:rPr>
          <w:b/>
        </w:rPr>
        <w:t>POSSIBLE 2019:</w:t>
      </w:r>
      <w:r>
        <w:t xml:space="preserve"> Satellite Remote Sensing of Precipitation and the Terrestrial Water Cycle in a Changing Climate — https://doi.org/10.3390/rs11192301</w:t>
      </w:r>
    </w:p>
    <w:p>
      <w:pPr/>
      <w:r>
        <w:rPr>
          <w:b/>
        </w:rPr>
        <w:t>Shared claim-specific concepts:</w:t>
      </w:r>
      <w:r>
        <w:t xml:space="preserve"> climate, land, precipitation, environmental; EU scope not established. This is a provisional connection, not an outcome finding.</w:t>
      </w:r>
    </w:p>
    <w:p>
      <w:pPr>
        <w:pStyle w:val="SourceNote"/>
      </w:pPr>
      <w:r>
        <w:rPr>
          <w:b/>
        </w:rPr>
        <w:t>Available abstract (not full text):</w:t>
      </w:r>
      <w:r>
        <w:t xml:space="preserve">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1001.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r>
        <w:rPr>
          <w:b/>
        </w:rPr>
        <w:t>POSSIBLE 2022:</w:t>
      </w:r>
      <w:r>
        <w:t xml:space="preserve"> Strategic partnerships and China’s diplomacy in Europe: Insights from Italy — https://doi.org/10.1177/13691481221127571</w:t>
      </w:r>
    </w:p>
    <w:p>
      <w:pPr/>
      <w:r>
        <w:rPr>
          <w:b/>
        </w:rPr>
        <w:t>Shared claim-specific concepts:</w:t>
      </w:r>
      <w:r>
        <w:t xml:space="preserve"> insights, strategic, ideational; EU scope visible. This is a provisional connection, not an outcome finding.</w:t>
      </w:r>
    </w:p>
    <w:p>
      <w:pPr>
        <w:pStyle w:val="SourceNote"/>
      </w:pPr>
      <w:r>
        <w:rPr>
          <w:b/>
        </w:rPr>
        <w:t>Available abstract (not full text):</w:t>
      </w:r>
      <w:r>
        <w:t xml:space="preserve">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pPr/>
      <w:r>
        <w:rPr>
          <w:b/>
        </w:rPr>
        <w:t>POSSIBLE 2022:</w:t>
      </w:r>
      <w:r>
        <w:t xml:space="preserve"> Strategic European counterterrorism? An empirical analysis — https://doi.org/10.1080/09662839.2022.2029847</w:t>
      </w:r>
    </w:p>
    <w:p>
      <w:pPr/>
      <w:r>
        <w:rPr>
          <w:b/>
        </w:rPr>
        <w:t>Shared claim-specific concepts:</w:t>
      </w:r>
      <w:r>
        <w:t xml:space="preserve"> insights, strategic, assessment;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2021:</w:t>
      </w:r>
      <w:r>
        <w:t xml:space="preserve"> Demystifying the modernized European data protection regime: Cross‐disciplinary insights from legal and regulatory governance scholarship — https://doi.org/10.1111/rego.12401</w:t>
      </w:r>
    </w:p>
    <w:p>
      <w:pPr/>
      <w:r>
        <w:rPr>
          <w:b/>
        </w:rPr>
        <w:t>Shared claim-specific concepts:</w:t>
      </w:r>
      <w:r>
        <w:t xml:space="preserve"> insights, key, uncertainties; EU scope visible. This is a provisional connection, not an outcome finding.</w:t>
      </w:r>
    </w:p>
    <w:p>
      <w:pPr>
        <w:pStyle w:val="SourceNote"/>
      </w:pPr>
      <w:r>
        <w:rPr>
          <w:b/>
        </w:rPr>
        <w:t>Available abstract (not full text):</w:t>
      </w:r>
      <w:r>
        <w:t xml:space="preserve">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1002.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2024:</w:t>
      </w:r>
      <w:r>
        <w:t xml:space="preserve"> Uncertainty quantification for overshoots of tipping thresholds — https://doi.org/10.5194/egusphere-egu24-8618</w:t>
      </w:r>
    </w:p>
    <w:p>
      <w:pPr/>
      <w:r>
        <w:rPr>
          <w:b/>
        </w:rPr>
        <w:t>Shared claim-specific concepts:</w:t>
      </w:r>
      <w:r>
        <w:t xml:space="preserve"> so-called, critical, uncertainties, found, current, climate; EU scope not established. This is a provisional connection, not an outcome finding.</w:t>
      </w:r>
    </w:p>
    <w:p>
      <w:pPr>
        <w:pStyle w:val="SourceNote"/>
      </w:pPr>
      <w:r>
        <w:rPr>
          <w:b/>
        </w:rPr>
        <w:t>Available abstract (not full text):</w:t>
      </w:r>
      <w:r>
        <w:t xml:space="preserve"> To tip or not to tip?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and driving a nonlinear system beyond a critical threshold that signifies self-amplifying feedbacks inducing tipping. However, previous work has shown that it is possible to briefly overshoot a critical threshold and avoid tipping. Specifically, the peak distance of an overshoot and the time a system can spend beyond a threshold are governed by an inverse square law relationship. In the real world or complex models, critical thresholds and other system features determining the permitted overshoot are highly uncertain. In this presentation, we look at how such uncertainties affect the probability of tipping from the perspective of uncertainty quantification. We show the importance of constraining uncertainty in the location of the critical threshold and the linear restoring rate to the stable state to reduce the uncertainty in the probability of tipping. Using a simple box model for the Atlantic Meridional Overturning Circulation, we highlight the need to constrain the high un</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2022:</w:t>
      </w:r>
      <w:r>
        <w:t xml:space="preserve"> Supplying Critical Materials in a Time of Uncertainty — https://doi.org/10.31410/limen.2022.315</w:t>
      </w:r>
    </w:p>
    <w:p>
      <w:pPr/>
      <w:r>
        <w:rPr>
          <w:b/>
        </w:rPr>
        <w:t>Shared claim-specific concepts:</w:t>
      </w:r>
      <w:r>
        <w:t xml:space="preserve"> so-called, critical, climate; EU scope not established. This is a provisional connection, not an outcome finding.</w:t>
      </w:r>
    </w:p>
    <w:p>
      <w:pPr>
        <w:pStyle w:val="SourceNote"/>
      </w:pPr>
      <w:r>
        <w:rPr>
          <w:b/>
        </w:rPr>
        <w:t>Available abstract (not full text):</w:t>
      </w:r>
      <w:r>
        <w:t xml:space="preserve">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pPr/>
      <w:r>
        <w:rPr>
          <w:b/>
        </w:rPr>
        <w:t>POSSIBLE 2022:</w:t>
      </w:r>
      <w:r>
        <w:t xml:space="preserve"> Truth and uncertainty. A critical discussion of the error concept versus the uncertainty concept — https://doi.org/10.5194/amt-15-1145-2022</w:t>
      </w:r>
    </w:p>
    <w:p>
      <w:pPr/>
      <w:r>
        <w:rPr>
          <w:b/>
        </w:rPr>
        <w:t>Shared claim-specific concepts:</w:t>
      </w:r>
      <w:r>
        <w:t xml:space="preserve"> critical, uncertainties, found; EU scope not established. This is a provisional connection, not an outcome finding.</w:t>
      </w:r>
    </w:p>
    <w:p>
      <w:pPr>
        <w:pStyle w:val="SourceNote"/>
      </w:pPr>
      <w:r>
        <w:rPr>
          <w:b/>
        </w:rPr>
        <w:t>Available abstract (not full text):</w:t>
      </w:r>
      <w:r>
        <w:t xml:space="preserve">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