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group-04f1992a5e534d7bfc3b</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Sources of (Dis-)Identification with Europe: A Q-Methodological Approach — https://doi.org/10.1080/15283488.2026.2664567</w:t>
      </w:r>
    </w:p>
    <w:p>
      <w:pPr/>
      <w:r>
        <w:rPr>
          <w:b/>
        </w:rPr>
        <w:t>Later source:</w:t>
      </w:r>
      <w:r>
        <w:t xml:space="preserve"> European Delphi Consensus on Minimum Training Standards for Dry Needling (EDNES): a protocol for a modified Delphi study — https://doi.org/10.63360/ipmm.v2.e28</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group-922fd9f626d5dfcec5fb</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Slow but tangible progress: the economic dividends of decarbonisation in Cyprus — https://openalex.org/W7159555102</w:t>
      </w:r>
    </w:p>
    <w:p>
      <w:pPr/>
      <w:r>
        <w:rPr>
          <w:b/>
        </w:rPr>
        <w:t>Later source:</w:t>
      </w:r>
      <w:r>
        <w:t xml:space="preserve"> The military green transition: Decarbonisation as warfighting opportunity — https://doi.org/10.1016/j.polgeo.2026.103573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group-51c9ed7237a974eaf320</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Models of science financing in the context of European integration: analysis of European practices and prospects for Ukraine — https://doi.org/10.15407/etet2026.02.089</w:t>
      </w:r>
    </w:p>
    <w:p>
      <w:pPr/>
      <w:r>
        <w:rPr>
          <w:b/>
        </w:rPr>
        <w:t>Later source:</w:t>
      </w:r>
      <w:r>
        <w:t xml:space="preserve"> Research Infrastructures and the Open Science Roadmap: European and Italian Strategies and Policies — https://doi.org/10.1007/978-3-032-29575-0_2</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group-1a1ab3958e73a47bf40d</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Projected Range Shifts of Emerging Agricultural Weeds Under Climate Change in Central Europe — https://doi.org/10.1111/wre.70098</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group-a6d617a3312cae84a351</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 tissue time machine to forward-predict single-timepoint data applied to tuberculosis granulomas — https://doi.org/10.64898/2026.10.09.758083</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group-2fce17f15d2dd13b43e1</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Education and training of home hemodialysis patients in Europe: a scoping review — https://doi.org/10.33393/gcnd.2026.3589</w:t>
      </w:r>
    </w:p>
    <w:p>
      <w:pPr/>
      <w:r>
        <w:rPr>
          <w:b/>
        </w:rPr>
        <w:t>Later source:</w:t>
      </w:r>
      <w:r>
        <w:t xml:space="preserve"> The Current Landscape of Ophthalmology Training in Europe — https://doi.org/10.7759/cureus.103487</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group-0a1aa59e6b7b378e99ee</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The Need for Synergy in Foresight Research for Healthcare and Medical Sciences — https://doi.org/10.36401/iddb-25-1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group-a9c8fa559a4918c408d0</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Pathways in the European Union: Sectoral Contributions to CO2 Emissions Reductions (2000–2022) — https://doi.org/10.3390/environments13030163</w:t>
      </w:r>
    </w:p>
    <w:p>
      <w:pPr/>
      <w:r>
        <w:rPr>
          <w:b/>
        </w:rPr>
        <w:t>Later source:</w:t>
      </w:r>
      <w:r>
        <w:t xml:space="preserve"> Decarbonization of European Industry: Modelling and Open Science (DEIMOS) — https://doi.org/10.5445/ir/1000196316</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group-0a6f9a4ba51adfcecb32</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Interpretive structural modeling of factors influencing transition and transformation project management framework — https://doi.org/10.1007/s43621-026-03632-9</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group-cf9b005caae1b651c46e</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SOCIO-ECONOMIC FACTORS INFLUENCING MIGRATION PROCESSES IN UKRAINE UNDER MARTIAL LAW — https://doi.org/10.31732/2663-2209-2025-77-96-106</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group-7569432be5912d756f4c</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Modeling soil solution electrical conductivity across Europe — https://doi.org/10.1016/j.scitotenv.2026.182021</w:t>
      </w:r>
    </w:p>
    <w:p>
      <w:pPr/>
      <w:r>
        <w:rPr>
          <w:b/>
        </w:rPr>
        <w:t>Later source:</w:t>
      </w:r>
      <w:r>
        <w:t xml:space="preserve"> Quantifying the Performance of European Agriculture Through the New European Sustainability Model — https://doi.org/10.3390/agriculture15020210</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group-9821adafbd598b0f302e</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Record summers in Europe: Variations in drought and heavy precipitation during 1901–2018 — https://doi.org/10.1002/joc.7587</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group-b4a0d11b3039e4e2e98b</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European Strategic Autonomy - chances and challenges for Europe — https://openalex.org/W3129001693</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group-0b2dd835e0bed2f2937e</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Regional climate modelling for a comprehensive understanding of forest management-induced biogeophysical climate impacts in Europe — https://doi.org/10.5194/egusphere-egu25-5786</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group-a69deb9b4aae6bc1a58e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Creating meaningful work in the age of AI: explainable AI, explainability, and why it matters to organizational designers — https://doi.org/10.1007/s00146-023-01633-0</w:t>
      </w:r>
    </w:p>
    <w:p>
      <w:pPr/>
      <w:r>
        <w:rPr>
          <w:b/>
        </w:rPr>
        <w:t>Later source:</w:t>
      </w:r>
      <w:r>
        <w:t xml:space="preserve"> Analysis and Validation of Sensitivity in Torque-Sensitive Actuators — https://doi.org/10.3390/act12020080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group-099feb5ce866e41483f3</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group-510d94b5594eba5619d9</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Beyond renewable expansion: a degrowth perspective on the European energy transition and society — https://openalex.org/W7113186942</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group-62f8f82344c22d2b93a0</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Spatial resilience and population replacement in Europe during MIS 3: a comparative study of Neanderthals and H. sapiens — https://doi.org/10.1016/j.quascirev.2026.109850</w:t>
      </w:r>
    </w:p>
    <w:p>
      <w:pPr/>
      <w:r>
        <w:rPr>
          <w:b/>
        </w:rPr>
        <w:t>Later source:</w:t>
      </w:r>
      <w:r>
        <w:t xml:space="preserve"> Online Gambling In Europe: Prevalence, Risk and Regulatory Challenges In The Digital Era — https://doi.org/10.35198/01-2026-001-0004</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group-cf740870b374fcd90b08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From Moral Crusade to European Reality: The Rights of Nature “Solution” in Search of a Problem — https://doi.org/10.1017/aju.2026.10088</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group-6cad5d9761e8000999fc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Understanding motivations for agroforestry maintenance and adoption: a comparative analysis in Europe — https://doi.org/10.1186/s40100-026-00506-6</w:t>
      </w:r>
    </w:p>
    <w:p>
      <w:pPr/>
      <w:r>
        <w:rPr>
          <w:b/>
        </w:rPr>
        <w:t>Later source:</w:t>
      </w:r>
      <w:r>
        <w:t xml:space="preserve"> Global trends in electric vehicle adoption and the impact of environmental awareness, user attributes, and barriers — https://doi.org/10.1016/j.egyr.2024.12.054</w:t>
      </w:r>
    </w:p>
    <w:p>
      <w:pPr>
        <w:pStyle w:val="SourceNote"/>
      </w:pPr>
      <w:r>
        <w:rPr>
          <w:b/>
        </w:rPr>
        <w:t>Review status:</w:t>
      </w:r>
      <w:r>
        <w:t xml:space="preserve"> unchecked — possible relationship only</w:t>
      </w:r>
    </w:p>
    <w:p>
      <w:pPr>
        <w:pStyle w:val="Heading2"/>
      </w:pPr>
      <w:r>
        <w:t>82.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83. Claim + two later sources: Impacts of Scaling up Agroecology on the Sustainability of European Agriculture in 2050</w:t>
      </w:r>
    </w:p>
    <w:p>
      <w:pPr>
        <w:pStyle w:val="SourceNote"/>
      </w:pPr>
      <w:r>
        <w:rPr>
          <w:b/>
        </w:rPr>
        <w:t>Group ID:</w:t>
      </w:r>
      <w:r>
        <w:t xml:space="preserve"> group-965c81808e0232bdc183</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The impact of socio-economic factors and digital performance on environmental sustainability: the case of European Union — https://doi.org/10.1007/s10668-026-07759-7</w:t>
      </w:r>
    </w:p>
    <w:p>
      <w:pPr>
        <w:pStyle w:val="SourceNote"/>
      </w:pPr>
      <w:r>
        <w:rPr>
          <w:b/>
        </w:rPr>
        <w:t>Review status:</w:t>
      </w:r>
      <w:r>
        <w:t xml:space="preserve"> unchecked — possible relationship only</w:t>
      </w:r>
    </w:p>
    <w:p>
      <w:pPr>
        <w:pStyle w:val="Heading2"/>
      </w:pPr>
      <w:r>
        <w:t>84. Claim + two later sources: How to Achieve a Healthier and More Sustainable Europe by 2040 According to the Public? Results of a Five-Country Questionnaire Survey</w:t>
      </w:r>
    </w:p>
    <w:p>
      <w:pPr>
        <w:pStyle w:val="SourceNote"/>
      </w:pPr>
      <w:r>
        <w:rPr>
          <w:b/>
        </w:rPr>
        <w:t>Group ID:</w:t>
      </w:r>
      <w:r>
        <w:t xml:space="preserve"> group-5c594eb35cad40d64462</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Power, inclusion and the role of SMEs in European public procurement — https://doi.org/10.1108/jpbafm-06-2025-0169</w:t>
      </w:r>
    </w:p>
    <w:p>
      <w:pPr>
        <w:pStyle w:val="SourceNote"/>
      </w:pPr>
      <w:r>
        <w:rPr>
          <w:b/>
        </w:rPr>
        <w:t>Review status:</w:t>
      </w:r>
      <w:r>
        <w:t xml:space="preserve"> unchecked — possible relationship only</w:t>
      </w:r>
    </w:p>
    <w:p>
      <w:pPr>
        <w:pStyle w:val="Heading2"/>
      </w:pPr>
      <w:r>
        <w:t>85.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86.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87.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88.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89.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90. Claim + two later sources: The future of financial markets and regulation: what strategy for Europe?</w:t>
      </w:r>
    </w:p>
    <w:p>
      <w:pPr>
        <w:pStyle w:val="SourceNote"/>
      </w:pPr>
      <w:r>
        <w:rPr>
          <w:b/>
        </w:rPr>
        <w:t>Group ID:</w:t>
      </w:r>
      <w:r>
        <w:t xml:space="preserve"> group-fcbd875232902b857d31</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European consumers’ beliefs about the main pillars of the sustainability: a comparison between wild and farmed fish — https://doi.org/10.1007/s10499-023-01070-2</w:t>
      </w:r>
    </w:p>
    <w:p>
      <w:pPr>
        <w:pStyle w:val="SourceNote"/>
      </w:pPr>
      <w:r>
        <w:rPr>
          <w:b/>
        </w:rPr>
        <w:t>Review status:</w:t>
      </w:r>
      <w:r>
        <w:t xml:space="preserve"> unchecked — possible relationship only</w:t>
      </w:r>
    </w:p>
    <w:p>
      <w:pPr>
        <w:pStyle w:val="Heading2"/>
      </w:pPr>
      <w:r>
        <w:t>91. Claim + two later sources: Will the real security foresight expert please stand up?</w:t>
      </w:r>
    </w:p>
    <w:p>
      <w:pPr>
        <w:pStyle w:val="SourceNote"/>
      </w:pPr>
      <w:r>
        <w:rPr>
          <w:b/>
        </w:rPr>
        <w:t>Group ID:</w:t>
      </w:r>
      <w:r>
        <w:t xml:space="preserve"> group-dc354106d40ca7a31d6e</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Digitization and inclusive growth: Comparative evidence from Africa, Asia, and Europe — https://doi.org/10.1016/j.ssaho.2026.103262</w:t>
      </w:r>
    </w:p>
    <w:p>
      <w:pPr>
        <w:pStyle w:val="SourceNote"/>
      </w:pPr>
      <w:r>
        <w:rPr>
          <w:b/>
        </w:rPr>
        <w:t>Review status:</w:t>
      </w:r>
      <w:r>
        <w:t xml:space="preserve"> unchecked — possible relationship only</w:t>
      </w:r>
    </w:p>
    <w:p>
      <w:pPr>
        <w:pStyle w:val="Heading2"/>
      </w:pPr>
      <w:r>
        <w:t>92.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93.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94.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95.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96.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97. Claim + two later sources: Understanding and enhancing future infrastructure resiliency: a socio‐ecological approach</w:t>
      </w:r>
    </w:p>
    <w:p>
      <w:pPr>
        <w:pStyle w:val="SourceNote"/>
      </w:pPr>
      <w:r>
        <w:rPr>
          <w:b/>
        </w:rPr>
        <w:t>Group ID:</w:t>
      </w:r>
      <w:r>
        <w:t xml:space="preserve"> group-79eaf4fe26f780b31abe</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Seeking or not Seeking Help? Using an Online Learning Environment in an Adult Training — https://openalex.org/W4368618633</w:t>
      </w:r>
    </w:p>
    <w:p>
      <w:pPr>
        <w:pStyle w:val="SourceNote"/>
      </w:pPr>
      <w:r>
        <w:rPr>
          <w:b/>
        </w:rPr>
        <w:t>Review status:</w:t>
      </w:r>
      <w:r>
        <w:t xml:space="preserve"> unchecked — possible relationship only</w:t>
      </w:r>
    </w:p>
    <w:p>
      <w:pPr>
        <w:pStyle w:val="Heading2"/>
      </w:pPr>
      <w:r>
        <w:t>98.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99. Claim + two later sources: Carbon intensity of the Ukrainian industry: current state and foresight</w:t>
      </w:r>
    </w:p>
    <w:p>
      <w:pPr>
        <w:pStyle w:val="SourceNote"/>
      </w:pPr>
      <w:r>
        <w:rPr>
          <w:b/>
        </w:rPr>
        <w:t>Group ID:</w:t>
      </w:r>
      <w:r>
        <w:t xml:space="preserve"> group-aa8b2ac0fb53208f01a3</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Foundations of Maritime Decarbonization — https://doi.org/10.58830/ozgur.pub1212</w:t>
      </w:r>
    </w:p>
    <w:p>
      <w:pPr>
        <w:pStyle w:val="SourceNote"/>
      </w:pPr>
      <w:r>
        <w:rPr>
          <w:b/>
        </w:rPr>
        <w:t>Review status:</w:t>
      </w:r>
      <w:r>
        <w:t xml:space="preserve"> unchecked — possible relationship only</w:t>
      </w:r>
    </w:p>
    <w:p>
      <w:pPr>
        <w:pStyle w:val="Heading2"/>
      </w:pPr>
      <w:r>
        <w:t>100.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101. Claim + two later sources: Polish and Ukrainian foresight into the directions for the innovation of power plants</w:t>
      </w:r>
    </w:p>
    <w:p>
      <w:pPr>
        <w:pStyle w:val="SourceNote"/>
      </w:pPr>
      <w:r>
        <w:rPr>
          <w:b/>
        </w:rPr>
        <w:t>Group ID:</w:t>
      </w:r>
      <w:r>
        <w:t xml:space="preserve"> group-a030e9ec42e42eb9cf6c</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A probabilistic approach to establishing the resistivity-lithology relationship using co-located tTEM data and lithological logs — https://doi.org/10.1016/j.jappgeo.2026.106245</w:t>
      </w:r>
    </w:p>
    <w:p>
      <w:pPr/>
      <w:r>
        <w:rPr>
          <w:b/>
        </w:rPr>
        <w:t>Later source:</w:t>
      </w:r>
      <w:r>
        <w:t xml:space="preserve"> Establish An Advanced River Flow Prediction Model Using An Artificial Intelligence Approach — https://doi.org/10.51483/ijaiml.6.6s.2026.1293-1301</w:t>
      </w:r>
    </w:p>
    <w:p>
      <w:pPr>
        <w:pStyle w:val="SourceNote"/>
      </w:pPr>
      <w:r>
        <w:rPr>
          <w:b/>
        </w:rPr>
        <w:t>Review status:</w:t>
      </w:r>
      <w:r>
        <w:t xml:space="preserve"> unchecked — possible relationship only</w:t>
      </w:r>
    </w:p>
    <w:p>
      <w:pPr>
        <w:pStyle w:val="Heading2"/>
      </w:pPr>
      <w:r>
        <w:t>102.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103.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104. Claim + two later sources: Burden of Stroke in Europe</w:t>
      </w:r>
    </w:p>
    <w:p>
      <w:pPr>
        <w:pStyle w:val="SourceNote"/>
      </w:pPr>
      <w:r>
        <w:rPr>
          <w:b/>
        </w:rPr>
        <w:t>Group ID:</w:t>
      </w:r>
      <w:r>
        <w:t xml:space="preserve"> group-f8c38ebe43c5b1b5a477</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Dietary intake of plant- and animal-derived protein and incident cardiovascular diseases: the pan-European EPIC-CVD case–cohort study — https://doi.org/10.1016/j.ajcnut.2024.03.006</w:t>
      </w:r>
    </w:p>
    <w:p>
      <w:pPr>
        <w:pStyle w:val="SourceNote"/>
      </w:pPr>
      <w:r>
        <w:rPr>
          <w:b/>
        </w:rPr>
        <w:t>Review status:</w:t>
      </w:r>
      <w:r>
        <w:t xml:space="preserve"> unchecked — possible relationship only</w:t>
      </w:r>
    </w:p>
    <w:p>
      <w:pPr>
        <w:pStyle w:val="Heading2"/>
      </w:pPr>
      <w:r>
        <w:t>105. Claim + two later sources: Ukrainian Migration Aspirations towards Germany: Analysis and Development Scenarios</w:t>
      </w:r>
    </w:p>
    <w:p>
      <w:pPr>
        <w:pStyle w:val="SourceNote"/>
      </w:pPr>
      <w:r>
        <w:rPr>
          <w:b/>
        </w:rPr>
        <w:t>Group ID:</w:t>
      </w:r>
      <w:r>
        <w:t xml:space="preserve"> group-021dd76ba05890d3939f</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106.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107. Claim + two later sources: From flood science to flood policy: the Foresight Future Flooding project seven years on</w:t>
      </w:r>
    </w:p>
    <w:p>
      <w:pPr>
        <w:pStyle w:val="SourceNote"/>
      </w:pPr>
      <w:r>
        <w:rPr>
          <w:b/>
        </w:rPr>
        <w:t>Group ID:</w:t>
      </w:r>
      <w:r>
        <w:t xml:space="preserve"> group-0cc70179f1d6d64c0ec8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Socio-ecological dynamics shaping the future of wetlands: A foresight analysis — https://doi.org/10.1016/j.cacint.2026.100469</w:t>
      </w:r>
    </w:p>
    <w:p>
      <w:pPr>
        <w:pStyle w:val="SourceNote"/>
      </w:pPr>
      <w:r>
        <w:rPr>
          <w:b/>
        </w:rPr>
        <w:t>Review status:</w:t>
      </w:r>
      <w:r>
        <w:t xml:space="preserve"> unchecked — possible relationship only</w:t>
      </w:r>
    </w:p>
    <w:p>
      <w:pPr>
        <w:pStyle w:val="Heading2"/>
      </w:pPr>
      <w:r>
        <w:t>108.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109. Claim + two later sources: Materials for Sustainable Nuclear Energy: A European Strategic Research and Innovation Agenda for All Reactor Generations</w:t>
      </w:r>
    </w:p>
    <w:p>
      <w:pPr>
        <w:pStyle w:val="SourceNote"/>
      </w:pPr>
      <w:r>
        <w:rPr>
          <w:b/>
        </w:rPr>
        <w:t>Group ID:</w:t>
      </w:r>
      <w:r>
        <w:t xml:space="preserve"> group-b7cbf5e39f3d7d56a5b9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Nuclear Energy and Sustainable Business Models: Comparative Analysis of Corporate Reporting in the European Union — https://doi.org/10.24818/jamis.2026.01001</w:t>
      </w:r>
    </w:p>
    <w:p>
      <w:pPr>
        <w:pStyle w:val="SourceNote"/>
      </w:pPr>
      <w:r>
        <w:rPr>
          <w:b/>
        </w:rPr>
        <w:t>Review status:</w:t>
      </w:r>
      <w:r>
        <w:t xml:space="preserve"> unchecked — possible relationship only</w:t>
      </w:r>
    </w:p>
    <w:p>
      <w:pPr>
        <w:pStyle w:val="Heading2"/>
      </w:pPr>
      <w:r>
        <w:t>110.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111. Claim + two later sources: Argentinian Energy Landscapes - Case Study of the Neo-Carbon Energy Project</w:t>
      </w:r>
    </w:p>
    <w:p>
      <w:pPr>
        <w:pStyle w:val="SourceNote"/>
      </w:pPr>
      <w:r>
        <w:rPr>
          <w:b/>
        </w:rPr>
        <w:t>Group ID:</w:t>
      </w:r>
      <w:r>
        <w:t xml:space="preserve"> group-274a08f555983202b38e</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Anchor Fin Explored as an Important Design Parameter for Lamb Wave Resonators — https://doi.org/10.1109/jmems.2025.3636583</w:t>
      </w:r>
    </w:p>
    <w:p>
      <w:pPr>
        <w:pStyle w:val="SourceNote"/>
      </w:pPr>
      <w:r>
        <w:rPr>
          <w:b/>
        </w:rPr>
        <w:t>Review status:</w:t>
      </w:r>
      <w:r>
        <w:t xml:space="preserve"> unchecked — possible relationship only</w:t>
      </w:r>
    </w:p>
    <w:p>
      <w:pPr>
        <w:pStyle w:val="Heading2"/>
      </w:pPr>
      <w:r>
        <w:t>112.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113.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114. Claim + two later sources: A Foresight Study of European East-West Agrifood Trade Options</w:t>
      </w:r>
    </w:p>
    <w:p>
      <w:pPr>
        <w:pStyle w:val="SourceNote"/>
      </w:pPr>
      <w:r>
        <w:rPr>
          <w:b/>
        </w:rPr>
        <w:t>Group ID:</w:t>
      </w:r>
      <w:r>
        <w:t xml:space="preserve"> group-41b8701851abc86f7a7e</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Immigrant Work and the Production of Italian Agrifood: The Variants of Subordinate Integration — https://doi.org/10.1080/15562948.2024.2424164</w:t>
      </w:r>
    </w:p>
    <w:p>
      <w:pPr>
        <w:pStyle w:val="SourceNote"/>
      </w:pPr>
      <w:r>
        <w:rPr>
          <w:b/>
        </w:rPr>
        <w:t>Review status:</w:t>
      </w:r>
      <w:r>
        <w:t xml:space="preserve"> unchecked — possible relationship only</w:t>
      </w:r>
    </w:p>
    <w:p>
      <w:pPr>
        <w:pStyle w:val="Heading2"/>
      </w:pPr>
      <w:r>
        <w:t>115. Claim + two later sources: Alpine Tundra Contraction under Future Warming Scenarios in Europe</w:t>
      </w:r>
    </w:p>
    <w:p>
      <w:pPr>
        <w:pStyle w:val="SourceNote"/>
      </w:pPr>
      <w:r>
        <w:rPr>
          <w:b/>
        </w:rPr>
        <w:t>Group ID:</w:t>
      </w:r>
      <w:r>
        <w:t xml:space="preserve"> group-eda97c8a0e76b5a3f22d</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Evaluation of coupled and uncoupled ocean–ice–atmosphere simulations using icon-2024.07 and NEMOv4.2.0 for the EURO-CORDEX domain — https://doi.org/10.5194/gmd-19-543-2026</w:t>
      </w:r>
    </w:p>
    <w:p>
      <w:pPr/>
      <w:r>
        <w:rPr>
          <w:b/>
        </w:rPr>
        <w:t>Later source:</w:t>
      </w:r>
      <w:r>
        <w:t xml:space="preserve"> Climate Extremes in Europe: A Comparative Analysis of Climate Model Datasets — https://doi.org/10.5194/egusphere-egu26-9971</w:t>
      </w:r>
    </w:p>
    <w:p>
      <w:pPr>
        <w:pStyle w:val="SourceNote"/>
      </w:pPr>
      <w:r>
        <w:rPr>
          <w:b/>
        </w:rPr>
        <w:t>Review status:</w:t>
      </w:r>
      <w:r>
        <w:t xml:space="preserve"> unchecked — possible relationship only</w:t>
      </w:r>
    </w:p>
    <w:p>
      <w:pPr>
        <w:pStyle w:val="Heading2"/>
      </w:pPr>
      <w:r>
        <w:t>116.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117. Claim + two later sources: Connected and Automated Transport: Research and Innovation Capacity in Europe</w:t>
      </w:r>
    </w:p>
    <w:p>
      <w:pPr>
        <w:pStyle w:val="SourceNote"/>
      </w:pPr>
      <w:r>
        <w:rPr>
          <w:b/>
        </w:rPr>
        <w:t>Group ID:</w:t>
      </w:r>
      <w:r>
        <w:t xml:space="preserve"> group-793bab1630d9a5a26952</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From the ground up: exploring European carbon farming through social practice theory — https://doi.org/10.1016/j.jrurstud.2025.103850</w:t>
      </w:r>
    </w:p>
    <w:p>
      <w:pPr>
        <w:pStyle w:val="SourceNote"/>
      </w:pPr>
      <w:r>
        <w:rPr>
          <w:b/>
        </w:rPr>
        <w:t>Review status:</w:t>
      </w:r>
      <w:r>
        <w:t xml:space="preserve"> unchecked — possible relationship only</w:t>
      </w:r>
    </w:p>
    <w:p>
      <w:pPr>
        <w:pStyle w:val="Heading2"/>
      </w:pPr>
      <w:r>
        <w:t>118.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119. Claim + two later sources: Testing Scenarios to Achieve Workplace Sustainability Goals Using Backcasting and Agent-Based Modeling</w:t>
      </w:r>
    </w:p>
    <w:p>
      <w:pPr>
        <w:pStyle w:val="SourceNote"/>
      </w:pPr>
      <w:r>
        <w:rPr>
          <w:b/>
        </w:rPr>
        <w:t>Group ID:</w:t>
      </w:r>
      <w:r>
        <w:t xml:space="preserve"> group-1770bc9b068252dd6bf5</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Managing Water-Ecosystem-Food Nexus using participatory approaches: insights from an innovative methodological approach developed in two Mediterranean areas — https://doi.org/10.3389/frwa.2025.1469762</w:t>
      </w:r>
    </w:p>
    <w:p>
      <w:pPr>
        <w:pStyle w:val="SourceNote"/>
      </w:pPr>
      <w:r>
        <w:rPr>
          <w:b/>
        </w:rPr>
        <w:t>Review status:</w:t>
      </w:r>
      <w:r>
        <w:t xml:space="preserve"> unchecked — possible relationship only</w:t>
      </w:r>
    </w:p>
    <w:p>
      <w:pPr>
        <w:pStyle w:val="Heading2"/>
      </w:pPr>
      <w:r>
        <w:t>120.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121. Claim + two later sources: Technopolis, shared resources or controlled mobility? A net-based Delphi-study to explore visions of future urban daily mobility in Norway</w:t>
      </w:r>
    </w:p>
    <w:p>
      <w:pPr>
        <w:pStyle w:val="SourceNote"/>
      </w:pPr>
      <w:r>
        <w:rPr>
          <w:b/>
        </w:rPr>
        <w:t>Group ID:</w:t>
      </w:r>
      <w:r>
        <w:t xml:space="preserve"> group-742a0bf9e3ba55ee416d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The Influencing Factors of Fathers’ and Mothers’ School-Based Involvement in a Central and Eastern European Sample — https://doi.org/10.26529/cepsj.2154</w:t>
      </w:r>
    </w:p>
    <w:p>
      <w:pPr>
        <w:pStyle w:val="SourceNote"/>
      </w:pPr>
      <w:r>
        <w:rPr>
          <w:b/>
        </w:rPr>
        <w:t>Review status:</w:t>
      </w:r>
      <w:r>
        <w:t xml:space="preserve"> unchecked — possible relationship only</w:t>
      </w:r>
    </w:p>
    <w:p>
      <w:pPr>
        <w:pStyle w:val="Heading2"/>
      </w:pPr>
      <w:r>
        <w:t>122. Claim + two later sources: Hydrogen in the Strategies of the European Union Member States</w:t>
      </w:r>
    </w:p>
    <w:p>
      <w:pPr>
        <w:pStyle w:val="SourceNote"/>
      </w:pPr>
      <w:r>
        <w:rPr>
          <w:b/>
        </w:rPr>
        <w:t>Group ID:</w:t>
      </w:r>
      <w:r>
        <w:t xml:space="preserve"> group-0e7ab2f25546bc136b8b</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review of expenditure, outcomes, access to oncology medicines and oncology health systems in ten European countries — https://doi.org/10.5603/ocp.110314</w:t>
      </w:r>
    </w:p>
    <w:p>
      <w:pPr/>
      <w:r>
        <w:rPr>
          <w:b/>
        </w:rPr>
        <w:t>Later source:</w:t>
      </w:r>
      <w:r>
        <w:t xml:space="preserve"> Availability and restrictiveness of community treatment orders across 33 European countries — https://doi.org/10.1192/bjo.2026.12015</w:t>
      </w:r>
    </w:p>
    <w:p>
      <w:pPr>
        <w:pStyle w:val="SourceNote"/>
      </w:pPr>
      <w:r>
        <w:rPr>
          <w:b/>
        </w:rPr>
        <w:t>Review status:</w:t>
      </w:r>
      <w:r>
        <w:t xml:space="preserve"> unchecked — possible relationship only</w:t>
      </w:r>
    </w:p>
    <w:p>
      <w:pPr>
        <w:pStyle w:val="Heading2"/>
      </w:pPr>
      <w:r>
        <w:t>123. Claim + two later sources: Demographic projections of future pharmaceutical consumption in the Netherlands</w:t>
      </w:r>
    </w:p>
    <w:p>
      <w:pPr>
        <w:pStyle w:val="SourceNote"/>
      </w:pPr>
      <w:r>
        <w:rPr>
          <w:b/>
        </w:rPr>
        <w:t>Group ID:</w:t>
      </w:r>
      <w:r>
        <w:t xml:space="preserve"> group-c700f97edaf9deb42bde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How Parliamentarism Developed in Western Europe — https://doi.org/10.1017/s0007123424000917</w:t>
      </w:r>
    </w:p>
    <w:p>
      <w:pPr>
        <w:pStyle w:val="SourceNote"/>
      </w:pPr>
      <w:r>
        <w:rPr>
          <w:b/>
        </w:rPr>
        <w:t>Review status:</w:t>
      </w:r>
      <w:r>
        <w:t xml:space="preserve"> unchecked — possible relationship only</w:t>
      </w:r>
    </w:p>
    <w:p>
      <w:pPr>
        <w:pStyle w:val="Heading2"/>
      </w:pPr>
      <w:r>
        <w:t>124.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125.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126.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127.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128.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129.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130. Claim + two later sources: The European pulp and paper industry in transition to a bio-economy: A Delphi study</w:t>
      </w:r>
    </w:p>
    <w:p>
      <w:pPr>
        <w:pStyle w:val="SourceNote"/>
      </w:pPr>
      <w:r>
        <w:rPr>
          <w:b/>
        </w:rPr>
        <w:t>Group ID:</w:t>
      </w:r>
      <w:r>
        <w:t xml:space="preserve"> group-f2242abdd29185984591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Game Changers: National Referendums and the Politicization of Europe — https://doi.org/10.17645/pag.9261</w:t>
      </w:r>
    </w:p>
    <w:p>
      <w:pPr>
        <w:pStyle w:val="SourceNote"/>
      </w:pPr>
      <w:r>
        <w:rPr>
          <w:b/>
        </w:rPr>
        <w:t>Review status:</w:t>
      </w:r>
      <w:r>
        <w:t xml:space="preserve"> unchecked — possible relationship only</w:t>
      </w:r>
    </w:p>
    <w:p>
      <w:pPr>
        <w:pStyle w:val="Heading2"/>
      </w:pPr>
      <w:r>
        <w:t>131.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132. Claim + two later sources: Projecting Drivers of Human Vulnerability under the Shared Socioeconomic Pathways</w:t>
      </w:r>
    </w:p>
    <w:p>
      <w:pPr>
        <w:pStyle w:val="SourceNote"/>
      </w:pPr>
      <w:r>
        <w:rPr>
          <w:b/>
        </w:rPr>
        <w:t>Group ID:</w:t>
      </w:r>
      <w:r>
        <w:t xml:space="preserve"> group-81f0da2b94e33663934f</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Narrative and quantitative analysis of democratic principles in the Shared Socioeconomic Pathways — https://doi.org/10.1038/s44168-026-00351-9</w:t>
      </w:r>
    </w:p>
    <w:p>
      <w:pPr>
        <w:pStyle w:val="SourceNote"/>
      </w:pPr>
      <w:r>
        <w:rPr>
          <w:b/>
        </w:rPr>
        <w:t>Review status:</w:t>
      </w:r>
      <w:r>
        <w:t xml:space="preserve"> unchecked — possible relationship only</w:t>
      </w:r>
    </w:p>
    <w:p>
      <w:pPr>
        <w:pStyle w:val="Heading2"/>
      </w:pPr>
      <w:r>
        <w:t>133.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134.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135.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136.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137.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138.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139.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140.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141.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142.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143.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144.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145.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146. Claim + two later sources: The future of global trade and the WTO</w:t>
      </w:r>
    </w:p>
    <w:p>
      <w:pPr>
        <w:pStyle w:val="SourceNote"/>
      </w:pPr>
      <w:r>
        <w:rPr>
          <w:b/>
        </w:rPr>
        <w:t>Group ID:</w:t>
      </w:r>
      <w:r>
        <w:t xml:space="preserve"> group-e7d6474cb45fdc7a4b12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External shocks in the world economy: a SVAR approach — https://doi.org/10.21919/remef.v21i1.1129</w:t>
      </w:r>
    </w:p>
    <w:p>
      <w:pPr/>
      <w:r>
        <w:rPr>
          <w:b/>
        </w:rPr>
        <w:t>Later source:</w:t>
      </w:r>
      <w:r>
        <w:t xml:space="preserve"> IMPACT OF SHORT-TERM EXTERNAL SHOCKS ON THE WORLD AND EUROPEAN ECONOMIES — https://doi.org/10.35774/jee2025.04.553</w:t>
      </w:r>
    </w:p>
    <w:p>
      <w:pPr>
        <w:pStyle w:val="SourceNote"/>
      </w:pPr>
      <w:r>
        <w:rPr>
          <w:b/>
        </w:rPr>
        <w:t>Review status:</w:t>
      </w:r>
      <w:r>
        <w:t xml:space="preserve"> unchecked — possible relationship only</w:t>
      </w:r>
    </w:p>
    <w:p>
      <w:pPr>
        <w:pStyle w:val="Heading2"/>
      </w:pPr>
      <w:r>
        <w:t>147.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148.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149.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150.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151. Claim + two later sources: REMIND-D: A Hybrid Energy-Economy Model of Germany</w:t>
      </w:r>
    </w:p>
    <w:p>
      <w:pPr>
        <w:pStyle w:val="SourceNote"/>
      </w:pPr>
      <w:r>
        <w:rPr>
          <w:b/>
        </w:rPr>
        <w:t>Group ID:</w:t>
      </w:r>
      <w:r>
        <w:t xml:space="preserve"> group-cef1d4f2aca4057333e2</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Thirty Years of Agricultural Landscape Simplification in Europe: A Multi-Scale Assessment Using CORINE Land Cover and GAM Models — https://doi.org/10.3390/land15081370</w:t>
      </w:r>
    </w:p>
    <w:p>
      <w:pPr>
        <w:pStyle w:val="SourceNote"/>
      </w:pPr>
      <w:r>
        <w:rPr>
          <w:b/>
        </w:rPr>
        <w:t>Review status:</w:t>
      </w:r>
      <w:r>
        <w:t xml:space="preserve"> unchecked — possible relationship only</w:t>
      </w:r>
    </w:p>
    <w:p>
      <w:pPr>
        <w:pStyle w:val="Heading2"/>
      </w:pPr>
      <w:r>
        <w:t>152.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153. Claim + two later sources: Bioenergy futures in Sweden – Modeling integration scenarios for biofuel production</w:t>
      </w:r>
    </w:p>
    <w:p>
      <w:pPr>
        <w:pStyle w:val="SourceNote"/>
      </w:pPr>
      <w:r>
        <w:rPr>
          <w:b/>
        </w:rPr>
        <w:t>Group ID:</w:t>
      </w:r>
      <w:r>
        <w:t xml:space="preserve"> group-b97441657f0b84491389</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Increased Holocene Diversity in Europe Linked to Human‐Associated Vegetation Change — https://doi.org/10.1111/geb.70166</w:t>
      </w:r>
    </w:p>
    <w:p>
      <w:pPr>
        <w:pStyle w:val="SourceNote"/>
      </w:pPr>
      <w:r>
        <w:rPr>
          <w:b/>
        </w:rPr>
        <w:t>Review status:</w:t>
      </w:r>
      <w:r>
        <w:t xml:space="preserve"> unchecked — possible relationship only</w:t>
      </w:r>
    </w:p>
    <w:p>
      <w:pPr>
        <w:pStyle w:val="Heading2"/>
      </w:pPr>
      <w:r>
        <w:t>154.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155. Claim + two later sources: Fiscal foresighting: analysis of researches</w:t>
      </w:r>
    </w:p>
    <w:p>
      <w:pPr>
        <w:pStyle w:val="SourceNote"/>
      </w:pPr>
      <w:r>
        <w:rPr>
          <w:b/>
        </w:rPr>
        <w:t>Group ID:</w:t>
      </w:r>
      <w:r>
        <w:t xml:space="preserve"> group-0a92633e34c515753e85</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AND PRACTICAL ASPECTS OF QUALIFYING PICKPOCKETING: ANALYSIS OF THE OBJECTIVE AND SUBJECTIVE ELEMENTS — https://doi.org/10.5281/zenodo.18723249</w:t>
      </w:r>
    </w:p>
    <w:p>
      <w:pPr>
        <w:pStyle w:val="SourceNote"/>
      </w:pPr>
      <w:r>
        <w:rPr>
          <w:b/>
        </w:rPr>
        <w:t>Review status:</w:t>
      </w:r>
      <w:r>
        <w:t xml:space="preserve"> unchecked — possible relationship only</w:t>
      </w:r>
    </w:p>
    <w:p>
      <w:pPr>
        <w:pStyle w:val="Heading2"/>
      </w:pPr>
      <w:r>
        <w:t>156.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157.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158. Claim + two later sources: Institutional issues in planning for more uncertain futures</w:t>
      </w:r>
    </w:p>
    <w:p>
      <w:pPr>
        <w:pStyle w:val="SourceNote"/>
      </w:pPr>
      <w:r>
        <w:rPr>
          <w:b/>
        </w:rPr>
        <w:t>Group ID:</w:t>
      </w:r>
      <w:r>
        <w:t xml:space="preserve"> group-4c392dc9e9f046144f59</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The mobility of the nobility. An introduction — https://doi.org/10.21827/virtus.32.58-70</w:t>
      </w:r>
    </w:p>
    <w:p>
      <w:pPr>
        <w:pStyle w:val="SourceNote"/>
      </w:pPr>
      <w:r>
        <w:rPr>
          <w:b/>
        </w:rPr>
        <w:t>Review status:</w:t>
      </w:r>
      <w:r>
        <w:t xml:space="preserve"> unchecked — possible relationship only</w:t>
      </w:r>
    </w:p>
    <w:p>
      <w:pPr>
        <w:pStyle w:val="Heading2"/>
      </w:pPr>
      <w:r>
        <w:t>159.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160. Claim + two later sources: Backcasting for desirable futures in Finnish forest-based firms</w:t>
      </w:r>
    </w:p>
    <w:p>
      <w:pPr>
        <w:pStyle w:val="SourceNote"/>
      </w:pPr>
      <w:r>
        <w:rPr>
          <w:b/>
        </w:rPr>
        <w:t>Group ID:</w:t>
      </w:r>
      <w:r>
        <w:t xml:space="preserve"> group-9a034a948a095bd44ed6</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Expanding financial inclusion participation in Muslim-dominated communities through Islamic finance products (IFP) adoption — https://doi.org/10.1108/jiabr-09-2023-0308</w:t>
      </w:r>
    </w:p>
    <w:p>
      <w:pPr/>
      <w:r>
        <w:rPr>
          <w:b/>
        </w:rPr>
        <w:t>Later source:</w:t>
      </w:r>
      <w:r>
        <w:t xml:space="preserve"> Knowledge and Prizes — https://doi.org/10.1093/9780191976766.003.0012</w:t>
      </w:r>
    </w:p>
    <w:p>
      <w:pPr>
        <w:pStyle w:val="SourceNote"/>
      </w:pPr>
      <w:r>
        <w:rPr>
          <w:b/>
        </w:rPr>
        <w:t>Review status:</w:t>
      </w:r>
      <w:r>
        <w:t xml:space="preserve"> unchecked — possible relationship only</w:t>
      </w:r>
    </w:p>
    <w:p>
      <w:pPr>
        <w:pStyle w:val="Heading2"/>
      </w:pPr>
      <w:r>
        <w:t>161.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162.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163.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164.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165.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166. Claim + two later sources: Where is the EU headed given its current climate policy? A stakeholder-driven model inter-comparison</w:t>
      </w:r>
    </w:p>
    <w:p>
      <w:pPr>
        <w:pStyle w:val="SourceNote"/>
      </w:pPr>
      <w:r>
        <w:rPr>
          <w:b/>
        </w:rPr>
        <w:t>Group ID:</w:t>
      </w:r>
      <w:r>
        <w:t xml:space="preserve"> group-03c6cef0ab96c3038fee</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The Rise of Social Science Infrastructures in Europe and Italy — https://doi.org/10.1007/978-3-032-07005-0_5</w:t>
      </w:r>
    </w:p>
    <w:p>
      <w:pPr>
        <w:pStyle w:val="SourceNote"/>
      </w:pPr>
      <w:r>
        <w:rPr>
          <w:b/>
        </w:rPr>
        <w:t>Review status:</w:t>
      </w:r>
      <w:r>
        <w:t xml:space="preserve"> unchecked — possible relationship only</w:t>
      </w:r>
    </w:p>
    <w:p>
      <w:pPr>
        <w:pStyle w:val="Heading2"/>
      </w:pPr>
      <w:r>
        <w:t>167.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168.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169.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170.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171.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172.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173.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174.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175.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176.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177. Claim + two later sources: The role of district heating systems to provide balancing services in the European Union</w:t>
      </w:r>
    </w:p>
    <w:p>
      <w:pPr>
        <w:pStyle w:val="SourceNote"/>
      </w:pPr>
      <w:r>
        <w:rPr>
          <w:b/>
        </w:rPr>
        <w:t>Group ID:</w:t>
      </w:r>
      <w:r>
        <w:t xml:space="preserve"> group-03f443115688f7587fce</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Identifying the exposure of taxonomic, functional, and phylogenetic diversity of steppe birds to renewable energy development — https://doi.org/10.1111/cobi.70291</w:t>
      </w:r>
    </w:p>
    <w:p>
      <w:pPr>
        <w:pStyle w:val="SourceNote"/>
      </w:pPr>
      <w:r>
        <w:rPr>
          <w:b/>
        </w:rPr>
        <w:t>Review status:</w:t>
      </w:r>
      <w:r>
        <w:t xml:space="preserve"> unchecked — possible relationship only</w:t>
      </w:r>
    </w:p>
    <w:p>
      <w:pPr>
        <w:pStyle w:val="Heading2"/>
      </w:pPr>
      <w:r>
        <w:t>178.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179.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180. Claim + two later sources: Towards Europe 2035 - In Search of the Archimedean Screw: FOCUS in Perspective</w:t>
      </w:r>
    </w:p>
    <w:p>
      <w:pPr>
        <w:pStyle w:val="SourceNote"/>
      </w:pPr>
      <w:r>
        <w:rPr>
          <w:b/>
        </w:rPr>
        <w:t>Group ID:</w:t>
      </w:r>
      <w:r>
        <w:t xml:space="preserve"> group-268af70415adac5fa9dd</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Queering European Union Foreign and Security Policy: Invisibility, Heteronormativity and Binaries in the EU's Approach to Women, Peace and Security — https://doi.org/10.1111/jcms.13750</w:t>
      </w:r>
    </w:p>
    <w:p>
      <w:pPr>
        <w:pStyle w:val="SourceNote"/>
      </w:pPr>
      <w:r>
        <w:rPr>
          <w:b/>
        </w:rPr>
        <w:t>Review status:</w:t>
      </w:r>
      <w:r>
        <w:t xml:space="preserve"> unchecked — possible relationship only</w:t>
      </w:r>
    </w:p>
    <w:p>
      <w:pPr>
        <w:pStyle w:val="Heading2"/>
      </w:pPr>
      <w:r>
        <w:t>181. Claim + two later sources: Towards an assessment of adaptive capacity of the European agricultural sector to droughts</w:t>
      </w:r>
    </w:p>
    <w:p>
      <w:pPr>
        <w:pStyle w:val="SourceNote"/>
      </w:pPr>
      <w:r>
        <w:rPr>
          <w:b/>
        </w:rPr>
        <w:t>Group ID:</w:t>
      </w:r>
      <w:r>
        <w:t xml:space="preserve"> group-ba79a7339e9df6ddc3dd</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DIGITALIZATION AND ENERGY INDICATORS IN THE EUROPEAN UNION — https://doi.org/10.38104/vadyba.2026.2.04</w:t>
      </w:r>
    </w:p>
    <w:p>
      <w:pPr/>
      <w:r>
        <w:rPr>
          <w:b/>
        </w:rPr>
        <w:t>Later source:</w:t>
      </w:r>
      <w:r>
        <w:t xml:space="preserve"> EMULATION OF A NUMERICAL URBAN MODEL TO CREATE HIGH-RESOLUTION NEAR SURFACE AIR TEMPERATURE OVER EUROPEAN CITIES — https://doi.org/10.22541/essoar.173671231.11835703/v1</w:t>
      </w:r>
    </w:p>
    <w:p>
      <w:pPr>
        <w:pStyle w:val="SourceNote"/>
      </w:pPr>
      <w:r>
        <w:rPr>
          <w:b/>
        </w:rPr>
        <w:t>Review status:</w:t>
      </w:r>
      <w:r>
        <w:t xml:space="preserve"> unchecked — possible relationship only</w:t>
      </w:r>
    </w:p>
    <w:p>
      <w:pPr>
        <w:pStyle w:val="Heading2"/>
      </w:pPr>
      <w:r>
        <w:t>182.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group-1bdd5d6c7c5ab9be2955</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Photocatalytic C–C Coupling by a Au(I) Complex: Mechanistic Elucidation and SET Modulation — https://doi.org/10.1021/jacsau.5c01536</w:t>
      </w:r>
    </w:p>
    <w:p>
      <w:pPr/>
      <w:r>
        <w:rPr>
          <w:b/>
        </w:rPr>
        <w:t>Later source:</w:t>
      </w:r>
      <w:r>
        <w:t xml:space="preserve"> Predictive divergence in machine learning models for clinical mortality risk: A multicohort study of covid-19 patients — https://doi.org/10.1371/journal.pone.0344354</w:t>
      </w:r>
    </w:p>
    <w:p>
      <w:pPr>
        <w:pStyle w:val="SourceNote"/>
      </w:pPr>
      <w:r>
        <w:rPr>
          <w:b/>
        </w:rPr>
        <w:t>Review status:</w:t>
      </w:r>
      <w:r>
        <w:t xml:space="preserve"> unchecked — possible relationship only</w:t>
      </w:r>
    </w:p>
    <w:p>
      <w:pPr>
        <w:pStyle w:val="Heading2"/>
      </w:pPr>
      <w:r>
        <w:t>183. Claim + two later sources: One step ahead? The use of foresight by Czech and Slovak non-governmental organizations</w:t>
      </w:r>
    </w:p>
    <w:p>
      <w:pPr>
        <w:pStyle w:val="SourceNote"/>
      </w:pPr>
      <w:r>
        <w:rPr>
          <w:b/>
        </w:rPr>
        <w:t>Group ID:</w:t>
      </w:r>
      <w:r>
        <w:t xml:space="preserve"> group-8ca4931de1f206ceb505</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Exploring the Nature of Programming Work — https://doi.org/10.4018/ijkss.407408</w:t>
      </w:r>
    </w:p>
    <w:p>
      <w:pPr/>
      <w:r>
        <w:rPr>
          <w:b/>
        </w:rPr>
        <w:t>Later source:</w:t>
      </w:r>
      <w:r>
        <w:t xml:space="preserve"> The End of Bourgeois Humanism and the Mindfulness of Nature in Adorno’s Writings of the 1950s and 1960s — https://doi.org/10.65272/978-88-6977-570-3_5</w:t>
      </w:r>
    </w:p>
    <w:p>
      <w:pPr>
        <w:pStyle w:val="SourceNote"/>
      </w:pPr>
      <w:r>
        <w:rPr>
          <w:b/>
        </w:rPr>
        <w:t>Review status:</w:t>
      </w:r>
      <w:r>
        <w:t xml:space="preserve"> unchecked — possible relationship only</w:t>
      </w:r>
    </w:p>
    <w:p>
      <w:pPr>
        <w:pStyle w:val="Heading2"/>
      </w:pPr>
      <w:r>
        <w:t>184.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185.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186.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187.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188.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189.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190. Claim + two later sources: Which way to net zero? a comparative analysis of seven UK 2050 decarbonisation pathways</w:t>
      </w:r>
    </w:p>
    <w:p>
      <w:pPr>
        <w:pStyle w:val="SourceNote"/>
      </w:pPr>
      <w:r>
        <w:rPr>
          <w:b/>
        </w:rPr>
        <w:t>Group ID:</w:t>
      </w:r>
      <w:r>
        <w:t xml:space="preserve"> group-4f0bc45092e3ea553017</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Persistent Identifiers in Germany: Key Findings of a Nationwide Survey — https://doi.org/10.5334/dsj-2026-028</w:t>
      </w:r>
    </w:p>
    <w:p>
      <w:pPr>
        <w:pStyle w:val="SourceNote"/>
      </w:pPr>
      <w:r>
        <w:rPr>
          <w:b/>
        </w:rPr>
        <w:t>Review status:</w:t>
      </w:r>
      <w:r>
        <w:t xml:space="preserve"> unchecked — possible relationship only</w:t>
      </w:r>
    </w:p>
    <w:p>
      <w:pPr>
        <w:pStyle w:val="Heading2"/>
      </w:pPr>
      <w:r>
        <w:t>191. Claim + two later sources: Interpreting long-term energy scenarios and the role of bioenergy in Germany</w:t>
      </w:r>
    </w:p>
    <w:p>
      <w:pPr>
        <w:pStyle w:val="SourceNote"/>
      </w:pPr>
      <w:r>
        <w:rPr>
          <w:b/>
        </w:rPr>
        <w:t>Group ID:</w:t>
      </w:r>
      <w:r>
        <w:t xml:space="preserve"> group-25a8456f8acbc97cf77a</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Conceptual-theoretical approaches to the process of europeanization — https://doi.org/10.59295/ierm2025.01</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192.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193. Claim + two later sources: Potential stocks and increments of woody biomass in the European Union under different management and climate scenarios</w:t>
      </w:r>
    </w:p>
    <w:p>
      <w:pPr>
        <w:pStyle w:val="SourceNote"/>
      </w:pPr>
      <w:r>
        <w:rPr>
          <w:b/>
        </w:rPr>
        <w:t>Group ID:</w:t>
      </w:r>
      <w:r>
        <w:t xml:space="preserve"> group-d5c3a5e39d6a5d2860a2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Contribution of brown carbon to light absorption in emissions of European residential biomass combustion appliances — https://doi.org/10.5194/acp-24-3197-2024</w:t>
      </w:r>
    </w:p>
    <w:p>
      <w:pPr/>
      <w:r>
        <w:rPr>
          <w:b/>
        </w:rPr>
        <w:t>Later source:</w:t>
      </w:r>
      <w:r>
        <w:t xml:space="preserve"> Improved large-area forest increment information in Europe through harmonisation of National Forest Inventories — https://doi.org/10.1016/j.foreco.2024.121913</w:t>
      </w:r>
    </w:p>
    <w:p>
      <w:pPr>
        <w:pStyle w:val="SourceNote"/>
      </w:pPr>
      <w:r>
        <w:rPr>
          <w:b/>
        </w:rPr>
        <w:t>Review status:</w:t>
      </w:r>
      <w:r>
        <w:t xml:space="preserve"> unchecked — possible relationship only</w:t>
      </w:r>
    </w:p>
    <w:p>
      <w:pPr>
        <w:pStyle w:val="Heading2"/>
      </w:pPr>
      <w:r>
        <w:t>194.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195. Claim + two later sources: Crisis futures: The affects and temporalities of economic collapse in Iceland</w:t>
      </w:r>
    </w:p>
    <w:p>
      <w:pPr>
        <w:pStyle w:val="SourceNote"/>
      </w:pPr>
      <w:r>
        <w:rPr>
          <w:b/>
        </w:rPr>
        <w:t>Group ID:</w:t>
      </w:r>
      <w:r>
        <w:t xml:space="preserve"> group-93e525852f687c9e265c</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Crisis and Conversion: Lessons from Conversion in the Middle East — https://openalex.org/W7220889087</w:t>
      </w:r>
    </w:p>
    <w:p>
      <w:pPr>
        <w:pStyle w:val="SourceNote"/>
      </w:pPr>
      <w:r>
        <w:rPr>
          <w:b/>
        </w:rPr>
        <w:t>Review status:</w:t>
      </w:r>
      <w:r>
        <w:t xml:space="preserve"> unchecked — possible relationship only</w:t>
      </w:r>
    </w:p>
    <w:p>
      <w:pPr>
        <w:pStyle w:val="Heading2"/>
      </w:pPr>
      <w:r>
        <w:t>196.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197. Claim + two later sources: Long-term vision of rural areas in Hungary, focusing on foresights</w:t>
      </w:r>
    </w:p>
    <w:p>
      <w:pPr>
        <w:pStyle w:val="SourceNote"/>
      </w:pPr>
      <w:r>
        <w:rPr>
          <w:b/>
        </w:rPr>
        <w:t>Group ID:</w:t>
      </w:r>
      <w:r>
        <w:t xml:space="preserve"> group-6c4e88423b372176df0a</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The Conflict of the 2015 European Migration Crisis A Multi-Level Analysis in Austria and Hungary — https://doi.org/10.14267/phd.2026045</w:t>
      </w:r>
    </w:p>
    <w:p>
      <w:pPr>
        <w:pStyle w:val="SourceNote"/>
      </w:pPr>
      <w:r>
        <w:rPr>
          <w:b/>
        </w:rPr>
        <w:t>Review status:</w:t>
      </w:r>
      <w:r>
        <w:t xml:space="preserve"> unchecked — possible relationship only</w:t>
      </w:r>
    </w:p>
    <w:p>
      <w:pPr>
        <w:pStyle w:val="Heading2"/>
      </w:pPr>
      <w:r>
        <w:t>198.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199.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200.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201.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202.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203. Claim + two later sources: Scenarios for European agricultural policymaking in the era of digitalisation</w:t>
      </w:r>
    </w:p>
    <w:p>
      <w:pPr>
        <w:pStyle w:val="SourceNote"/>
      </w:pPr>
      <w:r>
        <w:rPr>
          <w:b/>
        </w:rPr>
        <w:t>Group ID:</w:t>
      </w:r>
      <w:r>
        <w:t xml:space="preserve"> group-6e01f2b53076879a1d18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Climate‐Driven Shifts in the Potential Distribution of Quarantine Forest Pathogens in Europe: Insights From Species Distribution Modelling — https://doi.org/10.1111/ppa.70187</w:t>
      </w:r>
    </w:p>
    <w:p>
      <w:pPr>
        <w:pStyle w:val="SourceNote"/>
      </w:pPr>
      <w:r>
        <w:rPr>
          <w:b/>
        </w:rPr>
        <w:t>Review status:</w:t>
      </w:r>
      <w:r>
        <w:t xml:space="preserve"> unchecked — possible relationship only</w:t>
      </w:r>
    </w:p>
    <w:p>
      <w:pPr>
        <w:pStyle w:val="Heading2"/>
      </w:pPr>
      <w:r>
        <w:t>204.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205.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206.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207. Claim + two later sources: Policy Modelling for Ambitious Energy Efficiency Investment in the EU Residential Buildings</w:t>
      </w:r>
    </w:p>
    <w:p>
      <w:pPr>
        <w:pStyle w:val="SourceNote"/>
      </w:pPr>
      <w:r>
        <w:rPr>
          <w:b/>
        </w:rPr>
        <w:t>Group ID:</w:t>
      </w:r>
      <w:r>
        <w:t xml:space="preserve"> group-fc4d12d77acb8bac9a39</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Europe between Christian Heritage and Religious Pluralism: The Challenge of European Islam — https://doi.org/10.67282/as.2026.1.07</w:t>
      </w:r>
    </w:p>
    <w:p>
      <w:pPr>
        <w:pStyle w:val="SourceNote"/>
      </w:pPr>
      <w:r>
        <w:rPr>
          <w:b/>
        </w:rPr>
        <w:t>Review status:</w:t>
      </w:r>
      <w:r>
        <w:t xml:space="preserve"> unchecked — possible relationship only</w:t>
      </w:r>
    </w:p>
    <w:p>
      <w:pPr>
        <w:pStyle w:val="Heading2"/>
      </w:pPr>
      <w:r>
        <w:t>208. Claim + two later sources: A New Climate for Europe: 2030 Climate Targets Must Be More Ambitious</w:t>
      </w:r>
    </w:p>
    <w:p>
      <w:pPr>
        <w:pStyle w:val="SourceNote"/>
      </w:pPr>
      <w:r>
        <w:rPr>
          <w:b/>
        </w:rPr>
        <w:t>Group ID:</w:t>
      </w:r>
      <w:r>
        <w:t xml:space="preserve"> group-23dab03fcbc9b1ec7e37</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European union external action in Ukraine: securitising critical minerals — https://doi.org/10.26619/1647-7251.dt03226.5</w:t>
      </w:r>
    </w:p>
    <w:p>
      <w:pPr>
        <w:pStyle w:val="SourceNote"/>
      </w:pPr>
      <w:r>
        <w:rPr>
          <w:b/>
        </w:rPr>
        <w:t>Review status:</w:t>
      </w:r>
      <w:r>
        <w:t xml:space="preserve"> unchecked — possible relationship only</w:t>
      </w:r>
    </w:p>
    <w:p>
      <w:pPr>
        <w:pStyle w:val="Heading2"/>
      </w:pPr>
      <w:r>
        <w:t>209.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210.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211.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212.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213. Claim + two later sources: Anticipatory governance for newcomers: lessons learned from the UK, the Netherlands, Finland, and Korea</w:t>
      </w:r>
    </w:p>
    <w:p>
      <w:pPr>
        <w:pStyle w:val="SourceNote"/>
      </w:pPr>
      <w:r>
        <w:rPr>
          <w:b/>
        </w:rPr>
        <w:t>Group ID:</w:t>
      </w:r>
      <w:r>
        <w:t xml:space="preserve"> group-f4371aacf880613dd0e4</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Educating and raising public awareness about floods with uniformed high-water marks — https://doi.org/10.5194/ems2025-48</w:t>
      </w:r>
    </w:p>
    <w:p>
      <w:pPr>
        <w:pStyle w:val="SourceNote"/>
      </w:pPr>
      <w:r>
        <w:rPr>
          <w:b/>
        </w:rPr>
        <w:t>Review status:</w:t>
      </w:r>
      <w:r>
        <w:t xml:space="preserve"> unchecked — possible relationship only</w:t>
      </w:r>
    </w:p>
    <w:p>
      <w:pPr>
        <w:pStyle w:val="Heading2"/>
      </w:pPr>
      <w:r>
        <w:t>214.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215. Claim + two later sources: Governance barriers to sustainable energy transitions – Assessing Ireland's capacity towards marine energy futures</w:t>
      </w:r>
    </w:p>
    <w:p>
      <w:pPr>
        <w:pStyle w:val="SourceNote"/>
      </w:pPr>
      <w:r>
        <w:rPr>
          <w:b/>
        </w:rPr>
        <w:t>Group ID:</w:t>
      </w:r>
      <w:r>
        <w:t xml:space="preserve"> group-cb1fd8d4156e0c96b7ae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Practices within the European Union’s Governance — https://doi.org/10.38158/apjeus.22.1.1</w:t>
      </w:r>
    </w:p>
    <w:p>
      <w:pPr/>
      <w:r>
        <w:rPr>
          <w:b/>
        </w:rPr>
        <w:t>Later source:</w:t>
      </w:r>
      <w:r>
        <w:t xml:space="preserve"> Sustainability conflicts in the blue economy: planning for offshore aquaculture and offshore wind energy development in Norway — https://doi.org/10.1007/s40152-023-00335-z</w:t>
      </w:r>
    </w:p>
    <w:p>
      <w:pPr>
        <w:pStyle w:val="SourceNote"/>
      </w:pPr>
      <w:r>
        <w:rPr>
          <w:b/>
        </w:rPr>
        <w:t>Review status:</w:t>
      </w:r>
      <w:r>
        <w:t xml:space="preserve"> unchecked — possible relationship only</w:t>
      </w:r>
    </w:p>
    <w:p>
      <w:pPr>
        <w:pStyle w:val="Heading2"/>
      </w:pPr>
      <w:r>
        <w:t>216.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217.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218. Claim + two later sources: International migration by 2030: impact of immigration policies scenarios on growth and employment</w:t>
      </w:r>
    </w:p>
    <w:p>
      <w:pPr>
        <w:pStyle w:val="SourceNote"/>
      </w:pPr>
      <w:r>
        <w:rPr>
          <w:b/>
        </w:rPr>
        <w:t>Group ID:</w:t>
      </w:r>
      <w:r>
        <w:t xml:space="preserve"> group-61ef4895196058f902aa</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Internationalization of Higher Education in Ukraine Amidst Mass Migration (2022–2026) — https://doi.org/10.17951/j.2026.39.2.185-195</w:t>
      </w:r>
    </w:p>
    <w:p>
      <w:pPr>
        <w:pStyle w:val="SourceNote"/>
      </w:pPr>
      <w:r>
        <w:rPr>
          <w:b/>
        </w:rPr>
        <w:t>Review status:</w:t>
      </w:r>
      <w:r>
        <w:t xml:space="preserve"> unchecked — possible relationship only</w:t>
      </w:r>
    </w:p>
    <w:p>
      <w:pPr>
        <w:pStyle w:val="Heading2"/>
      </w:pPr>
      <w:r>
        <w:t>219.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220.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221. Claim + two later sources: Superconductivity and the environment: a Roadmap</w:t>
      </w:r>
    </w:p>
    <w:p>
      <w:pPr>
        <w:pStyle w:val="SourceNote"/>
      </w:pPr>
      <w:r>
        <w:rPr>
          <w:b/>
        </w:rPr>
        <w:t>Group ID:</w:t>
      </w:r>
      <w:r>
        <w:t xml:space="preserve"> group-e0fb199573310d8bf49b</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A Natural Deep Eutectic Solvent Formulated to Stabilize β-Lactam Antibiotics — https://doi.org/10.1038/s41598-018-33148-w</w:t>
      </w:r>
    </w:p>
    <w:p>
      <w:pPr>
        <w:pStyle w:val="SourceNote"/>
      </w:pPr>
      <w:r>
        <w:rPr>
          <w:b/>
        </w:rPr>
        <w:t>Review status:</w:t>
      </w:r>
      <w:r>
        <w:t xml:space="preserve"> unchecked — possible relationship only</w:t>
      </w:r>
    </w:p>
    <w:p>
      <w:pPr>
        <w:pStyle w:val="Heading2"/>
      </w:pPr>
      <w:r>
        <w:t>222.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223.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224. Claim + two later sources: Energy system transition and macroeconomic impacts of a European decarbonization action towards a below 2 °C climate stabilization</w:t>
      </w:r>
    </w:p>
    <w:p>
      <w:pPr>
        <w:pStyle w:val="SourceNote"/>
      </w:pPr>
      <w:r>
        <w:rPr>
          <w:b/>
        </w:rPr>
        <w:t>Group ID:</w:t>
      </w:r>
      <w:r>
        <w:t xml:space="preserve"> group-e9544de33e8416822150</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Pollution, Density and Low Emission Zones: European Evidence — https://doi.org/10.53479/44145</w:t>
      </w:r>
    </w:p>
    <w:p>
      <w:pPr/>
      <w:r>
        <w:rPr>
          <w:b/>
        </w:rPr>
        <w:t>Later source:</w:t>
      </w:r>
      <w:r>
        <w:t xml:space="preserve"> Regional aerosol emission reductions alter tropical circulation — https://doi.org/10.1088/2752-5295/ae9c63</w:t>
      </w:r>
    </w:p>
    <w:p>
      <w:pPr>
        <w:pStyle w:val="SourceNote"/>
      </w:pPr>
      <w:r>
        <w:rPr>
          <w:b/>
        </w:rPr>
        <w:t>Review status:</w:t>
      </w:r>
      <w:r>
        <w:t xml:space="preserve"> unchecked — possible relationship only</w:t>
      </w:r>
    </w:p>
    <w:p>
      <w:pPr>
        <w:pStyle w:val="Heading2"/>
      </w:pPr>
      <w:r>
        <w:t>225. Claim + two later sources: Burden of pancreatic cancer along with attributable risk factors in Europe between 1990 and 2019, and projections until 2039</w:t>
      </w:r>
    </w:p>
    <w:p>
      <w:pPr>
        <w:pStyle w:val="SourceNote"/>
      </w:pPr>
      <w:r>
        <w:rPr>
          <w:b/>
        </w:rPr>
        <w:t>Group ID:</w:t>
      </w:r>
      <w:r>
        <w:t xml:space="preserve"> group-e006b5c8fe15e0dd4515</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r>
        <w:rPr>
          <w:b/>
        </w:rPr>
        <w:t>Later source:</w:t>
      </w:r>
      <w:r>
        <w:t xml:space="preserve"> Data on the uptake of Integrated Pest Management (IPM) practices in European agriculture — https://doi.org/10.1016/j.dib.2026.113075</w:t>
      </w:r>
    </w:p>
    <w:p>
      <w:pPr>
        <w:pStyle w:val="SourceNote"/>
      </w:pPr>
      <w:r>
        <w:rPr>
          <w:b/>
        </w:rPr>
        <w:t>Review status:</w:t>
      </w:r>
      <w:r>
        <w:t xml:space="preserve"> unchecked — possible relationship only</w:t>
      </w:r>
    </w:p>
    <w:p>
      <w:pPr>
        <w:pStyle w:val="Heading2"/>
      </w:pPr>
      <w:r>
        <w:t>226. Claim + two later sources: Securing a bioenergy future without imports</w:t>
      </w:r>
    </w:p>
    <w:p>
      <w:pPr>
        <w:pStyle w:val="SourceNote"/>
      </w:pPr>
      <w:r>
        <w:rPr>
          <w:b/>
        </w:rPr>
        <w:t>Group ID:</w:t>
      </w:r>
      <w:r>
        <w:t xml:space="preserve"> group-8d55f0292682c8738de7</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Modeling of distributed energy resources (DERs) in a distribution grid — https://doi.org/10.1051/epjconf/202637206007</w:t>
      </w:r>
    </w:p>
    <w:p>
      <w:pPr>
        <w:pStyle w:val="SourceNote"/>
      </w:pPr>
      <w:r>
        <w:rPr>
          <w:b/>
        </w:rPr>
        <w:t>Review status:</w:t>
      </w:r>
      <w:r>
        <w:t xml:space="preserve"> unchecked — possible relationship only</w:t>
      </w:r>
    </w:p>
    <w:p>
      <w:pPr>
        <w:pStyle w:val="Heading2"/>
      </w:pPr>
      <w:r>
        <w:t>227. Claim + two later sources: Shifts, turning points and inertia exploring long-term industry trends in European transport</w:t>
      </w:r>
    </w:p>
    <w:p>
      <w:pPr>
        <w:pStyle w:val="SourceNote"/>
      </w:pPr>
      <w:r>
        <w:rPr>
          <w:b/>
        </w:rPr>
        <w:t>Group ID:</w:t>
      </w:r>
      <w:r>
        <w:t xml:space="preserve"> group-4b9100b6b9873754c686</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European Union and Strategic Autonomy: Political, Economic and Technological Challenges — https://doi.org/10.47459/cndcgs.2026.42</w:t>
      </w:r>
    </w:p>
    <w:p>
      <w:pPr>
        <w:pStyle w:val="SourceNote"/>
      </w:pPr>
      <w:r>
        <w:rPr>
          <w:b/>
        </w:rPr>
        <w:t>Review status:</w:t>
      </w:r>
      <w:r>
        <w:t xml:space="preserve"> unchecked — possible relationship only</w:t>
      </w:r>
    </w:p>
    <w:p>
      <w:pPr>
        <w:pStyle w:val="Heading2"/>
      </w:pPr>
      <w:r>
        <w:t>228. Claim + two later sources: Electricity Spot Market Design 2030-2050</w:t>
      </w:r>
    </w:p>
    <w:p>
      <w:pPr>
        <w:pStyle w:val="SourceNote"/>
      </w:pPr>
      <w:r>
        <w:rPr>
          <w:b/>
        </w:rPr>
        <w:t>Group ID:</w:t>
      </w:r>
      <w:r>
        <w:t xml:space="preserve"> group-84ff4c9060193933488d</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Spatial Planning and Building Control in Germany — https://doi.org/10.4324/9781315201153</w:t>
      </w:r>
    </w:p>
    <w:p>
      <w:pPr/>
      <w:r>
        <w:rPr>
          <w:b/>
        </w:rPr>
        <w:t>Later source:</w:t>
      </w:r>
      <w:r>
        <w:t xml:space="preserve"> Nazis Unwelcome! The Campaign against German Migration — https://doi.org/10.4324/9781003711445-6</w:t>
      </w:r>
    </w:p>
    <w:p>
      <w:pPr>
        <w:pStyle w:val="SourceNote"/>
      </w:pPr>
      <w:r>
        <w:rPr>
          <w:b/>
        </w:rPr>
        <w:t>Review status:</w:t>
      </w:r>
      <w:r>
        <w:t xml:space="preserve"> unchecked — possible relationship only</w:t>
      </w:r>
    </w:p>
    <w:p>
      <w:pPr>
        <w:pStyle w:val="Heading2"/>
      </w:pPr>
      <w:r>
        <w:t>229. Claim + two later sources: Centre-Periphery Relations in Europe: Demographic Aspect</w:t>
      </w:r>
    </w:p>
    <w:p>
      <w:pPr>
        <w:pStyle w:val="SourceNote"/>
      </w:pPr>
      <w:r>
        <w:rPr>
          <w:b/>
        </w:rPr>
        <w:t>Group ID:</w:t>
      </w:r>
      <w:r>
        <w:t xml:space="preserve"> group-fc651a901162d1b0d585</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Profiling and subjectification of unemployed people: exploring the case of Slovenian public employment services — https://doi.org/10.51952/9781447371892.ch014</w:t>
      </w:r>
    </w:p>
    <w:p>
      <w:pPr/>
      <w:r>
        <w:rPr>
          <w:b/>
        </w:rPr>
        <w:t>Later source:</w:t>
      </w:r>
      <w:r>
        <w:t xml:space="preserve"> Employability and career beliefs inventory: a brief version for unemployed persons — https://doi.org/10.1186/s41155-024-00309-y</w:t>
      </w:r>
    </w:p>
    <w:p>
      <w:pPr>
        <w:pStyle w:val="SourceNote"/>
      </w:pPr>
      <w:r>
        <w:rPr>
          <w:b/>
        </w:rPr>
        <w:t>Review status:</w:t>
      </w:r>
      <w:r>
        <w:t xml:space="preserve"> unchecked — possible relationship only</w:t>
      </w:r>
    </w:p>
    <w:p>
      <w:pPr>
        <w:pStyle w:val="Heading2"/>
      </w:pPr>
      <w:r>
        <w:t>230.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231.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232. Claim + two later sources: FRESHER: Challenges and opportunities for building Health/Healthy futures</w:t>
      </w:r>
    </w:p>
    <w:p>
      <w:pPr>
        <w:pStyle w:val="SourceNote"/>
      </w:pPr>
      <w:r>
        <w:rPr>
          <w:b/>
        </w:rPr>
        <w:t>Group ID:</w:t>
      </w:r>
      <w:r>
        <w:t xml:space="preserve"> group-20a6eb13fe9744c153e7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Technical Factor Analysis that Impacts Building Maintenance in the Retention Phase — https://doi.org/10.53623/csue.v6i1.947</w:t>
      </w:r>
    </w:p>
    <w:p>
      <w:pPr/>
      <w:r>
        <w:rPr>
          <w:b/>
        </w:rPr>
        <w:t>Later source:</w:t>
      </w:r>
      <w:r>
        <w:t xml:space="preserve"> Evolution of the School Building Network in Portugal in the First Decade of the New Millennium — https://doi.org/10.31637/epsir-2026-2713</w:t>
      </w:r>
    </w:p>
    <w:p>
      <w:pPr>
        <w:pStyle w:val="SourceNote"/>
      </w:pPr>
      <w:r>
        <w:rPr>
          <w:b/>
        </w:rPr>
        <w:t>Review status:</w:t>
      </w:r>
      <w:r>
        <w:t xml:space="preserve"> unchecked — possible relationship only</w:t>
      </w:r>
    </w:p>
    <w:p>
      <w:pPr>
        <w:pStyle w:val="Heading2"/>
      </w:pPr>
      <w:r>
        <w:t>233.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234.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235. Claim + two later sources: The northern hemisphere circumglobal teleconnection in a seasonal forecast model and its relationship to European summer forecast skill</w:t>
      </w:r>
    </w:p>
    <w:p>
      <w:pPr>
        <w:pStyle w:val="SourceNote"/>
      </w:pPr>
      <w:r>
        <w:rPr>
          <w:b/>
        </w:rPr>
        <w:t>Group ID:</w:t>
      </w:r>
      <w:r>
        <w:t xml:space="preserve"> group-bb3e249793159759c807</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Citizen scientists mapping the United Kingdom's and Republic of Ireland's flat flies (louse flies) (Diptera: Hippoboscidae) reveal a vector's range shift — https://doi.org/10.1111/mve.12795</w:t>
      </w:r>
    </w:p>
    <w:p>
      <w:pPr>
        <w:pStyle w:val="SourceNote"/>
      </w:pPr>
      <w:r>
        <w:rPr>
          <w:b/>
        </w:rPr>
        <w:t>Review status:</w:t>
      </w:r>
      <w:r>
        <w:t xml:space="preserve"> unchecked — possible relationship only</w:t>
      </w:r>
    </w:p>
    <w:p>
      <w:pPr>
        <w:pStyle w:val="Heading2"/>
      </w:pPr>
      <w:r>
        <w:t>236.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237. Claim + two later sources: Integrating foresight into government. Is it possible? Is it likely?</w:t>
      </w:r>
    </w:p>
    <w:p>
      <w:pPr>
        <w:pStyle w:val="SourceNote"/>
      </w:pPr>
      <w:r>
        <w:rPr>
          <w:b/>
        </w:rPr>
        <w:t>Group ID:</w:t>
      </w:r>
      <w:r>
        <w:t xml:space="preserve"> group-a037b60903f99fb7d7f7</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An Informative Review of Radiomics Studies on Cancer Imaging: The Main Findings, Challenges and Limitations of the Methodologies — https://doi.org/10.3390/curroncol31010027</w:t>
      </w:r>
    </w:p>
    <w:p>
      <w:pPr>
        <w:pStyle w:val="SourceNote"/>
      </w:pPr>
      <w:r>
        <w:rPr>
          <w:b/>
        </w:rPr>
        <w:t>Review status:</w:t>
      </w:r>
      <w:r>
        <w:t xml:space="preserve"> unchecked — possible relationship only</w:t>
      </w:r>
    </w:p>
    <w:p>
      <w:pPr>
        <w:pStyle w:val="Heading2"/>
      </w:pPr>
      <w:r>
        <w:t>238. Claim + two later sources: An exploratory policy analysis of electric vehicle sales competition and sensitivity to infrastructure in Europe</w:t>
      </w:r>
    </w:p>
    <w:p>
      <w:pPr>
        <w:pStyle w:val="SourceNote"/>
      </w:pPr>
      <w:r>
        <w:rPr>
          <w:b/>
        </w:rPr>
        <w:t>Group ID:</w:t>
      </w:r>
      <w:r>
        <w:t xml:space="preserve"> group-6c2d3d12893afec01e27</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Public Charging Infrastructure and Electrification Dynamics in Europe: A Descriptive Assessment of Infrastructure Strain — https://doi.org/10.3390/en19092063</w:t>
      </w:r>
    </w:p>
    <w:p>
      <w:pPr>
        <w:pStyle w:val="SourceNote"/>
      </w:pPr>
      <w:r>
        <w:rPr>
          <w:b/>
        </w:rPr>
        <w:t>Review status:</w:t>
      </w:r>
      <w:r>
        <w:t xml:space="preserve"> unchecked — possible relationship only</w:t>
      </w:r>
    </w:p>
    <w:p>
      <w:pPr>
        <w:pStyle w:val="Heading2"/>
      </w:pPr>
      <w:r>
        <w:t>239. Claim + two later sources: CORPORATE FORESIGHT AND ASSESSMENT OF INNOVATIVE ACTIVITY OF INDUSTRIAL ENTERPRISES</w:t>
      </w:r>
    </w:p>
    <w:p>
      <w:pPr>
        <w:pStyle w:val="SourceNote"/>
      </w:pPr>
      <w:r>
        <w:rPr>
          <w:b/>
        </w:rPr>
        <w:t>Group ID:</w:t>
      </w:r>
      <w:r>
        <w:t xml:space="preserve"> group-0e06855e119dbea30311</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Expert Foresight for Enhancing European Forests' Climate Mitigation Potential up to 2 — https://doi.org/10.5194/egusphere-egu26-16467</w:t>
      </w:r>
    </w:p>
    <w:p>
      <w:pPr>
        <w:pStyle w:val="SourceNote"/>
      </w:pPr>
      <w:r>
        <w:rPr>
          <w:b/>
        </w:rPr>
        <w:t>Review status:</w:t>
      </w:r>
      <w:r>
        <w:t xml:space="preserve"> unchecked — possible relationship only</w:t>
      </w:r>
    </w:p>
    <w:p>
      <w:pPr>
        <w:pStyle w:val="Heading2"/>
      </w:pPr>
      <w:r>
        <w:t>240.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241.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242.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243.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244. Claim + two later sources: A ‘futures’ approach towards the wellbeing of future generations in Wales and beyond</w:t>
      </w:r>
    </w:p>
    <w:p>
      <w:pPr>
        <w:pStyle w:val="SourceNote"/>
      </w:pPr>
      <w:r>
        <w:rPr>
          <w:b/>
        </w:rPr>
        <w:t>Group ID:</w:t>
      </w:r>
      <w:r>
        <w:t xml:space="preserve"> group-7fa2c1e63600ff65033d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Minority Cultures and the Cosmopolitan Alternative — https://doi.org/10.36646/mjlr.25.3.4.minority</w:t>
      </w:r>
    </w:p>
    <w:p>
      <w:pPr>
        <w:pStyle w:val="SourceNote"/>
      </w:pPr>
      <w:r>
        <w:rPr>
          <w:b/>
        </w:rPr>
        <w:t>Review status:</w:t>
      </w:r>
      <w:r>
        <w:t xml:space="preserve"> unchecked — possible relationship only</w:t>
      </w:r>
    </w:p>
    <w:p>
      <w:pPr>
        <w:pStyle w:val="Heading2"/>
      </w:pPr>
      <w:r>
        <w:t>245.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246.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247.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248. Claim + two later sources: Spatial Simulation of Codesigned Land Cover Change Scenarios in New England: Alternative Futures and Their Consequences for Conservation Priorities</w:t>
      </w:r>
    </w:p>
    <w:p>
      <w:pPr>
        <w:pStyle w:val="SourceNote"/>
      </w:pPr>
      <w:r>
        <w:rPr>
          <w:b/>
        </w:rPr>
        <w:t>Group ID:</w:t>
      </w:r>
      <w:r>
        <w:t xml:space="preserve"> group-c153fa78179989bdd584</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The Left Needs Bureaucrats — https://doi.org/10.1353/dss.2026.a980268</w:t>
      </w:r>
    </w:p>
    <w:p>
      <w:pPr/>
      <w:r>
        <w:rPr>
          <w:b/>
        </w:rPr>
        <w:t>Later source:</w:t>
      </w:r>
      <w:r>
        <w:t xml:space="preserve"> Trends of Major Crop Produdictivity in Nashik District: A Geographical Analysis — https://doi.org/10.5281/zenodo.18907960</w:t>
      </w:r>
    </w:p>
    <w:p>
      <w:pPr>
        <w:pStyle w:val="SourceNote"/>
      </w:pPr>
      <w:r>
        <w:rPr>
          <w:b/>
        </w:rPr>
        <w:t>Review status:</w:t>
      </w:r>
      <w:r>
        <w:t xml:space="preserve"> unchecked — possible relationship only</w:t>
      </w:r>
    </w:p>
    <w:p>
      <w:pPr>
        <w:pStyle w:val="Heading2"/>
      </w:pPr>
      <w:r>
        <w:t>249. Claim + two later sources: Futuring European industry: assessing the ManuFuture road towards EU re-industrialization</w:t>
      </w:r>
    </w:p>
    <w:p>
      <w:pPr>
        <w:pStyle w:val="SourceNote"/>
      </w:pPr>
      <w:r>
        <w:rPr>
          <w:b/>
        </w:rPr>
        <w:t>Group ID:</w:t>
      </w:r>
      <w:r>
        <w:t xml:space="preserve"> group-db34dafd3f5a95768dcd</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Mapping Social Innovation in Systemic Approaches to Climate Neutrality: An Indicator-Based Analysis of 53 European Cities’ Actions — https://doi.org/10.3390/su18031496</w:t>
      </w:r>
    </w:p>
    <w:p>
      <w:pPr/>
      <w:r>
        <w:rPr>
          <w:b/>
        </w:rPr>
        <w:t>Later source:</w:t>
      </w:r>
      <w:r>
        <w:t xml:space="preserve"> Industrial energy transformation and multi-level governance: evidence from Germany — https://doi.org/10.32846/2306-9716/2026.eco.3-66.30</w:t>
      </w:r>
    </w:p>
    <w:p>
      <w:pPr>
        <w:pStyle w:val="SourceNote"/>
      </w:pPr>
      <w:r>
        <w:rPr>
          <w:b/>
        </w:rPr>
        <w:t>Review status:</w:t>
      </w:r>
      <w:r>
        <w:t xml:space="preserve"> unchecked — possible relationship only</w:t>
      </w:r>
    </w:p>
    <w:p>
      <w:pPr>
        <w:pStyle w:val="Heading2"/>
      </w:pPr>
      <w:r>
        <w:t>250.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251.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252.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253.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254.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255.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256.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257. Claim + two later sources: Consequences of Enduring Low Fertility – A German Case Study. Demographic Projections and Implications for Different Policy Fields</w:t>
      </w:r>
    </w:p>
    <w:p>
      <w:pPr>
        <w:pStyle w:val="SourceNote"/>
      </w:pPr>
      <w:r>
        <w:rPr>
          <w:b/>
        </w:rPr>
        <w:t>Group ID:</w:t>
      </w:r>
      <w:r>
        <w:t xml:space="preserve"> group-b38aa032d1eb125b8321</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Ventricular-arterial coupling: changes with ageing and implications across cardiovascular conditions — https://doi.org/10.1080/08037051.2025.2457698</w:t>
      </w:r>
    </w:p>
    <w:p>
      <w:pPr>
        <w:pStyle w:val="SourceNote"/>
      </w:pPr>
      <w:r>
        <w:rPr>
          <w:b/>
        </w:rPr>
        <w:t>Review status:</w:t>
      </w:r>
      <w:r>
        <w:t xml:space="preserve"> unchecked — possible relationship only</w:t>
      </w:r>
    </w:p>
    <w:p>
      <w:pPr>
        <w:pStyle w:val="Heading2"/>
      </w:pPr>
      <w:r>
        <w:t>258.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259.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group-0dc38f771a2983d10b64</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Coherency of the European resource adequacy framework — https://doi.org/10.1109/eem58374.2023.10161837</w:t>
      </w:r>
    </w:p>
    <w:p>
      <w:pPr>
        <w:pStyle w:val="SourceNote"/>
      </w:pPr>
      <w:r>
        <w:rPr>
          <w:b/>
        </w:rPr>
        <w:t>Review status:</w:t>
      </w:r>
      <w:r>
        <w:t xml:space="preserve"> unchecked — possible relationship only</w:t>
      </w:r>
    </w:p>
    <w:p>
      <w:pPr>
        <w:pStyle w:val="Heading2"/>
      </w:pPr>
      <w:r>
        <w:t>260.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261.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262.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263.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264. Claim + two later sources: Future air quality in Europe: a multi-model assessment of projected exposure to ozone</w:t>
      </w:r>
    </w:p>
    <w:p>
      <w:pPr>
        <w:pStyle w:val="SourceNote"/>
      </w:pPr>
      <w:r>
        <w:rPr>
          <w:b/>
        </w:rPr>
        <w:t>Group ID:</w:t>
      </w:r>
      <w:r>
        <w:t xml:space="preserve"> group-aa8224cac4d2110de79a</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possible relationship only</w:t>
      </w:r>
    </w:p>
    <w:p>
      <w:pPr>
        <w:pStyle w:val="Heading2"/>
      </w:pPr>
      <w:r>
        <w:t>265. Claim + two later sources: The future of trade unions in Croatia – various stakeholders’ perspectives</w:t>
      </w:r>
    </w:p>
    <w:p>
      <w:pPr>
        <w:pStyle w:val="SourceNote"/>
      </w:pPr>
      <w:r>
        <w:rPr>
          <w:b/>
        </w:rPr>
        <w:t>Group ID:</w:t>
      </w:r>
      <w:r>
        <w:t xml:space="preserve"> group-0828bf7d3baebe630257</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Comparative Study of Intellectual Property Legal Systems between China and Europe — https://doi.org/10.23977/law.2026.050107</w:t>
      </w:r>
    </w:p>
    <w:p>
      <w:pPr>
        <w:pStyle w:val="SourceNote"/>
      </w:pPr>
      <w:r>
        <w:rPr>
          <w:b/>
        </w:rPr>
        <w:t>Review status:</w:t>
      </w:r>
      <w:r>
        <w:t xml:space="preserve"> unchecked — possible relationship only</w:t>
      </w:r>
    </w:p>
    <w:p>
      <w:pPr>
        <w:pStyle w:val="Heading2"/>
      </w:pPr>
      <w:r>
        <w:t>266.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267.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268. Claim + two later sources: Scenarios for the Development of Multimodal Transport in the TRITIA Cross-Border Area</w:t>
      </w:r>
    </w:p>
    <w:p>
      <w:pPr>
        <w:pStyle w:val="SourceNote"/>
      </w:pPr>
      <w:r>
        <w:rPr>
          <w:b/>
        </w:rPr>
        <w:t>Group ID:</w:t>
      </w:r>
      <w:r>
        <w:t xml:space="preserve"> group-4b1b570bf30cc99a7954</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Evaluating the factors affecting dairy commodity returns: the case of European dairy markets — https://doi.org/10.3846/bmee.2025.21568</w:t>
      </w:r>
    </w:p>
    <w:p>
      <w:pPr>
        <w:pStyle w:val="SourceNote"/>
      </w:pPr>
      <w:r>
        <w:rPr>
          <w:b/>
        </w:rPr>
        <w:t>Review status:</w:t>
      </w:r>
      <w:r>
        <w:t xml:space="preserve"> unchecked — possible relationship only</w:t>
      </w:r>
    </w:p>
    <w:p>
      <w:pPr>
        <w:pStyle w:val="Heading2"/>
      </w:pPr>
      <w:r>
        <w:t>269.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270.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271.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272.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273.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274. Claim + two later sources: European Union, transnational terrorism and the strategic choice of counterterrorism policies in democratic countries</w:t>
      </w:r>
    </w:p>
    <w:p>
      <w:pPr>
        <w:pStyle w:val="SourceNote"/>
      </w:pPr>
      <w:r>
        <w:rPr>
          <w:b/>
        </w:rPr>
        <w:t>Group ID:</w:t>
      </w:r>
      <w:r>
        <w:t xml:space="preserve"> group-e1976e9612b57823f769</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Combining Policy Instruments and Local Measures to Promote Agrobiodiversity — https://doi.org/10.1111/1746-692x.70021</w:t>
      </w:r>
    </w:p>
    <w:p>
      <w:pPr/>
      <w:r>
        <w:rPr>
          <w:b/>
        </w:rPr>
        <w:t>Later source:</w:t>
      </w:r>
      <w:r>
        <w:t xml:space="preserve"> Resilience in Post-Truth and Post-Digital European Union: Youth-Led Civil Society Organisations in the 2024 European Elections — https://doi.org/10.1285/i20356609v19i1p94</w:t>
      </w:r>
    </w:p>
    <w:p>
      <w:pPr>
        <w:pStyle w:val="SourceNote"/>
      </w:pPr>
      <w:r>
        <w:rPr>
          <w:b/>
        </w:rPr>
        <w:t>Review status:</w:t>
      </w:r>
      <w:r>
        <w:t xml:space="preserve"> unchecked — possible relationship only</w:t>
      </w:r>
    </w:p>
    <w:p>
      <w:pPr>
        <w:pStyle w:val="Heading2"/>
      </w:pPr>
      <w:r>
        <w:t>275. Claim + two later sources: Biotechnology versus agroecology: Entrenchments and surprise at a 2030 forecast scenario workshop</w:t>
      </w:r>
    </w:p>
    <w:p>
      <w:pPr>
        <w:pStyle w:val="SourceNote"/>
      </w:pPr>
      <w:r>
        <w:rPr>
          <w:b/>
        </w:rPr>
        <w:t>Group ID:</w:t>
      </w:r>
      <w:r>
        <w:t xml:space="preserve"> group-b43961a7576ee4577fc5</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Workshop as research methodology — https://doi.org/10.48321/d1c3ef3d7c</w:t>
      </w:r>
    </w:p>
    <w:p>
      <w:pPr>
        <w:pStyle w:val="SourceNote"/>
      </w:pPr>
      <w:r>
        <w:rPr>
          <w:b/>
        </w:rPr>
        <w:t>Review status:</w:t>
      </w:r>
      <w:r>
        <w:t xml:space="preserve"> unchecked — possible relationship only</w:t>
      </w:r>
    </w:p>
    <w:p>
      <w:pPr>
        <w:pStyle w:val="Heading2"/>
      </w:pPr>
      <w:r>
        <w:t>276. Claim + two later sources: Occupational Structure in European Countries: What do Forecasts Predict?</w:t>
      </w:r>
    </w:p>
    <w:p>
      <w:pPr>
        <w:pStyle w:val="SourceNote"/>
      </w:pPr>
      <w:r>
        <w:rPr>
          <w:b/>
        </w:rPr>
        <w:t>Group ID:</w:t>
      </w:r>
      <w:r>
        <w:t xml:space="preserve"> group-35d8d812fbe3c670ad8a</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A survey on occupational medicine residency programs across european countries — https://doi.org/10.1186/s12909-026-09587-9</w:t>
      </w:r>
    </w:p>
    <w:p>
      <w:pPr>
        <w:pStyle w:val="SourceNote"/>
      </w:pPr>
      <w:r>
        <w:rPr>
          <w:b/>
        </w:rPr>
        <w:t>Review status:</w:t>
      </w:r>
      <w:r>
        <w:t xml:space="preserve"> unchecked — possible relationship only</w:t>
      </w:r>
    </w:p>
    <w:p>
      <w:pPr>
        <w:pStyle w:val="Heading2"/>
      </w:pPr>
      <w:r>
        <w:t>277.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278. Claim + two later sources: About global forecast of European Parliament TO 2035</w:t>
      </w:r>
    </w:p>
    <w:p>
      <w:pPr>
        <w:pStyle w:val="SourceNote"/>
      </w:pPr>
      <w:r>
        <w:rPr>
          <w:b/>
        </w:rPr>
        <w:t>Group ID:</w:t>
      </w:r>
      <w:r>
        <w:t xml:space="preserve"> group-2d45fd51eaa6e00f5df3</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Most European countries will miss EU targets on antibacterial use by 2030: historical analysis of European and OECD countries, comparison of community and hospital sectors and forecast to 2040 — https://doi.org/10.1007/s00210-025-03887-5</w:t>
      </w:r>
    </w:p>
    <w:p>
      <w:pPr>
        <w:pStyle w:val="SourceNote"/>
      </w:pPr>
      <w:r>
        <w:rPr>
          <w:b/>
        </w:rPr>
        <w:t>Review status:</w:t>
      </w:r>
      <w:r>
        <w:t xml:space="preserve"> unchecked — possible relationship only</w:t>
      </w:r>
    </w:p>
    <w:p>
      <w:pPr>
        <w:pStyle w:val="Heading2"/>
      </w:pPr>
      <w:r>
        <w:t>279.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280.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281.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282. Claim + two later sources: Dynamics of the land use, land use change, and forestry sink in the European Union: the impacts of energy and climate targets for 2030</w:t>
      </w:r>
    </w:p>
    <w:p>
      <w:pPr>
        <w:pStyle w:val="SourceNote"/>
      </w:pPr>
      <w:r>
        <w:rPr>
          <w:b/>
        </w:rPr>
        <w:t>Group ID:</w:t>
      </w:r>
      <w:r>
        <w:t xml:space="preserve"> group-3e1a907a46be38cc5eec</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 ambition vs. implementation: Performance toward nutrient loss reduction under the European Green Deal — https://doi.org/10.1016/j.envadv.2026.100705</w:t>
      </w:r>
    </w:p>
    <w:p>
      <w:pPr/>
      <w:r>
        <w:rPr>
          <w:b/>
        </w:rPr>
        <w:t>Later source:</w:t>
      </w:r>
      <w:r>
        <w:t xml:space="preserve"> European environmental sustainability through unraveling the nexus of total energy consumption, value addition, and GHG emissions in agriculture — https://doi.org/10.1177/0958305x261438604</w:t>
      </w:r>
    </w:p>
    <w:p>
      <w:pPr>
        <w:pStyle w:val="SourceNote"/>
      </w:pPr>
      <w:r>
        <w:rPr>
          <w:b/>
        </w:rPr>
        <w:t>Review status:</w:t>
      </w:r>
      <w:r>
        <w:t xml:space="preserve"> unchecked — possible relationship only</w:t>
      </w:r>
    </w:p>
    <w:p>
      <w:pPr>
        <w:pStyle w:val="Heading2"/>
      </w:pPr>
      <w:r>
        <w:t>283.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284.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285.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286.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287. Claim + two later sources: Backcasting scenarios for Finland 2050 of low emissions</w:t>
      </w:r>
    </w:p>
    <w:p>
      <w:pPr>
        <w:pStyle w:val="SourceNote"/>
      </w:pPr>
      <w:r>
        <w:rPr>
          <w:b/>
        </w:rPr>
        <w:t>Group ID:</w:t>
      </w:r>
      <w:r>
        <w:t xml:space="preserve"> group-5a5bc6f8b352cc8cc76a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Later source:</w:t>
      </w:r>
      <w:r>
        <w:t xml:space="preserve"> Regulatory scoping exercise for the future adoption of autonomous inland ships in Europe — https://doi.org/10.1186/s41072-023-00160-x</w:t>
      </w:r>
    </w:p>
    <w:p>
      <w:pPr>
        <w:pStyle w:val="SourceNote"/>
      </w:pPr>
      <w:r>
        <w:rPr>
          <w:b/>
        </w:rPr>
        <w:t>Review status:</w:t>
      </w:r>
      <w:r>
        <w:t xml:space="preserve"> unchecked — possible relationship only</w:t>
      </w:r>
    </w:p>
    <w:p>
      <w:pPr>
        <w:pStyle w:val="Heading2"/>
      </w:pPr>
      <w:r>
        <w:t>288.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289. Claim + two later sources: Towards net zero CO2 in 2050: An emission reduction pathway for organic soils in Germany</w:t>
      </w:r>
    </w:p>
    <w:p>
      <w:pPr>
        <w:pStyle w:val="SourceNote"/>
      </w:pPr>
      <w:r>
        <w:rPr>
          <w:b/>
        </w:rPr>
        <w:t>Group ID:</w:t>
      </w:r>
      <w:r>
        <w:t xml:space="preserve"> group-a4995568ecbf5d10e497</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Re‐Interpreting Genetic Offset: Quantifying the Least Required Evolutionary Rate Under Climate Change at the Mediterranean Range Margin of European Beech — https://doi.org/10.1111/eva.70230</w:t>
      </w:r>
    </w:p>
    <w:p>
      <w:pPr/>
      <w:r>
        <w:rPr>
          <w:b/>
        </w:rPr>
        <w:t>Later source:</w:t>
      </w:r>
      <w:r>
        <w:t xml:space="preserve"> BUILDING A COMPULSORY MEDIATION PATHWAY: BULGARIA AS A LIVE EXPERIMENT IN DISPUTE SYSTEM DESIGN ? — https://doi.org/10.33327/ajee-18-9.2-a000194</w:t>
      </w:r>
    </w:p>
    <w:p>
      <w:pPr>
        <w:pStyle w:val="SourceNote"/>
      </w:pPr>
      <w:r>
        <w:rPr>
          <w:b/>
        </w:rPr>
        <w:t>Review status:</w:t>
      </w:r>
      <w:r>
        <w:t xml:space="preserve"> unchecked — possible relationship only</w:t>
      </w:r>
    </w:p>
    <w:p>
      <w:pPr>
        <w:pStyle w:val="Heading2"/>
      </w:pPr>
      <w:r>
        <w:t>290.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291. Claim + two later sources: Financing Innovations for the Renewable Energy Transition in Europe</w:t>
      </w:r>
    </w:p>
    <w:p>
      <w:pPr>
        <w:pStyle w:val="SourceNote"/>
      </w:pPr>
      <w:r>
        <w:rPr>
          <w:b/>
        </w:rPr>
        <w:t>Group ID:</w:t>
      </w:r>
      <w:r>
        <w:t xml:space="preserve"> group-76631ee823b9e277f961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Biomedical Engineering Education in Europe, the United States, and Uruguay — https://doi.org/10.1109/memea69746.2026.11537348</w:t>
      </w:r>
    </w:p>
    <w:p>
      <w:pPr/>
      <w:r>
        <w:rPr>
          <w:b/>
        </w:rPr>
        <w:t>Later source:</w:t>
      </w:r>
      <w:r>
        <w:t xml:space="preserve"> The Budgetary and Economic Impact of Taxation in the Member States of the European Union — https://openalex.org/W7169690466</w:t>
      </w:r>
    </w:p>
    <w:p>
      <w:pPr>
        <w:pStyle w:val="SourceNote"/>
      </w:pPr>
      <w:r>
        <w:rPr>
          <w:b/>
        </w:rPr>
        <w:t>Review status:</w:t>
      </w:r>
      <w:r>
        <w:t xml:space="preserve"> unchecked — possible relationship only</w:t>
      </w:r>
    </w:p>
    <w:p>
      <w:pPr>
        <w:pStyle w:val="Heading2"/>
      </w:pPr>
      <w:r>
        <w:t>292. Claim + two later sources: The Selection of Intermodal Transport System Scenarios in the Function of Southeastern Europe Regional Development</w:t>
      </w:r>
    </w:p>
    <w:p>
      <w:pPr>
        <w:pStyle w:val="SourceNote"/>
      </w:pPr>
      <w:r>
        <w:rPr>
          <w:b/>
        </w:rPr>
        <w:t>Group ID:</w:t>
      </w:r>
      <w:r>
        <w:t xml:space="preserve"> group-8e8831112d89c0baf201</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Assessing the effects of restoration and conservation on gaseous carbon fluxes and climate mitigation potential across six European coastal wetlands — https://doi.org/10.1016/j.ecoleng.2026.108080</w:t>
      </w:r>
    </w:p>
    <w:p>
      <w:pPr>
        <w:pStyle w:val="SourceNote"/>
      </w:pPr>
      <w:r>
        <w:rPr>
          <w:b/>
        </w:rPr>
        <w:t>Review status:</w:t>
      </w:r>
      <w:r>
        <w:t xml:space="preserve"> unchecked — possible relationship only</w:t>
      </w:r>
    </w:p>
    <w:p>
      <w:pPr>
        <w:pStyle w:val="Heading2"/>
      </w:pPr>
      <w:r>
        <w:t>293.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294.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295.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296.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group-c0cbf06ec57ccc008999</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WHO/Euro HIS assessment methodology — https://doi.org/10.1093/eurpub/ckag169.370</w:t>
      </w:r>
    </w:p>
    <w:p>
      <w:pPr/>
      <w:r>
        <w:rPr>
          <w:b/>
        </w:rPr>
        <w:t>Later source:</w:t>
      </w:r>
      <w:r>
        <w:t xml:space="preserve"> ELSMOR – towards European Licensing of Small Modular Reactors: Methodology recommendations for light-water small modular reactors safety assessment — https://doi.org/10.12688/openreseurope.16360.2</w:t>
      </w:r>
    </w:p>
    <w:p>
      <w:pPr>
        <w:pStyle w:val="SourceNote"/>
      </w:pPr>
      <w:r>
        <w:rPr>
          <w:b/>
        </w:rPr>
        <w:t>Review status:</w:t>
      </w:r>
      <w:r>
        <w:t xml:space="preserve"> unchecked — possible relationship only</w:t>
      </w:r>
    </w:p>
    <w:p>
      <w:pPr>
        <w:pStyle w:val="Heading2"/>
      </w:pPr>
      <w:r>
        <w:t>297. Claim + two later sources: Transport demand evolution in Europe – factors of change, scenarios and challenges</w:t>
      </w:r>
    </w:p>
    <w:p>
      <w:pPr>
        <w:pStyle w:val="SourceNote"/>
      </w:pPr>
      <w:r>
        <w:rPr>
          <w:b/>
        </w:rPr>
        <w:t>Group ID:</w:t>
      </w:r>
      <w:r>
        <w:t xml:space="preserve"> group-a7aa5d355cf4246918ae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Barriers to women’s employment in the transport sector in Europe — https://doi.org/10.12688/openreseurope.16123.1</w:t>
      </w:r>
    </w:p>
    <w:p>
      <w:pPr>
        <w:pStyle w:val="SourceNote"/>
      </w:pPr>
      <w:r>
        <w:rPr>
          <w:b/>
        </w:rPr>
        <w:t>Review status:</w:t>
      </w:r>
      <w:r>
        <w:t xml:space="preserve"> unchecked — possible relationship only</w:t>
      </w:r>
    </w:p>
    <w:p>
      <w:pPr>
        <w:pStyle w:val="Heading2"/>
      </w:pPr>
      <w:r>
        <w:t>298.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299.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300.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301. Claim + two later sources: Modelling the European Union Sustainability Transition: A Soft-Linking Approach</w:t>
      </w:r>
    </w:p>
    <w:p>
      <w:pPr>
        <w:pStyle w:val="SourceNote"/>
      </w:pPr>
      <w:r>
        <w:rPr>
          <w:b/>
        </w:rPr>
        <w:t>Group ID:</w:t>
      </w:r>
      <w:r>
        <w:t xml:space="preserve"> group-352c39cd172b669c42df</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traditionalist challenge to the European Green Deal — https://doi.org/10.15407/etet2026.01.072</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302.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303.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304.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305.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306.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307. Claim + two later sources: Estimation and Forecasts for the Share of Renewable Energy Consumption in Final Energy Consumption by 2020 in the European Union</w:t>
      </w:r>
    </w:p>
    <w:p>
      <w:pPr>
        <w:pStyle w:val="SourceNote"/>
      </w:pPr>
      <w:r>
        <w:rPr>
          <w:b/>
        </w:rPr>
        <w:t>Group ID:</w:t>
      </w:r>
      <w:r>
        <w:t xml:space="preserve"> group-2fcce3352c3bd94be2e7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Econometric Analysis and Forecasts on Exports of Emerging Economies from Central and Eastern Europe — https://doi.org/10.3390/econometrics14010009</w:t>
      </w:r>
    </w:p>
    <w:p>
      <w:pPr/>
      <w:r>
        <w:rPr>
          <w:b/>
        </w:rPr>
        <w:t>Later source:</w:t>
      </w:r>
      <w:r>
        <w:t xml:space="preserve"> Forecasting the Development of Renewable Energy Sources in Poland in the Context of Energy Policy of the European Union — https://doi.org/10.3390/en19051340</w:t>
      </w:r>
    </w:p>
    <w:p>
      <w:pPr>
        <w:pStyle w:val="SourceNote"/>
      </w:pPr>
      <w:r>
        <w:rPr>
          <w:b/>
        </w:rPr>
        <w:t>Review status:</w:t>
      </w:r>
      <w:r>
        <w:t xml:space="preserve"> unchecked — possible relationship only</w:t>
      </w:r>
    </w:p>
    <w:p>
      <w:pPr>
        <w:pStyle w:val="Heading2"/>
      </w:pPr>
      <w:r>
        <w:t>308.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309. Claim + two later sources: EUROPEAN UNION STRATEGIC AUTONOMY IN THE CONTEXT OF THE CONFERENCE ON THE FUTURE OF EUROPE</w:t>
      </w:r>
    </w:p>
    <w:p>
      <w:pPr>
        <w:pStyle w:val="SourceNote"/>
      </w:pPr>
      <w:r>
        <w:rPr>
          <w:b/>
        </w:rPr>
        <w:t>Group ID:</w:t>
      </w:r>
      <w:r>
        <w:t xml:space="preserve"> group-6f4555176697845a5609</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CHANGES IN THE EUROPEAN IDEOLOGICAL SPACE IN UKRAINIAN AND EUROPEAN ACADEMIC DISCOURSE — https://doi.org/10.17721/2308-135x.2026.82.33-42</w:t>
      </w:r>
    </w:p>
    <w:p>
      <w:pPr>
        <w:pStyle w:val="SourceNote"/>
      </w:pPr>
      <w:r>
        <w:rPr>
          <w:b/>
        </w:rPr>
        <w:t>Review status:</w:t>
      </w:r>
      <w:r>
        <w:t xml:space="preserve"> unchecked — possible relationship only</w:t>
      </w:r>
    </w:p>
    <w:p>
      <w:pPr>
        <w:pStyle w:val="Heading2"/>
      </w:pPr>
      <w:r>
        <w:t>310. Claim + two later sources: Assessing Energy Descent Scenarios for the Ecological Transition in Spain 2020–2030</w:t>
      </w:r>
    </w:p>
    <w:p>
      <w:pPr>
        <w:pStyle w:val="SourceNote"/>
      </w:pPr>
      <w:r>
        <w:rPr>
          <w:b/>
        </w:rPr>
        <w:t>Group ID:</w:t>
      </w:r>
      <w:r>
        <w:t xml:space="preserve"> group-586f5567139dc999bc87</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European Center-Left Parties and Immigration Issues (Examples of Britain, Germany and Spain — https://doi.org/10.20542/0131-2227-2026-70-9-57-65</w:t>
      </w:r>
    </w:p>
    <w:p>
      <w:pPr>
        <w:pStyle w:val="SourceNote"/>
      </w:pPr>
      <w:r>
        <w:rPr>
          <w:b/>
        </w:rPr>
        <w:t>Review status:</w:t>
      </w:r>
      <w:r>
        <w:t xml:space="preserve"> unchecked — possible relationship only</w:t>
      </w:r>
    </w:p>
    <w:p>
      <w:pPr>
        <w:pStyle w:val="Heading2"/>
      </w:pPr>
      <w:r>
        <w:t>311.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312. Claim + two later sources: A Mismatch in Future Narratives? A Comparative Analysis Between Energy Futures in Policy and of Citizens</w:t>
      </w:r>
    </w:p>
    <w:p>
      <w:pPr>
        <w:pStyle w:val="SourceNote"/>
      </w:pPr>
      <w:r>
        <w:rPr>
          <w:b/>
        </w:rPr>
        <w:t>Group ID:</w:t>
      </w:r>
      <w:r>
        <w:t xml:space="preserve"> group-75b5b7a307b69f44df5c</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Barriers and Enablers to Youth Participation in Health Policy and Governance in Africa: A Narrative Review — https://doi.org/10.22541/au.177080410.04005308/v1</w:t>
      </w:r>
    </w:p>
    <w:p>
      <w:pPr/>
      <w:r>
        <w:rPr>
          <w:b/>
        </w:rPr>
        <w:t>Later source:</w:t>
      </w:r>
      <w:r>
        <w:t xml:space="preserve"> Minority Languages as Living Heritage: Narrative, Performative and Participatory Europeanisation — https://doi.org/10.5281/zenodo.18710215</w:t>
      </w:r>
    </w:p>
    <w:p>
      <w:pPr>
        <w:pStyle w:val="SourceNote"/>
      </w:pPr>
      <w:r>
        <w:rPr>
          <w:b/>
        </w:rPr>
        <w:t>Review status:</w:t>
      </w:r>
      <w:r>
        <w:t xml:space="preserve"> unchecked — possible relationship only</w:t>
      </w:r>
    </w:p>
    <w:p>
      <w:pPr>
        <w:pStyle w:val="Heading2"/>
      </w:pPr>
      <w:r>
        <w:t>313. Claim + two later sources: Past and Future Trends in Refugee Migration on the Regional Level in Germany – An Analysis and Projection of Labor Market Effects</w:t>
      </w:r>
    </w:p>
    <w:p>
      <w:pPr>
        <w:pStyle w:val="SourceNote"/>
      </w:pPr>
      <w:r>
        <w:rPr>
          <w:b/>
        </w:rPr>
        <w:t>Group ID:</w:t>
      </w:r>
      <w:r>
        <w:t xml:space="preserve"> group-721c81b61e2d6cced98e</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Readiness, Not Restriction: Firm Size, Digital Infrastructure, And the Conditional Effect of Regulatory Intensity on Enterprise AI Adoption in the European Union — https://doi.org/10.51584/ijrias.2026.11080170</w:t>
      </w:r>
    </w:p>
    <w:p>
      <w:pPr>
        <w:pStyle w:val="SourceNote"/>
      </w:pPr>
      <w:r>
        <w:rPr>
          <w:b/>
        </w:rPr>
        <w:t>Review status:</w:t>
      </w:r>
      <w:r>
        <w:t xml:space="preserve"> unchecked — possible relationship only</w:t>
      </w:r>
    </w:p>
    <w:p>
      <w:pPr>
        <w:pStyle w:val="Heading2"/>
      </w:pPr>
      <w:r>
        <w:t>314.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315.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316. Claim + two later sources: Scenario forecasting of consumption of main organic livestock products in Ukraine</w:t>
      </w:r>
    </w:p>
    <w:p>
      <w:pPr>
        <w:pStyle w:val="SourceNote"/>
      </w:pPr>
      <w:r>
        <w:rPr>
          <w:b/>
        </w:rPr>
        <w:t>Group ID:</w:t>
      </w:r>
      <w:r>
        <w:t xml:space="preserve"> group-505d08659c850a232402</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IMMUNOLOGICAL ASSESSMENT IN CHRONIC NASOPHARYNGITIS WITH DIFFERENT VARIANTS OF COMORBIDITY IN THE NASOPHARYNGEAL ZONE — https://doi.org/10.37219/9kbzp448</w:t>
      </w:r>
    </w:p>
    <w:p>
      <w:pPr/>
      <w:r>
        <w:rPr>
          <w:b/>
        </w:rPr>
        <w:t>Later source:</w:t>
      </w:r>
      <w:r>
        <w:t xml:space="preserve"> Forecasting the dynamics of food security indicators in Ukraine during the wartime period of 2025-2026 — https://doi.org/10.32317/ekon.apk/1.2026.20</w:t>
      </w:r>
    </w:p>
    <w:p>
      <w:pPr>
        <w:pStyle w:val="SourceNote"/>
      </w:pPr>
      <w:r>
        <w:rPr>
          <w:b/>
        </w:rPr>
        <w:t>Review status:</w:t>
      </w:r>
      <w:r>
        <w:t xml:space="preserve"> unchecked — possible relationship only</w:t>
      </w:r>
    </w:p>
    <w:p>
      <w:pPr>
        <w:pStyle w:val="Heading2"/>
      </w:pPr>
      <w:r>
        <w:t>317.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318.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319. Claim + two later sources: Central-East European employees on the labour market of London</w:t>
      </w:r>
    </w:p>
    <w:p>
      <w:pPr>
        <w:pStyle w:val="SourceNote"/>
      </w:pPr>
      <w:r>
        <w:rPr>
          <w:b/>
        </w:rPr>
        <w:t>Group ID:</w:t>
      </w:r>
      <w:r>
        <w:t xml:space="preserve"> group-796533413847df76cf8c</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THE HUMAN RIGHTS CRISIS IN AI DEVELOPMENT AND USE: DOES THE EUROPEAN FRAMEWORK PROVIDE AN ADEQUATE PROTECTION? — https://doi.org/10.70382/caijlphr.v9i6.038</w:t>
      </w:r>
    </w:p>
    <w:p>
      <w:pPr>
        <w:pStyle w:val="SourceNote"/>
      </w:pPr>
      <w:r>
        <w:rPr>
          <w:b/>
        </w:rPr>
        <w:t>Review status:</w:t>
      </w:r>
      <w:r>
        <w:t xml:space="preserve"> unchecked — possible relationship only</w:t>
      </w:r>
    </w:p>
    <w:p>
      <w:pPr>
        <w:pStyle w:val="Heading2"/>
      </w:pPr>
      <w:r>
        <w:t>320. Claim + two later sources: Scenarios of Automated Mobility in Austria: Implications for Future Transport Policy</w:t>
      </w:r>
    </w:p>
    <w:p>
      <w:pPr>
        <w:pStyle w:val="SourceNote"/>
      </w:pPr>
      <w:r>
        <w:rPr>
          <w:b/>
        </w:rPr>
        <w:t>Group ID:</w:t>
      </w:r>
      <w:r>
        <w:t xml:space="preserve"> group-576fb59c53dfd51b2b31</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Enhancing Air Quality Simulations With Neural Downscaling Architectures — https://doi.org/10.1002/asl.70003</w:t>
      </w:r>
    </w:p>
    <w:p>
      <w:pPr/>
      <w:r>
        <w:rPr>
          <w:b/>
        </w:rPr>
        <w:t>Later source:</w:t>
      </w:r>
      <w:r>
        <w:t xml:space="preserve"> Spatio-temporal patterns of wheat yield losses and environmental stresses in Europe — https://doi.org/10.1088/1748-9326/ae651e</w:t>
      </w:r>
    </w:p>
    <w:p>
      <w:pPr>
        <w:pStyle w:val="SourceNote"/>
      </w:pPr>
      <w:r>
        <w:rPr>
          <w:b/>
        </w:rPr>
        <w:t>Review status:</w:t>
      </w:r>
      <w:r>
        <w:t xml:space="preserve"> unchecked — possible relationship only</w:t>
      </w:r>
    </w:p>
    <w:p>
      <w:pPr>
        <w:pStyle w:val="Heading2"/>
      </w:pPr>
      <w:r>
        <w:t>321.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322.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323.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324.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325.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326.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327. Claim + two later sources: Foresight technologies of economic systems: evidence from the tourism sector of Ukraine</w:t>
      </w:r>
    </w:p>
    <w:p>
      <w:pPr>
        <w:pStyle w:val="SourceNote"/>
      </w:pPr>
      <w:r>
        <w:rPr>
          <w:b/>
        </w:rPr>
        <w:t>Group ID:</w:t>
      </w:r>
      <w:r>
        <w:t xml:space="preserve"> group-666c600c89265b7a808f</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Kant’s Casuistical Questions — https://doi.org/10.25894/jmp.2701</w:t>
      </w:r>
    </w:p>
    <w:p>
      <w:pPr/>
      <w:r>
        <w:rPr>
          <w:b/>
        </w:rPr>
        <w:t>Later source:</w:t>
      </w:r>
      <w:r>
        <w:t xml:space="preserve"> From suitability to vulnerability: A GIS-based framework for assessing environmental sensitivity of mountain tourism landscapes in the Ukrainian Carpathians — https://doi.org/10.3897/jbgs.e177296</w:t>
      </w:r>
    </w:p>
    <w:p>
      <w:pPr>
        <w:pStyle w:val="SourceNote"/>
      </w:pPr>
      <w:r>
        <w:rPr>
          <w:b/>
        </w:rPr>
        <w:t>Review status:</w:t>
      </w:r>
      <w:r>
        <w:t xml:space="preserve"> unchecked — possible relationship only</w:t>
      </w:r>
    </w:p>
    <w:p>
      <w:pPr>
        <w:pStyle w:val="Heading2"/>
      </w:pPr>
      <w:r>
        <w:t>328.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329.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330. Claim + two later sources: Implementing Dynamics of Immigration Integration in Labor Force Participation Projection in EU28</w:t>
      </w:r>
    </w:p>
    <w:p>
      <w:pPr>
        <w:pStyle w:val="SourceNote"/>
      </w:pPr>
      <w:r>
        <w:rPr>
          <w:b/>
        </w:rPr>
        <w:t>Group ID:</w:t>
      </w:r>
      <w:r>
        <w:t xml:space="preserve"> group-f74268c9780feb6183e7</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Development, Testing, and Calibration of LINCS: A New Microsimulation Model of Maternal and Fetal Cytomegalovirus Infection in the United States — https://doi.org/10.1177/23814683261444049</w:t>
      </w:r>
    </w:p>
    <w:p>
      <w:pPr/>
      <w:r>
        <w:rPr>
          <w:b/>
        </w:rPr>
        <w:t>Later source:</w:t>
      </w:r>
      <w:r>
        <w:t xml:space="preserve"> A Microsimulation Model for Sustainability and Detailed Adequacy Analysis of the Retirement Pension System — https://doi.org/10.3390/math13030443</w:t>
      </w:r>
    </w:p>
    <w:p>
      <w:pPr>
        <w:pStyle w:val="SourceNote"/>
      </w:pPr>
      <w:r>
        <w:rPr>
          <w:b/>
        </w:rPr>
        <w:t>Review status:</w:t>
      </w:r>
      <w:r>
        <w:t xml:space="preserve"> unchecked — possible relationship only</w:t>
      </w:r>
    </w:p>
    <w:p>
      <w:pPr>
        <w:pStyle w:val="Heading2"/>
      </w:pPr>
      <w:r>
        <w:t>331. Claim + two later sources: Towards the European Union's Foreign Policy 2025 – Taking Stock of the Dahrendorf Foresight Project</w:t>
      </w:r>
    </w:p>
    <w:p>
      <w:pPr>
        <w:pStyle w:val="SourceNote"/>
      </w:pPr>
      <w:r>
        <w:rPr>
          <w:b/>
        </w:rPr>
        <w:t>Group ID:</w:t>
      </w:r>
      <w:r>
        <w:t xml:space="preserve"> group-c4c2bfc4a2babd44d45f</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The current state of cranioplasty in Europe – Results from a European cranioplasty survey — https://doi.org/10.1016/j.bas.2025.104214</w:t>
      </w:r>
    </w:p>
    <w:p>
      <w:pPr>
        <w:pStyle w:val="SourceNote"/>
      </w:pPr>
      <w:r>
        <w:rPr>
          <w:b/>
        </w:rPr>
        <w:t>Review status:</w:t>
      </w:r>
      <w:r>
        <w:t xml:space="preserve"> unchecked — possible relationship only</w:t>
      </w:r>
    </w:p>
    <w:p>
      <w:pPr>
        <w:pStyle w:val="Heading2"/>
      </w:pPr>
      <w:r>
        <w:t>332.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333.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334.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335.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336.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337.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338. Claim + two later sources: (Re)politicization of climate change mitigating projects: environmental forms and motives of the Seine Nord Europe canal</w:t>
      </w:r>
    </w:p>
    <w:p>
      <w:pPr>
        <w:pStyle w:val="SourceNote"/>
      </w:pPr>
      <w:r>
        <w:rPr>
          <w:b/>
        </w:rPr>
        <w:t>Group ID:</w:t>
      </w:r>
      <w:r>
        <w:t xml:space="preserve"> group-c1ea1de510291ed687e9</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Environmental risks and ecological integrity: the new european rules on nature restoration — https://doi.org/10.5194/egusphere-egu26-17987</w:t>
      </w:r>
    </w:p>
    <w:p>
      <w:pPr>
        <w:pStyle w:val="SourceNote"/>
      </w:pPr>
      <w:r>
        <w:rPr>
          <w:b/>
        </w:rPr>
        <w:t>Review status:</w:t>
      </w:r>
      <w:r>
        <w:t xml:space="preserve"> unchecked — possible relationship only</w:t>
      </w:r>
    </w:p>
    <w:p>
      <w:pPr>
        <w:pStyle w:val="Heading2"/>
      </w:pPr>
      <w:r>
        <w:t>339.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340.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341.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342.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343.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344.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345. Claim + two later sources: Scenarios for population health inequalities in 2030 in Europe: the EURO-HEALTHY project experience</w:t>
      </w:r>
    </w:p>
    <w:p>
      <w:pPr>
        <w:pStyle w:val="SourceNote"/>
      </w:pPr>
      <w:r>
        <w:rPr>
          <w:b/>
        </w:rPr>
        <w:t>Group ID:</w:t>
      </w:r>
      <w:r>
        <w:t xml:space="preserve"> group-527468f46db55f090f65</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Pathway narratives towards a nature‑positive European Union land system: operationalising the Nature Futures Framework for policy objectives — https://doi.org/10.5194/wbf2026-674</w:t>
      </w:r>
    </w:p>
    <w:p>
      <w:pPr/>
      <w:r>
        <w:rPr>
          <w:b/>
        </w:rPr>
        <w:t>Later source:</w:t>
      </w:r>
      <w:r>
        <w:t xml:space="preserve"> Landscape Report on Diamond OA Publishing: Europe — https://doi.org/10.5281/zenodo.19236088</w:t>
      </w:r>
    </w:p>
    <w:p>
      <w:pPr>
        <w:pStyle w:val="SourceNote"/>
      </w:pPr>
      <w:r>
        <w:rPr>
          <w:b/>
        </w:rPr>
        <w:t>Review status:</w:t>
      </w:r>
      <w:r>
        <w:t xml:space="preserve"> unchecked — possible relationship only</w:t>
      </w:r>
    </w:p>
    <w:p>
      <w:pPr>
        <w:pStyle w:val="Heading2"/>
      </w:pPr>
      <w:r>
        <w:t>346. Claim + two later sources: Long-term scenarios for reaching climate targets and energy security in UK</w:t>
      </w:r>
    </w:p>
    <w:p>
      <w:pPr>
        <w:pStyle w:val="SourceNote"/>
      </w:pPr>
      <w:r>
        <w:rPr>
          <w:b/>
        </w:rPr>
        <w:t>Group ID:</w:t>
      </w:r>
      <w:r>
        <w:t xml:space="preserve"> group-6fc938c09108d62f56ea</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Accuracy of Climate Model Derived Energy-Datasets During Renewable Energy Lulls. — https://doi.org/10.5194/egusphere-egu25-16661</w:t>
      </w:r>
    </w:p>
    <w:p>
      <w:pPr/>
      <w:r>
        <w:rPr>
          <w:b/>
        </w:rPr>
        <w:t>Later source:</w:t>
      </w:r>
      <w:r>
        <w:t xml:space="preserve"> A seasonal two-factor model for solar energy production: A climate extreme events analysis — https://doi.org/10.1016/j.eneco.2025.108611</w:t>
      </w:r>
    </w:p>
    <w:p>
      <w:pPr>
        <w:pStyle w:val="SourceNote"/>
      </w:pPr>
      <w:r>
        <w:rPr>
          <w:b/>
        </w:rPr>
        <w:t>Review status:</w:t>
      </w:r>
      <w:r>
        <w:t xml:space="preserve"> unchecked — possible relationship only</w:t>
      </w:r>
    </w:p>
    <w:p>
      <w:pPr>
        <w:pStyle w:val="Heading2"/>
      </w:pPr>
      <w:r>
        <w:t>347.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348.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349.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350.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351.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352. Claim + two later sources: Are the European manufacturing and energy sectors on track for achieving net-zero emissions in 2050? An empirical analysis</w:t>
      </w:r>
    </w:p>
    <w:p>
      <w:pPr>
        <w:pStyle w:val="SourceNote"/>
      </w:pPr>
      <w:r>
        <w:rPr>
          <w:b/>
        </w:rPr>
        <w:t>Group ID:</w:t>
      </w:r>
      <w:r>
        <w:t xml:space="preserve"> group-10355de41f738124871b</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Assisted Migration and Large-Scale Restoration in Europe Would Require Over 100 Billion Seedlings — https://doi.org/10.5194/egusphere-egu26-22570</w:t>
      </w:r>
    </w:p>
    <w:p>
      <w:pPr>
        <w:pStyle w:val="SourceNote"/>
      </w:pPr>
      <w:r>
        <w:rPr>
          <w:b/>
        </w:rPr>
        <w:t>Review status:</w:t>
      </w:r>
      <w:r>
        <w:t xml:space="preserve"> unchecked — possible relationship only</w:t>
      </w:r>
    </w:p>
    <w:p>
      <w:pPr>
        <w:pStyle w:val="Heading2"/>
      </w:pPr>
      <w:r>
        <w:t>353. Claim + two later sources: Scenarios for renewable energy deployment in North African countries and electricity exchange with Europe – A modelbased analysis for 2050</w:t>
      </w:r>
    </w:p>
    <w:p>
      <w:pPr>
        <w:pStyle w:val="SourceNote"/>
      </w:pPr>
      <w:r>
        <w:rPr>
          <w:b/>
        </w:rPr>
        <w:t>Group ID:</w:t>
      </w:r>
      <w:r>
        <w:t xml:space="preserve"> group-c9981f12d658573671e0</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354. Claim + two later sources: ClimateEU, scale-free climate normals, historical time series, and future projections for Europe</w:t>
      </w:r>
    </w:p>
    <w:p>
      <w:pPr>
        <w:pStyle w:val="SourceNote"/>
      </w:pPr>
      <w:r>
        <w:rPr>
          <w:b/>
        </w:rPr>
        <w:t>Group ID:</w:t>
      </w:r>
      <w:r>
        <w:t xml:space="preserve"> group-cedb7e54dd09076ded99</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Synthesised database of wild bee and hoverfly records in Europe — https://doi.org/10.1038/s41597-026-06644-2</w:t>
      </w:r>
    </w:p>
    <w:p>
      <w:pPr/>
      <w:r>
        <w:rPr>
          <w:b/>
        </w:rPr>
        <w:t>Later source:</w:t>
      </w:r>
      <w:r>
        <w:t xml:space="preserve"> Trends in Extent and Size of European Ecosystem Units From 2000 to 2018 — https://doi.org/10.1111/ddi.70179</w:t>
      </w:r>
    </w:p>
    <w:p>
      <w:pPr>
        <w:pStyle w:val="SourceNote"/>
      </w:pPr>
      <w:r>
        <w:rPr>
          <w:b/>
        </w:rPr>
        <w:t>Review status:</w:t>
      </w:r>
      <w:r>
        <w:t xml:space="preserve"> unchecked — possible relationship only</w:t>
      </w:r>
    </w:p>
    <w:p>
      <w:pPr>
        <w:pStyle w:val="Heading2"/>
      </w:pPr>
      <w:r>
        <w:t>355. Claim + two later sources: Brexit and Its Impact on Poland’s Policy Towards Europe – An Attempt to Forecast</w:t>
      </w:r>
    </w:p>
    <w:p>
      <w:pPr>
        <w:pStyle w:val="SourceNote"/>
      </w:pPr>
      <w:r>
        <w:rPr>
          <w:b/>
        </w:rPr>
        <w:t>Group ID:</w:t>
      </w:r>
      <w:r>
        <w:t xml:space="preserve"> group-24e7020c525afed2250e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A feminist decolonial challenge to European Union’s gender governance: knowledge hierarchies and exclusion in the European Parliament — https://doi.org/10.1080/09589236.2026.2648725</w:t>
      </w:r>
    </w:p>
    <w:p>
      <w:pPr/>
      <w:r>
        <w:rPr>
          <w:b/>
        </w:rPr>
        <w:t>Later source:</w:t>
      </w:r>
      <w:r>
        <w:t xml:space="preserve"> The carbon footprint of the hard coal sector in Poland in the context of the evolution of the European Union’s climate neutrality policy — https://doi.org/10.46873/2300-3960.1506</w:t>
      </w:r>
    </w:p>
    <w:p>
      <w:pPr>
        <w:pStyle w:val="SourceNote"/>
      </w:pPr>
      <w:r>
        <w:rPr>
          <w:b/>
        </w:rPr>
        <w:t>Review status:</w:t>
      </w:r>
      <w:r>
        <w:t xml:space="preserve"> unchecked — possible relationship only</w:t>
      </w:r>
    </w:p>
    <w:p>
      <w:pPr>
        <w:pStyle w:val="Heading2"/>
      </w:pPr>
      <w:r>
        <w:t>356.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357. Claim + two later sources: Renewable jet fuel supply scenarios in the European Union in 2021–2030 in the context of proposed biofuel policy and competing biomass demand</w:t>
      </w:r>
    </w:p>
    <w:p>
      <w:pPr>
        <w:pStyle w:val="SourceNote"/>
      </w:pPr>
      <w:r>
        <w:rPr>
          <w:b/>
        </w:rPr>
        <w:t>Group ID:</w:t>
      </w:r>
      <w:r>
        <w:t xml:space="preserve"> group-f5d5b8d2c8478bd5d029</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Optimizing biomass use for carbon storage and land use with the OptiBiU model — https://doi.org/10.1002/bbb.70123</w:t>
      </w:r>
    </w:p>
    <w:p>
      <w:pPr/>
      <w:r>
        <w:rPr>
          <w:b/>
        </w:rPr>
        <w:t>Later source:</w:t>
      </w:r>
      <w:r>
        <w:t xml:space="preserve"> Readiness Supply Chains for Scaled Manufacturing of Hydrogen Electrolyzers in Europe for Hydrogen Mobility Applications — https://doi.org/10.7862/tiam.2026.2.6</w:t>
      </w:r>
    </w:p>
    <w:p>
      <w:pPr>
        <w:pStyle w:val="SourceNote"/>
      </w:pPr>
      <w:r>
        <w:rPr>
          <w:b/>
        </w:rPr>
        <w:t>Review status:</w:t>
      </w:r>
      <w:r>
        <w:t xml:space="preserve"> unchecked — possible relationship only</w:t>
      </w:r>
    </w:p>
    <w:p>
      <w:pPr>
        <w:pStyle w:val="Heading2"/>
      </w:pPr>
      <w:r>
        <w:t>358.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359.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360.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361. Claim + two later sources: The impact of EU Climate/Energy policies on Belgium’s energy dependence up to 2050</w:t>
      </w:r>
    </w:p>
    <w:p>
      <w:pPr>
        <w:pStyle w:val="SourceNote"/>
      </w:pPr>
      <w:r>
        <w:rPr>
          <w:b/>
        </w:rPr>
        <w:t>Group ID:</w:t>
      </w:r>
      <w:r>
        <w:t xml:space="preserve"> group-97cf758c78a2715e1142</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Andreï Roublev de Tarkovski : une hagiographie filmique ? — https://doi.org/10.66488/ulqg8172</w:t>
      </w:r>
    </w:p>
    <w:p>
      <w:pPr/>
      <w:r>
        <w:rPr>
          <w:b/>
        </w:rPr>
        <w:t>Later source:</w:t>
      </w:r>
      <w:r>
        <w:t xml:space="preserve"> Actes des 22es Rencontres des Jeunes Chercheurs en Intelligence Artificielle — https://openalex.org/W4400479966</w:t>
      </w:r>
    </w:p>
    <w:p>
      <w:pPr>
        <w:pStyle w:val="SourceNote"/>
      </w:pPr>
      <w:r>
        <w:rPr>
          <w:b/>
        </w:rPr>
        <w:t>Review status:</w:t>
      </w:r>
      <w:r>
        <w:t xml:space="preserve"> unchecked — possible relationship only</w:t>
      </w:r>
    </w:p>
    <w:p>
      <w:pPr>
        <w:pStyle w:val="Heading2"/>
      </w:pPr>
      <w:r>
        <w:t>362.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363. Claim + two later sources: UK-EU RELATIONSHIP AFTER BREXIT: AN EXERCISE IN SCENARIO-BUILDING</w:t>
      </w:r>
    </w:p>
    <w:p>
      <w:pPr>
        <w:pStyle w:val="SourceNote"/>
      </w:pPr>
      <w:r>
        <w:rPr>
          <w:b/>
        </w:rPr>
        <w:t>Group ID:</w:t>
      </w:r>
      <w:r>
        <w:t xml:space="preserve"> group-65980ae416d493ecb43b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Re-imagining a multicultural Europe: the experience of the R.E.D. (Reframing the European Dream) Carpet — https://doi.org/10.4337/9781035310036.00032</w:t>
      </w:r>
    </w:p>
    <w:p>
      <w:pPr/>
      <w:r>
        <w:rPr>
          <w:b/>
        </w:rPr>
        <w:t>Later source:</w:t>
      </w:r>
      <w:r>
        <w:t xml:space="preserve"> Academic freedom in Europe: Limitations and judicial remedies — https://doi.org/10.1017/s2045381724000091</w:t>
      </w:r>
    </w:p>
    <w:p>
      <w:pPr>
        <w:pStyle w:val="SourceNote"/>
      </w:pPr>
      <w:r>
        <w:rPr>
          <w:b/>
        </w:rPr>
        <w:t>Review status:</w:t>
      </w:r>
      <w:r>
        <w:t xml:space="preserve"> unchecked — possible relationship only</w:t>
      </w:r>
    </w:p>
    <w:p>
      <w:pPr>
        <w:pStyle w:val="Heading2"/>
      </w:pPr>
      <w:r>
        <w:t>364.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365. Claim + two later sources: Efficiency of the European Union farm types: Scenarios with and without the 2013 CAP measures</w:t>
      </w:r>
    </w:p>
    <w:p>
      <w:pPr>
        <w:pStyle w:val="SourceNote"/>
      </w:pPr>
      <w:r>
        <w:rPr>
          <w:b/>
        </w:rPr>
        <w:t>Group ID:</w:t>
      </w:r>
      <w:r>
        <w:t xml:space="preserve"> group-eeded0a63a85e640bbdd</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Land-Use Evolution and Trends in Portugal: An Approach Based on the Standard Output — https://doi.org/10.3390/su18020791</w:t>
      </w:r>
    </w:p>
    <w:p>
      <w:pPr/>
      <w:r>
        <w:rPr>
          <w:b/>
        </w:rPr>
        <w:t>Later source:</w:t>
      </w:r>
      <w:r>
        <w:t xml:space="preserve"> Contract Design for "Enterprise+Farmer" Sharecropping Family Farms — A Comparison of Institutional Evolution in American and French Family Farms — https://doi.org/10.62177/apemr.v3i1.1034</w:t>
      </w:r>
    </w:p>
    <w:p>
      <w:pPr>
        <w:pStyle w:val="SourceNote"/>
      </w:pPr>
      <w:r>
        <w:rPr>
          <w:b/>
        </w:rPr>
        <w:t>Review status:</w:t>
      </w:r>
      <w:r>
        <w:t xml:space="preserve"> unchecked — possible relationship only</w:t>
      </w:r>
    </w:p>
    <w:p>
      <w:pPr>
        <w:pStyle w:val="Heading2"/>
      </w:pPr>
      <w:r>
        <w:t>366.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367. Claim + two later sources: New European socio-economic scenarios for climate change research: operationalising concepts to extend the shared socio-economic pathways</w:t>
      </w:r>
    </w:p>
    <w:p>
      <w:pPr>
        <w:pStyle w:val="SourceNote"/>
      </w:pPr>
      <w:r>
        <w:rPr>
          <w:b/>
        </w:rPr>
        <w:t>Group ID:</w:t>
      </w:r>
      <w:r>
        <w:t xml:space="preserve"> group-26c08531f862661f651f</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Evolution of Energy Audits and Energy Management Systems: Legislation, Tools and Professionals at the Service of Energy Efficiency — https://doi.org/10.1051/e3sconf/202452304008</w:t>
      </w:r>
    </w:p>
    <w:p>
      <w:pPr>
        <w:pStyle w:val="SourceNote"/>
      </w:pPr>
      <w:r>
        <w:rPr>
          <w:b/>
        </w:rPr>
        <w:t>Review status:</w:t>
      </w:r>
      <w:r>
        <w:t xml:space="preserve"> unchecked — possible relationship only</w:t>
      </w:r>
    </w:p>
    <w:p>
      <w:pPr>
        <w:pStyle w:val="Heading2"/>
      </w:pPr>
      <w:r>
        <w:t>368.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369.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370.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371.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372.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373.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374.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375.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376.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377.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378.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379.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group-92fe3b1ac73c59fed91c</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The Curious Case of ‘Indian’ Literature — https://doi.org/10.1017/9781009596947.005</w:t>
      </w:r>
    </w:p>
    <w:p>
      <w:pPr/>
      <w:r>
        <w:rPr>
          <w:b/>
        </w:rPr>
        <w:t>Later source:</w:t>
      </w:r>
      <w:r>
        <w:t xml:space="preserve"> Indian Anthropology Against the Backdrop of World Anthropology — https://doi.org/10.1177/0972558x251320485</w:t>
      </w:r>
    </w:p>
    <w:p>
      <w:pPr>
        <w:pStyle w:val="SourceNote"/>
      </w:pPr>
      <w:r>
        <w:rPr>
          <w:b/>
        </w:rPr>
        <w:t>Review status:</w:t>
      </w:r>
      <w:r>
        <w:t xml:space="preserve"> unchecked — possible relationship only</w:t>
      </w:r>
    </w:p>
    <w:p>
      <w:pPr>
        <w:pStyle w:val="Heading2"/>
      </w:pPr>
      <w:r>
        <w:t>380.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group-fcb0344a3c537031a353</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Accounting for trade in derived products when estimating European Union's role in driving deforestation — https://doi.org/10.1016/j.ecolecon.2024.108288</w:t>
      </w:r>
    </w:p>
    <w:p>
      <w:pPr>
        <w:pStyle w:val="SourceNote"/>
      </w:pPr>
      <w:r>
        <w:rPr>
          <w:b/>
        </w:rPr>
        <w:t>Review status:</w:t>
      </w:r>
      <w:r>
        <w:t xml:space="preserve"> unchecked — possible relationship only</w:t>
      </w:r>
    </w:p>
    <w:p>
      <w:pPr>
        <w:pStyle w:val="Heading2"/>
      </w:pPr>
      <w:r>
        <w:t>381.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382.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383.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384. Claim + two later sources: Systemic Design for Policy-Making: Towards the Next Circular Regions</w:t>
      </w:r>
    </w:p>
    <w:p>
      <w:pPr>
        <w:pStyle w:val="SourceNote"/>
      </w:pPr>
      <w:r>
        <w:rPr>
          <w:b/>
        </w:rPr>
        <w:t>Group ID:</w:t>
      </w:r>
      <w:r>
        <w:t xml:space="preserve"> group-efbed9394c201e7c33a8</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Practices and Barriers within European SMEs in the Construction Sector — https://doi.org/10.14207/ejsd.2026.v15n1p53</w:t>
      </w:r>
    </w:p>
    <w:p>
      <w:pPr/>
      <w:r>
        <w:rPr>
          <w:b/>
        </w:rPr>
        <w:t>Later source:</w:t>
      </w:r>
      <w:r>
        <w:t xml:space="preserve"> The Circular Economy in European Union Supply Chains: A Literature Review — https://doi.org/10.1002/sd.70855</w:t>
      </w:r>
    </w:p>
    <w:p>
      <w:pPr>
        <w:pStyle w:val="SourceNote"/>
      </w:pPr>
      <w:r>
        <w:rPr>
          <w:b/>
        </w:rPr>
        <w:t>Review status:</w:t>
      </w:r>
      <w:r>
        <w:t xml:space="preserve"> unchecked — possible relationship only</w:t>
      </w:r>
    </w:p>
    <w:p>
      <w:pPr>
        <w:pStyle w:val="Heading2"/>
      </w:pPr>
      <w:r>
        <w:t>385. Claim + two later sources: O4-2.1 Foresight tackling obesities: future choices</w:t>
      </w:r>
    </w:p>
    <w:p>
      <w:pPr>
        <w:pStyle w:val="SourceNote"/>
      </w:pPr>
      <w:r>
        <w:rPr>
          <w:b/>
        </w:rPr>
        <w:t>Group ID:</w:t>
      </w:r>
      <w:r>
        <w:t xml:space="preserve"> group-92d6b783aafd25587411</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Can EMG-Derived Upper Limb Muscle Synergies Serve as Markers for Post-Stroke Motor Assessment and Prediction of Rehabilitation Outcome? — https://doi.org/10.3390/s25103170</w:t>
      </w:r>
    </w:p>
    <w:p>
      <w:pPr/>
      <w:r>
        <w:rPr>
          <w:b/>
        </w:rPr>
        <w:t>Later source:</w:t>
      </w:r>
      <w:r>
        <w:t xml:space="preserve"> Prediction in ecology and evolution — https://doi.org/10.1093/biosci/biad083</w:t>
      </w:r>
    </w:p>
    <w:p>
      <w:pPr>
        <w:pStyle w:val="SourceNote"/>
      </w:pPr>
      <w:r>
        <w:rPr>
          <w:b/>
        </w:rPr>
        <w:t>Review status:</w:t>
      </w:r>
      <w:r>
        <w:t xml:space="preserve"> unchecked — possible relationship only</w:t>
      </w:r>
    </w:p>
    <w:p>
      <w:pPr>
        <w:pStyle w:val="Heading2"/>
      </w:pPr>
      <w:r>
        <w:t>386.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387. Claim + two later sources: Impact of climate change on ozone-related mortality and morbidity in Europe</w:t>
      </w:r>
    </w:p>
    <w:p>
      <w:pPr>
        <w:pStyle w:val="SourceNote"/>
      </w:pPr>
      <w:r>
        <w:rPr>
          <w:b/>
        </w:rPr>
        <w:t>Group ID:</w:t>
      </w:r>
      <w:r>
        <w:t xml:space="preserve"> group-9a4f9c511e0eab33d24e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Comparing methods to predict baseline mortality for excess mortality calculations — https://doi.org/10.1186/s12874-023-02061-w</w:t>
      </w:r>
    </w:p>
    <w:p>
      <w:pPr>
        <w:pStyle w:val="SourceNote"/>
      </w:pPr>
      <w:r>
        <w:rPr>
          <w:b/>
        </w:rPr>
        <w:t>Review status:</w:t>
      </w:r>
      <w:r>
        <w:t xml:space="preserve"> unchecked — possible relationship only</w:t>
      </w:r>
    </w:p>
    <w:p>
      <w:pPr>
        <w:pStyle w:val="Heading2"/>
      </w:pPr>
      <w:r>
        <w:t>388.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389.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390. Claim + two later sources: Forecasting turbulence in the Asian and European stock market using regime-switching models</w:t>
      </w:r>
    </w:p>
    <w:p>
      <w:pPr>
        <w:pStyle w:val="SourceNote"/>
      </w:pPr>
      <w:r>
        <w:rPr>
          <w:b/>
        </w:rPr>
        <w:t>Group ID:</w:t>
      </w:r>
      <w:r>
        <w:t xml:space="preserve"> group-d4fe108c74fc8de4310d</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Evaluating a Prototype Europe-Wide Landslide Early Warning System: High-resolution comparative analysis in Catalonia and Alpes Maritimes — https://doi.org/10.5194/egusphere-egu26-20477</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391.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392.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393. Claim + two later sources: Soft-linking of a behavioral model for transport with energy system cost optimization applied to hydrogen in EU</w:t>
      </w:r>
    </w:p>
    <w:p>
      <w:pPr>
        <w:pStyle w:val="SourceNote"/>
      </w:pPr>
      <w:r>
        <w:rPr>
          <w:b/>
        </w:rPr>
        <w:t>Group ID:</w:t>
      </w:r>
      <w:r>
        <w:t xml:space="preserve"> group-b7a462af45368a663822</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Long-term scenario for a decarbonised European energy system — https://openalex.org/W7141777866</w:t>
      </w:r>
    </w:p>
    <w:p>
      <w:pPr/>
      <w:r>
        <w:rPr>
          <w:b/>
        </w:rPr>
        <w:t>Later source:</w:t>
      </w:r>
      <w:r>
        <w:t xml:space="preserve"> PERSEUS-PtX: European Energy System Model and Dataset — https://doi.org/10.5281/zenodo.19480834</w:t>
      </w:r>
    </w:p>
    <w:p>
      <w:pPr>
        <w:pStyle w:val="SourceNote"/>
      </w:pPr>
      <w:r>
        <w:rPr>
          <w:b/>
        </w:rPr>
        <w:t>Review status:</w:t>
      </w:r>
      <w:r>
        <w:t xml:space="preserve"> unchecked — possible relationship only</w:t>
      </w:r>
    </w:p>
    <w:p>
      <w:pPr>
        <w:pStyle w:val="Heading2"/>
      </w:pPr>
      <w:r>
        <w:t>394. Claim + two later sources: Facilitating transformative science education through futures thinking</w:t>
      </w:r>
    </w:p>
    <w:p>
      <w:pPr>
        <w:pStyle w:val="SourceNote"/>
      </w:pPr>
      <w:r>
        <w:rPr>
          <w:b/>
        </w:rPr>
        <w:t>Group ID:</w:t>
      </w:r>
      <w:r>
        <w:t xml:space="preserve"> group-b3ce1d1e705a11798f3d</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Using Learning Progressions to Guide AI Feedback for Science Learning — https://openalex.org/W7133571101</w:t>
      </w:r>
    </w:p>
    <w:p>
      <w:pPr>
        <w:pStyle w:val="SourceNote"/>
      </w:pPr>
      <w:r>
        <w:rPr>
          <w:b/>
        </w:rPr>
        <w:t>Review status:</w:t>
      </w:r>
      <w:r>
        <w:t xml:space="preserve"> unchecked — possible relationship only</w:t>
      </w:r>
    </w:p>
    <w:p>
      <w:pPr>
        <w:pStyle w:val="Heading2"/>
      </w:pPr>
      <w:r>
        <w:t>395.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396.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397.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398.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399.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400.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401. Claim + two later sources: Focused Futures from Finland</w:t>
      </w:r>
    </w:p>
    <w:p>
      <w:pPr>
        <w:pStyle w:val="SourceNote"/>
      </w:pPr>
      <w:r>
        <w:rPr>
          <w:b/>
        </w:rPr>
        <w:t>Group ID:</w:t>
      </w:r>
      <w:r>
        <w:t xml:space="preserve"> group-769d17b37f8e531ed1f5</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Quo Vadis Europe? — https://doi.org/10.1080/04353684.2023.2193346</w:t>
      </w:r>
    </w:p>
    <w:p>
      <w:pPr/>
      <w:r>
        <w:rPr>
          <w:b/>
        </w:rPr>
        <w:t>Later source:</w:t>
      </w:r>
      <w:r>
        <w:t xml:space="preserve"> Long-term economic impacts of coastal floods in Europe: a probabilistic analysis — https://doi.org/10.3934/environsci.2023033</w:t>
      </w:r>
    </w:p>
    <w:p>
      <w:pPr>
        <w:pStyle w:val="SourceNote"/>
      </w:pPr>
      <w:r>
        <w:rPr>
          <w:b/>
        </w:rPr>
        <w:t>Review status:</w:t>
      </w:r>
      <w:r>
        <w:t xml:space="preserve"> unchecked — possible relationship only</w:t>
      </w:r>
    </w:p>
    <w:p>
      <w:pPr>
        <w:pStyle w:val="Heading2"/>
      </w:pPr>
      <w:r>
        <w:t>402.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403. Claim + two later sources: Strategic European Integration Scenarios of Ukrainian and Polish Research, Education and Innovation Spaces</w:t>
      </w:r>
    </w:p>
    <w:p>
      <w:pPr>
        <w:pStyle w:val="SourceNote"/>
      </w:pPr>
      <w:r>
        <w:rPr>
          <w:b/>
        </w:rPr>
        <w:t>Group ID:</w:t>
      </w:r>
      <w:r>
        <w:t xml:space="preserve"> group-41c6fb8c39234c9741bc</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404. Claim + two later sources: A new approach on renewable energy as a support for regional economic development among the European Union</w:t>
      </w:r>
    </w:p>
    <w:p>
      <w:pPr>
        <w:pStyle w:val="SourceNote"/>
      </w:pPr>
      <w:r>
        <w:rPr>
          <w:b/>
        </w:rPr>
        <w:t>Group ID:</w:t>
      </w:r>
      <w:r>
        <w:t xml:space="preserve"> group-46d81050bbe7450adf2f</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 gridded dataset of European Forest Types to support forest monitoring, modelling and reporting — https://doi.org/10.5194/essd-18-6435-2026</w:t>
      </w:r>
    </w:p>
    <w:p>
      <w:pPr>
        <w:pStyle w:val="SourceNote"/>
      </w:pPr>
      <w:r>
        <w:rPr>
          <w:b/>
        </w:rPr>
        <w:t>Review status:</w:t>
      </w:r>
      <w:r>
        <w:t xml:space="preserve"> unchecked — possible relationship only</w:t>
      </w:r>
    </w:p>
    <w:p>
      <w:pPr>
        <w:pStyle w:val="Heading2"/>
      </w:pPr>
      <w:r>
        <w:t>405.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406.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407. Claim + two later sources: Situational analysis of EU renewable energy legislation</w:t>
      </w:r>
    </w:p>
    <w:p>
      <w:pPr>
        <w:pStyle w:val="SourceNote"/>
      </w:pPr>
      <w:r>
        <w:rPr>
          <w:b/>
        </w:rPr>
        <w:t>Group ID:</w:t>
      </w:r>
      <w:r>
        <w:t xml:space="preserve"> group-54071e447ab9dccf34e2</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Later source:</w:t>
      </w:r>
      <w:r>
        <w:t xml:space="preserve"> Scenario-Building Papers for Europe 2030 - INTERNAL AND EXTERNAL DYNAMICS OF EUROPEAN INTEGRATION (DEBUE). — https://doi.org/10.5281/zenodo.17566447</w:t>
      </w:r>
    </w:p>
    <w:p>
      <w:pPr>
        <w:pStyle w:val="SourceNote"/>
      </w:pPr>
      <w:r>
        <w:rPr>
          <w:b/>
        </w:rPr>
        <w:t>Review status:</w:t>
      </w:r>
      <w:r>
        <w:t xml:space="preserve"> unchecked — possible relationship only</w:t>
      </w:r>
    </w:p>
    <w:p>
      <w:pPr>
        <w:pStyle w:val="Heading2"/>
      </w:pPr>
      <w:r>
        <w:t>408.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409. Claim + two later sources: Grassland futures in Great Britain – Productivity assessment and scenarios for land use change opportunities</w:t>
      </w:r>
    </w:p>
    <w:p>
      <w:pPr>
        <w:pStyle w:val="SourceNote"/>
      </w:pPr>
      <w:r>
        <w:rPr>
          <w:b/>
        </w:rPr>
        <w:t>Group ID:</w:t>
      </w:r>
      <w:r>
        <w:t xml:space="preserve"> group-2c655f5ea4060493409b</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Next-Gen Monitoring: Technological Interventions for Climate-Adaptive Agriculture — https://doi.org/10.5281/zenodo.19417401</w:t>
      </w:r>
    </w:p>
    <w:p>
      <w:pPr/>
      <w:r>
        <w:rPr>
          <w:b/>
        </w:rPr>
        <w:t>Later source:</w:t>
      </w:r>
      <w:r>
        <w:t xml:space="preserve"> Climate Change and Its Effects on Crop Productivity: Challenges and Adaptation — https://doi.org/10.5281/zenodo.20267577</w:t>
      </w:r>
    </w:p>
    <w:p>
      <w:pPr>
        <w:pStyle w:val="SourceNote"/>
      </w:pPr>
      <w:r>
        <w:rPr>
          <w:b/>
        </w:rPr>
        <w:t>Review status:</w:t>
      </w:r>
      <w:r>
        <w:t xml:space="preserve"> unchecked — possible relationship only</w:t>
      </w:r>
    </w:p>
    <w:p>
      <w:pPr>
        <w:pStyle w:val="Heading2"/>
      </w:pPr>
      <w:r>
        <w:t>410. Claim + two later sources: Demographic change and the European income distribution</w:t>
      </w:r>
    </w:p>
    <w:p>
      <w:pPr>
        <w:pStyle w:val="SourceNote"/>
      </w:pPr>
      <w:r>
        <w:rPr>
          <w:b/>
        </w:rPr>
        <w:t>Group ID:</w:t>
      </w:r>
      <w:r>
        <w:t xml:space="preserve"> group-b9588e121b42cc2fb4b2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effect of an environmental change intervention on the dietary habits of older adults. European PLANEAT project — https://doi.org/10.26258/heal.hua.7744</w:t>
      </w:r>
    </w:p>
    <w:p>
      <w:pPr>
        <w:pStyle w:val="SourceNote"/>
      </w:pPr>
      <w:r>
        <w:rPr>
          <w:b/>
        </w:rPr>
        <w:t>Review status:</w:t>
      </w:r>
      <w:r>
        <w:t xml:space="preserve"> unchecked — possible relationship only</w:t>
      </w:r>
    </w:p>
    <w:p>
      <w:pPr>
        <w:pStyle w:val="Heading2"/>
      </w:pPr>
      <w:r>
        <w:t>411.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412.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413.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414.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415.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416. Claim + two later sources: ‘Energy landscapes’: Meeting energy demands and human aspirations</w:t>
      </w:r>
    </w:p>
    <w:p>
      <w:pPr>
        <w:pStyle w:val="SourceNote"/>
      </w:pPr>
      <w:r>
        <w:rPr>
          <w:b/>
        </w:rPr>
        <w:t>Group ID:</w:t>
      </w:r>
      <w:r>
        <w:t xml:space="preserve"> group-0dc602378f5bfa7003ef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Selecting Injected Viscosity in Polymer Flood Projects: A Controversial and Critical Question — https://doi.org/10.3997/2214-4609.202531011</w:t>
      </w:r>
    </w:p>
    <w:p>
      <w:pPr/>
      <w:r>
        <w:rPr>
          <w:b/>
        </w:rPr>
        <w:t>Later source:</w:t>
      </w:r>
      <w:r>
        <w:t xml:space="preserve"> Can Critical Thinking Be Learned? Critical Examination of Critical Thinking — https://doi.org/10.18690/um.ff.11.2025.10</w:t>
      </w:r>
    </w:p>
    <w:p>
      <w:pPr>
        <w:pStyle w:val="SourceNote"/>
      </w:pPr>
      <w:r>
        <w:rPr>
          <w:b/>
        </w:rPr>
        <w:t>Review status:</w:t>
      </w:r>
      <w:r>
        <w:t xml:space="preserve"> unchecked — possible relationship only</w:t>
      </w:r>
    </w:p>
    <w:p>
      <w:pPr>
        <w:pStyle w:val="Heading2"/>
      </w:pPr>
      <w:r>
        <w:t>417. Claim + two later sources: Energy futures as societal futures: Co-evolutionary scenarios linking futures of society and decarbonized energy systems in Switzerland 2050</w:t>
      </w:r>
    </w:p>
    <w:p>
      <w:pPr>
        <w:pStyle w:val="SourceNote"/>
      </w:pPr>
      <w:r>
        <w:rPr>
          <w:b/>
        </w:rPr>
        <w:t>Group ID:</w:t>
      </w:r>
      <w:r>
        <w:t xml:space="preserve"> group-517cb70c55c356029176</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 of marginally stable systems of reaction–diffusion equations with decentralized boundary control — https://doi.org/10.1016/j.automatica.2026.112887</w:t>
      </w:r>
    </w:p>
    <w:p>
      <w:pPr/>
      <w:r>
        <w:rPr>
          <w:b/>
        </w:rPr>
        <w:t>Later source:</w:t>
      </w:r>
      <w:r>
        <w:t xml:space="preserve"> How Global Peacebuilders Think: Policy Dialogue and System Change — https://openalex.org/W7139576235</w:t>
      </w:r>
    </w:p>
    <w:p>
      <w:pPr>
        <w:pStyle w:val="SourceNote"/>
      </w:pPr>
      <w:r>
        <w:rPr>
          <w:b/>
        </w:rPr>
        <w:t>Review status:</w:t>
      </w:r>
      <w:r>
        <w:t xml:space="preserve"> unchecked — possible relationship only</w:t>
      </w:r>
    </w:p>
    <w:p>
      <w:pPr>
        <w:pStyle w:val="Heading2"/>
      </w:pPr>
      <w:r>
        <w:t>418. Claim + two later sources: Imaginary scenarios: Literature and Democracy in Europe</w:t>
      </w:r>
    </w:p>
    <w:p>
      <w:pPr>
        <w:pStyle w:val="SourceNote"/>
      </w:pPr>
      <w:r>
        <w:rPr>
          <w:b/>
        </w:rPr>
        <w:t>Group ID:</w:t>
      </w:r>
      <w:r>
        <w:t xml:space="preserve"> group-7b8254d56588504a2405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Techno-authoritarian imaginaries and the politics of resistance against facial recognition technology in the US and European Union* — https://doi.org/10.1080/13510347.2023.2258803</w:t>
      </w:r>
    </w:p>
    <w:p>
      <w:pPr>
        <w:pStyle w:val="SourceNote"/>
      </w:pPr>
      <w:r>
        <w:rPr>
          <w:b/>
        </w:rPr>
        <w:t>Review status:</w:t>
      </w:r>
      <w:r>
        <w:t xml:space="preserve"> unchecked — possible relationship only</w:t>
      </w:r>
    </w:p>
    <w:p>
      <w:pPr>
        <w:pStyle w:val="Heading2"/>
      </w:pPr>
      <w:r>
        <w:t>419.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420. Claim + two later sources: The Boundaries of Scientific Innovation in the EU Green Deal Context</w:t>
      </w:r>
    </w:p>
    <w:p>
      <w:pPr>
        <w:pStyle w:val="SourceNote"/>
      </w:pPr>
      <w:r>
        <w:rPr>
          <w:b/>
        </w:rPr>
        <w:t>Group ID:</w:t>
      </w:r>
      <w:r>
        <w:t xml:space="preserve"> group-cf147d869d2b5a3fe0f7</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Czech Republic in Redefining Central European Identity within the European Union — https://doi.org/10.36690/2674-5216-2026-1-54-66</w:t>
      </w:r>
    </w:p>
    <w:p>
      <w:pPr>
        <w:pStyle w:val="SourceNote"/>
      </w:pPr>
      <w:r>
        <w:rPr>
          <w:b/>
        </w:rPr>
        <w:t>Review status:</w:t>
      </w:r>
      <w:r>
        <w:t xml:space="preserve"> unchecked — possible relationship only</w:t>
      </w:r>
    </w:p>
    <w:p>
      <w:pPr>
        <w:pStyle w:val="Heading2"/>
      </w:pPr>
      <w:r>
        <w:t>421.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422.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423.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424. Claim + two later sources: Potential implications of future climate and land‐cover changes for the fate and distribution of persistent organic pollutants in Europe</w:t>
      </w:r>
    </w:p>
    <w:p>
      <w:pPr>
        <w:pStyle w:val="SourceNote"/>
      </w:pPr>
      <w:r>
        <w:rPr>
          <w:b/>
        </w:rPr>
        <w:t>Group ID:</w:t>
      </w:r>
      <w:r>
        <w:t xml:space="preserve"> group-83fc28d946d373e012b0</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Soil degradation in Europe is projected to accelerate under changing land use and climate — https://doi.org/10.1038/s44458-026-00064-4</w:t>
      </w:r>
    </w:p>
    <w:p>
      <w:pPr/>
      <w:r>
        <w:rPr>
          <w:b/>
        </w:rPr>
        <w:t>Later source:</w:t>
      </w:r>
      <w:r>
        <w:t xml:space="preserve"> European land use and land cover futures: a global computable general equilibrium assessment with sub-national detail and a climate application — https://doi.org/10.48565/bonndoc-923</w:t>
      </w:r>
    </w:p>
    <w:p>
      <w:pPr>
        <w:pStyle w:val="SourceNote"/>
      </w:pPr>
      <w:r>
        <w:rPr>
          <w:b/>
        </w:rPr>
        <w:t>Review status:</w:t>
      </w:r>
      <w:r>
        <w:t xml:space="preserve"> unchecked — possible relationship only</w:t>
      </w:r>
    </w:p>
    <w:p>
      <w:pPr>
        <w:pStyle w:val="Heading2"/>
      </w:pPr>
      <w:r>
        <w:t>425.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426.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427.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428.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429.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430. Claim + two later sources: Future life expectancy in 35 industrialised countries: projections with a Bayesian model ensemble</w:t>
      </w:r>
    </w:p>
    <w:p>
      <w:pPr>
        <w:pStyle w:val="SourceNote"/>
      </w:pPr>
      <w:r>
        <w:rPr>
          <w:b/>
        </w:rPr>
        <w:t>Group ID:</w:t>
      </w:r>
      <w:r>
        <w:t xml:space="preserve"> group-6c10c5ac74a35f80c00a</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Decoding life expectancy gaps: a long-term decomposition analysis of three WHO European Region country groups — https://doi.org/10.1080/23311886.2025.2486561</w:t>
      </w:r>
    </w:p>
    <w:p>
      <w:pPr/>
      <w:r>
        <w:rPr>
          <w:b/>
        </w:rPr>
        <w:t>Later source:</w:t>
      </w:r>
      <w:r>
        <w:t xml:space="preserve"> Remote work, Job Quality and Work-life Balance: A Comparative Study of European Men and Women — https://doi.org/10.34190/icgr.8.1.3317</w:t>
      </w:r>
    </w:p>
    <w:p>
      <w:pPr>
        <w:pStyle w:val="SourceNote"/>
      </w:pPr>
      <w:r>
        <w:rPr>
          <w:b/>
        </w:rPr>
        <w:t>Review status:</w:t>
      </w:r>
      <w:r>
        <w:t xml:space="preserve"> unchecked — possible relationship only</w:t>
      </w:r>
    </w:p>
    <w:p>
      <w:pPr>
        <w:pStyle w:val="Heading2"/>
      </w:pPr>
      <w:r>
        <w:t>431. Claim + two later sources: The Role of BECCS in Achieving Climate Neutrality in the European Union</w:t>
      </w:r>
    </w:p>
    <w:p>
      <w:pPr>
        <w:pStyle w:val="SourceNote"/>
      </w:pPr>
      <w:r>
        <w:rPr>
          <w:b/>
        </w:rPr>
        <w:t>Group ID:</w:t>
      </w:r>
      <w:r>
        <w:t xml:space="preserve"> group-ea09f2c942e76b769a1b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Optimization of Climate Neutrality for a Low-Energy Residential Building Complex in Poland — https://doi.org/10.3390/en19061568</w:t>
      </w:r>
    </w:p>
    <w:p>
      <w:pPr/>
      <w:r>
        <w:rPr>
          <w:b/>
        </w:rPr>
        <w:t>Later source:</w:t>
      </w:r>
      <w:r>
        <w:t xml:space="preserve"> Promoting the use of wood and bio-based materials in buildings: the case of Lithuania in the context of European countries striving for climate neutrality — https://doi.org/10.1088/1742-6596/3302/1/012111</w:t>
      </w:r>
    </w:p>
    <w:p>
      <w:pPr>
        <w:pStyle w:val="SourceNote"/>
      </w:pPr>
      <w:r>
        <w:rPr>
          <w:b/>
        </w:rPr>
        <w:t>Review status:</w:t>
      </w:r>
      <w:r>
        <w:t xml:space="preserve"> unchecked — possible relationship only</w:t>
      </w:r>
    </w:p>
    <w:p>
      <w:pPr>
        <w:pStyle w:val="Heading2"/>
      </w:pPr>
      <w:r>
        <w:t>432.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433.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434.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435. Claim + two later sources: Long‐term trends of Nordic power market: A review</w:t>
      </w:r>
    </w:p>
    <w:p>
      <w:pPr>
        <w:pStyle w:val="SourceNote"/>
      </w:pPr>
      <w:r>
        <w:rPr>
          <w:b/>
        </w:rPr>
        <w:t>Group ID:</w:t>
      </w:r>
      <w:r>
        <w:t xml:space="preserve"> group-41223c55728dbf2ce4d0</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HTA and Ethical Impact Assessment―Preliminary Perspectives — https://doi.org/10.1007/978-3-032-28812-7_14</w:t>
      </w:r>
    </w:p>
    <w:p>
      <w:pPr>
        <w:pStyle w:val="SourceNote"/>
      </w:pPr>
      <w:r>
        <w:rPr>
          <w:b/>
        </w:rPr>
        <w:t>Review status:</w:t>
      </w:r>
      <w:r>
        <w:t xml:space="preserve"> unchecked — possible relationship only</w:t>
      </w:r>
    </w:p>
    <w:p>
      <w:pPr>
        <w:pStyle w:val="Heading2"/>
      </w:pPr>
      <w:r>
        <w:t>436.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437.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438.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439.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440. Claim + two later sources: The role of transmission and energy storage in European decarbonization towards 2050</w:t>
      </w:r>
    </w:p>
    <w:p>
      <w:pPr>
        <w:pStyle w:val="SourceNote"/>
      </w:pPr>
      <w:r>
        <w:rPr>
          <w:b/>
        </w:rPr>
        <w:t>Group ID:</w:t>
      </w:r>
      <w:r>
        <w:t xml:space="preserve"> group-124af57b6696c1575063</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Bidding Aggregated Flexibility in European Electricity Auctions — https://doi.org/10.1109/tempr.2026.3714683</w:t>
      </w:r>
    </w:p>
    <w:p>
      <w:pPr>
        <w:pStyle w:val="SourceNote"/>
      </w:pPr>
      <w:r>
        <w:rPr>
          <w:b/>
        </w:rPr>
        <w:t>Review status:</w:t>
      </w:r>
      <w:r>
        <w:t xml:space="preserve"> unchecked — possible relationship only</w:t>
      </w:r>
    </w:p>
    <w:p>
      <w:pPr>
        <w:pStyle w:val="Heading2"/>
      </w:pPr>
      <w:r>
        <w:t>441.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442.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443.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444.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group-2320d1c1cd87710e930e</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The European Council turns 50: Studying and analyzing a key institution of the European Union — https://doi.org/10.1017/s1682098325100106</w:t>
      </w:r>
    </w:p>
    <w:p>
      <w:pPr>
        <w:pStyle w:val="SourceNote"/>
      </w:pPr>
      <w:r>
        <w:rPr>
          <w:b/>
        </w:rPr>
        <w:t>Review status:</w:t>
      </w:r>
      <w:r>
        <w:t xml:space="preserve"> unchecked — possible relationship only</w:t>
      </w:r>
    </w:p>
    <w:p>
      <w:pPr>
        <w:pStyle w:val="Heading2"/>
      </w:pPr>
      <w:r>
        <w:t>445.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446.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447. Claim + two later sources: Delphi Prospection on Additive Manufacturing in 2030: Implications for Education and Employment in Spain</w:t>
      </w:r>
    </w:p>
    <w:p>
      <w:pPr>
        <w:pStyle w:val="SourceNote"/>
      </w:pPr>
      <w:r>
        <w:rPr>
          <w:b/>
        </w:rPr>
        <w:t>Group ID:</w:t>
      </w:r>
      <w:r>
        <w:t xml:space="preserve"> group-dc8091ffef5e32486e26</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Hryhorii Skovoroda and Western European Philosophy: Between the Banks of Mysticism and Rationalism — https://doi.org/10.18523/2617-1678.2022.9-10.3-22</w:t>
      </w:r>
    </w:p>
    <w:p>
      <w:pPr>
        <w:pStyle w:val="SourceNote"/>
      </w:pPr>
      <w:r>
        <w:rPr>
          <w:b/>
        </w:rPr>
        <w:t>Review status:</w:t>
      </w:r>
      <w:r>
        <w:t xml:space="preserve"> unchecked — possible relationship only</w:t>
      </w:r>
    </w:p>
    <w:p>
      <w:pPr>
        <w:pStyle w:val="Heading2"/>
      </w:pPr>
      <w:r>
        <w:t>448. Claim + two later sources: Suitability of European climate for the Asian tiger mosquito Aedes albopictus : recent trends and future scenarios</w:t>
      </w:r>
    </w:p>
    <w:p>
      <w:pPr>
        <w:pStyle w:val="SourceNote"/>
      </w:pPr>
      <w:r>
        <w:rPr>
          <w:b/>
        </w:rPr>
        <w:t>Group ID:</w:t>
      </w:r>
      <w:r>
        <w:t xml:space="preserve"> group-5e4fcf11c9e793457a27</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European trends in attitudes and strategies for myopia management in clinical practice — https://doi.org/10.1016/j.clae.2025.102390</w:t>
      </w:r>
    </w:p>
    <w:p>
      <w:pPr/>
      <w:r>
        <w:rPr>
          <w:b/>
        </w:rPr>
        <w:t>Later source:</w:t>
      </w:r>
      <w:r>
        <w:t xml:space="preserve"> Regional variations and trends in liver transplantation practices across Europe — https://doi.org/10.1016/j.jhepr.2025.101424</w:t>
      </w:r>
    </w:p>
    <w:p>
      <w:pPr>
        <w:pStyle w:val="SourceNote"/>
      </w:pPr>
      <w:r>
        <w:rPr>
          <w:b/>
        </w:rPr>
        <w:t>Review status:</w:t>
      </w:r>
      <w:r>
        <w:t xml:space="preserve"> unchecked — possible relationship only</w:t>
      </w:r>
    </w:p>
    <w:p>
      <w:pPr>
        <w:pStyle w:val="Heading2"/>
      </w:pPr>
      <w:r>
        <w:t>449.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450.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451.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452. Claim + two later sources: Analysing the potential of integrating wind and solar power in Europe using spatial optimisation under various scenarios</w:t>
      </w:r>
    </w:p>
    <w:p>
      <w:pPr>
        <w:pStyle w:val="SourceNote"/>
      </w:pPr>
      <w:r>
        <w:rPr>
          <w:b/>
        </w:rPr>
        <w:t>Group ID:</w:t>
      </w:r>
      <w:r>
        <w:t xml:space="preserve"> group-c7e12704f30d7f840cc6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Effects of Climate Change on the Potential Distribution of Silverleaf Nightshade (Solanum elaeagnifolium Cav.) in Europe and Africa — https://doi.org/10.5281/zenodo.22787643</w:t>
      </w:r>
    </w:p>
    <w:p>
      <w:pPr>
        <w:pStyle w:val="SourceNote"/>
      </w:pPr>
      <w:r>
        <w:rPr>
          <w:b/>
        </w:rPr>
        <w:t>Review status:</w:t>
      </w:r>
      <w:r>
        <w:t xml:space="preserve"> unchecked — possible relationship only</w:t>
      </w:r>
    </w:p>
    <w:p>
      <w:pPr>
        <w:pStyle w:val="Heading2"/>
      </w:pPr>
      <w:r>
        <w:t>453. Claim + two later sources: How Sustainable Development Goals interlinkages influence European Union countries’ progress towards the 2030 Agenda</w:t>
      </w:r>
    </w:p>
    <w:p>
      <w:pPr>
        <w:pStyle w:val="SourceNote"/>
      </w:pPr>
      <w:r>
        <w:rPr>
          <w:b/>
        </w:rPr>
        <w:t>Group ID:</w:t>
      </w:r>
      <w:r>
        <w:t xml:space="preserve"> group-162d50abb9e4f3d9ef36</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Human rights and the European Union’s external trade policy: the cases of Kenya and Ethiopia — https://openalex.org/W7165088160</w:t>
      </w:r>
    </w:p>
    <w:p>
      <w:pPr>
        <w:pStyle w:val="SourceNote"/>
      </w:pPr>
      <w:r>
        <w:rPr>
          <w:b/>
        </w:rPr>
        <w:t>Review status:</w:t>
      </w:r>
      <w:r>
        <w:t xml:space="preserve"> unchecked — possible relationship only</w:t>
      </w:r>
    </w:p>
    <w:p>
      <w:pPr>
        <w:pStyle w:val="Heading2"/>
      </w:pPr>
      <w:r>
        <w:t>454.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455.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456.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457.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458.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459. Claim + two later sources: Improving the use of crop models for risk assessment and climate change adaptation</w:t>
      </w:r>
    </w:p>
    <w:p>
      <w:pPr>
        <w:pStyle w:val="SourceNote"/>
      </w:pPr>
      <w:r>
        <w:rPr>
          <w:b/>
        </w:rPr>
        <w:t>Group ID:</w:t>
      </w:r>
      <w:r>
        <w:t xml:space="preserve"> group-4d3b282a3bde5cbdedc1</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Climate Change and Indian Crop Yields: Impacts and Projections — https://doi.org/10.1177/00252921261438943</w:t>
      </w:r>
    </w:p>
    <w:p>
      <w:pPr/>
      <w:r>
        <w:rPr>
          <w:b/>
        </w:rPr>
        <w:t>Later source:</w:t>
      </w:r>
      <w:r>
        <w:t xml:space="preserve"> Variable vertical land motion and its impacts on sea level rise projections — https://doi.org/10.1126/sciadv.ads8163</w:t>
      </w:r>
    </w:p>
    <w:p>
      <w:pPr>
        <w:pStyle w:val="SourceNote"/>
      </w:pPr>
      <w:r>
        <w:rPr>
          <w:b/>
        </w:rPr>
        <w:t>Review status:</w:t>
      </w:r>
      <w:r>
        <w:t xml:space="preserve"> unchecked — possible relationship only</w:t>
      </w:r>
    </w:p>
    <w:p>
      <w:pPr>
        <w:pStyle w:val="Heading2"/>
      </w:pPr>
      <w:r>
        <w:t>460.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461. Claim + two later sources: Analyst earnings forecast revision activity around profit warnings across four European countries</w:t>
      </w:r>
    </w:p>
    <w:p>
      <w:pPr>
        <w:pStyle w:val="SourceNote"/>
      </w:pPr>
      <w:r>
        <w:rPr>
          <w:b/>
        </w:rPr>
        <w:t>Group ID:</w:t>
      </w:r>
      <w:r>
        <w:t xml:space="preserve"> group-8571daa95020e9ec443d</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Addressing the Underestimated Burden of RSV in Older Adults in Europe: Epidemiology, Surveillance Gaps, and Public Health Implications — https://doi.org/10.3390/vaccines13050510</w:t>
      </w:r>
    </w:p>
    <w:p>
      <w:pPr>
        <w:pStyle w:val="SourceNote"/>
      </w:pPr>
      <w:r>
        <w:rPr>
          <w:b/>
        </w:rPr>
        <w:t>Review status:</w:t>
      </w:r>
      <w:r>
        <w:t xml:space="preserve"> unchecked — possible relationship only</w:t>
      </w:r>
    </w:p>
    <w:p>
      <w:pPr>
        <w:pStyle w:val="Heading2"/>
      </w:pPr>
      <w:r>
        <w:t>462.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463. Claim + two later sources: A comparison of low carbon investment needs between China and Europe in stringent climate policy scenarios</w:t>
      </w:r>
    </w:p>
    <w:p>
      <w:pPr>
        <w:pStyle w:val="SourceNote"/>
      </w:pPr>
      <w:r>
        <w:rPr>
          <w:b/>
        </w:rPr>
        <w:t>Group ID:</w:t>
      </w:r>
      <w:r>
        <w:t xml:space="preserve"> group-e20c7f363a694045e6c9</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Examining the Philippines’ infrastructure and connectivity cooperation with China and the European Union — https://doi.org/10.1007/s44282-024-00076-2</w:t>
      </w:r>
    </w:p>
    <w:p>
      <w:pPr>
        <w:pStyle w:val="SourceNote"/>
      </w:pPr>
      <w:r>
        <w:rPr>
          <w:b/>
        </w:rPr>
        <w:t>Review status:</w:t>
      </w:r>
      <w:r>
        <w:t xml:space="preserve"> unchecked — possible relationship only</w:t>
      </w:r>
    </w:p>
    <w:p>
      <w:pPr>
        <w:pStyle w:val="Heading2"/>
      </w:pPr>
      <w:r>
        <w:t>464.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465. Claim + two later sources: Wood utilization scenarios and their sustainability impacts in Finland</w:t>
      </w:r>
    </w:p>
    <w:p>
      <w:pPr>
        <w:pStyle w:val="SourceNote"/>
      </w:pPr>
      <w:r>
        <w:rPr>
          <w:b/>
        </w:rPr>
        <w:t>Group ID:</w:t>
      </w:r>
      <w:r>
        <w:t xml:space="preserve"> group-9f94869a8fc8460a1478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Social Sustainability Practices: A Balancing Act of Economic, Environmental, and Social Considerations — https://doi.org/10.1108/s1745-88622026000020a014</w:t>
      </w:r>
    </w:p>
    <w:p>
      <w:pPr/>
      <w:r>
        <w:rPr>
          <w:b/>
        </w:rPr>
        <w:t>Later source:</w:t>
      </w:r>
      <w:r>
        <w:t xml:space="preserve"> The Politics of the European Green Deal: Environmental Sustainability and Economic Transformation — https://doi.org/10.29070/4wae1607</w:t>
      </w:r>
    </w:p>
    <w:p>
      <w:pPr>
        <w:pStyle w:val="SourceNote"/>
      </w:pPr>
      <w:r>
        <w:rPr>
          <w:b/>
        </w:rPr>
        <w:t>Review status:</w:t>
      </w:r>
      <w:r>
        <w:t xml:space="preserve"> unchecked — possible relationship only</w:t>
      </w:r>
    </w:p>
    <w:p>
      <w:pPr>
        <w:pStyle w:val="Heading2"/>
      </w:pPr>
      <w:r>
        <w:t>466.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467. Claim + two later sources: European Scenario Studies on Future In-Stream Nutrient Concentrations</w:t>
      </w:r>
    </w:p>
    <w:p>
      <w:pPr>
        <w:pStyle w:val="SourceNote"/>
      </w:pPr>
      <w:r>
        <w:rPr>
          <w:b/>
        </w:rPr>
        <w:t>Group ID:</w:t>
      </w:r>
      <w:r>
        <w:t xml:space="preserve"> group-9fc9509c736c87f5b6d1</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Industrial pollutant releases to water in Europe (2010-2024) — https://doi.org/10.2909/898d92dd-b70d-42c1-956f-8e90f78c7952</w:t>
      </w:r>
    </w:p>
    <w:p>
      <w:pPr>
        <w:pStyle w:val="SourceNote"/>
      </w:pPr>
      <w:r>
        <w:rPr>
          <w:b/>
        </w:rPr>
        <w:t>Review status:</w:t>
      </w:r>
      <w:r>
        <w:t xml:space="preserve"> unchecked — possible relationship only</w:t>
      </w:r>
    </w:p>
    <w:p>
      <w:pPr>
        <w:pStyle w:val="Heading2"/>
      </w:pPr>
      <w:r>
        <w:t>468.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469. Claim + two later sources: Brexit adds to gloom over long‐term growth prospects</w:t>
      </w:r>
    </w:p>
    <w:p>
      <w:pPr>
        <w:pStyle w:val="SourceNote"/>
      </w:pPr>
      <w:r>
        <w:rPr>
          <w:b/>
        </w:rPr>
        <w:t>Group ID:</w:t>
      </w:r>
      <w:r>
        <w:t xml:space="preserve"> group-f266397cffee364b0d9f</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A Potential Vorticity Diagnosis of Tropical Cyclone Track Forecast Errors — https://doi.org/10.1029/2023ms004008</w:t>
      </w:r>
    </w:p>
    <w:p>
      <w:pPr>
        <w:pStyle w:val="SourceNote"/>
      </w:pPr>
      <w:r>
        <w:rPr>
          <w:b/>
        </w:rPr>
        <w:t>Review status:</w:t>
      </w:r>
      <w:r>
        <w:t xml:space="preserve"> unchecked — possible relationship only</w:t>
      </w:r>
    </w:p>
    <w:p>
      <w:pPr>
        <w:pStyle w:val="Heading2"/>
      </w:pPr>
      <w:r>
        <w:t>470.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471.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472. Claim + two later sources: The Future of Rural Poland: the Main Trends and Possible Scenarios.</w:t>
      </w:r>
    </w:p>
    <w:p>
      <w:pPr>
        <w:pStyle w:val="SourceNote"/>
      </w:pPr>
      <w:r>
        <w:rPr>
          <w:b/>
        </w:rPr>
        <w:t>Group ID:</w:t>
      </w:r>
      <w:r>
        <w:t xml:space="preserve"> group-c1efc5706d14ab7b6dc8</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473.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474.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475.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476.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477.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478. Claim + two later sources: Developing scenarios for the Norwegian travel industry 2025</w:t>
      </w:r>
    </w:p>
    <w:p>
      <w:pPr>
        <w:pStyle w:val="SourceNote"/>
      </w:pPr>
      <w:r>
        <w:rPr>
          <w:b/>
        </w:rPr>
        <w:t>Group ID:</w:t>
      </w:r>
      <w:r>
        <w:t xml:space="preserve"> group-4a980e8844571229cc75</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Current Applications of Metabolomics in Understanding Endometriosis: A Systematic Review — https://doi.org/10.3390/metabo15010050</w:t>
      </w:r>
    </w:p>
    <w:p>
      <w:pPr/>
      <w:r>
        <w:rPr>
          <w:b/>
        </w:rPr>
        <w:t>Later source:</w:t>
      </w:r>
      <w:r>
        <w:t xml:space="preserve"> The Traditional Understanding of Lawmaking by Appellate Courts — https://doi.org/10.1017/9781009589307.003</w:t>
      </w:r>
    </w:p>
    <w:p>
      <w:pPr>
        <w:pStyle w:val="SourceNote"/>
      </w:pPr>
      <w:r>
        <w:rPr>
          <w:b/>
        </w:rPr>
        <w:t>Review status:</w:t>
      </w:r>
      <w:r>
        <w:t xml:space="preserve"> unchecked — possible relationship only</w:t>
      </w:r>
    </w:p>
    <w:p>
      <w:pPr>
        <w:pStyle w:val="Heading2"/>
      </w:pPr>
      <w:r>
        <w:t>479.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480.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481.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482. Claim + two later sources: Perspective of comprehensive and comprehensible multi-model energy and climate science in Europe</w:t>
      </w:r>
    </w:p>
    <w:p>
      <w:pPr>
        <w:pStyle w:val="SourceNote"/>
      </w:pPr>
      <w:r>
        <w:rPr>
          <w:b/>
        </w:rPr>
        <w:t>Group ID:</w:t>
      </w:r>
      <w:r>
        <w:t xml:space="preserve"> group-355eb9fae060ed5c7075</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Europe and the Geopolitics of AGI: The Need for a Preparedness Plan — https://doi.org/10.48550/arxiv.2605.13634</w:t>
      </w:r>
    </w:p>
    <w:p>
      <w:pPr>
        <w:pStyle w:val="SourceNote"/>
      </w:pPr>
      <w:r>
        <w:rPr>
          <w:b/>
        </w:rPr>
        <w:t>Review status:</w:t>
      </w:r>
      <w:r>
        <w:t xml:space="preserve"> unchecked — possible relationship only</w:t>
      </w:r>
    </w:p>
    <w:p>
      <w:pPr>
        <w:pStyle w:val="Heading2"/>
      </w:pPr>
      <w:r>
        <w:t>483.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484. Claim + two later sources: By 2050 the Mitigation Effects of EU Forests Could Nearly Double through Climate Smart Forestry</w:t>
      </w:r>
    </w:p>
    <w:p>
      <w:pPr>
        <w:pStyle w:val="SourceNote"/>
      </w:pPr>
      <w:r>
        <w:rPr>
          <w:b/>
        </w:rPr>
        <w:t>Group ID:</w:t>
      </w:r>
      <w:r>
        <w:t xml:space="preserve"> group-ed416d43381d8dc81ded</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The Impact of the Rule of Law on Energy Policy in European Union Member States — https://doi.org/10.3390/en17030739</w:t>
      </w:r>
    </w:p>
    <w:p>
      <w:pPr>
        <w:pStyle w:val="SourceNote"/>
      </w:pPr>
      <w:r>
        <w:rPr>
          <w:b/>
        </w:rPr>
        <w:t>Review status:</w:t>
      </w:r>
      <w:r>
        <w:t xml:space="preserve"> unchecked — possible relationship only</w:t>
      </w:r>
    </w:p>
    <w:p>
      <w:pPr>
        <w:pStyle w:val="Heading2"/>
      </w:pPr>
      <w:r>
        <w:t>485.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486. Claim + two later sources: Towards the 2030 Agenda: Measuring the Progress of the European Union Countries through the SDGs Achievement Index</w:t>
      </w:r>
    </w:p>
    <w:p>
      <w:pPr>
        <w:pStyle w:val="SourceNote"/>
      </w:pPr>
      <w:r>
        <w:rPr>
          <w:b/>
        </w:rPr>
        <w:t>Group ID:</w:t>
      </w:r>
      <w:r>
        <w:t xml:space="preserve"> group-d16f767f1a435099ff8c</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Causal effects of body mass index on glycaemic traits in African and European populations: a Mendelian randomization study — https://doi.org/10.64898/2026.10.02.26364581</w:t>
      </w:r>
    </w:p>
    <w:p>
      <w:pPr/>
      <w:r>
        <w:rPr>
          <w:b/>
        </w:rPr>
        <w:t>Later source:</w:t>
      </w:r>
      <w:r>
        <w:t xml:space="preserve"> Quantifying the Performance of European Agriculture Through the New European Sustainability Model — https://doi.org/10.3390/agriculture15020210</w:t>
      </w:r>
    </w:p>
    <w:p>
      <w:pPr>
        <w:pStyle w:val="SourceNote"/>
      </w:pPr>
      <w:r>
        <w:rPr>
          <w:b/>
        </w:rPr>
        <w:t>Review status:</w:t>
      </w:r>
      <w:r>
        <w:t xml:space="preserve"> unchecked — possible relationship only</w:t>
      </w:r>
    </w:p>
    <w:p>
      <w:pPr>
        <w:pStyle w:val="Heading2"/>
      </w:pPr>
      <w:r>
        <w:t>487.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488.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489.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490. Claim + two later sources: PROJEKCJA ZMIAN WIELKOŚCI PLONÓW PSZENICY W POLSCE I UNII EUROPEJSKIEJ W LATACH 2030 I 2050 NA PODSTAWIE MODELU CAPRI</w:t>
      </w:r>
    </w:p>
    <w:p>
      <w:pPr>
        <w:pStyle w:val="SourceNote"/>
      </w:pPr>
      <w:r>
        <w:rPr>
          <w:b/>
        </w:rPr>
        <w:t>Group ID:</w:t>
      </w:r>
      <w:r>
        <w:t xml:space="preserve"> group-34dbb56e6b610cfd2e34</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TIME-SERIES ANALYSIS AND ARIMA-BASED FORECASTING OF AGRICULTURAL RAW MATERIAL IMPORTS IN CENTRAL AND EASTERN EUROPE — https://doi.org/10.52846/mnmk.24.1.11</w:t>
      </w:r>
    </w:p>
    <w:p>
      <w:pPr/>
      <w:r>
        <w:rPr>
          <w:b/>
        </w:rPr>
        <w:t>Later source:</w:t>
      </w:r>
      <w:r>
        <w:t xml:space="preserve"> Effect of different treatments on the dissipation and persistence of iodosulfuron-methyl applied in soils with wheat crop under greenhouse conditions — https://doi.org/10.1016/j.ecoenv.2025.118454</w:t>
      </w:r>
    </w:p>
    <w:p>
      <w:pPr>
        <w:pStyle w:val="SourceNote"/>
      </w:pPr>
      <w:r>
        <w:rPr>
          <w:b/>
        </w:rPr>
        <w:t>Review status:</w:t>
      </w:r>
      <w:r>
        <w:t xml:space="preserve"> unchecked — possible relationship only</w:t>
      </w:r>
    </w:p>
    <w:p>
      <w:pPr>
        <w:pStyle w:val="Heading2"/>
      </w:pPr>
      <w:r>
        <w:t>491. Claim + two later sources: Recycling of European plastic is a pathway for plastic debris in the ocean</w:t>
      </w:r>
    </w:p>
    <w:p>
      <w:pPr>
        <w:pStyle w:val="SourceNote"/>
      </w:pPr>
      <w:r>
        <w:rPr>
          <w:b/>
        </w:rPr>
        <w:t>Group ID:</w:t>
      </w:r>
      <w:r>
        <w:t xml:space="preserve"> group-74103ebb983d97b587dc</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High-resolution European soil property maps leveraging foundation-model Earth observation embeddings — https://doi.org/10.5194/egusphere-egu26-18609</w:t>
      </w:r>
    </w:p>
    <w:p>
      <w:pPr/>
      <w:r>
        <w:rPr>
          <w:b/>
        </w:rPr>
        <w:t>Later source:</w:t>
      </w:r>
      <w:r>
        <w:t xml:space="preserve"> Mapping the waste network and data uncertainties: a detailed examination of textile waste data in the Czech Republic — https://doi.org/10.1007/s10098-026-03563-z</w:t>
      </w:r>
    </w:p>
    <w:p>
      <w:pPr>
        <w:pStyle w:val="SourceNote"/>
      </w:pPr>
      <w:r>
        <w:rPr>
          <w:b/>
        </w:rPr>
        <w:t>Review status:</w:t>
      </w:r>
      <w:r>
        <w:t xml:space="preserve"> unchecked — possible relationship only</w:t>
      </w:r>
    </w:p>
    <w:p>
      <w:pPr>
        <w:pStyle w:val="Heading2"/>
      </w:pPr>
      <w:r>
        <w:t>492.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493. Claim + two later sources: Land use implications of future energy system trajectories—The case of the UK 2050 Carbon Plan</w:t>
      </w:r>
    </w:p>
    <w:p>
      <w:pPr>
        <w:pStyle w:val="SourceNote"/>
      </w:pPr>
      <w:r>
        <w:rPr>
          <w:b/>
        </w:rPr>
        <w:t>Group ID:</w:t>
      </w:r>
      <w:r>
        <w:t xml:space="preserve"> group-4fa0c89f5576467b910c</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Robotic artistry: Four surprise pathways for generative artificial intelligence-assisted abductive theorization — https://doi.org/10.1177/14761270261448648</w:t>
      </w:r>
    </w:p>
    <w:p>
      <w:pPr/>
      <w:r>
        <w:rPr>
          <w:b/>
        </w:rPr>
        <w:t>Later source:</w:t>
      </w:r>
      <w:r>
        <w:t xml:space="preserve"> Learning to engage in clinical research: a qualitative study developing a behavioural pathway model among nurses in China — https://doi.org/10.1186/s12909-026-09592-y</w:t>
      </w:r>
    </w:p>
    <w:p>
      <w:pPr>
        <w:pStyle w:val="SourceNote"/>
      </w:pPr>
      <w:r>
        <w:rPr>
          <w:b/>
        </w:rPr>
        <w:t>Review status:</w:t>
      </w:r>
      <w:r>
        <w:t xml:space="preserve"> unchecked — possible relationship only</w:t>
      </w:r>
    </w:p>
    <w:p>
      <w:pPr>
        <w:pStyle w:val="Heading2"/>
      </w:pPr>
      <w:r>
        <w:t>494.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495.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496.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497.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498.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499.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500.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501. Claim + two later sources: Society in need of transformation. Citizen-Foresight as a method to co-create urban future</w:t>
      </w:r>
    </w:p>
    <w:p>
      <w:pPr>
        <w:pStyle w:val="SourceNote"/>
      </w:pPr>
      <w:r>
        <w:rPr>
          <w:b/>
        </w:rPr>
        <w:t>Group ID:</w:t>
      </w:r>
      <w:r>
        <w:t xml:space="preserve"> group-5af15157effe8985af8b</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Unmasking the spatial-temporal characteristics of knowledge workers’ third-place remote work — https://doi.org/10.1177/27541231261444208</w:t>
      </w:r>
    </w:p>
    <w:p>
      <w:pPr>
        <w:pStyle w:val="SourceNote"/>
      </w:pPr>
      <w:r>
        <w:rPr>
          <w:b/>
        </w:rPr>
        <w:t>Review status:</w:t>
      </w:r>
      <w:r>
        <w:t xml:space="preserve"> unchecked — possible relationship only</w:t>
      </w:r>
    </w:p>
    <w:p>
      <w:pPr>
        <w:pStyle w:val="Heading2"/>
      </w:pPr>
      <w:r>
        <w:t>502.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503. Claim + two later sources: European carbon storage resource requirements of climate change mitigation targets</w:t>
      </w:r>
    </w:p>
    <w:p>
      <w:pPr>
        <w:pStyle w:val="SourceNote"/>
      </w:pPr>
      <w:r>
        <w:rPr>
          <w:b/>
        </w:rPr>
        <w:t>Group ID:</w:t>
      </w:r>
      <w:r>
        <w:t xml:space="preserve"> group-5c611a94b04b6e168244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Climate plan for municipality of Utsjoki — https://openalex.org/W7152954980</w:t>
      </w:r>
    </w:p>
    <w:p>
      <w:pPr>
        <w:pStyle w:val="SourceNote"/>
      </w:pPr>
      <w:r>
        <w:rPr>
          <w:b/>
        </w:rPr>
        <w:t>Review status:</w:t>
      </w:r>
      <w:r>
        <w:t xml:space="preserve"> unchecked — possible relationship only</w:t>
      </w:r>
    </w:p>
    <w:p>
      <w:pPr>
        <w:pStyle w:val="Heading2"/>
      </w:pPr>
      <w:r>
        <w:t>504.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505.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506.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507.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508. Individual research leads — not grouped</w:t>
      </w:r>
    </w:p>
    <w:p>
      <w:pPr/>
      <w:r>
        <w:t>These are single claim–paper research leads, not claim + paper A + paper B proposals. A paper in a rejected group may still be useful in a different combination.</w:t>
      </w:r>
    </w:p>
    <w:p>
      <w:pPr>
        <w:pStyle w:val="Heading2"/>
      </w:pPr>
      <w:r>
        <w:t>509.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pStyle w:val="Heading2"/>
      </w:pPr>
      <w:r>
        <w:t>510.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511.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512.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513.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514.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r>
        <w:rPr>
          <w:b/>
        </w:rPr>
        <w:t>POSSIBLE 2025:</w:t>
      </w:r>
      <w:r>
        <w:t xml:space="preserve"> JAX‐CanVeg: A Differentiable Land Surface Model — https://doi.org/10.1029/2024wr038116</w:t>
      </w:r>
    </w:p>
    <w:p>
      <w:pPr/>
      <w:r>
        <w:rPr>
          <w:b/>
        </w:rPr>
        <w:t>Shared claim-specific concepts:</w:t>
      </w:r>
      <w:r>
        <w:t xml:space="preserve"> show, land, energy, both; EU scope not established. This is a provisional connection, not an outcome finding.</w:t>
      </w:r>
    </w:p>
    <w:p>
      <w:pPr>
        <w:pStyle w:val="SourceNote"/>
      </w:pPr>
      <w:r>
        <w:rPr>
          <w:b/>
        </w:rPr>
        <w:t>Available abstract (not full text):</w:t>
      </w:r>
      <w:r>
        <w:t xml:space="preserve"> Abstract Land surface models consider the exchange of water, energy, and carbon along the soil‐canopy‐atmosphere continuum, which is challenging to model due to their complex interdependency and associated challenges in representing and parameterizing them. Differentiable modeling provides a new opportunity to capture these complex interactions by seamlessly hybridizing process‐based models with deep neural networks (DNNs), benefiting both worlds, that is, the physical interpretation of process‐based models and the learning power of DNNs. Here, we developed a differentiable land model, JAX‐CanVeg. The new model builds on the legacy CanVeg by incorporating advanced functionalities through JAX in the graphic processing unit support, automatic differentiation, and integration with DNNs. We demonstrated JAX‐CanVeg's hybrid modeling capability by applying the model at four flux tower sites with varying aridity. To this end, we developed a hybrid version of the Ball‐Berry equation that emulates the water stress impact on stomatal closure to explore the capability of the hybrid model in (a) improving the simulations of latent heat fluxes and net ecosystem exchange , (b) improving the optimization trade‐off when learning observations of both and , and (c) benefiting a multi‐layer canopy model setup. Our results show that the proposed hybrid model improved the simulations of and at all </w:t>
      </w:r>
    </w:p>
    <w:p>
      <w:pPr/>
      <w:r>
        <w:rPr>
          <w:b/>
        </w:rPr>
        <w:t>POSSIBLE 2025:</w:t>
      </w:r>
      <w:r>
        <w:t xml:space="preserve"> Optimizing Spatial Input Data for Techno-Economic Modeling of Least-Cost Electrification Pathways in Zambia — https://doi.org/10.13044/j.sdewes.d13.0549</w:t>
      </w:r>
    </w:p>
    <w:p>
      <w:pPr/>
      <w:r>
        <w:rPr>
          <w:b/>
        </w:rPr>
        <w:t>Shared claim-specific concepts:</w:t>
      </w:r>
      <w:r>
        <w:t xml:space="preserve"> least-cost, solar, energy, areas, less, system; EU scope not established. This is a provisional connection, not an outcome finding.</w:t>
      </w:r>
    </w:p>
    <w:p>
      <w:pPr>
        <w:pStyle w:val="SourceNote"/>
      </w:pPr>
      <w:r>
        <w:rPr>
          <w:b/>
        </w:rPr>
        <w:t>Available abstract (not full text):</w:t>
      </w:r>
      <w:r>
        <w:t xml:space="preserve"> Zambia’s current population is approximately 19.4 million, growing at an annual rate of about 2.9%. Only 40% of Zambia’s population has access to electricity, leaving roughly 11.7 million people without modern energy services. Since 2008, the Rural Electrification Authority of Zambia embarked on an ambitious program to increase the rural electrification rate from 11% to about 51% by 2030. However, this goal may not be realized at the current electrification rate. This article presents an analysis of techno-economic electrification pathways for Zambia using the Open-Source Spatial Electrification Toolkit. While the Rural Electrification Authority of Zambia aims to increase electrification from 11% to 51%, this research targets achieving 100% access to electricity by 2030 to meet the United Nations Sustainable Development Goal 7.1. The study involves national-scale modeling of lowest-cost technology options for 750,000 distinct population settlement clusters, based on the least cost of electricity to supply electricity to settlements using a range of technologies while benchmarking the study with the Global Electrification Platform. In this study, data for Zambia was improved and validated by enhancing the accuracy of population clusters and the electricity grid network. This was achieved by combining several new datasets from gridfinder.org, Geo-Referenced Infrastructure, and De</w:t>
      </w:r>
    </w:p>
    <w:p>
      <w:pPr>
        <w:pStyle w:val="Heading2"/>
      </w:pPr>
      <w:r>
        <w:t>515.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516.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pStyle w:val="Heading2"/>
      </w:pPr>
      <w:r>
        <w:t>517.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518.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519.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520.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521.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522.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pStyle w:val="Heading2"/>
      </w:pPr>
      <w:r>
        <w:t>523.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524.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525.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pStyle w:val="Heading2"/>
      </w:pPr>
      <w:r>
        <w:t>526.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pStyle w:val="Heading2"/>
      </w:pPr>
      <w:r>
        <w:t>527.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pStyle w:val="Heading2"/>
      </w:pPr>
      <w:r>
        <w:t>528.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529.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530.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pStyle w:val="Heading2"/>
      </w:pPr>
      <w:r>
        <w:t>531.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532.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533.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534.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pStyle w:val="Heading2"/>
      </w:pPr>
      <w:r>
        <w:t>535.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pStyle w:val="Heading2"/>
      </w:pPr>
      <w:r>
        <w:t>536.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pStyle w:val="Heading2"/>
      </w:pPr>
      <w:r>
        <w:t>537.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Prevalence of myopia in Europe: a systematic review and meta-analysis of data from 14 countries — https://doi.org/10.1016/j.lanepe.2025.101319</w:t>
      </w:r>
    </w:p>
    <w:p>
      <w:pPr/>
      <w:r>
        <w:rPr>
          <w:b/>
        </w:rPr>
        <w:t>Shared claim-specific concepts:</w:t>
      </w:r>
      <w:r>
        <w:t xml:space="preserve"> methods, identify, trends; EU scope visible. This is a provisional connection, not an outcome finding.</w:t>
      </w:r>
    </w:p>
    <w:p>
      <w:pPr>
        <w:pStyle w:val="SourceNote"/>
      </w:pPr>
      <w:r>
        <w:rPr>
          <w:b/>
        </w:rPr>
        <w:t>Available abstract (not full text):</w:t>
      </w:r>
      <w:r>
        <w:t xml:space="preserve"> Background Although myopia prevalence increased in East Asian countries, the burden of myopia in Europe is less known. We performed a systematic review and meta-analysis to estimate the prevalence of myopia in Europe and at the country level. Methods We searched PubMed, Scopus and Web of Science to identify studies on myopia prevalence published until January 2024, regardless of language. We included European cross-sectional and cohort studies with defined sampling strategies and excluded clinical surveys, myopia registries, self-reported near-sightedness, and non-representative populations. Pooled prevalence was estimated using random-effects models. Heterogeneity was assessed using the Cochran's Q (χ 2 test) and the I 2 statistic. The study protocol was preregistered in PROSPERO (CRD42023471527). Findings We screened 2074 records and included 22 studies (from 14 European countries; n=128,012) in the meta-analyses. The pooled prevalence of myopia was 23.5% (95% CI: 18.5–29.3; I 2 = 99.7%), ranging from 11.9% in Finland to 49.7% in Sweden. In cycloplegic studies, myopia prevalence was 18.9% (95% CI: 13.2–26.5%; I 2 = 99.7%) vs. 31.2% (95% CI: 24.9–38.3%; I 2 = 99.3%) in non-cycloplegic studies. Subgroup and meta-regression analyses exploring sources of heterogeneity showed a lower prevalence in children (6–11 years; 5.5%) compared with adolescents (12–17 years; 25.2%) and adult</w:t>
      </w:r>
    </w:p>
    <w:p>
      <w:pPr/>
      <w:r>
        <w:rPr>
          <w:b/>
        </w:rPr>
        <w:t>POSSIBLE 2025:</w:t>
      </w:r>
      <w:r>
        <w:t xml:space="preserve"> Assessing human-caused wildfire ignition likelihood across Europe — https://doi.org/10.5194/nhess-25-4713-2025</w:t>
      </w:r>
    </w:p>
    <w:p>
      <w:pPr/>
      <w:r>
        <w:rPr>
          <w:b/>
        </w:rPr>
        <w:t>Shared claim-specific concepts:</w:t>
      </w:r>
      <w:r>
        <w:t xml:space="preserve"> identify, management, developed;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pStyle w:val="Heading2"/>
      </w:pPr>
      <w:r>
        <w:t>538.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pStyle w:val="Heading2"/>
      </w:pPr>
      <w:r>
        <w:t>539.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540.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541.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pStyle w:val="Heading2"/>
      </w:pPr>
      <w:r>
        <w:t>542.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pStyle w:val="Heading2"/>
      </w:pPr>
      <w:r>
        <w:t>543.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pStyle w:val="Heading2"/>
      </w:pPr>
      <w:r>
        <w:t>544.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pStyle w:val="Heading2"/>
      </w:pPr>
      <w:r>
        <w:t>545.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546.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547.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pStyle w:val="Heading2"/>
      </w:pPr>
      <w:r>
        <w:t>548.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549.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550.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551.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552.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553.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554.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pStyle w:val="Heading2"/>
      </w:pPr>
      <w:r>
        <w:t>555.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pStyle w:val="Heading2"/>
      </w:pPr>
      <w:r>
        <w:t>556.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557.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pStyle w:val="Heading2"/>
      </w:pPr>
      <w:r>
        <w:t>558.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pStyle w:val="Heading2"/>
      </w:pPr>
      <w:r>
        <w:t>559.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2025:</w:t>
      </w:r>
      <w:r>
        <w:t xml:space="preserve"> A functionally graded Green-Naghdi (type-III) thermoelastic medium with varying properties along two directions — https://doi.org/10.1007/s00161-025-01395-8</w:t>
      </w:r>
    </w:p>
    <w:p>
      <w:pPr/>
      <w:r>
        <w:rPr>
          <w:b/>
        </w:rPr>
        <w:t>Shared claim-specific concepts:</w:t>
      </w:r>
      <w:r>
        <w:t xml:space="preserve"> varying, directions, between; EU scope not established. This is a provisional connection, not an outcome finding.</w:t>
      </w:r>
    </w:p>
    <w:p>
      <w:pPr>
        <w:pStyle w:val="SourceNote"/>
      </w:pPr>
      <w:r>
        <w:rPr>
          <w:b/>
        </w:rPr>
        <w:t>Available abstract (not full text):</w:t>
      </w:r>
      <w:r>
        <w:t xml:space="preserve"> Abstract This study examines the two-dimensional deformation of a functionally graded Green Naghdi (type-III) thermoelastic half-space under hydrostatic initial stress. The material properties of the medium are assumed to vary along two directions. Such type of problem has not been attempted earlier. Using the normal mode technique, analytical expressions for displacement components, temperature distribution, and force stress are derived. The numerical evaluation of these field variables reveals the impact of initial stress and material inhomogeneity on thermoelastic behavior. Graphical representations illustrate the variations in displacement and stress fields, emphasizing the intricate interplay between mechanical and thermal responses. These findings provide valuable insights for stress-strain analysis and the design of advanced engineering materials in thermoelastic applications.</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pStyle w:val="Heading2"/>
      </w:pPr>
      <w:r>
        <w:t>560.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561.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562.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r>
        <w:rPr>
          <w:b/>
        </w:rPr>
        <w:t>POSSIBLE 2025:</w:t>
      </w:r>
      <w:r>
        <w:t xml:space="preserve"> A European monsoon-like climate in a warmhouse world — https://doi.org/10.1038/s41467-025-64241-0</w:t>
      </w:r>
    </w:p>
    <w:p>
      <w:pPr/>
      <w:r>
        <w:rPr>
          <w:b/>
        </w:rPr>
        <w:t>Shared claim-specific concepts:</w:t>
      </w:r>
      <w:r>
        <w:t xml:space="preserve"> climate, concentrations, heat;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pStyle w:val="Heading2"/>
      </w:pPr>
      <w:r>
        <w:t>563.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564.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565.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566.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pStyle w:val="Heading2"/>
      </w:pPr>
      <w:r>
        <w:t>567.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568.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569.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pStyle w:val="Heading2"/>
      </w:pPr>
      <w:r>
        <w:t>570.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pStyle w:val="Heading2"/>
      </w:pPr>
      <w:r>
        <w:t>571.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572.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pStyle w:val="Heading2"/>
      </w:pPr>
      <w:r>
        <w:t>573.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Pacing space: futuring practices and temporal ownership in the European space sector — https://doi.org/10.1093/scipol/scaf067</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Abstract This paper investigates futuring practices in European space policy-making. European space policy is marked by diverse actors and institutions and an interplay of competing temporalities, where long-term ambitions intersect with short-term political pressures, budget constraints, and shifting geopolitical dynamics. Policymakers are often challenged to navigate slow, consensus-driven mechanisms while responding to the accelerating demands of global space competition. We argue that temporal control—how futures are timed, paced, and sequenced—is a crucial yet underexplored dimension of science, technology, and innovation policies. Bridging science and technology studies and futures studies, we develop further the notion of temporal ownership to examine how European actors engage in temporal experimentation to align with global developments and articulate distinctive policy trajectories. Drawing on document analysis, expert interviews, conference ethnographies, and foresight workshops, the study empirically and conceptually contributes to scholarship on public policy by showing how temporal politics shape strategic decision-making in technoscientific governance.</w:t>
      </w:r>
    </w:p>
    <w:p>
      <w:pPr>
        <w:pStyle w:val="Heading2"/>
      </w:pPr>
      <w:r>
        <w:t>574.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r>
        <w:rPr>
          <w:b/>
        </w:rPr>
        <w:t>POSSIBLE 2025:</w:t>
      </w:r>
      <w:r>
        <w:t xml:space="preserve"> The sustainable energy development dilemma in European countries: a time-series cluster analysis — https://doi.org/10.1186/s13705-025-00536-w</w:t>
      </w:r>
    </w:p>
    <w:p>
      <w:pPr/>
      <w:r>
        <w:rPr>
          <w:b/>
        </w:rPr>
        <w:t>Shared claim-specific concepts:</w:t>
      </w:r>
      <w:r>
        <w:t xml:space="preserve"> provide, contexts, evolution, adapted, used; EU scope visible. This is a provisional connection, not an outcome finding.</w:t>
      </w:r>
    </w:p>
    <w:p>
      <w:pPr>
        <w:pStyle w:val="SourceNote"/>
      </w:pPr>
      <w:r>
        <w:rPr>
          <w:b/>
        </w:rPr>
        <w:t>Available abstract (not full text):</w:t>
      </w:r>
      <w:r>
        <w:t xml:space="preserve"> Measuring the evolution of countries in various related dimensions is essential for the evaluation of progress and compliance with the set of sustainable development goals. However, the main dilemma lies in how to achieve rapid progress towards sustainability without compromising national and regional stability, equity, or economic viability. The main objective of this paper is to propose a new country classification guide to assess whether the framework can also be used by authorities worldwide to provide a more detailed perspective of the current situation, thereby enabling the detection of problems, the setting of objectives, a better understanding of the results, and the identification of optimal policy actions. The data analysed are from the period 2004–2018 for 30 European countries, and 13 used variables are grouped into three dimensions: economic structure, energy supply policy, and energy consumption. Cluster analysis is carried out in two steps. In the first step, a time-series cluster analysis is performed for each of the three typologies of variables using Dynamic Time Warping and Complete Linkage algorithm. Each country is subsequently assigned a qualitative three-dimensional vector that indicates cluster membership for each typology. This vector is used as input, and the Lin distance and Ward algorithm are applied to group the countries in the final step. Nine fin</w:t>
      </w:r>
    </w:p>
    <w:p>
      <w:pPr>
        <w:pStyle w:val="Heading2"/>
      </w:pPr>
      <w:r>
        <w:t>575.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pStyle w:val="Heading2"/>
      </w:pPr>
      <w:r>
        <w:t>576.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577.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578.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pStyle w:val="Heading2"/>
      </w:pPr>
      <w:r>
        <w:t>579.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2024:</w:t>
      </w:r>
      <w:r>
        <w:t xml:space="preserve"> Multi-hazard risk assessment methodology for European coastal cities — https://openalex.org/W7152947666</w:t>
      </w:r>
    </w:p>
    <w:p>
      <w:pPr/>
      <w:r>
        <w:rPr>
          <w:b/>
        </w:rPr>
        <w:t>Shared claim-specific concepts:</w:t>
      </w:r>
      <w:r>
        <w:t xml:space="preserve"> methodology, includes, assessment, critical, resilience; EU scope visible. This is a provisional connection, not an outcome finding.</w:t>
      </w:r>
    </w:p>
    <w:p>
      <w:pPr>
        <w:pStyle w:val="SourceNote"/>
      </w:pPr>
      <w:r>
        <w:rPr>
          <w:b/>
        </w:rPr>
        <w:t>Available abstract (not full text):</w:t>
      </w:r>
      <w:r>
        <w:t xml:space="preserve"> The focus of this thesis is on the risk assessment of multiple climate-related hazards in European coastal cities, a crucial issue given the intensifying impacts of climate change. European coastal cities are particularly vulnerable to a variety of climate-related hazards, such as sea-level rise, coastal erosion, and extreme weather events, which are becoming more frequent and severe due to global warming. Despite the pressing nature of these risks, there has been a notable lack of comprehensive tools to evaluate and compare the risks faced by different cities. This research addresses that gap by developing a novel index-based methodology for climate risk assessment that is specifically tailored to European coastal cities. One of the key features of the methodology developed in this thesis is its universality within the context of European coastal cities. Unlike other approaches that may be limited to specific types of hazards or localized contexts, this methodology encompasses a wide range of climate-related hazards, making it applicable to diverse coastal environments across Europe. This broad scope allows for a systematic and homogenized analysis of climate risks, which in turn facilitates direct comparisons between cities. Such comparative analysis is essential for informing policy decisions related to resource distribution and climate risk management. By identifying which </w:t>
      </w:r>
    </w:p>
    <w:p>
      <w:pPr/>
      <w:r>
        <w:rPr>
          <w:b/>
        </w:rPr>
        <w:t>POSSIBLE 2024:</w:t>
      </w:r>
      <w:r>
        <w:t xml:space="preserve"> ELSMOR – towards European Licensing of Small Modular Reactors: Methodology recommendations for light-water small modular reactors safety assessment — https://doi.org/10.12688/openreseurope.16360.2</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•Methodological standpoints: safety goals, safety requirements, safety principles (defence-in-depth implementation);•Main safety functions of reactivity control, decay heat removal and confinement management;•Se</w:t>
      </w:r>
    </w:p>
    <w:p>
      <w:pPr/>
      <w:r>
        <w:rPr>
          <w:b/>
        </w:rPr>
        <w:t>POSSIBLE 2023:</w:t>
      </w:r>
      <w:r>
        <w:t xml:space="preserve"> Assessment of ecological capacity for urban planning and improving resilience in the European framework — https://doi.org/10.18172/cig.5638</w:t>
      </w:r>
    </w:p>
    <w:p>
      <w:pPr/>
      <w:r>
        <w:rPr>
          <w:b/>
        </w:rPr>
        <w:t>Shared claim-specific concepts:</w:t>
      </w:r>
      <w:r>
        <w:t xml:space="preserve"> methodology, assessment, current, identification, systems, resilience; EU scope visible. This is a provisional connection, not an outcome finding.</w:t>
      </w:r>
    </w:p>
    <w:p>
      <w:pPr>
        <w:pStyle w:val="SourceNote"/>
      </w:pPr>
      <w:r>
        <w:rPr>
          <w:b/>
        </w:rPr>
        <w:t>Available abstract (not full text):</w:t>
      </w:r>
      <w:r>
        <w:t xml:space="preserve"> The basic idea underlying this research is that urban planning is one of the main causes of environmental degradation. Despite its relevance in impacting ecosystems, the current methodological assessments across Europe still fail to include spatial planning as a relevant factor. This paper aims to formulate an innovative methodology for the evaluation of ecosystems for protecting land at risk of degradation. This methodology is exemplified by the case of Spanish spatial planning applied in the Community of Madrid, being also capable to be employed in other European State Members after a cartographic adaptation. The proposed methodology specifically implements a European approach to the scale of regional and local spatial planning based on the “Mapping and Assessment of Ecosystems and their Services” (MAES) project. Among the main results, four outcomes stand out. The first is the novelty to provide a methodology capable of dealing with natural values at regional and municipal levels based on a spatial-planning-based scale (1:20,000). The second result regards the incorporation of new attributes tied to existing ecosystems during the drafting of spatial plans, thus improving the quality of the information to make better decisions in terms of environmental protection. The third result is the more accurate environment assessment due to the inclusion of a new element of direct pres</w:t>
      </w:r>
    </w:p>
    <w:p>
      <w:pPr/>
      <w:r>
        <w:rPr>
          <w:b/>
        </w:rPr>
        <w:t>POSSIBLE 2023:</w:t>
      </w:r>
      <w:r>
        <w:t xml:space="preserve"> Investigating the relationship between energy assessor training and assessment methodology in standardised energy assessments in Europe — https://doi.org/10.26868/25222708.2023.1480</w:t>
      </w:r>
    </w:p>
    <w:p>
      <w:pPr/>
      <w:r>
        <w:rPr>
          <w:b/>
        </w:rPr>
        <w:t>Shared claim-specific concepts:</w:t>
      </w:r>
      <w:r>
        <w:t xml:space="preserve"> methodology, assessment, performance; EU scope visible. This is a provisional connection, not an outcome finding.</w:t>
      </w:r>
    </w:p>
    <w:p>
      <w:pPr>
        <w:pStyle w:val="SourceNote"/>
      </w:pPr>
      <w:r>
        <w:rPr>
          <w:b/>
        </w:rPr>
        <w:t>Available abstract (not full text):</w:t>
      </w:r>
      <w:r>
        <w:t xml:space="preserve"> The relationship between assessor and assessment is symbiotic; training and support of assessors must reflect the designed assessment process, but new assessment processes can only be designed within the confines of the known skillsets (or projected future skillsets) of that assessor population. This paper reviews Energy Performance Certificate (EPC) methodologies in a number of target European countries and discusses the role of building simulation in each one. Furthermore, by reflecting on the different training and education background of energy assessors, the difficulties in introducing more comprehensive forms of building modelling into these methodologies are described. This questions the use of new EPC metrics and performance indicators (such as the proposed Smart Readiness Indicator and Operational Energy Ratings) within some countries, whilst also limiting new forms of building simulation being integrated into existing building energy compliance methodologies. The conclusions note recommendations that are generalisable across European countries, as well as those that will only be suitable for certain countries, or clusters of countries.</w:t>
      </w:r>
    </w:p>
    <w:p>
      <w:pPr/>
      <w:r>
        <w:rPr>
          <w:b/>
        </w:rPr>
        <w:t>POSSIBLE 2023:</w:t>
      </w:r>
      <w:r>
        <w:t xml:space="preserve"> ELSMOR – towards European Licensing of Small Modular Reactors: Methodology recommendations for light-water small modular reactors safety assessment — https://doi.org/10.12688/openreseurope.16360.1</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 Methodological standpoints: safety goals, safety requirements, safety principles (defence-in-depth implementation); • Main safety functions of reactivity control, decay heat removal and confinement management;</w:t>
      </w:r>
    </w:p>
    <w:p>
      <w:pPr/>
      <w:r>
        <w:rPr>
          <w:b/>
        </w:rPr>
        <w:t>POSSIBLE 2022:</w:t>
      </w:r>
      <w:r>
        <w:t xml:space="preserve"> Life cycle assessment (LCA) for flow batteries: A review of methodological decisions — https://doi.org/10.1016/j.seta.2022.102457</w:t>
      </w:r>
    </w:p>
    <w:p>
      <w:pPr/>
      <w:r>
        <w:rPr>
          <w:b/>
        </w:rPr>
        <w:t>Shared claim-specific concepts:</w:t>
      </w:r>
      <w:r>
        <w:t xml:space="preserve"> includes, assessment, systems, sustainability; EU scope visible. This is a provisional connection, not an outcome finding.</w:t>
      </w:r>
    </w:p>
    <w:p>
      <w:pPr>
        <w:pStyle w:val="SourceNote"/>
      </w:pPr>
      <w:r>
        <w:rPr>
          <w:b/>
        </w:rPr>
        <w:t>Available abstract (not full text):</w:t>
      </w:r>
      <w:r>
        <w:t xml:space="preserve"> A transition from fossil to renewable energy requires the development of sustainable electric energy storage systems capable to accommodate an increasing amount of energy, at larger power and for a longer time. Flow batteries are seen as one promising technology to face this challenge. As different innovations in this field of technology are still under development, reproducible, comparable and verifiable life cycle assessment studies are crucial to providing clear evidence on the sustainability of different flow battery systems. Based on a review of 20 relevant life cycle assessment studies for different flow battery systems, published between 1999 and 2021, this contribution explored relevant methodological choices regarding the sequence of phases defined in the ISO 14,040 series: goal and scope definition, inventory analysis, impact assessment and interpretation. Inspired by good practice examples, common gaps and weaknesses were identified and recommendations for comparative life cycle assessment studies were derived. This includes suggestions for an expanded functional unit definition, a provision of more detailed and transparent reporting of LCI data while using input/output tables. Outcomes of this study are also of relevance for the amendment of the Batteries Directive 2006/66/EC, where first drafts are under revision in the European Council, including the introduction </w:t>
      </w:r>
    </w:p>
    <w:p>
      <w:pPr/>
      <w:r>
        <w:rPr>
          <w:b/>
        </w:rPr>
        <w:t>POSSIBLE 2022:</w:t>
      </w:r>
      <w:r>
        <w:t xml:space="preserve"> A copula-based assessment of renewable energy droughts across Europe — https://doi.org/10.1016/j.renene.2022.10.091</w:t>
      </w:r>
    </w:p>
    <w:p>
      <w:pPr/>
      <w:r>
        <w:rPr>
          <w:b/>
        </w:rPr>
        <w:t>Shared claim-specific concepts:</w:t>
      </w:r>
      <w:r>
        <w:t xml:space="preserve"> assessment, large, system, expected;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2022:</w:t>
      </w:r>
      <w:r>
        <w:t xml:space="preserve"> A probabilistic climate change assessment for Europe — https://doi.org/10.1002/joc.7604</w:t>
      </w:r>
    </w:p>
    <w:p>
      <w:pPr/>
      <w:r>
        <w:rPr>
          <w:b/>
        </w:rPr>
        <w:t>Shared claim-specific concepts:</w:t>
      </w:r>
      <w:r>
        <w:t xml:space="preserve"> assessment, large, expected;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pStyle w:val="Heading2"/>
      </w:pPr>
      <w:r>
        <w:t>580.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581.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pStyle w:val="Heading2"/>
      </w:pPr>
      <w:r>
        <w:t>582.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r>
        <w:rPr>
          <w:b/>
        </w:rPr>
        <w:t>POSSIBLE 2025:</w:t>
      </w:r>
      <w:r>
        <w:t xml:space="preserve"> Assessing the Impact of Climate Change on the Sustainability of the Maritime Environment's Fragmentation — https://doi.org/10.7176/jlpg/146-06</w:t>
      </w:r>
    </w:p>
    <w:p>
      <w:pPr/>
      <w:r>
        <w:rPr>
          <w:b/>
        </w:rPr>
        <w:t>Shared claim-specific concepts:</w:t>
      </w:r>
      <w:r>
        <w:t xml:space="preserve"> maritime, sustainable; EU scope not established. This is a provisional connection, not an outcome finding.</w:t>
      </w:r>
    </w:p>
    <w:p>
      <w:pPr>
        <w:pStyle w:val="SourceNote"/>
      </w:pPr>
      <w:r>
        <w:rPr>
          <w:b/>
        </w:rPr>
        <w:t>Available abstract (not full text):</w:t>
      </w:r>
      <w:r>
        <w:t xml:space="preserve"> The maritime environment is facing unprecedented environmental and security challenges. Sustainable maritime environmental development remains a pivotal issue in addressing marine environmental protection challenges. This is due to multifaceted activities being carried out within the marine environment. The current study investigated the fragmentation of the existing legislations and policies on maritime environment sustainability, which has significantly contributed to their inefficiency. To achieve that, the study employs a qualitative analysis of legal texts, case studies, and policy reviews surrounding the various provisions of the UNCLOS and its relationship to the SDG-14 while paying attention to the implementation at national and regional levels, especially in developing countries. It was discovered that the majority of current reports appear to demonstrate how slowly the sustainable development goals are being met. Communities that depend on the marine environment for their livelihoods are seriously in danger in developing nations along the coast. This study discovered that many developing nations face significant obstacles in fully implementing UNCLOS provisions due to limited financial, technological, and human resources. The challenges in monitoring vast ocean territories and enforcing compliance, particularly concerning illegal activities like overfishing and marine</w:t>
      </w:r>
    </w:p>
    <w:p>
      <w:pPr/>
      <w:r>
        <w:rPr>
          <w:b/>
        </w:rPr>
        <w:t>POSSIBLE 2024:</w:t>
      </w:r>
      <w:r>
        <w:t xml:space="preserve"> The Maritime Smuggling Project: Challenges Within Collaborative Maritime Policing in The Netherlands — https://doi.org/10.17645/oas.8446</w:t>
      </w:r>
    </w:p>
    <w:p>
      <w:pPr/>
      <w:r>
        <w:rPr>
          <w:b/>
        </w:rPr>
        <w:t>Shared claim-specific concepts:</w:t>
      </w:r>
      <w:r>
        <w:t xml:space="preserve"> maritime, enabling, sectors; EU scope visible. This is a provisional connection, not an outcome finding.</w:t>
      </w:r>
    </w:p>
    <w:p>
      <w:pPr>
        <w:pStyle w:val="SourceNote"/>
      </w:pPr>
      <w:r>
        <w:rPr>
          <w:b/>
        </w:rPr>
        <w:t>Available abstract (not full text):</w:t>
      </w:r>
      <w:r>
        <w:t xml:space="preserve"> The Netherlands hosts a significant drug industry involving global crime groups targeting local professionals, such as fishers for drug smuggling, real estate agents for money laundering, and harbor masters for marina access. To raise awareness of potential criminal involvement, various government organizations collaborate within an Organized Crime Field Lab. This approach shifts the focus from repressively apprehending criminals to protecting legal businesses and professionals by enabling the public to inform, detect, and report smuggling activities, and by helping relevant sectors identify and regulate activities that facilitate organized crime. This article examines how maritime policing professionals experience the process, outcomes, and challenges within the Maritime Smuggling Project (MSP) and its contribution to building a more resilient society against criminal involvement. Based on 34 interviews, hybrid observations, and an online questionnaire with MSP participants, the study suggests that maritime criminal justice relies on the idea that a resilient community is less likely to engage in or facilitate criminal maritime activities. However, it also indicates that collaboration in itself is not enough to create an impact on policing. Findings reveal that innovations in criminal justice need open‐ended, long‐term, impact‐focused responses from projects like the MSP, alon</w:t>
      </w:r>
    </w:p>
    <w:p>
      <w:pPr>
        <w:pStyle w:val="Heading2"/>
      </w:pPr>
      <w:r>
        <w:t>583.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2025:</w:t>
      </w:r>
      <w:r>
        <w:t xml:space="preserve"> Assessing Sustainable Development Performance and Alternative Concepts in a Group of Developed Countries in Europe — https://doi.org/10.35784/preko.6666</w:t>
      </w:r>
    </w:p>
    <w:p>
      <w:pPr/>
      <w:r>
        <w:rPr>
          <w:b/>
        </w:rPr>
        <w:t>Shared claim-specific concepts:</w:t>
      </w:r>
      <w:r>
        <w:t xml:space="preserve"> alternative, developed; EU scope visible. This is a provisional connection, not an outcome finding.</w:t>
      </w:r>
    </w:p>
    <w:p>
      <w:pPr>
        <w:pStyle w:val="SourceNote"/>
      </w:pPr>
      <w:r>
        <w:rPr>
          <w:b/>
        </w:rPr>
        <w:t>Available abstract (not full text):</w:t>
      </w:r>
      <w:r>
        <w:t xml:space="preserve"> This study evaluates the progress of 31 countries, including EU member states, Norway, Iceland, Switzerland, and the United Kingdom (UK), towards the United Nations (UN) 2030 Agenda for Sustainable Development (SD) and its 17 Sustainable Development Goals (SDGs) over the period 2012–2020. The analysis employs indicators from the EU SDG indicator set, which monitors progress towards the SDGs within the EU context. The objective is to identify which sustainability concepts these countries gravitate towards as they advance towards the SDGs and specific indicators within the EU SDG set. The study assesses progress and alignment with the overarching concept of sustainable development as well as with more focused practical approaches, such as green economy/growth and circular economy, and more complex alternative concepts like degrowth and compassionate economy. The biclustering method is applied to uncover relationships between countries and indicators, resulting in clusters that combine five groups of countries with ten groups of indicators. These clusters exhibit varying degrees of progress across sustainable development, green economy/growth, circular economy, compassionate economy, and degrowth based on the indicator values. Norway, Switzerland, the Netherlands, and Sweden are identified as the top performers in overall sustainability. Notably, Switzerland and Norway show the gr</w:t>
      </w:r>
    </w:p>
    <w:p>
      <w:pPr>
        <w:pStyle w:val="Heading2"/>
      </w:pPr>
      <w:r>
        <w:t>584.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585.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586.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2025:</w:t>
      </w:r>
      <w:r>
        <w:t xml:space="preserve"> A Possible Way to Enhance European Competitiveness — https://doi.org/10.34190/ecie.20.1.3930</w:t>
      </w:r>
    </w:p>
    <w:p>
      <w:pPr/>
      <w:r>
        <w:rPr>
          <w:b/>
        </w:rPr>
        <w:t>Shared claim-specific concepts:</w:t>
      </w:r>
      <w:r>
        <w:t xml:space="preserve"> possible, hungarian, international;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587.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588.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Assessing the climate and health impacts of energy consumption in European Union countries — https://doi.org/10.1088/1748-9326/add752</w:t>
      </w:r>
    </w:p>
    <w:p>
      <w:pPr/>
      <w:r>
        <w:rPr>
          <w:b/>
        </w:rPr>
        <w:t>Shared claim-specific concepts:</w:t>
      </w:r>
      <w:r>
        <w:t xml:space="preserve"> union, greenhouse, gas, emissions, assess; EU scope visible. This is a provisional connection, not an outcome finding.</w:t>
      </w:r>
    </w:p>
    <w:p>
      <w:pPr>
        <w:pStyle w:val="SourceNote"/>
      </w:pPr>
      <w:r>
        <w:rPr>
          <w:b/>
        </w:rPr>
        <w:t>Available abstract (not full text):</w:t>
      </w:r>
      <w:r>
        <w:t xml:space="preserve"> ************************************************************************************************************** Note: This article has been published in Environmental Research Letters. Please refer to the published version: https://doi.org/10.1088/1748-9326/add752 ************************************************************************************************************** Greenhouse gas emissions from burning fossil fuels are routinely counted in energy and climate policies, yet the immediate health burden of air pollution emissions from combusting these fuels is rarely quantified alongside. Particularly, the European Union (EU) comprises countries with diverse energy mixes, emission characteristics, reduction technologies, and policy frameworks, leading to large variations in the impacts of energy consumption on climate, air quality, and public health. Understanding these country-level variations is critical to optimize regional energy policies and reduce climate and health disparities in the EU. This study quantifies the regional variations in both climate and health impacts of energy consumption across EU countries. In countries where coal or oil dominates power supply, the health impacts of electricity consumption can be larger than climate impacts by more than ten times (e.g., Bulgaria, Romania, and Greece), highlighting the necessity of incorporating health impacts into c</w:t>
      </w:r>
    </w:p>
    <w:p>
      <w:pPr>
        <w:pStyle w:val="Heading2"/>
      </w:pPr>
      <w:r>
        <w:t>589.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r>
        <w:rPr>
          <w:b/>
        </w:rPr>
        <w:t>POSSIBLE 2025:</w:t>
      </w:r>
      <w:r>
        <w:t xml:space="preserve"> Agricultural Decision Support Tools in Europe: What Kind of Tools Are Needed to Foster Soil Health? — https://doi.org/10.1111/ejss.70097</w:t>
      </w:r>
    </w:p>
    <w:p>
      <w:pPr/>
      <w:r>
        <w:rPr>
          <w:b/>
        </w:rPr>
        <w:t>Shared claim-specific concepts:</w:t>
      </w:r>
      <w:r>
        <w:t xml:space="preserve"> tools, questionnaire, health, experts, process, norway; EU scope visible. This is a provisional connection, not an outcome finding.</w:t>
      </w:r>
    </w:p>
    <w:p>
      <w:pPr>
        <w:pStyle w:val="SourceNote"/>
      </w:pPr>
      <w:r>
        <w:rPr>
          <w:b/>
        </w:rPr>
        <w:t>Available abstract (not full text):</w:t>
      </w:r>
      <w:r>
        <w:t xml:space="preserve"> ABSTRACT Decision support tools (DSTs) are crucial in aiding agricultural decision‐making, particularly in improving soil health by enhancing nutrient management, soil organic matter (SOM) and water retention. Despite the availability of numerous DSTs in Europe, their adoption, effectiveness and development needs are not well understood, as most research is based on literature reviews rather than direct feedback from stakeholders. This study aims at filling this gap by conducting an expert survey of the most widely used digital DSTs across Europe on SOM, water retention and nutrient use efficiency in agriculture. We aimed at evaluating the current use, limitations and development needs of DSTs and offering recommendations to improve the effectiveness and adoption of DSTs in the context of soil health. A questionnaire was distributed to experts in 24 countries. Answers were received from 18 countries, including 14 European Union (EU) nations, Norway, the UK, Switzerland and Turkey. A total of 115 DSTs were identified aligning with our definition of DST, with agronomists, consultants and farmers being the primary users. Adoption of DSTs was rated moderate (score: 3.1/5), with tools featuring user‐friendly interfaces and alignment with farmer goals achieving higher adoption rates. DSTs were rated better suited to achieve farm‐level goals (score: 4.1/5) than regional (score: 3.6/5)</w:t>
      </w:r>
    </w:p>
    <w:p>
      <w:pPr>
        <w:pStyle w:val="Heading2"/>
      </w:pPr>
      <w:r>
        <w:t>590.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591.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592.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2024:</w:t>
      </w:r>
      <w:r>
        <w:t xml:space="preserve"> A modelling tool selection for decarbonising industrial process heat systems — https://doi.org/10.1016/j.rser.2024.115149</w:t>
      </w:r>
    </w:p>
    <w:p>
      <w:pPr/>
      <w:r>
        <w:rPr>
          <w:b/>
        </w:rPr>
        <w:t>Shared claim-specific concepts:</w:t>
      </w:r>
      <w:r>
        <w:t xml:space="preserve"> decarbonise, trends; EU scope not established. This is a provisional connection, not an outcome finding.</w:t>
      </w:r>
    </w:p>
    <w:p>
      <w:pPr>
        <w:pStyle w:val="SourceNote"/>
      </w:pPr>
      <w:r>
        <w:rPr>
          <w:b/>
        </w:rPr>
        <w:t>Available abstract (not full text):</w:t>
      </w:r>
      <w:r>
        <w:t xml:space="preserve"> Industrial Process Heat systems are critical to various industrial processes, representing a significant share of global energy use and emissions. Effective modelling of these systems is essential for evaluating long-term economic and environmental impacts of different technologies. This modelling approach must integrate internal process-specific parameters, such as heat demand dynamics and technological metrics, alongside broader factors like energy costs, emissions policies, and resource availability. This research introduces a comprehensive framework for selecting tools to model industrial process heat systems, focusing on technological, economic, and environmental performance. An initial evaluation of twenty-five tools led to the shortlisting of five based on criteria such as modelling accuracy, scalability, data handling, compatibility with industrial systems, and environmental impacts. Using software engineering principles, a systematic selection process was developed to categorise tools based on essential and desirable capabilities. This framework was validated through an example application, incorporating both technical and practical considerations. The findings highlight the importance of integrating dynamic simulation capabilities with real-time data analysis to improve evaluation accuracy and emphasise user-friendly interfaces to broader industry adoption. The study </w:t>
      </w:r>
    </w:p>
    <w:p>
      <w:pPr/>
      <w:r>
        <w:rPr>
          <w:b/>
        </w:rPr>
        <w:t>POSSIBLE 2024:</w:t>
      </w:r>
      <w:r>
        <w:t xml:space="preserve"> Decarbonise Now: Securing A Greener, Cleaner, Better Industrial Future — https://openalex.org/W7112488410</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If we do not succeed in decarbonising our industries, net zero will not succeed. Industry, which includes ores and minerals mining, manufacturing, construction and waste management, accounted for approximately 24% of total net anthropogenic GHG emissions in 2019, this total can be increased up to around 34% if emissions from electricity and heat production are attributed to their use in the sector. A key message from the IPCC’s 2022 report on the mitigation of climate change stated: “Net zero CO2 emissions from the industrial sector are challenging but possible. Reducing industry emissions will entail coordinated action throughout value chains to promote all mitigation options, including demand management, energy and materials efficiency, circular material flows, as well as abatement technologies and transformational changes in production processes. Progressing towards net zero GHG emissions from industry will be enabled by the adoption of new production processes using low- and zero-GHG electricity, hydrogen, fuels, and carbon management.” Further, industrial clusters account for 15%- 20% of global CO2 emissions. Therefore, it is evident that governments need to develop robust industrial decarbonisation strategies and accelerate the speed of implementation. This report follows the Independent Net Zero Review, focusing on the Energy Intensives and Industry Mission. The Independ</w:t>
      </w:r>
    </w:p>
    <w:p>
      <w:pPr>
        <w:pStyle w:val="Heading2"/>
      </w:pPr>
      <w:r>
        <w:t>593.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pStyle w:val="Heading2"/>
      </w:pPr>
      <w:r>
        <w:t>594.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r>
        <w:rPr>
          <w:b/>
        </w:rPr>
        <w:t>POSSIBLE 2025:</w:t>
      </w:r>
      <w:r>
        <w:t xml:space="preserve"> Europe at the End of the Fifteenth Century — https://doi.org/10.4324/9781003607526-2</w:t>
      </w:r>
    </w:p>
    <w:p>
      <w:pPr/>
      <w:r>
        <w:rPr>
          <w:b/>
        </w:rPr>
        <w:t>Shared claim-specific concepts:</w:t>
      </w:r>
      <w:r>
        <w:t xml:space="preserve"> government, even, before, all, germany; EU scope visible. This is a provisional connection, not an outcome finding.</w:t>
      </w:r>
    </w:p>
    <w:p>
      <w:pPr>
        <w:pStyle w:val="SourceNote"/>
      </w:pPr>
      <w:r>
        <w:rPr>
          <w:b/>
        </w:rPr>
        <w:t>Available abstract (not full text):</w:t>
      </w:r>
      <w:r>
        <w:t xml:space="preserve"> T HE sixteenth century has one well-marked characteristic. At the beginning secular interests entirely dominated its politics. The ambitions of princes and the rivalries of states at first claim all our attention. The Papacy was important, but chiefly because it was itself an independent and secular power, with special skill in diplomatic finesse. International politics were governed by the motives —they cannot be called principles—which were later to be known as the Balance of Power. The princes fought for power and territory; the armies fought for pay. It seemed in the highest degree unlikely that before the century had run half its course men would begin to fight for creeds, moral codes, and systems of church government; and that the armies would contain elements in which could be discerned something of the crusading spirit. It would be untrue to say that religion at any time controlled the politics of the century; there were to the end strong secular motives in the policies of Austria, Spain, and even of the Papacy, as there were in the action of the Huguenots of France, the Dutch insurgents against Philip of Spain, and in the risings of the Anabaptists of Germany. But the emergence of religious and ecclesiastical motives along with, or to the exclusion of, political and dynastic motives is the most striking change that came over Europe during the century. We will begin by </w:t>
      </w:r>
    </w:p>
    <w:p>
      <w:pPr/>
      <w:r>
        <w:rPr>
          <w:b/>
        </w:rPr>
        <w:t>POSSIBLE 2025:</w:t>
      </w:r>
      <w:r>
        <w:t xml:space="preserve"> German Social Democracy: Hollowed Out But Still (Almost Always) in Government — https://doi.org/10.1111/1467-923x.13544</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Abstract Between 1998 and 2024, the Social Democratic Party of Germany (SPD) was in government for twenty‐three out of twenty‐seven years—either as the senior partner in a coalition (from 1998 to 2005 with the Greens and from 2021 to 2024 with the Greens and liberals (FDP)) or as the junior partner in a coalition with the centre‐right Christian Democrats (CDU/CSU) from 2005 to 2009 and from 2013 to 2021. The party's overall electoral performance during this period has been devastatingly poor, with its vote share declining from 40.9 per cent in 1998 to 16.4 per cent in 2025. This almost steady decline is due to its failure to devise a strategic response to neoliberalism. As a result, the SPD's former electoral coalition disintegrated—blue‐collar voters turned to the Alternative for Germany (AfD), while centrist voters abandoned the SPD for the CDU/CSU or the Greens. In 2025, the SPD also lost many voters to the Left Party and the Sahra Wagenknecht Alliance (BSW). The party's long‐term track record of participating in coalition governments without delivering progressive reforms suggests that another coalition government with the CDU/CSU after the 2025 federal election is likely to undermine the SPD's political standing further.</w:t>
      </w:r>
    </w:p>
    <w:p>
      <w:pPr>
        <w:pStyle w:val="Heading2"/>
      </w:pPr>
      <w:r>
        <w:t>595.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2024:</w:t>
      </w:r>
      <w:r>
        <w:t xml:space="preserve"> Worst‐case equilibria in first‐price auctions — https://doi.org/10.3982/te4555</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usual analysis of bidding in first‐price auctions assumes that bidders know the distribution of valuations. We analyze first‐price auctions in which bidders do not know the precise distribution of their competitors' valuations, but only the mean of the distribution. We propose a novel equilibrium solution concept based on worst‐case reasoning. We find an essentially unique and efficient worst‐case equilibrium of the first‐price auction that has appealing properties from both the bidders' and the seller's point of view.</w:t>
      </w:r>
    </w:p>
    <w:p>
      <w:pPr>
        <w:pStyle w:val="Heading2"/>
      </w:pPr>
      <w:r>
        <w:t>596.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pStyle w:val="Heading2"/>
      </w:pPr>
      <w:r>
        <w:t>597.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pStyle w:val="Heading2"/>
      </w:pPr>
      <w:r>
        <w:t>598.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599.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pStyle w:val="Heading2"/>
      </w:pPr>
      <w:r>
        <w:t>600.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601.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pStyle w:val="Heading2"/>
      </w:pPr>
      <w:r>
        <w:t>602.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603.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pStyle w:val="Heading2"/>
      </w:pPr>
      <w:r>
        <w:t>604.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pStyle w:val="Heading2"/>
      </w:pPr>
      <w:r>
        <w:t>605.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pStyle w:val="Heading2"/>
      </w:pPr>
      <w:r>
        <w:t>606.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607.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pStyle w:val="Heading2"/>
      </w:pPr>
      <w:r>
        <w:t>608.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pStyle w:val="Heading2"/>
      </w:pPr>
      <w:r>
        <w:t>609.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610.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2024:</w:t>
      </w:r>
      <w:r>
        <w:t xml:space="preserve"> RUSSIA’S AGGRESSION IN UKRAINE AS A TURNING POINT: THE TRANSFORMATION OF THE EUROPEAN UNION INTO A SECURITY ACTOR IN THE RECONSTRUCTION OF THE EUROPEAN SECURITY ORDER — https://doi.org/10.62229/sprps24-1/5</w:t>
      </w:r>
    </w:p>
    <w:p>
      <w:pPr/>
      <w:r>
        <w:rPr>
          <w:b/>
        </w:rPr>
        <w:t>Shared claim-specific concepts:</w:t>
      </w:r>
      <w:r>
        <w:t xml:space="preserve"> order, until, authors, indicators; EU scope visible. This is a provisional connection, not an outcome finding.</w:t>
      </w:r>
    </w:p>
    <w:p>
      <w:pPr>
        <w:pStyle w:val="SourceNote"/>
      </w:pPr>
      <w:r>
        <w:rPr>
          <w:b/>
        </w:rPr>
        <w:t>Available abstract (not full text):</w:t>
      </w:r>
      <w:r>
        <w:t xml:space="preserve"> The process which started with the annexation of Crimea in 2014 has caused a deep stress in the European security order. Russia has not only threatened the European security architecture, but for the first time, Russia has openly challenged it through its actions. As such, the war in Ukraine was a turning point in both international relations and European security policy. Accordingly, the European Union (EU) has altered its foreign and security policy. Until then, the EU had acted within the framework of its responsibility to protect the security of its members through a normative structure and peaceful methods, representing a multilateral world order as a peace project. However, post-February 2022, it has adopted a power-oriented policy. Increased cooperation with NATO, the will to break all kinds of existing dependencies, strict sanctions ranging from economy to energy policy, and the increase in the use of military force have been indicators that Europe has entered a transformation. After 2022, its attempt to influence international relations and the international system with more solid means has demonstrated that the EU is an actor that does not completely abandon its liberal and constructivist identity but reacts realistically. This article analyzes how Russia’s attack on Ukraine entailed a change for Europe within the debate of the realism and constructivism The process w</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pStyle w:val="Heading2"/>
      </w:pPr>
      <w:r>
        <w:t>611.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612.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pStyle w:val="Heading2"/>
      </w:pPr>
      <w:r>
        <w:t>613.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614.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pStyle w:val="Heading2"/>
      </w:pPr>
      <w:r>
        <w:t>615.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pStyle w:val="Heading2"/>
      </w:pPr>
      <w:r>
        <w:t>616.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2025:</w:t>
      </w:r>
      <w:r>
        <w:t xml:space="preserve"> The European Green Deal: An Eco-Social Contract for Europe? — https://doi.org/10.1007/978-3-031-99109-7_9</w:t>
      </w:r>
    </w:p>
    <w:p>
      <w:pPr/>
      <w:r>
        <w:rPr>
          <w:b/>
        </w:rPr>
        <w:t>Shared claim-specific concepts:</w:t>
      </w:r>
      <w:r>
        <w:t xml:space="preserve"> green, deal, egd, aiming, sustainability, union; EU scope visible. This is a provisional connection, not an outcome finding.</w:t>
      </w:r>
    </w:p>
    <w:p>
      <w:pPr>
        <w:pStyle w:val="SourceNote"/>
      </w:pPr>
      <w:r>
        <w:rPr>
          <w:b/>
        </w:rPr>
        <w:t>Available abstract (not full text):</w:t>
      </w:r>
      <w:r>
        <w:t xml:space="preserve"> The European Green Deal (EGD) represents a transformative policy initiative, heralded as Europe’s “man on the moon” moment, aiming to achieve climate neutrality by 2050 while fostering social equity and economic resilience across the European Union (EU). From its inception, the EGD was intended to integrate environmental sustainability into governance frameworks and define an all-encompassing agenda to jointly address the urgent challenges of climate change, biodiversity loss, and social inequalities. This chapter explores how the EGD, when positioned as a nascent eco-social contract, could redefine the roles and responsibilities of each European societal actor by aligning ecological responsibility with economic and social objectives, guided by the principle of common but differentiated responsibilities outlined in the Paris Climate Agreement. It examines the role of the EU’s multilevel governance structure in embedding the EGD’s policies, the systemic barriers to its implementation, and the pathways for overcoming these challenges. By critically analysing what the EGD’s opportunities and limitations have been, the chapter offers insights into how the EU can lead global sustainability efforts and foster a more inclusive and sustainable future.</w:t>
      </w:r>
    </w:p>
    <w:p>
      <w:pPr/>
      <w:r>
        <w:rPr>
          <w:b/>
        </w:rPr>
        <w:t>POSSIBLE 2025:</w:t>
      </w:r>
      <w:r>
        <w:t xml:space="preserve"> Blue dimensions of the European green deal — https://doi.org/10.60054/peu.2025.12.76-85</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Over the past ten years, the European economy has faced a number of challenges: Britain’s exit from the EU, the COVID 19 pandemic, Russian aggression in Ukraine that escalated into war, the struggle for energy independence on the continent, the migration flow, and the increasing influence of far-right political movements. This line of events, however, is accompanied by one fundamental goal of the Union, namely sustainable development. A key instrument for achieving this is the so-called Green Deal, which has acquired a new blue hue in recent years. The aim of this study is to analyse how the blue economy contributes to the European Green Deal objectives, as oceans and seas cover a vast area of the EU territory and around two thirds of the Earth’s surface.</w:t>
      </w:r>
    </w:p>
    <w:p>
      <w:pPr>
        <w:pStyle w:val="Heading2"/>
      </w:pPr>
      <w:r>
        <w:t>617.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618.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world, bank, good, countries;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pStyle w:val="Heading2"/>
      </w:pPr>
      <w:r>
        <w:t>619.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620.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2025:</w:t>
      </w:r>
      <w:r>
        <w:t xml:space="preserve"> EUROPEAN CONSTRUCTION BETWEEN THE IDEA OF A UNITED EUROPE — https://doi.org/10.61846/cuji-ssh.2025.2.06</w:t>
      </w:r>
    </w:p>
    <w:p>
      <w:pPr/>
      <w:r>
        <w:rPr>
          <w:b/>
        </w:rPr>
        <w:t>Shared claim-specific concepts:</w:t>
      </w:r>
      <w:r>
        <w:t xml:space="preserve"> well, associated;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Update of the list of qualified presumption of safety (QPS) recommended microbiological agents intentionally added to food or feed as notified to EFSA 22: Suitability of taxonomic units notified to EFSA until March 2025 — https://doi.org/10.2903/j.efsa.2025.9510</w:t>
      </w:r>
    </w:p>
    <w:p>
      <w:pPr/>
      <w:r>
        <w:rPr>
          <w:b/>
        </w:rPr>
        <w:t>Shared claim-specific concepts:</w:t>
      </w:r>
      <w:r>
        <w:t xml:space="preserve"> materials, four; EU scope not established. This is a provisional connection, not an outcome finding.</w:t>
      </w:r>
    </w:p>
    <w:p>
      <w:pPr>
        <w:pStyle w:val="SourceNote"/>
      </w:pPr>
      <w:r>
        <w:rPr>
          <w:b/>
        </w:rPr>
        <w:t>Available abstract (not full text):</w:t>
      </w:r>
      <w:r>
        <w:t xml:space="preserve"> Abstract The qualified presumption of safety (QPS) process was developed to assess the safety of microorganisms used in food and feed chains. During the period covered by this Statement, no new information warranted changes to the status of previously recommended QPS taxonomic units. The QPS list was updated to verify the correctness of the names and the completeness of synonyms. Of the 47 microorganisms notified to EFSA between October 2024 and March 2025 (25 as feed additives, 7 as food enzymes or additives, 6 as novel foods, 8 as plant protection products and 1 as food contact materials), 41 were not evaluated. These latter included 11 filamentous fungi, 4 Escherichia coli and 1 Streptomyces spp. (all excluded from the QPS evaluation), and 25 already on the QPS list. Two of the other six notifications, Bacillus thuringiensis and Ensifer adhaerens, had been previously assessed. The remaining four were assessed for a possible QPS status. Bacillus sonorensis is recommended for the QPS list with the qualifications: ‘absence of bacitracin production ability’ and ‘absence of toxigenic activity’. Vibrio natriegens is also recommended but for ‘production purposes only’. Corynebacterium stationis is not recommended due to a limited body of knowledge on its occurrence in the food and feed chain and possible safety concerns in relation to human and animal health. Papilotrema terrestris</w:t>
      </w:r>
    </w:p>
    <w:p>
      <w:pPr/>
      <w:r>
        <w:rPr>
          <w:b/>
        </w:rPr>
        <w:t>POSSIBLE 2025:</w:t>
      </w:r>
      <w:r>
        <w:t xml:space="preserve"> Floristic characteristics and regionalisation of karst woody plants in China — https://doi.org/10.1111/njb.04622</w:t>
      </w:r>
    </w:p>
    <w:p>
      <w:pPr/>
      <w:r>
        <w:rPr>
          <w:b/>
        </w:rPr>
        <w:t>Shared claim-specific concepts:</w:t>
      </w:r>
      <w:r>
        <w:t xml:space="preserve"> materials, distribution, species; EU scope not established. This is a provisional connection, not an outcome finding.</w:t>
      </w:r>
    </w:p>
    <w:p>
      <w:pPr>
        <w:pStyle w:val="SourceNote"/>
      </w:pPr>
      <w:r>
        <w:rPr>
          <w:b/>
        </w:rPr>
        <w:t>Available abstract (not full text):</w:t>
      </w:r>
      <w:r>
        <w:t xml:space="preserve"> China's karst region, known for its unique biodiversity, presents significant challenges in understanding the distribution patterns of woody plants due to its vast expanse and rugged terrain. This study integrates newly obtained species composition data from over 100 karst sites in China with extensive data from previous surveys and reference materials. The research identified 2 kingdoms, 3 subkingdoms, 11 regions, and 20 subregions within China's karst woody plant flora, following the framework of the ‘Floristic Regionalization of China'. The study describes the geographical extent, vegetation composition, floristic characteristics, and typical taxa for each region and subregion. The analysis of floristic sources across different regions indicates that China's karst woody flora is a mixture of several palaeofloras, particularly the Tethys Tertiary and Palaeotropic palaeofloras. These findings significantly enhance our understanding of karst biodiversity and can aid future research and conservation efforts in botany and ecology.</w:t>
      </w:r>
    </w:p>
    <w:p>
      <w:pPr/>
      <w:r>
        <w:rPr>
          <w:b/>
        </w:rPr>
        <w:t>POSSIBLE 2025:</w:t>
      </w:r>
      <w:r>
        <w:t xml:space="preserve"> A novel fermentation system for the production of Spanish-style green table olives — https://doi.org/10.1016/j.ifset.2025.104294</w:t>
      </w:r>
    </w:p>
    <w:p>
      <w:pPr/>
      <w:r>
        <w:rPr>
          <w:b/>
        </w:rPr>
        <w:t>Shared claim-specific concepts:</w:t>
      </w:r>
      <w:r>
        <w:t xml:space="preserve"> associated, combined; EU scope not established. This is a provisional connection, not an outcome finding.</w:t>
      </w:r>
    </w:p>
    <w:p>
      <w:pPr>
        <w:pStyle w:val="SourceNote"/>
      </w:pPr>
      <w:r>
        <w:rPr>
          <w:b/>
        </w:rPr>
        <w:t>Available abstract (not full text):</w:t>
      </w:r>
      <w:r>
        <w:t xml:space="preserve"> The traditional technology of fermenting Spanish-style green table olives in underground fibre-glass containers has remained largely unchanged since the late 1960s. This study introduces a novel fermentation system based on interconnected stainless-steel containers operated under vacuum conditions and equipped with two pumps: one for brine recirculation and another for gas purging. The primary goals of this new system are to enhance homogeneity among fermentation vessels, facilitate gas release, and improve cleaning and disinfection procedures. The conventional system favoured the growth of lactic acid bacteria, resulting in higher titratable acidity (1.10 % vs. 0.67 % in stainless-steel containers), although both systems achieved similar final pH levels (~4.2). Traditional fermentation also produced olives with superior colour and overall acceptability. In contrast, the new system showed lower variability across most physicochemical and microbiological parameters, indicating improved process uniformity. It also favoured yeast growth, enhanced CO 2 release from the fermentation medium, improved fruit texture, supported more consistent inoculum imposition, and was associated with lower combined acidity at the end of the process (0.118 Eq/L vs. 0.173 Eq/L in the traditional system). Metataxonomic analysis revealed greater microbial diversity (both bacterial and fungal) in the con</w:t>
      </w:r>
    </w:p>
    <w:p>
      <w:pPr>
        <w:pStyle w:val="Heading2"/>
      </w:pPr>
      <w:r>
        <w:t>621.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pStyle w:val="Heading2"/>
      </w:pPr>
      <w:r>
        <w:t>622.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pStyle w:val="Heading2"/>
      </w:pPr>
      <w:r>
        <w:t>623.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2025:</w:t>
      </w:r>
      <w:r>
        <w:t xml:space="preserve"> Digital Health: Forecast for 2025-2030. — https://doi.org/10.29188/2712-9217-2025-11-3-7-18</w:t>
      </w:r>
    </w:p>
    <w:p>
      <w:pPr/>
      <w:r>
        <w:rPr>
          <w:b/>
        </w:rPr>
        <w:t>Shared claim-specific concepts:</w:t>
      </w:r>
      <w:r>
        <w:t xml:space="preserve"> systemic, period, main; EU scope not established. This is a provisional connection, not an outcome finding.</w:t>
      </w:r>
    </w:p>
    <w:p>
      <w:pPr>
        <w:pStyle w:val="SourceNote"/>
      </w:pPr>
      <w:r>
        <w:rPr>
          <w:b/>
        </w:rPr>
        <w:t>Available abstract (not full text):</w:t>
      </w:r>
      <w:r>
        <w:t xml:space="preserve"> This report presents a forecast for the development of digital healthcare for the period 2025–2030, based exclusively on the principles of evidence-based medicine (EBM) and an analysis of regulatory trends. The years 2025–2030 will mark a fundamental transition – from the stage of proving concepts and demonstrating clinical efficacy to the stage of large-scale implementation, optimization of integration processes, and demonstration of value. The key challenges during this period will be not technological constraints, but systemic issues: ensuring semantic interoperability of data, adapting the regulatory framework – particularly regarding artificial intelligence—and overcoming barriers to real-world adoption, including the shortage of trained personnel, physician cognitive overload, and the lack of seamless integration into existing clinical workflows. The main conclusion is that technologies unable to demonstrate clear economic efficiency and seamless integration into existing IT infrastructures will not be adopted by practicing clinicians and healthcare administrators, regardless of their reported clinical accuracy. Successful implementation will require healthcare leaders to invest primarily in people and processes, not solely in software.</w:t>
      </w:r>
    </w:p>
    <w:p>
      <w:pPr>
        <w:pStyle w:val="Heading2"/>
      </w:pPr>
      <w:r>
        <w:t>624.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pStyle w:val="Heading2"/>
      </w:pPr>
      <w:r>
        <w:t>625.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pStyle w:val="Heading2"/>
      </w:pPr>
      <w:r>
        <w:t>626.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pStyle w:val="Heading2"/>
      </w:pPr>
      <w:r>
        <w:t>627.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628.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pStyle w:val="Heading2"/>
      </w:pPr>
      <w:r>
        <w:t>629.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pStyle w:val="Heading2"/>
      </w:pPr>
      <w:r>
        <w:t>630.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pStyle w:val="Heading2"/>
      </w:pPr>
      <w:r>
        <w:t>631.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632.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633.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Female Directors, Family Firms, Climate Talk and Climate Walk: European Evidence — https://doi.org/10.1002/bse.4348</w:t>
      </w:r>
    </w:p>
    <w:p>
      <w:pPr/>
      <w:r>
        <w:rPr>
          <w:b/>
        </w:rPr>
        <w:t>Shared claim-specific concepts:</w:t>
      </w:r>
      <w:r>
        <w:t xml:space="preserve"> climate, not, reduction, role;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Battery Systems for Air Transport Climate Neutrality — https://doi.org/10.1007/978-3-031-97755-8_13</w:t>
      </w:r>
    </w:p>
    <w:p>
      <w:pPr/>
      <w:r>
        <w:rPr>
          <w:b/>
        </w:rPr>
        <w:t>Shared claim-specific concepts:</w:t>
      </w:r>
      <w:r>
        <w:t xml:space="preserve"> climate, neutrality, energy, key, role, technology; EU scope visible. This is a provisional connection, not an outcome finding.</w:t>
      </w:r>
    </w:p>
    <w:p>
      <w:pPr>
        <w:pStyle w:val="SourceNote"/>
      </w:pPr>
      <w:r>
        <w:rPr>
          <w:b/>
        </w:rPr>
        <w:t>Available abstract (not full text):</w:t>
      </w:r>
      <w:r>
        <w:t xml:space="preserve"> Abstract The aviation industry faces significant challenges in achieving climate neutrality by 2050, requiring a transition to advanced propulsion technologies and energy storage systems. This chapter examines the role of battery technologies in enabling electrified aircraft, assessing the current state-of-the-art battery systems, certification standards, and key performance indicators. It explores full-electric, hybrid-electric, and more-electric aircraft architectures, evaluating their feasibility across market segments and projecting battery performance requirements, the airborne battery market, and emission reductions through electrification by 2050. Case studies from ongoing European projects, such as HERA and HECATE, alongside industrial programs like Heart Aerospace’s ES-30 and ATR-EVO, are also discussed. Additionally, a structural battery concept is presented as a disruptive innovation for multifunctional energy storage, highlighting its potential to achieve higher energy densities compared to conventional integration concepts. The findings indicate that while battery technology advancements are critical for decarbonizing aviation, hybrid-electric and more-electric architectures will contribute approximately 3.5% to total emissions reductions. Though modest, this impact represents about 10% of the emissions reductions expected from technological developments by 2050. F</w:t>
      </w:r>
    </w:p>
    <w:p>
      <w:pPr>
        <w:pStyle w:val="Heading2"/>
      </w:pPr>
      <w:r>
        <w:t>634.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r>
        <w:rPr>
          <w:b/>
        </w:rPr>
        <w:t>POSSIBLE 2025:</w:t>
      </w:r>
      <w:r>
        <w:t xml:space="preserve"> Networks of Influence: A Social Network Analysis of Interest Group Politics in the European Union — https://openalex.org/W7139684145</w:t>
      </w:r>
    </w:p>
    <w:p>
      <w:pPr/>
      <w:r>
        <w:rPr>
          <w:b/>
        </w:rPr>
        <w:t>Shared claim-specific concepts:</w:t>
      </w:r>
      <w:r>
        <w:t xml:space="preserve"> six, network, degree, defined; EU scope visible. This is a provisional connection, not an outcome finding.</w:t>
      </w:r>
    </w:p>
    <w:p>
      <w:pPr>
        <w:pStyle w:val="SourceNote"/>
      </w:pPr>
      <w:r>
        <w:rPr>
          <w:b/>
        </w:rPr>
        <w:t>Available abstract (not full text):</w:t>
      </w:r>
      <w:r>
        <w:t xml:space="preserve"> This dissertation investigates how social network analysis can advance our understanding of interest group politics in the European Union. While existing scholarship has extensively examined the resources, strategies, and institutional access of interest groups, less attention has been paid to the relational dimensions of lobbying, specifically, how inter-organizational ties, network positions, and structural patterns shape political influence in EU policymaking. Structured around three standalone but interrelated articles, the dissertation combines conceptual innovation with empirical analysis. The first article provides a critical review of the theoretical contributions and methodological challenges of applying SNA to interest group research, identifying key advantages such as capturing coalition dynamics, mapping influence structures, and enabling comparative analysis across policy areas. The second article examines how an interest group’s network position affects its influence, defined as preference attainment, in the context of the 2020 public consultation on the reform of the EU Emissions Trading System. Using logistic regression models, it shows that groups occupying central positions, measured by degree and betweenness centrality, are more likely to shape policy outcomes in line with their stated preferences. The third article explores the structural determinants of tie</w:t>
      </w:r>
    </w:p>
    <w:p>
      <w:pPr>
        <w:pStyle w:val="Heading2"/>
      </w:pPr>
      <w:r>
        <w:t>635.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pStyle w:val="Heading2"/>
      </w:pPr>
      <w:r>
        <w:t>636.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637.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pStyle w:val="Heading2"/>
      </w:pPr>
      <w:r>
        <w:t>638.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639.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r>
        <w:rPr>
          <w:b/>
        </w:rPr>
        <w:t>POSSIBLE 2023:</w:t>
      </w:r>
      <w:r>
        <w:t xml:space="preserve"> Transformative Pathways from Farm to Table: Opportunities and Challenges for Public Food Procurement to (Re)build Regional Food Systems — https://doi.org/10.7302/8510</w:t>
      </w:r>
    </w:p>
    <w:p>
      <w:pPr/>
      <w:r>
        <w:rPr>
          <w:b/>
        </w:rPr>
        <w:t>Shared claim-specific concepts:</w:t>
      </w:r>
      <w:r>
        <w:t xml:space="preserve"> all, ultimately, also; EU scope visible. This is a provisional connection, not an outcome finding.</w:t>
      </w:r>
    </w:p>
    <w:p>
      <w:pPr>
        <w:pStyle w:val="SourceNote"/>
      </w:pPr>
      <w:r>
        <w:rPr>
          <w:b/>
        </w:rPr>
        <w:t>Available abstract (not full text):</w:t>
      </w:r>
      <w:r>
        <w:t xml:space="preserve"> Amid escalating global concerns regarding the adverse impacts of industrialized, profit-oriented food systems — including climate change, biodiversity loss, and disparities in access to healthy food — a wave of initiatives is emerging to reshape these market-driven food systems. From grassroots movements such as the Slow Food Movement and the local food movement, to newer government-led initiatives like the Milan Urban Food Policy Pact and Food Trails, these initiatives aim to overhaul institutional structures that underpin corporate-dominated practices across the food production, distribution, and consumption spectrum. For those actions to gain constant momentum, it is crucial to comprehend their operational mechanisms and how they can bring permanent change to conventional food systems. Focusing on the pivotal role that city governments and urban planning can play in food system innovation, this dissertation investigates the opportunities and challenges presented by public food procurement, an emerging government intervention strategy to enhance sustainability in regional food systems. Public food procurement utilizes public institutions such as schools, hospitals, and welfare facilities to directly connect local farmers and consumers, establishing local food supply chains that not only uplift the livelihoods of small and medium-scale sustainable farmers but also ensure that </w:t>
      </w:r>
    </w:p>
    <w:p>
      <w:pPr>
        <w:pStyle w:val="Heading2"/>
      </w:pPr>
      <w:r>
        <w:t>640.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pStyle w:val="Heading2"/>
      </w:pPr>
      <w:r>
        <w:t>641.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642.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pStyle w:val="Heading2"/>
      </w:pPr>
      <w:r>
        <w:t>643.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r>
        <w:rPr>
          <w:b/>
        </w:rPr>
        <w:t>POSSIBLE 2023:</w:t>
      </w:r>
      <w:r>
        <w:t xml:space="preserve"> This Looks Like Those: Illuminating Prototypical Concepts Using Multiple Visualizations — https://doi.org/10.52202/075280-1704</w:t>
      </w:r>
    </w:p>
    <w:p>
      <w:pPr/>
      <w:r>
        <w:rPr>
          <w:b/>
        </w:rPr>
        <w:t>Shared claim-specific concepts:</w:t>
      </w:r>
      <w:r>
        <w:t xml:space="preserve"> looks, instead, all; EU scope not established. This is a provisional connection, not an outcome finding.</w:t>
      </w:r>
    </w:p>
    <w:p>
      <w:pPr>
        <w:pStyle w:val="SourceNote"/>
      </w:pPr>
      <w:r>
        <w:rPr>
          <w:b/>
        </w:rPr>
        <w:t>Available abstract (not full text):</w:t>
      </w:r>
      <w:r>
        <w:t xml:space="preserve"> We present ProtoConcepts, a method for interpretable image classification combining deep learning and case-based reasoning using prototypical parts. Existing work in prototype-based image classification uses a ``this looks like that'' reasoning process, which dissects a test image by finding prototypical parts and combining evidence from these prototypes to make a final classification. However, all of the existing prototypical part-based image classifiers provide only one-to-one comparisons, where a single training image patch serves as a prototype to compare with a part of our test image. With these single-image comparisons, it can often be difficult to identify the underlying concept being compared (e.g., ``is it comparing the color or the shape?''). Our proposed method modifies the architecture of prototype-based networks to instead learn prototypical concepts which are visualized using multiple image patches. Having multiple visualizations of the same prototype allows us to more easily identify the concept captured by that prototype (e.g., ``the test image and the related training patches are all the same shade of blue''), and allows our model to create richer, more interpretable visual explanations. Our experiments show that our ``this looks like those'' reasoning process can be applied as a modification to a wide range of existing prototypical image classification network</w:t>
      </w:r>
    </w:p>
    <w:p>
      <w:pPr>
        <w:pStyle w:val="Heading2"/>
      </w:pPr>
      <w:r>
        <w:t>644.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r>
        <w:rPr>
          <w:b/>
        </w:rPr>
        <w:t>POSSIBLE 2024:</w:t>
      </w:r>
      <w:r>
        <w:t xml:space="preserve"> What about the alternatives? — https://doi.org/10.1017/9781108951968.032</w:t>
      </w:r>
    </w:p>
    <w:p>
      <w:pPr/>
      <w:r>
        <w:rPr>
          <w:b/>
        </w:rPr>
        <w:t>Shared claim-specific concepts:</w:t>
      </w:r>
      <w:r>
        <w:t xml:space="preserve"> not, about, alternative, them; EU scope not established. This is a provisional connection, not an outcome finding.</w:t>
      </w:r>
    </w:p>
    <w:p>
      <w:pPr>
        <w:pStyle w:val="SourceNote"/>
      </w:pPr>
      <w:r>
        <w:rPr>
          <w:b/>
        </w:rPr>
        <w:t>Available abstract (not full text):</w:t>
      </w:r>
      <w:r>
        <w:t xml:space="preserve"> The chapter draws some epistemic lessons from forgotten alternatives, theoretical conjectures that led to them, observational refutations, and the roles they played in building orthodox consensus. Most alternatives have never been fully developed, and some examples suggest that the potential for their improvement should not be underestimated. Moreover, viable alternatives and criticisms in cosmology can arrive piecemeal, not necessarily as fully worked out models. Finally, less apparent general theoretical assumptions may always lurk in the background of any model, a reflection on which may improve it or lead to a new one. Features of old models can once again become attractive, as the field interrelates various observations and theoretical presuppositions. The chapter offers some examples of this. It then ranks the alternative explanations in terms of plausibility, persuasiveness, and possible fruitfulness of some of their features.</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pStyle w:val="Heading2"/>
      </w:pPr>
      <w:r>
        <w:t>645.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2024:</w:t>
      </w:r>
      <w:r>
        <w:t xml:space="preserve"> The impact of COVID-19 on young people’s mental health, wellbeing and routine from a European perspective: A co-produced qualitative systematic review — https://doi.org/10.1371/journal.pone.0299547</w:t>
      </w:r>
    </w:p>
    <w:p>
      <w:pPr/>
      <w:r>
        <w:rPr>
          <w:b/>
        </w:rPr>
        <w:t>Shared claim-specific concepts:</w:t>
      </w:r>
      <w:r>
        <w:t xml:space="preserve"> appraisal, conducted; EU scope visible. This is a provisional connection, not an outcome finding.</w:t>
      </w:r>
    </w:p>
    <w:p>
      <w:pPr>
        <w:pStyle w:val="SourceNote"/>
      </w:pPr>
      <w:r>
        <w:rPr>
          <w:b/>
        </w:rPr>
        <w:t>Available abstract (not full text):</w:t>
      </w:r>
      <w:r>
        <w:t xml:space="preserve"> BACKGROUND: The impact of the Covid-19 pandemic on young people's (YP) mental health has been mixed. Systematic reviews to date have focused predominantly on quantitative studies and lacked involvement from YP with lived experience of mental health difficulties. Therefore, our primary aim was to conduct a qualitative systematic review to examine the perceived impact of the Covid-19 pandemic on YP's (aged 10-24) mental health and wellbeing across Europe. METHODS AND FINDINGS: We searched MEDLINE, PsycINFO, Embase, Web of Science, MEDRXIV, OSF preprints, Google, and voluntary sector websites for studies published from 1st January 2020 to 15th November 2022. European studies were included if they reported qualitative data that could be extracted on YP's (aged 10-24) own perspectives of their experiences of Covid-19 and related disruptions to their mental health and wellbeing. Screening, data extraction and appraisal was conducted independently in duplicate by researchers and YP with lived experience of mental health difficulties (co-researchers). Confidence was assessed using the Confidence in the Evidence from Reviews of Qualitative Research (CERQual) approach. We co-produced an adapted narrative thematic synthesis with co-researchers. This study is registered with PROSPERO, CRD42021251578. We found 82 publications and included 77 unique studies in our narrative synthesis. Most s</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pStyle w:val="Heading2"/>
      </w:pPr>
      <w:r>
        <w:t>646.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647.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pStyle w:val="Heading2"/>
      </w:pPr>
      <w:r>
        <w:t>648.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r>
        <w:rPr>
          <w:b/>
        </w:rPr>
        <w:t>POSSIBLE 2025:</w:t>
      </w:r>
      <w:r>
        <w:t xml:space="preserve"> Geospatial Insights into Healthcare Accessibility in Europe: A Scoping Review of GIS Applications — https://doi.org/10.3390/healthcare13222865</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Geographic Information Systems (GIS) have emerged as a critical tool in healthcare research, facilitating the assessment of healthcare accessibility through spatial analysis and data visualisation. This scoping review synthesises literature published between 2020 and 2024, a period marked by the COVID-19 pandemic and rapid methodological innovation, providing a timely overview of how GIS has been applied to evaluate healthcare access across European countries. Methods: The review underscores the role of GIS methodologies in identifying geographic disparities, optimising resource distribution, and informing policy decisions. Results: Key findings highlight significant urban-rural differences in healthcare access, shaped by factors such as transportation infrastructure, population density, and healthcare facility distribution. Additionally, GIS has proven valuable in examining the link between healthcare accessibility and utilisation, with better access generally correlating with higher service use. Conclusions: Despite its potential, challenges including data availability, methodological variability, and uneven adoption across regions limit its broader implementation. The review emphasises the need for integrating advanced technologies to foster more equitable healthcare access throughout Europe.</w:t>
      </w:r>
    </w:p>
    <w:p>
      <w:pPr>
        <w:pStyle w:val="Heading2"/>
      </w:pPr>
      <w:r>
        <w:t>649.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650.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pStyle w:val="Heading2"/>
      </w:pPr>
      <w:r>
        <w:t>651.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r>
        <w:rPr>
          <w:b/>
        </w:rPr>
        <w:t>POSSIBLE 2025:</w:t>
      </w:r>
      <w:r>
        <w:t xml:space="preserve"> Implementation of cites (convention on international trade in endangered species of wild fauna and flora) in dealing with illegal timber trade in Indonesia — https://doi.org/10.35335/jls.v7i1.5911</w:t>
      </w:r>
    </w:p>
    <w:p>
      <w:pPr/>
      <w:r>
        <w:rPr>
          <w:b/>
        </w:rPr>
        <w:t>Shared claim-specific concepts:</w:t>
      </w:r>
      <w:r>
        <w:t xml:space="preserve"> damage, trade, related; EU scope not established. This is a provisional connection, not an outcome finding.</w:t>
      </w:r>
    </w:p>
    <w:p>
      <w:pPr>
        <w:pStyle w:val="SourceNote"/>
      </w:pPr>
      <w:r>
        <w:rPr>
          <w:b/>
        </w:rPr>
        <w:t>Available abstract (not full text):</w:t>
      </w:r>
      <w:r>
        <w:t xml:space="preserve"> This research examines the implementation of the Convention on International Trade in Endangered Species of Wild Fauna and Flora in dealing with illegal timber trade in Indonesia. As a convention, CITES helps Indonesia deal with the illegal timber trade by making rules for timber traders. The problem of illegal logging and timber trade is a global crime. This action has damaged forests and even caused extinction for wildlife due to illegal logging for the benefit of certain groups. In this research, the author uses the literature study method by collecting information from reading which is then analyzed to get results. The purpose of this research is to find out the implementation of CITES in Indonesia in dealing with illegal timber trade that causes forest damage and loss. From the results of the study it can be found that Indonesia has ratified CITES and implemented it in the form of laws and Ministerial regulations. CITES is an international treaty that deals with plant and animal trade. Every country that ratifies CITES must be able to trade legally. By ratifying and making rules in Indonesia, timber trade can be carried out legally and pay attention to various aspects related to the environment. The implementation of CITES has an impact on forest protection, people can trade timber legally and protect animals in the forest.</w:t>
      </w:r>
    </w:p>
    <w:p>
      <w:pPr>
        <w:pStyle w:val="Heading2"/>
      </w:pPr>
      <w:r>
        <w:t>652.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r>
        <w:rPr>
          <w:b/>
        </w:rPr>
        <w:t>POSSIBLE 2023:</w:t>
      </w:r>
      <w:r>
        <w:t xml:space="preserve"> Pneumococcal Serotype Evolution and Burden in European Adults in the Last Decade: A Systematic Review — https://doi.org/10.3390/microorganisms11061376</w:t>
      </w:r>
    </w:p>
    <w:p>
      <w:pPr/>
      <w:r>
        <w:rPr>
          <w:b/>
        </w:rPr>
        <w:t>Shared claim-specific concepts:</w:t>
      </w:r>
      <w:r>
        <w:t xml:space="preserve"> additional, prevalent, cases; EU scope visible. This is a provisional connection, not an outcome finding.</w:t>
      </w:r>
    </w:p>
    <w:p>
      <w:pPr>
        <w:pStyle w:val="SourceNote"/>
      </w:pPr>
      <w:r>
        <w:rPr>
          <w:b/>
        </w:rPr>
        <w:t>Available abstract (not full text):</w:t>
      </w:r>
      <w:r>
        <w:t xml:space="preserve"> Pneumococcal disease is a major cause of morbidity/mortality worldwide, and vaccination is an important measure in its prevention. Despite European children being vaccinated with pneumococcal conjugate vaccines (PCVs), pneumococcal infections are still a major cause of morbidity/mortality in adults with risk conditions and their vaccination might be an important prevention strategy. New PCVs have been approved, but information is lacking on their potential impact in European adults. In our review, we searched PubMed, MEDLINE, and Embase for studies on the additional PCV20 serotypes (concerning incidence, prevalence, disease severity, lethality, and antimicrobial resistance) in European adults, between January 2010 and April 2022, having included 118 articles and data from 33 countries. We found that these serotypes have become more prevalent in both invasive and non-invasive pneumococcal disease (IPD and NIPD), representing a significant proportion of cases (serotypes 8, 12F, 22F) and more serious disease and/or lethality (10A, 11A, 15B, 22F), showing antimicrobial resistance (11A, 15B, 33F), and/or affecting more vulnerable individuals such as the elderly, immunocompromised patients, and those with comorbidities (8, 10A, 11A, 15B, 22F). The relevance of pneumococcal adult carriers (11A, 15B, 22F, and 8) was also identified. Altogether, our data showed an increase in the additi</w:t>
      </w:r>
    </w:p>
    <w:p>
      <w:pPr/>
      <w:r>
        <w:rPr>
          <w:b/>
        </w:rPr>
        <w:t>POSSIBLE 2023:</w:t>
      </w:r>
      <w:r>
        <w:t xml:space="preserve"> Estimating the Health and Economic Impact of Improved Management in Prevalent Chronic Obstructive Pulmonary Disease Populations in England, Germany, Canada, and Japan: A Modelling Study — https://doi.org/10.2147/copd.s416988</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Introduction: COPD is a leading cause of morbidity and mortality globally. Management is complex and costly. Although international quality standards for diagnosis and management exist, opportunities remain to improve outcomes, especially in reducing avoidable hospitalisations. Objective: To estimate the potential health and economic impact of improved adherence to guideline-recommended care for prevalent, on-treatment COPD populations in four high-income settings. Methods: A disease simulation model was developed to evaluate the impact of theoretical improvements to COPD management, comparing outcomes for usual care and policy scenarios for interventions that reduce avoidable hospitalisations: 1) increased attendance (50% vs 31-38%) of early follow-up review after severe exacerbation hospitalisation; 2) increased access (30% vs 5-10%) to an integrated disease management (IDM) programme that provides guideline adherent care. Results: For cohorts of 100,000 patients, Policy 1 yielded additional life years (England: 523; Germany: 759; Canada: 1316; Japan: 512) and lifetime cost savings (-£2.89 million; -€6.58 million; -$40.08 million; -¥735.58 million). For Policy 2, additional life years (2299; 3619; 3656) and higher lifetime total costs (£38.15 million; €35.58 million; ¥1091.53 million) were estimated in England, Germany and Japan, and additional life years (4299) and cost savi</w:t>
      </w:r>
    </w:p>
    <w:p>
      <w:pPr/>
      <w:r>
        <w:rPr>
          <w:b/>
        </w:rPr>
        <w:t>POSSIBLE 2023:</w:t>
      </w:r>
      <w:r>
        <w:t xml:space="preserve"> Alcohol use, dementia risk, and sex: a systematic review and assessment of alcohol-attributable dementia cases in Europe — https://doi.org/10.1186/s12877-023-03972-5</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High-risk alcohol use is an established modifiable risk factor for dementia. However, prior reviews have not addressed sex differences in alcohol-related dementia risk. In this systematic review, we take a sex-specific perspective towards the alcohol-dementia link, taking into account the age of dementia onset. METHODS: We searched electronic databases for original cohort or case-control studies investigating the association between alcohol use and dementia. Two restrictions were considered: First, studies had to report results stratified by sex. Second, given the fact that the age at dementia onset seems to affect the alcohol-dementia link, studies were required to distinguish between early-onset and late-onset dementia (cut-off: 65 years). Additionally, the contribution of alcohol to dementia incidence was quantified for a set of 33 European countries for the year 2019. RESULTS: We reviewed 3,157 reports, of which 7 publications were finally included and summarised narratively. A lower dementia risk when drinking alcohol infrequent or at moderate levels was found in men (three studies) and women (four studies). High-risk use and alcohol use disorders increased the risk of mild cognitive impairment and dementia, particularly early-onset dementia. Estimating the alcohol-attributable share of incident dementia cases revealed that 3.2% and 7.8% of incident dementia ca</w:t>
      </w:r>
    </w:p>
    <w:p>
      <w:pPr>
        <w:pStyle w:val="Heading2"/>
      </w:pPr>
      <w:r>
        <w:t>653.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654.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pStyle w:val="Heading2"/>
      </w:pPr>
      <w:r>
        <w:t>655.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pStyle w:val="Heading2"/>
      </w:pPr>
      <w:r>
        <w:t>656.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657.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658.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659.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r>
        <w:rPr>
          <w:b/>
        </w:rPr>
        <w:t>POSSIBLE 2025:</w:t>
      </w:r>
      <w:r>
        <w:t xml:space="preserve"> Development and evaluation of a method for classifying foods to be consumed in moderation — https://doi.org/10.1101/2025.03.20.25324317</w:t>
      </w:r>
    </w:p>
    <w:p>
      <w:pPr/>
      <w:r>
        <w:rPr>
          <w:b/>
        </w:rPr>
        <w:t>Shared claim-specific concepts:</w:t>
      </w:r>
      <w:r>
        <w:t xml:space="preserve"> food, consumed, assess; EU scope not established. This is a provisional connection, not an outcome finding.</w:t>
      </w:r>
    </w:p>
    <w:p>
      <w:pPr>
        <w:pStyle w:val="SourceNote"/>
      </w:pPr>
      <w:r>
        <w:rPr>
          <w:b/>
        </w:rPr>
        <w:t>Available abstract (not full text):</w:t>
      </w:r>
      <w:r>
        <w:t xml:space="preserve"> Abstract Background While the 2020-2025 Dietary Guidelines for Americans (DGA) recommend limiting foods high in added sugars, saturated fat, refined grains, and sodium, they do not provide criteria for classifying foods high in these components. Objective To develop and evaluate quantitative criteria for classifying moderation foods informed by the DGA. Design The 2017-2018 Food and Nutrient Database for Dietary Studies (FNDDS, n=6909 foods) was used to evaluate food-level content validity, by examining the proportion of moderation foods within recommended and non-recommended food groups, and convergent validity, by comparing nutrient density in moderation versus non-moderation foods. Dietary recall data from the cross-sectional, nationally representative National Health and Nutrition Examination Survey (2017-2018) were used to assess diet-level convergent validity, by investigating correlations of moderation food intake (% kcal) with overall diet quality. Participants/Setting Participants in the U.S. aged 2+ years (n=6180) were included. Main outcome measures The Nutrient Rich Foods 9.3 index (NRF) measured food-level nutrient density; Healthy Eating Index-2020 scores (HEI) measured person-level diet quality. Statistical Analyses T-tests and ANOVA evaluated differences in nutrient density by moderation food classification. Pearson’s correlations estimated associations of moder</w:t>
      </w:r>
    </w:p>
    <w:p>
      <w:pPr/>
      <w:r>
        <w:rPr>
          <w:b/>
        </w:rPr>
        <w:t>POSSIBLE 2025:</w:t>
      </w:r>
      <w:r>
        <w:t xml:space="preserve"> Editorial: Measuring diets and food choice in the context of a changing world — https://doi.org/10.3389/fnut.2025.1571706</w:t>
      </w:r>
    </w:p>
    <w:p>
      <w:pPr/>
      <w:r>
        <w:rPr>
          <w:b/>
        </w:rPr>
        <w:t>Shared claim-specific concepts:</w:t>
      </w:r>
      <w:r>
        <w:t xml:space="preserve"> types, food, consumed, along, dynamics, climate; EU scope visible. This is a provisional connection, not an outcome finding.</w:t>
      </w:r>
    </w:p>
    <w:p>
      <w:pPr>
        <w:pStyle w:val="SourceNote"/>
      </w:pPr>
      <w:r>
        <w:rPr>
          <w:b/>
        </w:rPr>
        <w:t>Available abstract (not full text):</w:t>
      </w:r>
      <w:r>
        <w:t xml:space="preserve"> As incomes rise and local food environments undergo rapid changes providing consumers with a wider array of options at competitive prices, understanding the underlying drivers of food choice including the preferences and values that underpin them has become increasingly important (Blake et al., 2023;Rampali et al., 2023). In recent years there have been renewed efforts to understand the drivers of food choice in the context of changing food environments and broader food system, and how these drivers link with food consumption (Karanga et al., 2022;Kim et al., 2024). The goal of this Research Topic was to look beyond dietary consumption (what people eat) by considering more holistically the various drivers of food choice (how and why people eat the foods they do), to better understand what underpins individual decisions (Blake et al., 2021). Ultimately, by understanding why people make the choices they do -especially when situated in the local food environment and/or broader food system -we can identify important entry points for behavior change interventions, develop a better understanding about the role of food safety in food choice decisions, improve the environment, climate, and food systems through improved knowledge on the drivers of food choice, and learn about how changing livelihoods shifts dynamics related to food choice, amongst other important research tied to driver</w:t>
      </w:r>
    </w:p>
    <w:p>
      <w:pPr>
        <w:pStyle w:val="Heading2"/>
      </w:pPr>
      <w:r>
        <w:t>660.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661.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2024:</w:t>
      </w:r>
      <w:r>
        <w:t xml:space="preserve"> Radiation-shielding concrete: A review of materials, performance, and the impact of radiation on concrete properties — https://doi.org/10.1016/j.jobe.2024.110800</w:t>
      </w:r>
    </w:p>
    <w:p>
      <w:pPr/>
      <w:r>
        <w:rPr>
          <w:b/>
        </w:rPr>
        <w:t>Shared claim-specific concepts:</w:t>
      </w:r>
      <w:r>
        <w:t xml:space="preserve"> radiation, power; EU scope not established. This is a provisional connection, not an outcome finding.</w:t>
      </w:r>
    </w:p>
    <w:p>
      <w:pPr>
        <w:pStyle w:val="SourceNote"/>
      </w:pPr>
      <w:r>
        <w:rPr>
          <w:b/>
        </w:rPr>
        <w:t>Available abstract (not full text):</w:t>
      </w:r>
      <w:r>
        <w:t xml:space="preserve"> The efficiency of radiation shielding is crucial across industries having radioactive activities, from medical facilities to nuclear power stations. Radiation-Shielding Concrete (RSC) emerges as the preferred material for its cost-effectiveness, robust mechanical performance, ease of production, and excellent radiation attenuation properties against ionizing radiations such as gamma rays, X-rays, and neutrons. This comprehensive review delves into the evolution of SCI indexed research on concrete materials for radiation protection, focusing primarily on studies published in the last decade. It meticulously analyze the latest literature to understand how RSC materials enhance radiation attenuation. The review provides valuable insights into the influence of irradiation on both macro- and micro-properties, enriching the knowledge base for material efficiency and effectiveness concerning different types of radiation and shielding requirements. Additionally, this review with a set of recommendations for future research to advance progress in modern construction, encouraging further examination and innovation in the selection of RSC materials. • The effectiveness of various materials in Radiation-Shielding Concrete (RSC) production has been identified and analysed. • The impact of irradiation on the micro and macro properties of concrete has been thoroughly explored. • The mechanism</w:t>
      </w:r>
    </w:p>
    <w:p>
      <w:pPr/>
      <w:r>
        <w:rPr>
          <w:b/>
        </w:rPr>
        <w:t>POSSIBLE 2024:</w:t>
      </w:r>
      <w:r>
        <w:t xml:space="preserve"> Hardware-Aware Neural Dropout Search for Reliable Uncertainty Prediction on FPGA — https://doi.org/10.1145/3649329.3656528</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The increasing deployment of artificial intelligence (AI) for critical decision-making amplifies the necessity for trustworthy AI, where uncertainty estimation plays a pivotal role in ensuring trustworthiness. Dropout-based Bayesian Neural Networks (BayesNNs) are prominent in this field, offering reliable uncertainty estimates. Despite their effectiveness, existing dropout-based BayesNNs typically employ a uniform dropout design across different layers, leading to suboptimal performance. Moreover, as diverse applications require tailored dropout strategies for optimal performance, manually optimizing dropout configurations for various applications is both error-prone and labor-intensive. To address these challenges, this paper proposes a novel neural dropout search framework that automatically optimizes both the dropout-based BayesNNs and their hardware implementations on FPGA. We leverage one-shot supernet training with an evolutionary algorithm for efficient dropout optimization. A layer-wise dropout search space is introduced to enable the automatic design of dropout-based BayesNNs with heterogeneous dropout configurations. Extensive experiments demonstrate that our proposed framework can effectively find design configurations on the Pareto frontier. Compared to manually-designed dropout-based BayesNNs on GPU, our search approach produces FPGA designs that can achieve up to </w:t>
      </w:r>
    </w:p>
    <w:p>
      <w:pPr>
        <w:pStyle w:val="Heading2"/>
      </w:pPr>
      <w:r>
        <w:t>662.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The Will to Decarbonize: Problematizing European Just Transition Governance — https://doi.org/10.1002/eet.70019</w:t>
      </w:r>
    </w:p>
    <w:p>
      <w:pPr/>
      <w:r>
        <w:rPr>
          <w:b/>
        </w:rPr>
        <w:t>Shared claim-specific concepts:</w:t>
      </w:r>
      <w:r>
        <w:t xml:space="preserve"> one, union, transition, economy; EU scope visible. This is a provisional connection, not an outcome finding.</w:t>
      </w:r>
    </w:p>
    <w:p>
      <w:pPr>
        <w:pStyle w:val="SourceNote"/>
      </w:pPr>
      <w:r>
        <w:rPr>
          <w:b/>
        </w:rPr>
        <w:t>Available abstract (not full text):</w:t>
      </w:r>
      <w:r>
        <w:t xml:space="preserve"> ABSTRACT In December 2019, the European Commission launched the European Green Deal (EGD) and hereby ramped up the climate ambitions of the European Union. Responding to a mounting sense of climate urgency, the European Commission proposed a comprehensive reform program to make the EU's economy climate neutral by 2050. In this paper, we trace the practical work undertaken to ensure that Europe's green transition is just and leaves no one behind. To that end, we turn to the Just Transition Platform, an online portal coordinated by the European Commission. By analysing the many guidelines, checklists, and event reports produced by this platform, we trace the problem objects towards which the EU's just transition efforts are directed, what practical techniques are deployed to act upon them in order to transform them, and ultimately, how they define what it means to be a modern and green European.</w:t>
      </w:r>
    </w:p>
    <w:p>
      <w:pPr>
        <w:pStyle w:val="Heading2"/>
      </w:pPr>
      <w:r>
        <w:t>663.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664.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665.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2025:</w:t>
      </w:r>
      <w:r>
        <w:t xml:space="preserve"> Overpopulation and Environmental Degradation: Selected Aspects — https://doi.org/10.31124/advance.174884583.34116156/v1</w:t>
      </w:r>
    </w:p>
    <w:p>
      <w:pPr/>
      <w:r>
        <w:rPr>
          <w:b/>
        </w:rPr>
        <w:t>Shared claim-specific concepts:</w:t>
      </w:r>
      <w:r>
        <w:t xml:space="preserve"> degradation, energy, air, water, problems, not; EU scope not established. This is a provisional connection, not an outcome finding.</w:t>
      </w:r>
    </w:p>
    <w:p>
      <w:pPr>
        <w:pStyle w:val="SourceNote"/>
      </w:pPr>
      <w:r>
        <w:rPr>
          <w:b/>
        </w:rPr>
        <w:t>Available abstract (not full text):</w:t>
      </w:r>
      <w:r>
        <w:t xml:space="preserve"> One of the most precarious issues that humanity is currently facing is the environmental degradation. Global population continues to rise in absolute terms despite generally declining birth rates. Poverty, overcrowding, air and water pollution are consequences of the populace excess. To find a remedy, a new attitude to the childbearing should be accepted worldwide: the procreation is a matter of public concern. Global acceptance of this maxim is a prerequisite of international understanding and trust. Several regions are discussed here in some detail: the former Soviet Union, sub-Saharan Africa, Southern Asia and the Middle East. The topics of migrations and reproductive coercion are briefly delineated here. Particular ways to alleviation of overpopulation-related problems are discussed: nuclear energy for water desalination in arid regions; permanent contraception, vasectomy and caesarean tubal sterilization. So far, the population size can be controlled using humane, scientifically based methods, taking into account ecological and economical realities. It will not stay that way forever.</w:t>
      </w:r>
    </w:p>
    <w:p>
      <w:pPr>
        <w:pStyle w:val="Heading2"/>
      </w:pPr>
      <w:r>
        <w:t>666.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2024:</w:t>
      </w:r>
      <w:r>
        <w:t xml:space="preserve"> Sea Level Rise in Europe: Summary for Policymakers — https://doi.org/10.5194/sp-3-slre1-1-2024</w:t>
      </w:r>
    </w:p>
    <w:p>
      <w:pPr/>
      <w:r>
        <w:rPr>
          <w:b/>
        </w:rPr>
        <w:t>Shared claim-specific concepts:</w:t>
      </w:r>
      <w:r>
        <w:t xml:space="preserve"> level, compared; EU scope visible. This is a provisional connection, not an outcome finding.</w:t>
      </w:r>
    </w:p>
    <w:p>
      <w:pPr>
        <w:pStyle w:val="SourceNote"/>
      </w:pPr>
      <w:r>
        <w:rPr>
          <w:b/>
        </w:rPr>
        <w:t>Available abstract (not full text):</w:t>
      </w:r>
      <w:r>
        <w:t xml:space="preserve"> Abstract. The European Knowledge Hub on Sea Level Rise (KH-SLR), an initiative by JPI Climate and JPI Oceans, has developed its first Assessment Report to address the challenges posed by sea level rise (SLR) in Europe. This report, preceded by a series of targeted surveys and workshops with researchers and stakeholders (e.g. coastal decision makers), has synthesized the current scientific knowledge on SLR drivers, impacts and policies at local, national, and European basin scales. It provides additional value by more in-depth and region-specific analyses on local sea level changes, compared to relevant global assessments such as by the Intergovernmental Panel on Climate Change (IPCC). In addition, it identified critical knowledge gaps supporting the development of actionable information. The Summary for Policy Makers (SPM) distills the key findings of the report, presenting information specific to each European basin (Mediterranean and Black Sea, North Sea, Baltic Sea, Atlantic and Arctic basins). It highlights region-specific trends, vulnerabilities, and potential impacts, while also orienting future requirements.</w:t>
      </w:r>
    </w:p>
    <w:p>
      <w:pPr/>
      <w:r>
        <w:rPr>
          <w:b/>
        </w:rPr>
        <w:t>POSSIBLE 2024:</w:t>
      </w:r>
      <w:r>
        <w:t xml:space="preserve"> GOVERNMENT EXPENDITURES ON HOUSEHOLD CONSUMPTION – LEVEL, CHANGES, AND THEIR RELATIONSHIP WITH SOCIO- -ECONOMIC DEVELOPMENT INDICATORS IN EUROPEAN COUNTRIES — https://doi.org/10.22630/aspe.2023.22.2.11</w:t>
      </w:r>
    </w:p>
    <w:p>
      <w:pPr/>
      <w:r>
        <w:rPr>
          <w:b/>
        </w:rPr>
        <w:t>Shared claim-specific concepts:</w:t>
      </w:r>
      <w:r>
        <w:t xml:space="preserve"> level, consumption, household, different; EU scope visible. This is a provisional connection, not an outcome finding.</w:t>
      </w:r>
    </w:p>
    <w:p>
      <w:pPr>
        <w:pStyle w:val="SourceNote"/>
      </w:pPr>
      <w:r>
        <w:rPr>
          <w:b/>
        </w:rPr>
        <w:t>Available abstract (not full text):</w:t>
      </w:r>
      <w:r>
        <w:t xml:space="preserve"> Aim: The aim of this article is to examine changes in government expenditures on household consumption in European countries and the relationship of these expenditures with socio-economic indicators. Methods: The study is based on data analysis from 36 European countries, using the Eurostat database and various rankings such as the Happiness Index, Human Development Index, Sustainable Development Goals, and Social Progress Index. The analysis focused on the trends in government expenditures on household consumption and aimed to explore the association between these expenditures and socio-economic indicators. Results: Significant changes in the share of government expenditures on household consumption in the GDP were observed among the studied countries during the period from 2011 to 2022. Some countries increased their expenditures, while others decreased them. Cluster analysis revealed four groups of countries based on the share of government expenditures on household consumption in GDP. Conclusions: There was no direct correlation between the level of government expenditures on household consumption and socio-economic indicators among the studied countries. Instead, variations in socio-economic development were observed among different groups of countries, regardless of the level of government expenditures on household consumption.</w:t>
      </w:r>
    </w:p>
    <w:p>
      <w:pPr>
        <w:pStyle w:val="Heading2"/>
      </w:pPr>
      <w:r>
        <w:t>667.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Foresight: Fifty Years to Think Your Futures — https://doi.org/10.1007/978-3-031-66100-6_4</w:t>
      </w:r>
    </w:p>
    <w:p>
      <w:pPr/>
      <w:r>
        <w:rPr>
          <w:b/>
        </w:rPr>
        <w:t>Shared claim-specific concepts:</w:t>
      </w:r>
      <w:r>
        <w:t xml:space="preserve"> foresight, two, time;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pStyle w:val="Heading2"/>
      </w:pPr>
      <w:r>
        <w:t>668.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669.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2025:</w:t>
      </w:r>
      <w:r>
        <w:t xml:space="preserve"> Efficiency Is Not Enough: A Critical Perspective on Environmentally Sustainable AI — https://doi.org/10.1145/3724500</w:t>
      </w:r>
    </w:p>
    <w:p>
      <w:pPr/>
      <w:r>
        <w:rPr>
          <w:b/>
        </w:rPr>
        <w:t>Shared claim-specific concepts:</w:t>
      </w:r>
      <w:r>
        <w:t xml:space="preserve"> enough, sustainable, beyond, not; EU scope not established. This is a provisional connection, not an outcome finding.</w:t>
      </w:r>
    </w:p>
    <w:p>
      <w:pPr>
        <w:pStyle w:val="SourceNote"/>
      </w:pPr>
      <w:r>
        <w:rPr>
          <w:b/>
        </w:rPr>
        <w:t>Available abstract (not full text):</w:t>
      </w:r>
      <w:r>
        <w:t xml:space="preserve"> Looking beyond efficiency in order to make machine learning more environmentally sustainable.</w:t>
      </w:r>
    </w:p>
    <w:p>
      <w:pPr>
        <w:pStyle w:val="Heading2"/>
      </w:pPr>
      <w:r>
        <w:t>670.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671.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r>
        <w:rPr>
          <w:b/>
        </w:rPr>
        <w:t>POSSIBLE 2025:</w:t>
      </w:r>
      <w:r>
        <w:t xml:space="preserve"> EUROPEAN CONSTRUCTION BETWEEN THE IDEA OF A UNITED EUROPE AND THE IDEA OF A UNITARY EUROPE.FROM THE IDEAS OF THE FOUNDING FATHERS TO THE CREATION OFTHE EUROPEAN COAL AND STEEL COMMUNITY, THE EUROPEAN ECONOMIC COMMUNITY AND THE EUROPEAN ATOMIC ENERGY COMMUNITY. — https://openalex.org/W7220638652</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COVID-19 Vaccine Distribution Patterns for Prioritized Age Group: Analysis of European Nations — https://doi.org/10.4236/ojepi.2025.151001</w:t>
      </w:r>
    </w:p>
    <w:p>
      <w:pPr/>
      <w:r>
        <w:rPr>
          <w:b/>
        </w:rPr>
        <w:t>Shared claim-specific concepts:</w:t>
      </w:r>
      <w:r>
        <w:t xml:space="preserve"> understand, several, among; EU scope visible. This is a provisional connection, not an outcome finding.</w:t>
      </w:r>
    </w:p>
    <w:p>
      <w:pPr>
        <w:pStyle w:val="SourceNote"/>
      </w:pPr>
      <w:r>
        <w:rPr>
          <w:b/>
        </w:rPr>
        <w:t>Available abstract (not full text):</w:t>
      </w:r>
      <w:r>
        <w:t xml:space="preserve"> The emergence of the SARS-CoV-2 virus resulted in a health and economic crisis worldwide. Although everyone is susceptible to COVID-19, the elderly have compromised immune systems and often suffer from chronic underlying diseases, which makes them more vulnerable. This study aims to assess variation in COVID-19 vaccine distribution patterns across different age groups in European countries and to understand the extent to which European countries have prioritized vulnerable age groups (age &gt; 70) in their vaccination programs. The study utilized open data from the European Center for Disease Prevention and Control (ECDC) and employed an observational, retrospective study design to examine the distribution of the COVID-19 vaccine among various age groups in several European countries from September 2021 to September 2023. Results reveal that vaccination rates increase with age, peaking at the 25 - 49 age group (1.34 × 10−4), after which there was a decline in vaccination rate. Analysis of variance (ANOVA) was used to investigate the equality of vaccination rates across the 29 countries in Europe, which resulted in a p-value of 70) during the study period as no country achieved the 70% coverage aimed by WHO. Continuous efforts must be made to ensure larger coverage of COVID-19 vaccination among this vulnerable population in order to protect them from severe outcomes in this region.</w:t>
      </w:r>
    </w:p>
    <w:p>
      <w:pPr/>
      <w:r>
        <w:rPr>
          <w:b/>
        </w:rPr>
        <w:t>POSSIBLE 2025:</w:t>
      </w:r>
      <w:r>
        <w:t xml:space="preserve"> EUROPEAN CONSTRUCTION BETWEEN THE IDEA OF A UNITED EUROPE — https://doi.org/10.61846/cuji-ssh.2025.2.06</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Do European Social Funds Matter in Achieving the Sustainable Development Goals? — https://doi.org/10.3390/su17020381</w:t>
      </w:r>
    </w:p>
    <w:p>
      <w:pPr/>
      <w:r>
        <w:rPr>
          <w:b/>
        </w:rPr>
        <w:t>Shared claim-specific concepts:</w:t>
      </w:r>
      <w:r>
        <w:t xml:space="preserve"> aim, achieving,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pStyle w:val="Heading2"/>
      </w:pPr>
      <w:r>
        <w:t>672.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r>
        <w:rPr>
          <w:b/>
        </w:rPr>
        <w:t>POSSIBLE 2024:</w:t>
      </w:r>
      <w:r>
        <w:t xml:space="preserve"> Predicting the spatio‐temporal dynamics of biological invasions: Have rapid responses in Europe limited the spread of the yellow‐legged hornet ( Vespa velutina nigrithorax )? — https://doi.org/10.1111/1365-2664.14829</w:t>
      </w:r>
    </w:p>
    <w:p>
      <w:pPr/>
      <w:r>
        <w:rPr>
          <w:b/>
        </w:rPr>
        <w:t>Shared claim-specific concepts:</w:t>
      </w:r>
      <w:r>
        <w:t xml:space="preserve"> approach, high; EU scope visible. This is a provisional connection, not an outcome finding.</w:t>
      </w:r>
    </w:p>
    <w:p>
      <w:pPr>
        <w:pStyle w:val="SourceNote"/>
      </w:pPr>
      <w:r>
        <w:rPr>
          <w:b/>
        </w:rPr>
        <w:t>Available abstract (not full text):</w:t>
      </w:r>
      <w:r>
        <w:t xml:space="preserve"> Abstract Invasive alien species can have severe impacts on biodiversity, economies, and well‐being and their long‐term management can involve massive costs. There is an increasing policy imperative to determine whether the management of biological invasions is effective, particularly at biological invasion fronts, but this can often be difficult to determine without extensive data collection. Furthermore, risk assessment frameworks are often used to guide decision‐making and management, but these can be hampered by a lack of information about the extent and dynamics of a biological invasion following an introduction within a new region. Incorporating information on the dynamics of biological invasions into these frameworks could provide useful information for decision‐makers including a baseline for evaluating ongoing management approaches. Here, we outline a generalisable mechanistic species distribution modelling framework that is informed by patterns of spread observed in other invaded regions and can provide a relatively rapid assessment of the likely spatial and temporal dynamics of a biological invasion in the absence of interventions. To demonstrate this approach, we consider the effectiveness of rapid eradications carried out in four European countries to prevent the spread of the yellow‐legged hornet ( Vespa velutina nigrithorax ) following the implementation of Regula</w:t>
      </w:r>
    </w:p>
    <w:p>
      <w:pPr>
        <w:pStyle w:val="Heading2"/>
      </w:pPr>
      <w:r>
        <w:t>673.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2025:</w:t>
      </w:r>
      <w:r>
        <w:t xml:space="preserve"> Staying aspirations among Hungarian minority students in Central and Eastern Europe — https://doi.org/10.37441/cejer/2025/7/2/16931</w:t>
      </w:r>
    </w:p>
    <w:p>
      <w:pPr/>
      <w:r>
        <w:rPr>
          <w:b/>
        </w:rPr>
        <w:t>Shared claim-specific concepts:</w:t>
      </w:r>
      <w:r>
        <w:t xml:space="preserve"> hungarian, opportunities, among; EU scope visible. This is a provisional connection, not an outcome finding.</w:t>
      </w:r>
    </w:p>
    <w:p>
      <w:pPr>
        <w:pStyle w:val="SourceNote"/>
      </w:pPr>
      <w:r>
        <w:rPr>
          <w:b/>
        </w:rPr>
        <w:t>Available abstract (not full text):</w:t>
      </w:r>
      <w:r>
        <w:t xml:space="preserve"> Research on youth mobility in Central and Eastern Europe has primarily focused on migration intentions and the drivers of out-migration. Much less attention has been paid to the motivations behind staying, particularly among national minority youth living in peripheral regions. This study examines the staying aspirations of Hungarian minority university students in Central and Eastern Europe and explores the demographic, human, economic, and sociocultural factors that shape their intentions to remain in their home regions. Drawing on the aspiration–capability framework developed by Carling and Schewel, the study analyses survey data from 1,107 hungarian minority students enrolled in higher education institutions across several Central and Eastern European countries. Using multivariate statistical models, the analysis investigates how different forms of capital and regional embeddedness influence students’ aspirations to stay rather than migrate. The findings suggest that staying aspirations are not merely the result of limited mobility opportunities. Instead, they are strongly associated with sociocultural embeddedness, minority community ties, and forms of social capital that connect students to their local environments. These results challenge the dominant migration-centred perspective in mobility research and highlight the importance of immobility as an active and meaningful</w:t>
      </w:r>
    </w:p>
    <w:p>
      <w:pPr>
        <w:pStyle w:val="Heading2"/>
      </w:pPr>
      <w:r>
        <w:t>674.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Pushed by markets, pulled by machines: Economic pressures and the backlash to the European Union — https://doi.org/10.1177/14651165251395305</w:t>
      </w:r>
    </w:p>
    <w:p>
      <w:pPr/>
      <w:r>
        <w:rPr>
          <w:b/>
        </w:rPr>
        <w:t>Shared claim-specific concepts:</w:t>
      </w:r>
      <w:r>
        <w:t xml:space="preserve"> mitigate, effect; EU scope visible. This is a provisional connection, not an outcome finding.</w:t>
      </w:r>
    </w:p>
    <w:p>
      <w:pPr>
        <w:pStyle w:val="SourceNote"/>
      </w:pPr>
      <w:r>
        <w:rPr>
          <w:b/>
        </w:rPr>
        <w:t>Available abstract (not full text):</w:t>
      </w:r>
      <w:r>
        <w:t xml:space="preserve"> Global economic integration and automation technologies destabilise employment and threaten workers’ economic security, yet their combined political effects remain understudied. Using data from the ninth wave of the European Social Survey, this study examines how automation risks, measured by routine-task intensity and export-driven market pressure, foster Euroscepticism. This study finds that while routineness alone has a modest effect, its combination with trade exposure significantly amplifies negative sentiment towards the European Union, especially among individuals who perceive society as unfair and support redistribution. These economic vulnerabilities not only fuel Euroscepticism but also increase support for withdrawal from the European Union. The findings highlight the need for policies that mitigate technology-driven displacement, particularly for workers with high routine-task intensity in export-oriented sectors, with reinforcing fairness and redistributive mechanisms to sustain support for European integration.</w:t>
      </w:r>
    </w:p>
    <w:p>
      <w:pPr/>
      <w:r>
        <w:rPr>
          <w:b/>
        </w:rPr>
        <w:t>POSSIBLE 2025:</w:t>
      </w:r>
      <w:r>
        <w:t xml:space="preserve"> The Impact global and domestic uncertainty on FDI: evidence from MENA — https://doi.org/10.21608/zcom.2025.394285.1461</w:t>
      </w:r>
    </w:p>
    <w:p>
      <w:pPr/>
      <w:r>
        <w:rPr>
          <w:b/>
        </w:rPr>
        <w:t>Shared claim-specific concepts:</w:t>
      </w:r>
      <w:r>
        <w:t xml:space="preserve"> find, uncertainty; EU scope not established. This is a provisional connection, not an outcome finding.</w:t>
      </w:r>
    </w:p>
    <w:p>
      <w:pPr>
        <w:pStyle w:val="SourceNote"/>
      </w:pPr>
      <w:r>
        <w:rPr>
          <w:b/>
        </w:rPr>
        <w:t>Available abstract (not full text):</w:t>
      </w:r>
      <w:r>
        <w:t xml:space="preserve"> This study examines the impact of global and domestic uncertainty on foreign direct investment (FDI) for 21 countries in the Middle East and North Africa (MENA) over the period from 1990 to 2023, using dynamic panel data techniques to consider potential endogeneity of uncertainty and utilized the Generalized Method of Moments (GMM). The findings of the paper reveal an inverted U-shaped relationship between global uncertainty and FDI inflows. We find that global uncertainty plays a central role in shaping foreign investment decisions. Investors tend to increase FDI inflows at moderate levels of uncertainty, but they withdraw or hesitate when global uncertainty levels rise. Additionally, the study finds that increasing the levels of domestic uncertainty, and inflation rate discourages foreign investors from investing in the host country, whereas trade openness and growth rate increase investors’ confidence in increasing FDI inflow in the host country.Key Words FDI; global uncertainty; Domestic uncertainty; MENA JEL F21; F23; E32; D81; O53</w:t>
      </w:r>
    </w:p>
    <w:p>
      <w:pPr/>
      <w:r>
        <w:rPr>
          <w:b/>
        </w:rPr>
        <w:t>POSSIBLE 2025:</w:t>
      </w:r>
      <w:r>
        <w:t xml:space="preserve"> A new index for climate‐induced migration uncertainty — https://doi.org/10.1111/imig.13384</w:t>
      </w:r>
    </w:p>
    <w:p>
      <w:pPr/>
      <w:r>
        <w:rPr>
          <w:b/>
        </w:rPr>
        <w:t>Shared claim-specific concepts:</w:t>
      </w:r>
      <w:r>
        <w:t xml:space="preserve"> uncertainty, index, specific, effect; EU scope not established. This is a provisional connection, not an outcome finding.</w:t>
      </w:r>
    </w:p>
    <w:p>
      <w:pPr>
        <w:pStyle w:val="SourceNote"/>
      </w:pPr>
      <w:r>
        <w:rPr>
          <w:b/>
        </w:rPr>
        <w:t>Available abstract (not full text):</w:t>
      </w:r>
      <w:r>
        <w:t xml:space="preserve"> Abstract The impact of climate change on the world has been significant, leading to various efforts to reduce its risks. This study aims to create a new index to measure the uncertainty surrounding migration due to climate change. It uses a range of international newspapers with a global readership. Although climate change has increasingly influenced migration decisions in vulnerable areas, there is still a lack of quantitative research exploring this connection, which our study aims to address. The index indicates a growing trend in climate‐induced migration decisions, especially over the last two decades, supporting the study's purpose. We also present empirical results that validate the depressing effect of the uncertainty index on per Capita GDP growth at global, regional and country‐specific levels. The index has various practical applications and can be useful for future research.</w:t>
      </w:r>
    </w:p>
    <w:p>
      <w:pPr>
        <w:pStyle w:val="Heading2"/>
      </w:pPr>
      <w:r>
        <w:t>675.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empirical, influence, methods;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2024:</w:t>
      </w:r>
      <w:r>
        <w:t xml:space="preserve"> The impact of digitalization on the economic growth of the European Union: an empirical study — https://doi.org/10.15587/1729-4061.2024.304256</w:t>
      </w:r>
    </w:p>
    <w:p>
      <w:pPr/>
      <w:r>
        <w:rPr>
          <w:b/>
        </w:rPr>
        <w:t>Shared claim-specific concepts:</w:t>
      </w:r>
      <w:r>
        <w:t xml:space="preserve"> empirical, influence, factors; EU scope visible. This is a provisional connection, not an outcome finding.</w:t>
      </w:r>
    </w:p>
    <w:p>
      <w:pPr>
        <w:pStyle w:val="SourceNote"/>
      </w:pPr>
      <w:r>
        <w:rPr>
          <w:b/>
        </w:rPr>
        <w:t>Available abstract (not full text):</w:t>
      </w:r>
      <w:r>
        <w:t xml:space="preserve"> The object of this study was the process of digitalization of the economy and society of the European Union. The task of researching the impact of digitalization on the economic growth of the European Union has been solved. The relevance of the chosen topic is due to the complexity of digital transformation processes taking place in the world economy and the economy of the European Union, in particular, the need to assess their directions and intensity. Four approaches to modeling the impact of digitalization on economic growth based on the neoclassical production function were proposed. The structure of the model was chosen, which makes it possible to evaluate the influence of various factors of digitalization on the key parameters of economic growth. A regression multivariate model for assessing the impact of digitalization on the economic growth of the European Union has been developed. To this end, a sequence of stages was performed: formation of the information base, grouping of digitalization factors, as well as their selection based on correlation analysis. With the help of regression analysis, the parameters of the production function were expressed through digitalization indicators. At the same time, due to the limitation of input data, the Elastic Net Regression method was used. This made it possible to ensure the quality of the new model, namely, to remove low-impact</w:t>
      </w:r>
    </w:p>
    <w:p>
      <w:pPr>
        <w:pStyle w:val="Heading2"/>
      </w:pPr>
      <w:r>
        <w:t>676.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pStyle w:val="Heading2"/>
      </w:pPr>
      <w:r>
        <w:t>677.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Central and Eastern Europe — https://doi.org/10.4324/9781003306900-38</w:t>
      </w:r>
    </w:p>
    <w:p>
      <w:pPr/>
      <w:r>
        <w:rPr>
          <w:b/>
        </w:rPr>
        <w:t>Shared claim-specific concepts:</w:t>
      </w:r>
      <w:r>
        <w:t xml:space="preserve"> period, other, extreme, area; EU scope visible. This is a provisional connection, not an outcome finding.</w:t>
      </w:r>
    </w:p>
    <w:p>
      <w:pPr>
        <w:pStyle w:val="SourceNote"/>
      </w:pPr>
      <w:r>
        <w:rPr>
          <w:b/>
        </w:rPr>
        <w:t>Available abstract (not full text):</w:t>
      </w:r>
      <w:r>
        <w:t xml:space="preserve"> This chapter traces and evaluates three decades of scholarly debate on the democratic development of Central and Eastern Europe (CEE) from skepticism about the region&amp;s;s democratic potential in the immediate aftermath of the fall of communism, through the qualified optimism of the “return to Europe” period, to current fears of region-wide democratic backsliding. However, while much of the recent “backsliding paradigm” focuses on the extreme cases of Hungary and Poland, their pattern of autocratization through executive aggrandizement still remains the exception in CEE. Area studies literature, especially focusing on corruption and technocracy, suggests that elsewhere in the region other processes of democratic degradation may matter more. The chapter reviews the ways in which CEE&amp;s;s evolving political regimes have been studied to draw wider lessons for scholars of comparative autocratization. In particular, the authors argue, a closer look at CEE alerts us to the need to focus more on regional patterns and specificities; better distinguish processes of executive-led autocratization from other processes of democratic degradation; and be wary of searching for elegant but limiting universal causal models of autocratization.</w:t>
      </w:r>
    </w:p>
    <w:p>
      <w:pPr/>
      <w:r>
        <w:rPr>
          <w:b/>
        </w:rPr>
        <w:t>POSSIBLE 2024:</w:t>
      </w:r>
      <w:r>
        <w:t xml:space="preserve"> Indian Psychiatric Society: Vision for future — https://doi.org/10.4103/indianjpsychiatry.indianjpsychiatry_16_24</w:t>
      </w:r>
    </w:p>
    <w:p>
      <w:pPr/>
      <w:r>
        <w:rPr>
          <w:b/>
        </w:rPr>
        <w:t>Shared claim-specific concepts:</w:t>
      </w:r>
      <w:r>
        <w:t xml:space="preserve"> period, other, because, indian; EU scope visible. This is a provisional connection, not an outcome finding.</w:t>
      </w:r>
    </w:p>
    <w:p>
      <w:pPr>
        <w:pStyle w:val="SourceNote"/>
      </w:pPr>
      <w:r>
        <w:rPr>
          <w:b/>
        </w:rPr>
        <w:t>Available abstract (not full text):</w:t>
      </w:r>
      <w:r>
        <w:t xml:space="preserve"> I have chosen to write about Indian Psychiatric Society’s (IPS) vision for future, and I must confess that this vision is not exactly mine. It has taken shape in last 30 years of my multi-level involvement in IPS affairs and 20 years of active presence at national level leadership. It is a shared or collective vision being synthesized and scripted by me. PSYCHIATRY FOR INDIAN SOCIETY Let me take you back in the first week of January 1947 when Delhi University was hosting 34th Indian Science Congress. It was a momentous occasion because Pandit Jawaharlal Nehru was the President of the congress and for the first time scientists from all prominent countries were participating on his invitation. In this historic year when Indian tricolour was getting ready to be unfurled in the free air of an independent nahour, Pandit Nehru delivered his Presidential Address titled – Science at the Service of Nation. Such was the occasion and intellectual atmosphere when handful of Indian psychiatrists met on 7th January and formed a new organisation - Indian Psychiatric Society. In the context of birth-story, “Indian Psychiatric Society” does not mean only a “psychiatric society of India”, but also “psychiatry for Indian society”. I am highlighting this because in British times mental asylums/hospitals wore discriminatory names such as European and Indian, and it was our first President Col Dhunj</w:t>
      </w:r>
    </w:p>
    <w:p>
      <w:pPr/>
      <w:r>
        <w:rPr>
          <w:b/>
        </w:rPr>
        <w:t>POSSIBLE 2024:</w:t>
      </w:r>
      <w:r>
        <w:t xml:space="preserve"> Indian Festivals: A Booster Dose for the Indian Economy — https://doi.org/10.11648/j.ijefm.20241206.21</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Festivals have great importance in India. People celebrate festivals with great pomp and show. During the festive season, this also gives a booster dose to the Indian economy. During the festival season, the Indian economy gets an opportunity to take off. In a year's festive season, India has an estimated turnover of about four lakh crores. Festivals have special significance in Indian culture. Indian citizens celebrate these festivals with devotion and enthusiasm. During these festivals, retail trade worth between Rs 1 to 2 lakh crore takes place in the country, which is a very large part of the retail trade done during the whole year. During the festive period, lakhs of new employment opportunities are created and there is a great deal of employment. The objective of this research article is to explain the contribution of Indian festivals in strengthening the Indian economy. Purpose: This paper examined how Indian festivals a booster dose for the Indian economy. Economic and non-economic factors are associated with people’s happiness in India. Methodology: This paper determined the significant factors that affected the average happiness of the Indian population by using a comparative analytical method and an ordinary least square regression analysis. These data are available by the Confederation of All India Traders (CAIT) Report on Diwali Sales, 2023, Retailers Association o</w:t>
      </w:r>
    </w:p>
    <w:p>
      <w:pPr>
        <w:pStyle w:val="Heading2"/>
      </w:pPr>
      <w:r>
        <w:t>678.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pStyle w:val="Heading2"/>
      </w:pPr>
      <w:r>
        <w:t>679.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pStyle w:val="Heading2"/>
      </w:pPr>
      <w:r>
        <w:t>680.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r>
        <w:rPr>
          <w:b/>
        </w:rPr>
        <w:t>POSSIBLE 2024:</w:t>
      </w:r>
      <w:r>
        <w:t xml:space="preserve"> Assessing the Differentiated Impacts of COVID-19 on the Immigration Flows to Europe — https://doi.org/10.1177/01979183241242445</w:t>
      </w:r>
    </w:p>
    <w:p>
      <w:pPr/>
      <w:r>
        <w:rPr>
          <w:b/>
        </w:rPr>
        <w:t>Shared claim-specific concepts:</w:t>
      </w:r>
      <w:r>
        <w:t xml:space="preserve"> drawing, covid-19, pandemic, explore; EU scope visible. This is a provisional connection, not an outcome finding.</w:t>
      </w:r>
    </w:p>
    <w:p>
      <w:pPr>
        <w:pStyle w:val="SourceNote"/>
      </w:pPr>
      <w:r>
        <w:rPr>
          <w:b/>
        </w:rPr>
        <w:t>Available abstract (not full text):</w:t>
      </w:r>
      <w:r>
        <w:t xml:space="preserve"> The immediate effects of COVID-19 on mortality, fertility, and internal and international migration have been widely studied. Particularly, immigration to high-income countries declined in 2020. However, the persistence of these declines and the extent to which they have impacted different migration flows are yet to be established. Drawing on immigration flows from Eurostat and Autoregressive Integrated Moving Average (ARIMA) time-series models, we assess the impact of COVID-19 on different immigration streams to seven European countries. We forecast counterfactual levels of immigration in 2020 and 2021 assuming no pandemic, and compare these estimates with actual immigration counts. We use regression modeling to explore the role of immigrants’ origin, distance, stringency measures, and gross domestic product (GDP) trends at origins and destinations as potential driving forces of changes in immigration during COVID-19. Our results show that, while there was a general decline in immigration during 2020, inflows returned to expected levels in 2021, except for Spain. However, drops in immigration flows from countries outside the Schengen Area to Europe persisted in 2021. Immigrants’ origin emerged as the main factor modulating immigration changes during the pandemic, and to a lesser extent stringency measures and GDP trends in destination countries. Contextual factors at origin se</w:t>
      </w:r>
    </w:p>
    <w:p>
      <w:pPr/>
      <w:r>
        <w:rPr>
          <w:b/>
        </w:rPr>
        <w:t>POSSIBLE 2024:</w:t>
      </w:r>
      <w:r>
        <w:t xml:space="preserve"> Why Do We Need Participatory Democratic Innovations in Southeast Europe? — https://doi.org/10.4324/9781003426103-1</w:t>
      </w:r>
    </w:p>
    <w:p>
      <w:pPr/>
      <w:r>
        <w:rPr>
          <w:b/>
        </w:rPr>
        <w:t>Shared claim-specific concepts:</w:t>
      </w:r>
      <w:r>
        <w:t xml:space="preserve"> need, innovations, explore; EU scope visible. This is a provisional connection, not an outcome finding.</w:t>
      </w:r>
    </w:p>
    <w:p>
      <w:pPr>
        <w:pStyle w:val="SourceNote"/>
      </w:pPr>
      <w:r>
        <w:rPr>
          <w:b/>
        </w:rPr>
        <w:t>Available abstract (not full text):</w:t>
      </w:r>
      <w:r>
        <w:t xml:space="preserve"> This chapter is an opening to the edited volume that critically examines the intersection of social movements, participatory governance and democratic innovations in Southeast Europe. We introduce the chapters that explore the historical experiences and the contemporary evolving landscape of democracy in the region, discussing the challenges of representative democracy, rising autocratization and the potential for democratic innovations in creating more inclusive societies. The contributors to this volume assess the connections between participatory models with civic engagement and institutional practices, shedding light on the dynamic relationship between bottom-up activism and top-down governance.</w:t>
      </w:r>
    </w:p>
    <w:p>
      <w:pPr>
        <w:pStyle w:val="Heading2"/>
      </w:pPr>
      <w:r>
        <w:t>681.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r>
        <w:rPr>
          <w:b/>
        </w:rPr>
        <w:t>POSSIBLE 2024:</w:t>
      </w:r>
      <w:r>
        <w:t xml:space="preserve"> Reading The Literature on Female Labor Force Participation Rates with Content Analysis — https://doi.org/10.55065/intraders.1499108</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study aims to examine the literature on female labor force participation rates through qualitative content analysis. Data samples include international scientific research articles from the Scopus data base for (2000-2023). Data were collected by transferring the articles to the MAXQDA 2020 software and coding the themes with the software. Expert control used to ensure the reliability of the research. Our study allowed us to see the changing dimensions of the subject in the articles examined. The focus points were based on the research method used in the publications, theoretical framework, increasing FLFP and its reasons, reasons for the decrease, the direction and size of the variables affecting FLFP changing over time, starting from the date of publication. When the reasons for the increase in women's participation in the workforce are examined, it is seen that factors such as education, increased childcare opportunities, age factor, adaptation to home technologies, women being married and wages are effective, respectively. Accordingly; the "wage factor" is not as obvious as it is thought in the increase in women's participation in the workforce. When the reasons for the decrease in women's participation in the workforce are examined, it is seen that there are fertility, alcohol consumption and transportation problems. It is seen that these obstacles are gender-related,</w:t>
      </w:r>
    </w:p>
    <w:p>
      <w:pPr>
        <w:pStyle w:val="Heading2"/>
      </w:pPr>
      <w:r>
        <w:t>682.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pStyle w:val="Heading2"/>
      </w:pPr>
      <w:r>
        <w:t>683.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pStyle w:val="Heading2"/>
      </w:pPr>
      <w:r>
        <w:t>684.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2025:</w:t>
      </w:r>
      <w:r>
        <w:t xml:space="preserve"> A framework to predict zoonotic hosts under data uncertainty: A case study on betacoronaviruses — https://doi.org/10.1111/2041-210x.14500</w:t>
      </w:r>
    </w:p>
    <w:p>
      <w:pPr/>
      <w:r>
        <w:rPr>
          <w:b/>
        </w:rPr>
        <w:t>Shared claim-specific concepts:</w:t>
      </w:r>
      <w:r>
        <w:t xml:space="preserve"> data, uncertainty, average, different; EU scope not established. This is a provisional connection, not an outcome finding.</w:t>
      </w:r>
    </w:p>
    <w:p>
      <w:pPr>
        <w:pStyle w:val="SourceNote"/>
      </w:pPr>
      <w:r>
        <w:rPr>
          <w:b/>
        </w:rPr>
        <w:t>Available abstract (not full text):</w:t>
      </w:r>
      <w:r>
        <w:t xml:space="preserve"> Abstract 1. Modelling approaches aimed at identifying currently unknown hosts of zoonotic diseases have the potential to make high-impact contributions to global strategies for zoonotic risk surveillance. However, geographical and taxonomic biases in host-pathogen associations might influence reliability of models and their predictions. 2. Here we propose a methodological framework to mitigate the effect of biases in host–pathogen data and account for uncertainty in models’ predictions. Our approach involves identifying “pseudo-negative” species and integrating sampling biases into the modelling pipeline. We present an application on the Betacoronavirus genus and provide estimates of mammal-borne betacoronavirus hazard at the global scale. 3. We show that the inclusion of pseudo-negatives in the analysis improves the overall performance of our model significantly (AUC = 0.82 and PR-AUC = 0.48, on average) compared to a model that does not use pseudo-negatives (AUC = 0.75 and PR-AUC = 0.39, on average), reducing the rate of false positives. Results of our application unveil currently unrecognised hotspots of betacoronavirus hazard in subequatorial Africa, and South America. 4. Our approach addresses crucial limitations in host–virus association modelling, with important downstream implications for zoonotic risk assessments. The proposed framework is adaptable to different multi-</w:t>
      </w:r>
    </w:p>
    <w:p>
      <w:pPr>
        <w:pStyle w:val="Heading2"/>
      </w:pPr>
      <w:r>
        <w:t>685.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686.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key, factors, across;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2025:</w:t>
      </w:r>
      <w:r>
        <w:t xml:space="preserve"> Outlook on the knowledge gaps to reduce land degradation in Europe — https://doi.org/10.3897/soils4europe.e148999</w:t>
      </w:r>
    </w:p>
    <w:p>
      <w:pPr/>
      <w:r>
        <w:rPr>
          <w:b/>
        </w:rPr>
        <w:t>Shared claim-specific concepts:</w:t>
      </w:r>
      <w:r>
        <w:t xml:space="preserve"> project, horizon, identification;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pStyle w:val="Heading2"/>
      </w:pPr>
      <w:r>
        <w:t>687.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r>
        <w:rPr>
          <w:b/>
        </w:rPr>
        <w:t>POSSIBLE 2024:</w:t>
      </w:r>
      <w:r>
        <w:t xml:space="preserve"> EUROPEAN PARLIAMENT: GENDER ASPECT OF LAW-MAKING PROCESS — https://doi.org/10.35634/2587-9030-2024-8-2-208-219</w:t>
      </w:r>
    </w:p>
    <w:p>
      <w:pPr/>
      <w:r>
        <w:rPr>
          <w:b/>
        </w:rPr>
        <w:t>Shared claim-specific concepts:</w:t>
      </w:r>
      <w:r>
        <w:t xml:space="preserve"> therefore, purpose, determining, within; EU scope visible. This is a provisional connection, not an outcome finding.</w:t>
      </w:r>
    </w:p>
    <w:p>
      <w:pPr>
        <w:pStyle w:val="SourceNote"/>
      </w:pPr>
      <w:r>
        <w:rPr>
          <w:b/>
        </w:rPr>
        <w:t>Available abstract (not full text):</w:t>
      </w:r>
      <w:r>
        <w:t xml:space="preserve"> The article attempts to understand to what extent the gender identity of members of the European Parliament initiating a bill determines the subject and nature (feminine or masculine) of the issued legal acts. The research question is whether there is an influence of gender in relation to the subject and nature of regulations adopted by the European Parliament. The chronological period under study is 2009-2022 and is determined by the available open data. For the purpose of the study, a proprietary database was compiled, where the units of analysis are regulations issued by the European Parliament within the framework of the ordinary legislative procedure. The sample population consisted of 1155 observations. The key method of analysis was qualitative descriptive statistical analysis. The calculations were made within the framework of the freely distributed software Orange Data Mining. The results of the analysis demonstrate in general the lack of influence of the gender aspect in relation to the nature and subject of regulations and laws issued by the European Parliament. The gender of parliamentarians-initiators is not a factor determining the nature and subject matter of legislative acts issued by the European Parliament. The results of the analysis, therefore, refute the null hypothesis and confirm the alternative hypothesis: the nature (feminine/masculine) of the bills ini</w:t>
      </w:r>
    </w:p>
    <w:p>
      <w:pPr/>
      <w:r>
        <w:rPr>
          <w:b/>
        </w:rPr>
        <w:t>POSSIBLE 2024:</w:t>
      </w:r>
      <w:r>
        <w:t xml:space="preserve"> Hydrogen corridors in Europe: strategies and countries involved — https://doi.org/10.48295/et.2024.98.11</w:t>
      </w:r>
    </w:p>
    <w:p>
      <w:pPr/>
      <w:r>
        <w:rPr>
          <w:b/>
        </w:rPr>
        <w:t>Shared claim-specific concepts:</w:t>
      </w:r>
      <w:r>
        <w:t xml:space="preserve"> therefore, purpose, transport, within; EU scope visible. This is a provisional connection, not an outcome finding.</w:t>
      </w:r>
    </w:p>
    <w:p>
      <w:pPr>
        <w:pStyle w:val="SourceNote"/>
      </w:pPr>
      <w:r>
        <w:rPr>
          <w:b/>
        </w:rPr>
        <w:t>Available abstract (not full text):</w:t>
      </w:r>
      <w:r>
        <w:t xml:space="preserve"> The European Union and other countries worldwide have identified fossil-free hydrogen as a key resource for implementing the transition to a low-carbon economy. The European Commission, which had already emphasised the importance of the hydrogen economy within the Green Deal Industrial Plan, has recently quantified the import target for 2030, 2024, and 2050. Unlike oil and gas reserves, renewable energy and green hydrogen have numerous potential producing or supplying countries; therefore, identifying trading partners requires several research and policy initiatives and the adoption of both technoeconomic and political criteria. The purpose of this study is to investigate the prospect for the development of future hydrogen energy corridors and how European states are organising their political and transport strategies. These strategies design international transport and logistics chains that include the entire hydrogen value chain (production, export, storage and consumption). A new transport and logistics structure is expected for the energy distribution of this vector. Networks and transport nodes will be substantially involved in anticipation of an increase in demand for this type of energy carrier, both in the vicinity of ports, due to industrial demand, and within ports, for the transport and storage of this resource, assuming the increasingly central role of energy hubs a</w:t>
      </w:r>
    </w:p>
    <w:p>
      <w:pPr>
        <w:pStyle w:val="Heading2"/>
      </w:pPr>
      <w:r>
        <w:t>688.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pStyle w:val="Heading2"/>
      </w:pPr>
      <w:r>
        <w:t>689.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Colorado Power Pathway: 0 to 600 Miles in 7 Years Flat — https://doi.org/10.1061/9780784486542.002</w:t>
      </w:r>
    </w:p>
    <w:p>
      <w:pPr/>
      <w:r>
        <w:rPr>
          <w:b/>
        </w:rPr>
        <w:t>Shared claim-specific concepts:</w:t>
      </w:r>
      <w:r>
        <w:t xml:space="preserve"> focus, power, all, three; EU scope not established. This is a provisional connection, not an outcome finding.</w:t>
      </w:r>
    </w:p>
    <w:p>
      <w:pPr>
        <w:pStyle w:val="SourceNote"/>
      </w:pPr>
      <w:r>
        <w:rPr>
          <w:b/>
        </w:rPr>
        <w:t>Available abstract (not full text):</w:t>
      </w:r>
      <w:r>
        <w:t xml:space="preserve"> The Colorado Power Pathway is a $1.7 billion investment in 600 miles of double circuit 345 kV transmission lines in eastern Colorado which will connect four new and three upgraded substations. The new transmission lines will create a networked path to integrate 4,000 MW of new renewable energy resources and distribute them to load centers on the Front Range. Xcel Energy will own and operate all of the transmission lines and substations. This paper will discuss the project inception and Certificate of Public Convenience and Necessity process, the route development and public outreach, and the project execution with a focus on how early engineering involvement and preliminary design efforts helped meet the aggressive project timeline. In parallel with route development a preliminary design stage included development of an all-encompassing 345 kV structure family. This structure family development included constructability reviews, cost saving evaluations, and finalization of all steel structure calculations and fabrication drawings. The structure family also included material selection for hot-line replacement. Foundation design included full length anchor bolt concrete piers as well as vibratory caissons.</w:t>
      </w:r>
    </w:p>
    <w:p>
      <w:pPr/>
      <w:r>
        <w:rPr>
          <w:b/>
        </w:rPr>
        <w:t>POSSIBLE 2025:</w:t>
      </w:r>
      <w:r>
        <w:t xml:space="preserve"> MAPK/ERK signaling pathway in rheumatoid arthritis: mechanisms and therapeutic potential — https://doi.org/10.7717/peerj.19708</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Rheumatoid arthritis (RA) is a multifaced autoimmune disorder characterized by chronic joint inflammation, leading to progressive disability and significantly impacting patients' quality of life. Despite advances in treatment, finding a cure or preventing disease progression remains a major clinical challenge, underscoring the urgent need for novel therapeutic strategies. Among various pathways involved in the pathophysiology of RA, the mitogen-activated protein kinases/extracellular regulated protein kinases (MAPK/ERK) pathway is of particular importance. As the central cascade within the broader MAPK signaling pathways, MAPK/ERK plays a critical role in regulating numerous physiological and pathological processes, with a well-established and prominent involvement in RA. Unlike p38 MAPK and c-Jun-N-terminal kinase (JNK), whose role in RA have been well-documented, the specific contributions of the MAPK/ERK pathway to RA remains comprehensively unreviewed. Furthermore, the MAPK/ERK pathway does not act in isolation but interacts synergistically with other major pathways, including NF-κB, Janus kinase-signal transducer and activator of transcription (JAK/STAT), sonic hedgehog (SHH), and PI3K/AKT, which further enhance its pathological effects. This review offers a comprehensive analysis of MAPK/ERK signaling pathway, focusing on its molecular components and its contribution to R</w:t>
      </w:r>
    </w:p>
    <w:p>
      <w:pPr>
        <w:pStyle w:val="Heading2"/>
      </w:pPr>
      <w:r>
        <w:t>690.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pStyle w:val="Heading2"/>
      </w:pPr>
      <w:r>
        <w:t>691.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r>
        <w:rPr>
          <w:b/>
        </w:rPr>
        <w:t>POSSIBLE 2025:</w:t>
      </w:r>
      <w:r>
        <w:t xml:space="preserve"> Sustainable circular economy: Unpacking the unintended consequences of digital transformation in Japanese SMEs — https://doi.org/10.1016/j.techfore.2025.124335</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Digital transformation (DX) and the shift toward a sustainable circular economy are reshaping industries, raising both practical and theoretical questions about power, collaboration, and ecosystem dynamics. While DX offers opportunities for efficiency and sustainability, it also induces unintended consequences—particularly in altering inter-organizational power relations and blurring traditional industrial boundaries. Drawing on circular economy and ecosystem perspectives, this study investigates these unintended consequences through multiple in-depth case studies of Japanese SMEs. The research reveals how organisations renegotiate constraints and resources to adapt to evolving digital ecosystems. Unlike much of the existing literature that focuses on benefits, this paper uniquely explores the dual nature of unintended consequences—highlighting not only risks but rather, some present exploitable opportunities. The findings offer novel theoretical insights into digital circular economy-era and provide actionable guidance for policymakers and practitioners navigating digital transformation.</w:t>
      </w:r>
    </w:p>
    <w:p>
      <w:pPr/>
      <w:r>
        <w:rPr>
          <w:b/>
        </w:rPr>
        <w:t>POSSIBLE 2025:</w:t>
      </w:r>
      <w:r>
        <w:t xml:space="preserve"> The contribution of European cities and regions to the circular economy: an analysis of territorial strategies — https://doi.org/10.1080/00343404.2025.2563888</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This article examines how European cities and regions engage with circular economy (CE) strategies through the lens of territorial intermediation. Based on the analysis of 54 strategic planning documents, it identifies a range of local rationales – predominantly environmental – supporting CE commitments. The findings reveal a selective and often downstream-oriented framing of CE priorities. Local authorities assume three main roles in structuring circular transitions: promoter, facilitator and enabler, each operationalised through distinct policy instruments. Rather than following a uniform model, CE strategies take different forms depending on local priorities, challenges and development goals. The article contributes to the literature by clarifying how territorial intermediation mediates ecological transitions at the local scale.</w:t>
      </w:r>
    </w:p>
    <w:p>
      <w:pPr>
        <w:pStyle w:val="Heading2"/>
      </w:pPr>
      <w:r>
        <w:t>692.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pStyle w:val="Heading2"/>
      </w:pPr>
      <w:r>
        <w:t>693.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2023:</w:t>
      </w:r>
      <w:r>
        <w:t xml:space="preserve"> Feminization, Ageing, and Occupational Change in Europe in the Last 25 Years — https://doi.org/10.1111/padr.12586</w:t>
      </w:r>
    </w:p>
    <w:p>
      <w:pPr/>
      <w:r>
        <w:rPr>
          <w:b/>
        </w:rPr>
        <w:t>Shared claim-specific concepts:</w:t>
      </w:r>
      <w:r>
        <w:t xml:space="preserve"> indicate, ageing, labour; EU scope visible. This is a provisional connection, not an outcome finding.</w:t>
      </w:r>
    </w:p>
    <w:p>
      <w:pPr>
        <w:pStyle w:val="SourceNote"/>
      </w:pPr>
      <w:r>
        <w:rPr>
          <w:b/>
        </w:rPr>
        <w:t>Available abstract (not full text):</w:t>
      </w:r>
      <w:r>
        <w:t xml:space="preserve"> Abstract This paper presents new evidence on the interaction between demographic and occupational change in Europe over the last 25 years. We use data from the European Union Labour Force Survey covering six European countries. The analysis is based on a cross‐sectional comparison between the population and employment distributions in 1995 and 2019. This strategy allows us to study the changing demographic dynamics, which have brought a more feminized, aged, and educated working population, in a context of structural employment change, where higher job polarization or occupational upgrading are the main patterns. The results indicate that the increasing female participation has been associated with a strong general process of occupational upgrading that particularly benefited women. Still, the occupational profile of women is polarized relative to men. Although the process of educational upgrading was also stronger for women and overall they improved their occupational profile more than that of men, we find declining occupational returns to higher education for female workers in two countries. Finally, while European labor markets could accommodate the large increase in older workers, their occupational profile suffered some downgrading.</w:t>
      </w:r>
    </w:p>
    <w:p>
      <w:pPr/>
      <w:r>
        <w:rPr>
          <w:b/>
        </w:rPr>
        <w:t>POSSIBLE 2023:</w:t>
      </w:r>
      <w:r>
        <w:t xml:space="preserve"> Quarterly report and macroeconomic projections for the Spanish economy. September 2023 — https://doi.org/10.53479/33563</w:t>
      </w:r>
    </w:p>
    <w:p>
      <w:pPr/>
      <w:r>
        <w:rPr>
          <w:b/>
        </w:rPr>
        <w:t>Shared claim-specific concepts:</w:t>
      </w:r>
      <w:r>
        <w:t xml:space="preserve"> projections, see, labour; EU scope not established. This is a provisional connection, not an outcome finding.</w:t>
      </w:r>
    </w:p>
    <w:p>
      <w:pPr>
        <w:pStyle w:val="SourceNote"/>
      </w:pPr>
      <w:r>
        <w:rPr>
          <w:b/>
        </w:rPr>
        <w:t>Available abstract (not full text):</w:t>
      </w:r>
      <w:r>
        <w:t xml:space="preserve"> Projections 1 Global economic activity has slowed somewhat in recent months -In 2023 Q2, global growth moderated with respect to that observed in the previous quarter.However, this aggregate performance was marked by highly uneven economic growth across geographical areas.Thus, while GDP growth was higher than expected in some of the main world economies, such as the United States, the United Kingdom and Japan, it surprised on the downside in the euro area and in China.-According to the available indicators, global economic activity has decelerated further in Q3, as the weakness of the manufacturing sector appears to have spread to services (see Chart 1.a), against a backdrop of tightening financing conditions.-Overall, these developments have prompted slight revisions to global growth forecasts for 2023 and 2024 (see Chart 1.b).However, the 2023 growth forecast for the United States has been revised significantly upwards (partly on account of its strong labour market), and the forecast for China (owing, among other factors, to the sluggishness of investment and its real estate sector) and the euro area has been revised downwards for this and the coming year.</w:t>
      </w:r>
    </w:p>
    <w:p>
      <w:pPr>
        <w:pStyle w:val="Heading2"/>
      </w:pPr>
      <w:r>
        <w:t>694.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695.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pStyle w:val="Heading2"/>
      </w:pPr>
      <w:r>
        <w:t>696.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pStyle w:val="Heading2"/>
      </w:pPr>
      <w:r>
        <w:t>697.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pStyle w:val="Heading2"/>
      </w:pPr>
      <w:r>
        <w:t>698.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pStyle w:val="Heading2"/>
      </w:pPr>
      <w:r>
        <w:t>699.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pStyle w:val="Heading2"/>
      </w:pPr>
      <w:r>
        <w:t>700.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r>
        <w:rPr>
          <w:b/>
        </w:rPr>
        <w:t>POSSIBLE 2025:</w:t>
      </w:r>
      <w:r>
        <w:t xml:space="preserve"> Automating Administrative Decisions in Europe and the United States: The Algorithmic State from a Comparative Perspective — https://openalex.org/W7116598963</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presents the results of a comparative research project on automated decision-making (ADM) carried out on 20 European legal systems and the United States. The article aims to shed light on the involvement of the state not only as a regulator, but also as a major user and, occasionally, a developer of new technologies. It therefore explores the legal framework applicable to automated administrative decisions in the selected jurisdictions, the sectors involved, the conditions under which automated administrative decisions can be made, and the disputes arising from their use. As the article shows, there are substantial differences between legal systems in terms of regulatory choices and of rates of adoption of administrative ADM. The main finding of the paper is that these differences do not appear to be correlated, in that regulatory choices have little impact on the public adoption of ADM, and vice versa.</w:t>
      </w:r>
    </w:p>
    <w:p>
      <w:pPr>
        <w:pStyle w:val="Heading2"/>
      </w:pPr>
      <w:r>
        <w:t>701.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2024:</w:t>
      </w:r>
      <w:r>
        <w:t xml:space="preserve"> The dynamic spatial effects of education investment on carbon emissions: heterogeneous analysis based on north-south differences in China — https://doi.org/10.3389/fenvs.2024.1432457</w:t>
      </w:r>
    </w:p>
    <w:p>
      <w:pPr/>
      <w:r>
        <w:rPr>
          <w:b/>
        </w:rPr>
        <w:t>Shared claim-specific concepts:</w:t>
      </w:r>
      <w:r>
        <w:t xml:space="preserve"> china, increase, carbon, reference, climate; EU scope not established. This is a provisional connection, not an outcome finding.</w:t>
      </w:r>
    </w:p>
    <w:p>
      <w:pPr>
        <w:pStyle w:val="SourceNote"/>
      </w:pPr>
      <w:r>
        <w:rPr>
          <w:b/>
        </w:rPr>
        <w:t>Available abstract (not full text):</w:t>
      </w:r>
      <w:r>
        <w:t xml:space="preserve"> This article is based on panel data from 266 cities in China from 2009 to 2020. Classical economics theory and Marxist political economy theory are used as the theoretical basis for the study. Static spatial Durbin model regression and dynamic spatial Durbin model regression are conducted to analyze the impact of education investment on carbon dioxide emissions. The results show that education investment can significantly reduce carbon dioxide emissions, not only through spatial spillover effects, but also through dynamic effects over time. The implementation of education investment in one city can have a positive impact on surrounding cities, thereby achieving a certain degree of reduction in carbon emissions. Additionally, the inhibitory effect of education investment on carbon emissions is more significant in the short term. Furthermore, the study found that there is significant heterogeneity in the effect of education investment on carbon dioxide emissions between northern and southern cities, with education investment in southern cities having a more significant effect. This may be related to the industrial structure and climate of southern cities. The conclusions of this study provide useful reference for the development of education policies and environmental protection policies. In the future, the government can increase education investment appropriately to achieve the</w:t>
      </w:r>
    </w:p>
    <w:p>
      <w:pPr/>
      <w:r>
        <w:rPr>
          <w:b/>
        </w:rPr>
        <w:t>POSSIBLE 2024:</w:t>
      </w:r>
      <w:r>
        <w:t xml:space="preserve"> Promoting carbon neutrality in China: do financial development, foreign direct investment, and industrialization play a material role? — https://doi.org/10.3389/fenvs.2024.1342612</w:t>
      </w:r>
    </w:p>
    <w:p>
      <w:pPr/>
      <w:r>
        <w:rPr>
          <w:b/>
        </w:rPr>
        <w:t>Shared claim-specific concepts:</w:t>
      </w:r>
      <w:r>
        <w:t xml:space="preserve"> china, increase, carbon, target; EU scope not established. This is a provisional connection, not an outcome finding.</w:t>
      </w:r>
    </w:p>
    <w:p>
      <w:pPr>
        <w:pStyle w:val="SourceNote"/>
      </w:pPr>
      <w:r>
        <w:rPr>
          <w:b/>
        </w:rPr>
        <w:t>Available abstract (not full text):</w:t>
      </w:r>
      <w:r>
        <w:t xml:space="preserve"> One of the crucial issues confronting China is high carbon dioxide (CO2) emissions. Despite the numerous measures outlined to promote the country’s carbon neutrality target, CO2 emissions in the nation continue to increase. This means that more policy options are needed to help improve environmental sustainability (ES) in the nation. Hence, examining the relationship between financial development (FD), foreign direct investment, industrialization, and environmental sustainability in China to provide proper recommendations to drive the carbon neutrality agenda of the nation is deemed fitting. In attaining this goal, time-series data from the period 1990 to 2018 is employed. According to the results, foreign direct investment deteriorates environmental sustainability by promoting more CO2 emissions. This validates the pollution haven hypothesis (PHH). In addition, industrialization and financial development are not friendly to the nation’s environmental quality. Furthermore, economic growth and urbanization escalate environmental pollution in the nation. In addition, the interactions between financial development and foreign direct investment and between financial development and industrialization deteriorate the environment in China. Moreover, foreign direct investment and financial development have an inverted U-shaped association with environmental degradation, but industriali</w:t>
      </w:r>
    </w:p>
    <w:p>
      <w:pPr>
        <w:pStyle w:val="Heading2"/>
      </w:pPr>
      <w:r>
        <w:t>702.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2023:</w:t>
      </w:r>
      <w:r>
        <w:t xml:space="preserve"> Development of Multi-Inflow Prediction Ensemble Model Based on Auto-Sklearn Using Combined Approach: Case Study of Soyang River Dam — https://doi.org/10.3390/hydrology10040090</w:t>
      </w:r>
    </w:p>
    <w:p>
      <w:pPr/>
      <w:r>
        <w:rPr>
          <w:b/>
        </w:rPr>
        <w:t>Shared claim-specific concepts:</w:t>
      </w:r>
      <w:r>
        <w:t xml:space="preserve"> expected, ensemble, combined; EU scope not established. This is a provisional connection, not an outcome finding.</w:t>
      </w:r>
    </w:p>
    <w:p>
      <w:pPr>
        <w:pStyle w:val="SourceNote"/>
      </w:pPr>
      <w:r>
        <w:rPr>
          <w:b/>
        </w:rPr>
        <w:t>Available abstract (not full text):</w:t>
      </w:r>
      <w:r>
        <w:t xml:space="preserve"> Accurate prediction of dam inflows is essential for effective water resource management and dam operation. In this study, we developed a multi-inflow prediction ensemble (MPE) model for dam inflow prediction using auto-sklearn (AS). The MPE model is designed to combine ensemble models for high and low inflow prediction and improve dam inflow prediction accuracy. We investigated the impact of datasets assigned to flow regimes on the ensemble composition and compared the performance of the MPE model to an AS-based ensemble model developed using a conventional approach. Our findings showed that the MPE model outperformed the conventional model in predicting dam inflows during flood and nonflood periods, reducing the root mean square error (RMSE) and mean absolute error (MAE) by 22.1% and 24.9% for low inflows, and increasing the coefficient of determination (R2) and Nash–Sutcliffe efficiency (NSE) by 21.9% and 35.8%, respectively. These results suggest that the MPE model has the potential to improve water resource management and dam operation, benefiting both the environment and society. Overall, the methodology of this study is expected to contribute to the development of a robust ensemble model for dam inflow prediction in regions with high climate variability.</w:t>
      </w:r>
    </w:p>
    <w:p>
      <w:pPr>
        <w:pStyle w:val="Heading2"/>
      </w:pPr>
      <w:r>
        <w:t>703.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Forecasting and Analysis of Cryptocurrency Trends — https://doi.org/10.55041/ijsrem30241</w:t>
      </w:r>
    </w:p>
    <w:p>
      <w:pPr/>
      <w:r>
        <w:rPr>
          <w:b/>
        </w:rPr>
        <w:t>Shared claim-specific concepts:</w:t>
      </w:r>
      <w:r>
        <w:t xml:space="preserve"> trends, technology; EU scope not established. This is a provisional connection, not an outcome finding.</w:t>
      </w:r>
    </w:p>
    <w:p>
      <w:pPr>
        <w:pStyle w:val="SourceNote"/>
      </w:pPr>
      <w:r>
        <w:rPr>
          <w:b/>
        </w:rPr>
        <w:t>Available abstract (not full text):</w:t>
      </w:r>
      <w:r>
        <w:t xml:space="preserve"> The development of financial technology has given rise to a new class of asset known as cryptocurrency, which has presented a significant potential for study. Forecasting cryptocurrency prices is challenging because of their dynamic and volatile nature. There are hundreds of different cryptocurrencies in circulation today. With prospects in peer-to-peer payments, remittance, e-commerce and retail, and media &amp; entertainment, the cryptocurrency business appears to have a bright future. From 2019 to2024, the worldwide cryptocurrency industry is anticipated to expand at a 32% CAGR. The distributed ledger technology's immutability and transparency, the rise in remittances from poor nations, shifting monetary laws, and a sharp rise in venture capital investments are the main factors propelling this market's growth. We created a short-term prediction (between five and thirty days) for the cryptocurrencies using the ARIMA model. When it came to predicting cryptocurrency time series, we discovered that the suggested method outperformed the ARIMA-ARFIMA models in both periods of gradual rising (falling) and transition dynamics (change of trend). Index Terms: digital currency,cryptocurrency, and ARIMA model.</w:t>
      </w:r>
    </w:p>
    <w:p>
      <w:pPr/>
      <w:r>
        <w:rPr>
          <w:b/>
        </w:rPr>
        <w:t>POSSIBLE 2024:</w:t>
      </w:r>
      <w:r>
        <w:t xml:space="preserve"> Forecasts of sustainable consumption in small economies — https://doi.org/10.14254/2071-8330.2024/17-2/1</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Sustainable consumption is becoming an increasingly important aspect of our consumer society. The scarcity of natural resources is a growing concern in many countries. Considering the recent developments related to the promotion of sustainable production and consumption, as well as the introduction of the Climate Action Plan and the Green Deal at the EU level, it is vital to understand the trends of sustainable consumption in individual countries, which may influence overall consumption trends in Europe. The purpose of the article is to analyse the trends of sustainable consumption in small economies with limited natural resources and facing the problem of resource allocation priorities. Sustainable consumption reflects the demand side of sustainable consumption/production. Demand is the most important factor to focus on when planning economic activities, so its trends, in this case, sustainable consumption trends, must be constantly analysed. Exponential smoothing was used to forecast sustainable consumption trends. The research results show that favourable and unfavourable trends in decoupling environmental impact from economic growth and waste generation and management in small economies are forecasted. While resource and energy productivity increases show that small economies have begun to use their resources more efficiently, the demand and consumption of materials (and th</w:t>
      </w:r>
    </w:p>
    <w:p>
      <w:pPr>
        <w:pStyle w:val="Heading2"/>
      </w:pPr>
      <w:r>
        <w:t>704.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pStyle w:val="Heading2"/>
      </w:pPr>
      <w:r>
        <w:t>705.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Scale validation of the “Key Competences in Sustainability” Indicator Tool (KCiS-IT) among business and economics students in seven European HEIs — https://doi.org/10.1108/ijshe-09-2024-0621</w:t>
      </w:r>
    </w:p>
    <w:p>
      <w:pPr/>
      <w:r>
        <w:rPr>
          <w:b/>
        </w:rPr>
        <w:t>Shared claim-specific concepts:</w:t>
      </w:r>
      <w:r>
        <w:t xml:space="preserve"> effect, key, potential; EU scope visible. This is a provisional connection, not an outcome finding.</w:t>
      </w:r>
    </w:p>
    <w:p>
      <w:pPr>
        <w:pStyle w:val="SourceNote"/>
      </w:pPr>
      <w:r>
        <w:rPr>
          <w:b/>
        </w:rPr>
        <w:t>Available abstract (not full text):</w:t>
      </w:r>
      <w:r>
        <w:t xml:space="preserve"> Purpose This aim of this study is to develop and validate the 25-item “Key Competences in Sustainability” Indicator Tool (KCiS-IT), grounded in the concept of Integrated Problem-Solving Competence (IPSC) as proposed by Wiek et al. (2011, 2016). It evaluates the construct validity of its five competence measures and their applicability to a broader meta-competence, IPSC. The study also evaluates IPSC’s concurrent validity by testing hypothesised pathways, drawing on an adaptation of the Norm-Activation Model. Design/methodology/approach A total of 721 business and economics students from seven higher education institutions across five European member states completed an online questionnaire. Confirmatory factor analyses were conducted to assess the construct validity of its individual and aggregated measures. Additionally, to assess concurrent validity, structural equation modelling was used to test hypothesised pathways involving IPSC and pro-environmental norms and behaviour. Findings Findings confirmed the convergent and discriminant validity of the individual and aggregated construct measures. They also support IPSC’s concurrent validity since it produced a positive direct effect on pro-environmental behaviour and an indirect (strengthening) effect via personal environmental norms. Originality/value In response to global sustainability challenges, this study offers the KCiS-</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pStyle w:val="Heading2"/>
      </w:pPr>
      <w:r>
        <w:t>706.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707.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pStyle w:val="Heading2"/>
      </w:pPr>
      <w:r>
        <w:t>708.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2025:</w:t>
      </w:r>
      <w:r>
        <w:t xml:space="preserve"> Mitigation versus competitiveness? Industry compensation in the European Union Emissions Trading System — https://openalex.org/W7164460584</w:t>
      </w:r>
    </w:p>
    <w:p>
      <w:pPr/>
      <w:r>
        <w:rPr>
          <w:b/>
        </w:rPr>
        <w:t>Shared claim-specific concepts:</w:t>
      </w:r>
      <w:r>
        <w:t xml:space="preserve"> find, emission, energy, mitigation; EU scope visible. This is a provisional connection, not an outcome finding.</w:t>
      </w:r>
    </w:p>
    <w:p>
      <w:pPr>
        <w:pStyle w:val="SourceNote"/>
      </w:pPr>
      <w:r>
        <w:rPr>
          <w:b/>
        </w:rPr>
        <w:t>Available abstract (not full text):</w:t>
      </w:r>
      <w:r>
        <w:t xml:space="preserve"> Carbon pricing policies are usually combined with compensation for exposed firms to prevent adverse competitiveness effects. In cap-and-trade systems, this carbon cost compensation mostly occurs through free allocation of emission permits. Using an administrative panel of German manufacturing firms, this paper investigates how free allocation in the European Union Emissions Trading System affects firms' competitiveness and their incentives to reduce emissions. Leveraging a reform of free allocation rules in a continuous difference-in-differences design, we find that that a reduction of freely allocated emission permits decreased firms' emission intensity. Our results suggest that this decrease is driven by energy efficiency improvements instead of outsourcing of emission intensive production. On the other hand, we do not find statistically significant effects on firms' employment, sales, value added, investments and exports - indicating that the reduction in free permits did not reduce firms' competitiveness.</w:t>
      </w:r>
    </w:p>
    <w:p>
      <w:pPr/>
      <w:r>
        <w:rPr>
          <w:b/>
        </w:rPr>
        <w:t>POSSIBLE 2025:</w:t>
      </w:r>
      <w:r>
        <w:t xml:space="preserve"> Electricity- and hydrogen-driven energy system sector-coupling in net-zero CO2 emission pathways — https://doi.org/10.1038/s41467-025-56365-0</w:t>
      </w:r>
    </w:p>
    <w:p>
      <w:pPr/>
      <w:r>
        <w:rPr>
          <w:b/>
        </w:rPr>
        <w:t>Shared claim-specific concepts:</w:t>
      </w:r>
      <w:r>
        <w:t xml:space="preserve"> emission, energy, sector; EU scope visible. This is a provisional connection, not an outcome finding.</w:t>
      </w:r>
    </w:p>
    <w:p>
      <w:pPr>
        <w:pStyle w:val="SourceNote"/>
      </w:pPr>
      <w:r>
        <w:rPr>
          <w:b/>
        </w:rPr>
        <w:t>Available abstract (not full text):</w:t>
      </w:r>
      <w:r>
        <w:t xml:space="preserve"> Electricity- and hydrogen-based sector coupling contributes to realizing the transition towards greenhouse gas neutrality in the European energy system. Energy system and integrated assessment models show that, to follow pathways compatible with the European policy target of net-zero greenhouse gas emissions by 2050, large amounts of renewable electricity and H2 need to be generated, mostly by scaling-up wind and solar energy production capacity. With a set of such models, under jointly adopted deep decarbonisation scenario assumptions, we here show that the ensuing direct penetration of electricity and H2 in final energy consumption may rise to average shares of around 60% and 6%, respectively, by 2050. We demonstrate that electrification proves the most cost-efficient decarbonisation route in all economic sectors, while the direct use of H2 in final energy consumption provides a relatively small, though essential, contribution to deep decarbonisation. We conclude that the variance observed across results from different models reflects the uncertainties that abound in the shape of deep decarbonisation pathways, in particular with regard to the role of H2. Multiple energy system models are used under jointly adopted deep decarbonisation scenarios to conclude that the direct penetration of electricity and hydrogen in final energy consumption may rise to shares of, respectively, </w:t>
      </w:r>
    </w:p>
    <w:p>
      <w:pPr>
        <w:pStyle w:val="Heading2"/>
      </w:pPr>
      <w:r>
        <w:t>709.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710.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2025:</w:t>
      </w:r>
      <w:r>
        <w:t xml:space="preserve"> Value Added Tax in European Union — https://doi.org/10.61801/ouaess.2024.2.69</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EU member states he was trying through reforms to create a system as adaptable as possible to future situations and as much as possible the full.Therefore, we find useful an analysis on the efficiency of collecting value tax added to highlight the yield of the tax mechanism.The approach to this problem started from the recent changes to this type of tax and the importance it has among all citizens of the Member States to bear this tax and because it is the largest source of income from indirect taxes.In our research, we set out to focus more on two indicators of efficiency of the VAT at the member states of the European Union, namely: the indicator for assessment of the efficiency of the VAT (VRR) and the indicator of the VAT collection deficit in percentage treatment (VAT gap).</w:t>
      </w:r>
    </w:p>
    <w:p>
      <w:pPr>
        <w:pStyle w:val="Heading2"/>
      </w:pPr>
      <w:r>
        <w:t>711.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712.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2024:</w:t>
      </w:r>
      <w:r>
        <w:t xml:space="preserve"> Beyond authorship: Analyzing contributions in PLOS ONE and the challenges of appropriate attribution — https://doi.org/10.2478/jdis-2024-0015</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Abstract Purpose This study aims to evaluate the accuracy of authorship attributions in scientific publications, focusing on the fairness and precision of individual contributions within academic works. Design/methodology/approach The study analyzes 81,823 publications from the journal PLOS ONE , covering the period from January 2018 to June 2023. It examines the authorship attributions within these publications to try and determine the prevalence of inappropriate authorship. It also investigates the demographic and professional profiles of affected authors, exploring trends and potential factors contributing to inaccuracies in authorship. Findings Surprisingly, 9.14% of articles feature at least one author with inappropriate authorship, affecting over 14,000 individuals (2.56% of the sample). Inappropriate authorship is more concentrated in Asia, Africa, and specific European countries like Italy. Established researchers with significant publication records and those affiliated with companies or nonprofits show higher instances of potential monetary authorship. Research limitations Our findings are based on contributions as declared by the authors, which implies a degree of trust in their transparency. However, this reliance on self-reporting may introduce biases or inaccuracies into the dataset. Further research could employ additional verification methods to enhance the reli</w:t>
      </w:r>
    </w:p>
    <w:p>
      <w:pPr/>
      <w:r>
        <w:rPr>
          <w:b/>
        </w:rPr>
        <w:t>POSSIBLE 2024:</w:t>
      </w:r>
      <w:r>
        <w:t xml:space="preserve"> Analyzing the Volume of Export-Import Activity of the European Union Market — https://doi.org/10.32983/2222-4459-2024-5-26-32</w:t>
      </w:r>
    </w:p>
    <w:p>
      <w:pPr/>
      <w:r>
        <w:rPr>
          <w:b/>
        </w:rPr>
        <w:t>Shared claim-specific concepts:</w:t>
      </w:r>
      <w:r>
        <w:t xml:space="preserve"> analyzing, them, one; EU scope visible. This is a provisional connection, not an outcome finding.</w:t>
      </w:r>
    </w:p>
    <w:p>
      <w:pPr>
        <w:pStyle w:val="SourceNote"/>
      </w:pPr>
      <w:r>
        <w:rPr>
          <w:b/>
        </w:rPr>
        <w:t>Available abstract (not full text):</w:t>
      </w:r>
      <w:r>
        <w:t xml:space="preserve"> The article is devoted to a detailed analysis of the export-import activity of Ukraine in the markets of the European Union (EU), with an emphasis on fat-and-oil products. The full-scale invasion of Ukraine forced to strengthen economic ties with partner countries due to a decline in export-import operations. It is determined that the fat-and-oil industry is one of the key ones in the agro-industrial sector of the EU and plays an important role in ensuring the food security of countries. An analysis of the dynamics of exports and imports of margarine in the following EU countries: Poland, Slovakia, Hungary, Romania, and also taking into account Moldova, is carried out. The difference between the exports and imports of margarine in these countries has been established. As a result of the analysis of the volume of exports and imports of margarine, it is found that Slovakia, Hungary, Romania and Moldova are markets with a high level of import dependence in the margarine segment, which makes them the perspective ones for Ukrainian producers. An analysis of the dynamics of margarine imports in the EU countries for 2013–2021 showed the largest import volumes in the following countries: Great Britain, France, Germany and the Netherlands. To understand the specifics of this market, it is important to consider the numerous factors that affect supply and demand. Practical recommendations</w:t>
      </w:r>
    </w:p>
    <w:p>
      <w:pPr>
        <w:pStyle w:val="Heading2"/>
      </w:pPr>
      <w:r>
        <w:t>713.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pStyle w:val="Heading2"/>
      </w:pPr>
      <w:r>
        <w:t>714.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r>
        <w:rPr>
          <w:b/>
        </w:rPr>
        <w:t>POSSIBLE 2025:</w:t>
      </w:r>
      <w:r>
        <w:t xml:space="preserve"> Increasing frequency and intensity of single, multiple and concurrent meteorological hazards in Europe from a high-resolution dataset (1961–2020) — https://doi.org/10.1088/2752-5295/ae1ce0</w:t>
      </w:r>
    </w:p>
    <w:p>
      <w:pPr/>
      <w:r>
        <w:rPr>
          <w:b/>
        </w:rPr>
        <w:t>Shared claim-specific concepts:</w:t>
      </w:r>
      <w:r>
        <w:t xml:space="preserve"> frequency, increase, two; EU scope visible. This is a provisional connection, not an outcome finding.</w:t>
      </w:r>
    </w:p>
    <w:p>
      <w:pPr>
        <w:pStyle w:val="SourceNote"/>
      </w:pPr>
      <w:r>
        <w:rPr>
          <w:b/>
        </w:rPr>
        <w:t>Available abstract (not full text):</w:t>
      </w:r>
      <w:r>
        <w:t xml:space="preserve"> Abstract By means of a very high (1.5 km) resolution dataset for Europe, we investigate the change between past (1961–1990) and present (1991–2020) periods in the frequency and intensity of meteorological hazards, namely hot (H) and cold (C) waves, droughts (dry (D)), extreme precipitation (wet (W)) and fire weather (F). We analyse not only the changes in hazards taken separately but also the combination of multiple (i.e. two or more hazards happening in the same month but not necessarily in the same year) and concurrent (i.e. happening in the same month and year) events. Europe has become prone to more frequent and intense multiple hazards; in particular, most (&gt;75%) of the land has been subject to increased frequency and intensity of at least two hazards for most of the year, especially H D, H W and H D W combinations. Around 10% of land was subject to an increase in both frequency and intensity of four hazards (H C D W), especially in spring and autumn. Concurrent events have also become more frequent; in particular, the number of concurrent H D events has increased over most of Europe throughout the year, while the number of H F and H D F events has increased over the Mediterranean. Concurrent H W conditions have become more frequent, especially over northeastern Europe and the United Kingdom for most of the year. This led to the population cumulatively exposed to concurren</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2024:</w:t>
      </w:r>
      <w:r>
        <w:t xml:space="preserve"> The linkage between autumn Barents-Kara sea ice and European cold winter extremes — https://doi.org/10.3389/fclim.2024.1345763</w:t>
      </w:r>
    </w:p>
    <w:p>
      <w:pPr/>
      <w:r>
        <w:rPr>
          <w:b/>
        </w:rPr>
        <w:t>Shared claim-specific concepts:</w:t>
      </w:r>
      <w:r>
        <w:t xml:space="preserve"> ice, winters, deeper; EU scope visible. This is a provisional connection, not an outcome finding.</w:t>
      </w:r>
    </w:p>
    <w:p>
      <w:pPr>
        <w:pStyle w:val="SourceNote"/>
      </w:pPr>
      <w:r>
        <w:rPr>
          <w:b/>
        </w:rPr>
        <w:t>Available abstract (not full text):</w:t>
      </w:r>
      <w:r>
        <w:t xml:space="preserve"> While the Arctic's accelerated warming and sea ice decline have been associated with Eurasian cooling, debates persist between those attributing this to sea ice retreat and those to internal variability. Our study examines the association between autumn sea ice variability over the Barents-Kara Seas and extreme cold winters in Europe. Using the observational data and composite analysis, we explore the interannual variability and the potential linkage between sea ice and atmospheric circulation patterns. It reveals a correlation with shifts toward a negative phase of North Atlantic Oscillation and more frequent episodes of the atmospheric blocking over Greenland and the North Atlantic. Furthermore, the negative phase of the North Atlantic Oscillation and enhanced blocking are closely related and mutually reinforcing, shaping the spatial distribution of cold anomalies over much of the European continent. Our results suggest a link between the unusual decrease in Barents-Kara Sea ice during autumn and the occurrence of intense European weather extremes in subsequent winter months, emphasizing the need for delving deeper into this relationship on monthly time scales to enhance our predictive capabilities for midlatitude extreme events.</w:t>
      </w:r>
    </w:p>
    <w:p>
      <w:pPr>
        <w:pStyle w:val="Heading2"/>
      </w:pPr>
      <w:r>
        <w:t>715.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pStyle w:val="Heading2"/>
      </w:pPr>
      <w:r>
        <w:t>716.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pStyle w:val="Heading2"/>
      </w:pPr>
      <w:r>
        <w:t>717.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pStyle w:val="Heading2"/>
      </w:pPr>
      <w:r>
        <w:t>718.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719.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r>
        <w:rPr>
          <w:b/>
        </w:rPr>
        <w:t>POSSIBLE 2025:</w:t>
      </w:r>
      <w:r>
        <w:t xml:space="preserve"> An Detailed Analysis of Modelling and Optimisation Techniques for Including Energy Storage and Renewable Energy in District Heating Systems — https://doi.org/10.59075/pjmi.v4i1.512</w:t>
      </w:r>
    </w:p>
    <w:p>
      <w:pPr/>
      <w:r>
        <w:rPr>
          <w:b/>
        </w:rPr>
        <w:t>Shared claim-specific concepts:</w:t>
      </w:r>
      <w:r>
        <w:t xml:space="preserve"> respect, energy, modeling; EU scope not established. This is a provisional connection, not an outcome finding.</w:t>
      </w:r>
    </w:p>
    <w:p>
      <w:pPr>
        <w:pStyle w:val="SourceNote"/>
      </w:pPr>
      <w:r>
        <w:rPr>
          <w:b/>
        </w:rPr>
        <w:t>Available abstract (not full text):</w:t>
      </w:r>
      <w:r>
        <w:t xml:space="preserve"> The construction and infrastructure industry constitutes approximately 47% of worldwide energy utilization. Numerous conventional energy resources, such as petroleum and coal are categorized as non-renewable and are projected to experience depletion within the forthcoming decades. To mitigate the persistent energy dilemmas, the implementation of renewable energy sources such as solar energy, alongside substantial advancements in energy efficiency, has been proposed as feasible remedial measures. Within this framework, District Heating Systems (DHS) have received heightened scrutiny due to their myriad advantages in energy generation, distribution, and application for space heating. This manuscript investigates contemporary advancements in the production, modeling, and optimization of DHS. It systematically classifies energy resources according to their sustainability and their compatibility with the integration of DHS. Furthermore, the prevailing modeling methodologies are assessed with respect to computational efficiency, precision, and reliability of the outcomes. Additionally, the report groups recent DHS research according to various optimisation goals, such as maximising energy and energy efficiency, minimising greenhouse gas (GHG) emissions, reducing costs, and taking exergo-economic and thermo-economic factors into account.</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2024:</w:t>
      </w:r>
      <w:r>
        <w:t xml:space="preserve"> Comprehensive Risk Analysis and Decision-Making Model for Hydroelectricity Energy Investments — https://doi.org/10.31181/jscda21202421</w:t>
      </w:r>
    </w:p>
    <w:p>
      <w:pPr/>
      <w:r>
        <w:rPr>
          <w:b/>
        </w:rPr>
        <w:t>Shared claim-specific concepts:</w:t>
      </w:r>
      <w:r>
        <w:t xml:space="preserve"> respect, energy, critical, use; EU scope not established. This is a provisional connection, not an outcome finding.</w:t>
      </w:r>
    </w:p>
    <w:p>
      <w:pPr>
        <w:pStyle w:val="SourceNote"/>
      </w:pPr>
      <w:r>
        <w:rPr>
          <w:b/>
        </w:rPr>
        <w:t>Available abstract (not full text):</w:t>
      </w:r>
      <w:r>
        <w:t xml:space="preserve"> The risks of hydroelectricity energy investments should be managed effectively to increase the performance of these projects. Thus, more significant risks should be identified to take effective measures for risk management without experiencing high costs. Accordingly, the purpose of this study is to define critical risks in hydroelectricity energy investment projects by making a priority analysis. Within this scope, a new decision-making model is created. In the first stage, five different risks are examined by considering Spherical fuzzy Entropy. Moreover, the second stage consists of ranking emerging seven countries with the help of Spherical fuzzy multi-attribute ideal-real comparative assessment (MAIRCA). The main contribution of this study is that more important risks of hydroelectricity energy investments can be identified by the help of the priority analysis. This situation provides an opportunity to implement effective strategies to increase these investments without having high costs. Additionally, considering Spherical fuzzy sets has a positive impact on the appropriateness of the results. Since these numbers use a wider data range, the effectiveness of the analysis results can increase. It is determined that the most important risk is environmental risk with the highest weight value of 0.2478. Financial risks and personnel risks are other significant factors that aff</w:t>
      </w:r>
    </w:p>
    <w:p>
      <w:pPr/>
      <w:r>
        <w:rPr>
          <w:b/>
        </w:rPr>
        <w:t>POSSIBLE 2024:</w:t>
      </w:r>
      <w:r>
        <w:t xml:space="preserve"> Preemptive and non-preemptive multi-skill multi-mode resource-constrained project scheduling problems considering sustainability and energy consumption: A comprehensive mathematical model — https://doi.org/10.1016/j.jenvman.2024.121986</w:t>
      </w:r>
    </w:p>
    <w:p>
      <w:pPr/>
      <w:r>
        <w:rPr>
          <w:b/>
        </w:rPr>
        <w:t>Shared claim-specific concepts:</w:t>
      </w:r>
      <w:r>
        <w:t xml:space="preserve"> respect, energy; EU scope not established. This is a provisional connection, not an outcome finding.</w:t>
      </w:r>
    </w:p>
    <w:p>
      <w:pPr>
        <w:pStyle w:val="SourceNote"/>
      </w:pPr>
      <w:r>
        <w:rPr>
          <w:b/>
        </w:rPr>
        <w:t>Available abstract (not full text):</w:t>
      </w:r>
      <w:r>
        <w:t xml:space="preserve"> Modern project managers cope with significant challenges to schedule and control projects considering dynamic environments, frequent uncertainties, strict project deadlines, and stricter sustainable requirements above all. Sustainability taking into account resource utilization has been recently associated with project management. Hence, this paper presents a new mixed-integer linear programming (MILP) model with two objectives for a resource-constrained project scheduling problem (RCPSP) with multiple skills and multiple modes, assuming preemptive and non-preemptive activities in an uncertain environment. Given the importance of sustainable developments in projects, the considered objectives are to maximize job opportunities and minimize project duration, resource costs, and total energy consumption. To deal with the model, an AUGNMECON2VIKOR algorithm is utilized to create Pareto solutions. In this model, project activities can be crashed by allocating extra resources. Furthermore, multi-skill resources are used to perform project activities. This study also investigates the impact of these resources on project scheduling. To deal with uncertain circumstances, a fuzzy chance-constrained programming method is employed to develop a robust possibilistic programming model. With respect to the increasing significance of sustainability in project management, this study pioneers the</w:t>
      </w:r>
    </w:p>
    <w:p>
      <w:pPr>
        <w:pStyle w:val="Heading2"/>
      </w:pPr>
      <w:r>
        <w:t>720.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2023:</w:t>
      </w:r>
      <w:r>
        <w:t xml:space="preserve"> The European List of Key Medicines for Medical Education: A Modified Delphi Study — https://doi.org/10.1002/cpt.3132</w:t>
      </w:r>
    </w:p>
    <w:p>
      <w:pPr/>
      <w:r>
        <w:rPr>
          <w:b/>
        </w:rPr>
        <w:t>Shared claim-specific concepts:</w:t>
      </w:r>
      <w:r>
        <w:t xml:space="preserve"> selected, countries, achieve; EU scope visible. This is a provisional connection, not an outcome finding.</w:t>
      </w:r>
    </w:p>
    <w:p>
      <w:pPr>
        <w:pStyle w:val="SourceNote"/>
      </w:pPr>
      <w:r>
        <w:rPr>
          <w:b/>
        </w:rPr>
        <w:t>Available abstract (not full text):</w:t>
      </w:r>
      <w:r>
        <w:t xml:space="preserve"> Rational prescribing is essential for the quality of health care. However, many final-year medical students and junior doctors lack prescribing competence to perform this task. The availability of a list of medicines that a junior doctor working in Europe should be able to independently prescribe safely and effectively without supervision could support and harmonize teaching and training in clinical pharmacology and therapeutics (CPT) in Europe. Therefore, our aim was to achieve consensus on such a list of medicines that are widely accessible in Europe. For this, we used a modified Delphi study method consisting of three parts. In part one, we created an initial list based on a literature search. In part two, a group of 64 coordinators in CPT education, selected via the Network of Teachers in Pharmacotherapy of the European Association for Clinical Pharmacology and Therapeutics, evaluated the accessibility of each medicine in his or her country, and provided a diverse group of experts willing to participate in the Delphi part. In part three, 463 experts from 24 European countries were invited to participate in a 2-round Delphi study. In total, 187 experts (40%) from 24 countries completed both rounds and evaluated 416 medicines, 98 of which were included in the final list. The top three Anatomical Therapeutic Chemical code groups were (1) cardiovascular system (n = 23), (2) ant</w:t>
      </w:r>
    </w:p>
    <w:p>
      <w:pPr/>
      <w:r>
        <w:rPr>
          <w:b/>
        </w:rPr>
        <w:t>POSSIBLE 2023:</w:t>
      </w:r>
      <w:r>
        <w:t xml:space="preserve"> Unlocking the potential of targeting histone-modifying enzymes for treating IBD and CRC — https://doi.org/10.1186/s13148-023-01562-1</w:t>
      </w:r>
    </w:p>
    <w:p>
      <w:pPr/>
      <w:r>
        <w:rPr>
          <w:b/>
        </w:rPr>
        <w:t>Shared claim-specific concepts:</w:t>
      </w:r>
      <w:r>
        <w:t xml:space="preserve"> shown, potential, help; EU scope not established. This is a provisional connection, not an outcome finding.</w:t>
      </w:r>
    </w:p>
    <w:p>
      <w:pPr>
        <w:pStyle w:val="SourceNote"/>
      </w:pPr>
      <w:r>
        <w:rPr>
          <w:b/>
        </w:rPr>
        <w:t>Available abstract (not full text):</w:t>
      </w:r>
      <w:r>
        <w:t xml:space="preserve"> Dysregulation of histone modifications has been implicated in the pathogenesis of both inflammatory bowel disease (IBD) and colorectal cancer (CRC). These diseases are characterized by chronic inflammation, and alterations in histone modifications have been linked to their development and progression. Furthermore, the gut microbiota plays a crucial role in regulating immune responses and maintaining gut homeostasis, and it has been shown to exert effects on histone modifications and gene expression in host cells. Recent advances in our understanding of the roles of histone-modifying enzymes and their associated chromatin modifications in IBD and CRC have provided new insights into potential therapeutic interventions. In particular, inhibitors of histone-modifying enzymes have been explored in clinical trials as a possible therapeutic approach for these diseases. This review aims to explore these potential therapeutic interventions and analyze previous and ongoing clinical trials that examined the use of histone-modifying enzyme inhibitors for the treatment of IBD and CRC. This paper will contribute to the current body of knowledge by exploring the latest advances in the field and discussing the limitations of existing approaches. By providing a comprehensive analysis of the potential benefits of targeting histone-modifying enzymes for the treatment of IBD and CRC, this review w</w:t>
      </w:r>
    </w:p>
    <w:p>
      <w:pPr/>
      <w:r>
        <w:rPr>
          <w:b/>
        </w:rPr>
        <w:t>POSSIBLE 2023:</w:t>
      </w:r>
      <w:r>
        <w:t xml:space="preserve"> The potential invasion into North America and Europe by non-native mosquito, Aedes koreicus (Diptera: Culicidae) — https://doi.org/10.1093/jme/tjad116</w:t>
      </w:r>
    </w:p>
    <w:p>
      <w:pPr/>
      <w:r>
        <w:rPr>
          <w:b/>
        </w:rPr>
        <w:t>Shared claim-specific concepts:</w:t>
      </w:r>
      <w:r>
        <w:t xml:space="preserve"> countries, potential, especially; EU scope visible. This is a provisional connection, not an outcome finding.</w:t>
      </w:r>
    </w:p>
    <w:p>
      <w:pPr>
        <w:pStyle w:val="SourceNote"/>
      </w:pPr>
      <w:r>
        <w:rPr>
          <w:b/>
        </w:rPr>
        <w:t>Available abstract (not full text):</w:t>
      </w:r>
      <w:r>
        <w:t xml:space="preserve"> Aedes koreicus (Edward, 1917) (Diptera: Culicidae), a mosquito species native to East Asia, has spread to parts of Europe and Central Asia since 2008. The species shares ecological characteristics with Aedes japonicus (Theobald, 1901) (Diptera: Culicidae), which has already successfully invaded and established in North America and Europe. Given these similarities, it is plausible that Ae. koreicus may also invade North America in the future. However, the invasion of Ae. koreicus may be masked or have delayed detection due to their similar morphologies with Ae. japonicus. This study highlights the potential risks of invasion of Ae. koreicus into North America, especially in the northeastern United States, and for further expansion in Europe. We used the maximum entropy model to identify areas with a high likelihood of presence in North America and Europe using comprehensive occurrence records from East Asia, Central Asia, and Europe. We have identified 15 additional countries in Europe and 7 states in the United States that will likely have suitable environments for Ae. koreicus. Additionally, we reviewed the morphological characteristics of Ae. koreicus and Ae. japonicus and provided morphological keys to distinguish the 2 species. Morphological results contradicting previous studies suggested that finding the origin by morphological comparison between Ae. koreicus populations </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2022:</w:t>
      </w:r>
      <w:r>
        <w:t xml:space="preserve"> Status and Prospects of Botanical Biopesticides in Europe and Mediterranean Countries — https://doi.org/10.3390/biom12020311</w:t>
      </w:r>
    </w:p>
    <w:p>
      <w:pPr/>
      <w:r>
        <w:rPr>
          <w:b/>
        </w:rPr>
        <w:t>Shared claim-specific concepts:</w:t>
      </w:r>
      <w:r>
        <w:t xml:space="preserve"> countries, especially; EU scope visible. This is a provisional connection, not an outcome finding.</w:t>
      </w:r>
    </w:p>
    <w:p>
      <w:pPr>
        <w:pStyle w:val="SourceNote"/>
      </w:pPr>
      <w:r>
        <w:rPr>
          <w:b/>
        </w:rPr>
        <w:t>Available abstract (not full text):</w:t>
      </w:r>
      <w:r>
        <w:t xml:space="preserve"> Concerning human and environmental health, safe alternatives to synthetic pesticides are urgently needed. Many of the currently used synthetic pesticides are not authorized for application in organic agriculture. In addition, the developed resistances of various pests against classical pesticides necessitate the urgent demand for efficient and safe products with novel modes of action. Botanical pesticides are assumed to be effective against various crop pests, and they are easily biodegradable and available in high quantities and at a reasonable cost. Many of them may act by diverse yet unexplored mechanisms of action. It is therefore surprising that only few plant species have been developed for commercial usage as biopesticides. This article reviews the status of botanical pesticides, especially in Europe and Mediterranean countries, deepening their active principles and mechanisms of action. Moreover, some constraints and challenges in the development of novel biopesticides are highlighted.</w:t>
      </w:r>
    </w:p>
    <w:p>
      <w:pPr>
        <w:pStyle w:val="Heading2"/>
      </w:pPr>
      <w:r>
        <w:t>721.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projections, reduced, over,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pStyle w:val="Heading2"/>
      </w:pPr>
      <w:r>
        <w:t>722.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723.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pStyle w:val="Heading2"/>
      </w:pPr>
      <w:r>
        <w:t>724.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725.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pStyle w:val="Heading2"/>
      </w:pPr>
      <w:r>
        <w:t>726.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pStyle w:val="Heading2"/>
      </w:pPr>
      <w:r>
        <w:t>727.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pStyle w:val="Heading2"/>
      </w:pPr>
      <w:r>
        <w:t>728.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DEVELOPING AN ECONOMIC AND SOCIAL SECURITY INDEX FOR EURO-ATLANTIC AREA COUNTRIES: A PANEL DATA ANALYSIS — https://doi.org/10.3846/jbem.2023.18610</w:t>
      </w:r>
    </w:p>
    <w:p>
      <w:pPr/>
      <w:r>
        <w:rPr>
          <w:b/>
        </w:rPr>
        <w:t>Shared claim-specific concepts:</w:t>
      </w:r>
      <w:r>
        <w:t xml:space="preserve"> developed, across, approach; EU scope visible. This is a provisional connection, not an outcome finding.</w:t>
      </w:r>
    </w:p>
    <w:p>
      <w:pPr>
        <w:pStyle w:val="SourceNote"/>
      </w:pPr>
      <w:r>
        <w:rPr>
          <w:b/>
        </w:rPr>
        <w:t>Available abstract (not full text):</w:t>
      </w:r>
      <w:r>
        <w:t xml:space="preserve"> The concepts of economic and social security are very complex and dynamic, closely related to many new challenges that characterize today’s societies. Our research aims at investigating the economic and social security considering the current vulnerabilities, using an integrated multicriteria approach to this issue, taking into account five pillars (dimensions): demographic, climate, globalization, and ITC adaptation, social, and economic. Based on these dimensions, we developed an Economic and Social Security Index across the Euro-Atlantic countries and we found that the European Union (EU) is better positioned compared to the other country-groups analysed. Furthermore, we estimated the effects of duration of schooling and climate degradation on economic growth, by using the Panel EGLS method over the period 2010–2019, and we compared the results obtained for EU countries to the ones obtained for the other groups of countries in EuroAtlantic space: EU neighbours and candidate/potential candidate countries and other Eastern EU neighbourhood countries. We found a positive impact of the duration of schooling on the economic growth, which is greater in countries registering high levels of socio-economic security, the effect of the duration of schooling varying depending on the quality of education. In terms of the effects of CO2 emissions on economic growth, we found a negative im</w:t>
      </w:r>
    </w:p>
    <w:p>
      <w:pPr/>
      <w:r>
        <w:rPr>
          <w:b/>
        </w:rPr>
        <w:t>POSSIBLE 2023:</w:t>
      </w:r>
      <w:r>
        <w:t xml:space="preserve"> A BIM based tool for evaluating building renovation strategies: the case of three demonstration sites in different European countries — https://doi.org/10.1108/ci-12-2022-0314</w:t>
      </w:r>
    </w:p>
    <w:p>
      <w:pPr/>
      <w:r>
        <w:rPr>
          <w:b/>
        </w:rPr>
        <w:t>Shared claim-specific concepts:</w:t>
      </w:r>
      <w:r>
        <w:t xml:space="preserve"> describes, three, developed, project, key, across; EU scope visible. This is a provisional connection, not an outcome finding.</w:t>
      </w:r>
    </w:p>
    <w:p>
      <w:pPr>
        <w:pStyle w:val="SourceNote"/>
      </w:pPr>
      <w:r>
        <w:rPr>
          <w:b/>
        </w:rPr>
        <w:t>Available abstract (not full text):</w:t>
      </w:r>
      <w:r>
        <w:t xml:space="preserve"> Purpose Buildings are among the biggest contributors to environmental impacts. To achieve energy-saving and decarbonisation objectives while also improving living conditions, it is imperative to undertake large-scale renovations of existing buildings, which constitute the greater part of building stock and have relatively low energy efficiency. However, building renovation projects poses significant challenges owing to the absence of optimised tools and methods for planning and executing renovation works, coupled with the need for a high degree of interaction with occupants. Design/methodology/approach This paper describes the development of an automated process, based on building information modelling (BIM) and the principal component analysis method, for overcoming building renovation challenges. The process involves the assessment and simulation of renovation scenarios in terms of duration, cost, effort needed and disruptive potential. The proposed process was tested in three case studies; multi-residence apartment buildings comprising different construction components and systems, located in Greece, France and Denmark, on which six different renovation strategies were evaluated using sensitivity analysis. Findings The developed tool was successfully able to model and simulate the six renovation scenarios across the three demonstration sites. The ability to simulate various </w:t>
      </w:r>
    </w:p>
    <w:p>
      <w:pPr>
        <w:pStyle w:val="Heading2"/>
      </w:pPr>
      <w:r>
        <w:t>729.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The burden of skin disease in Europe — https://doi.org/10.1111/jdv.19390</w:t>
      </w:r>
    </w:p>
    <w:p>
      <w:pPr/>
      <w:r>
        <w:rPr>
          <w:b/>
        </w:rPr>
        <w:t>Shared claim-specific concepts:</w:t>
      </w:r>
      <w:r>
        <w:t xml:space="preserve"> those, role, common, even, often;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pStyle w:val="Heading2"/>
      </w:pPr>
      <w:r>
        <w:t>730.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2025:</w:t>
      </w:r>
      <w:r>
        <w:t xml:space="preserve"> A European review of the potential role of industrial clusters in the energy system when leveraging energy synergies — https://doi.org/10.1016/j.egyr.2025.10.019</w:t>
      </w:r>
    </w:p>
    <w:p>
      <w:pPr/>
      <w:r>
        <w:rPr>
          <w:b/>
        </w:rPr>
        <w:t>Shared claim-specific concepts:</w:t>
      </w:r>
      <w:r>
        <w:t xml:space="preserve"> focus, energy, system, increased; EU scope visible. This is a provisional connection, not an outcome finding.</w:t>
      </w:r>
    </w:p>
    <w:p>
      <w:pPr>
        <w:pStyle w:val="SourceNote"/>
      </w:pPr>
      <w:r>
        <w:rPr>
          <w:b/>
        </w:rPr>
        <w:t>Available abstract (not full text):</w:t>
      </w:r>
      <w:r>
        <w:t xml:space="preserve"> Concerns about the competitiveness of European industry led to the publication of the Draghi report. One of his recommendations is to install regional green industrial clusters around energy-intensive companies. The report identifies three benefit categories, each corresponding to typical industrial symbiosis cases: improved investment cases by shared local low-carbon energy generation, improved investment cases by shared infrastructure, and improved energy flows for increased resource efficiency. Industrial clusters hold untapped potential to advance the energy transition and climate neutrality. However, it is still unknown how and if this potential will ever be reached, nor how scalable and replicable the benefits will be. This review paper aims to take a first step in exploring the potential role of industrial clusters in the energy system by exposing the research state of the art in academic literature. A literature review is performed in line with the three benefit categories according to Draghi to understand the enablers and barriers of potential synergies and their impact on the energy system. Afterwards, the scalability is assessed by positioning the European industrial clusters in the larger renewable energy landscape. To illustrate the global interest, a brief reflection is made on references to industrial clusters in the policy of non-European regions. The work concl</w:t>
      </w:r>
    </w:p>
    <w:p>
      <w:pPr/>
      <w:r>
        <w:rPr>
          <w:b/>
        </w:rPr>
        <w:t>POSSIBLE 2025:</w:t>
      </w:r>
      <w:r>
        <w:t xml:space="preserve"> Exploring configurations of a European energy system within the planetary boundaries — https://doi.org/10.1088/1748-9326/ade26b</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Abstract Planetary Boundaries and other carrying capacities define a safe operating space for humanity. However, current energy system models often address sustainability too narrowly with a focus on greenhouse gas emissions during the operational phase, and neglecting other environmental impacts can lead to suboptimal and unsustainable energy systems. This study integrates environmental impacts and planetary boundaries as constraints into a multi-sectoral energy system model to explore sustainable configurations for the European energy system in 2050. Our results indicate that it will not be possible to stay within all allocated carrying capacities without a combined application of energy demand reduction, large-scale deployment of renewable energies, electrification of heating, and technological improvements. Specifically, with the most permissive allocation principle, European electricity and heat demand must be limited to 3550 TWh e and 4655 TWh th to remain within the planetary boundaries, which represents a 22% and 24% reduction compared to 2050 projected final energy demand for the sectors of electricity and heat, excluding transport and fuels demands. Results show that scenario normally considered ‘Net Zero’ would transgress the allocated budget for climate change by 70%, despite a high deployment of renewable energies, when life cycle impacts are considered. All genera</w:t>
      </w:r>
    </w:p>
    <w:p>
      <w:pPr/>
      <w:r>
        <w:rPr>
          <w:b/>
        </w:rPr>
        <w:t>POSSIBLE 2025:</w:t>
      </w:r>
      <w:r>
        <w:t xml:space="preserve"> Sustainable Industrial Policies for a Green Europe — https://doi.org/10.4018/979-8-3373-6002-7.ch007</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Industrial policy plays a pivotal role in shaping the transition towards a sustainable, low-carbon economy, especially in the context of the European Green Deal. The European Green Deal aims to make Europe the first climate-neutral continent by 2050, which requires transformative changes in industries, energy systems, and environmental practices. This paper explores the integration of industrial policy with the Green Deal, focusing on green technologies, renewable energy adoption, and sustainable industry practices. Using advanced machine learning models, specifically Bi-Stacked Artificial Neural Networks (ANNs), we analyze how different industrial sectors can adapt to green policies and meet the sustainability targets set by the Green Deal. The research employs data-driven simulations to predict the outcomes of various policy interventions, providing insights into their potential impact on emissions reduction, economic growth, and job creation.</w:t>
      </w:r>
    </w:p>
    <w:p>
      <w:pPr/>
      <w:r>
        <w:rPr>
          <w:b/>
        </w:rPr>
        <w:t>POSSIBLE 2025:</w:t>
      </w:r>
      <w:r>
        <w:t xml:space="preserve"> State Policy of Energy Efficiency Improvement in Residential Construction in Eu Countries — https://doi.org/10.23939/smeu2025.01.316</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article investigates the European experience of state policy regarding energy efficiency in the residential construction sector and analyzes the primary EU regulations that govern this area. Particular attention is given to the evolution of energy efficiency policy from the late 20th century to the present, with an emphasis on the main challenges and outcomes of implementing the respective directives. The article explores financial and macroeconomic approaches to assessing energy efficiency, as well as the mechanisms of administrative and economic regulation. It summarizes the key instruments of state energy efficiency policy in residential construction that need to be implemented in Ukraine to align its national legislation with EU standards. Three primary policy direction groups are identified: technical and regu-latory measures, infrastructure development and integration, and financial-economic and regulatory mechanisms. The implementation of European energy efficiency standards in Ukraine's residential sector will lead to several significant outcomes: reduction in energy consumption; economic impact; improve-ment in the standard of living; environmental sustainability; integration into the European energy space. Thus, the adaptation of Ukrainian legislation to European energy efficiency standards in residential con-struction is a necessary condition for sustainable deve</w:t>
      </w:r>
    </w:p>
    <w:p>
      <w:pPr>
        <w:pStyle w:val="Heading2"/>
      </w:pPr>
      <w:r>
        <w:t>731.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Financial levers and carbon emissions: analysing the debt-emission nexus in the European Union — https://doi.org/10.1080/00036846.2024.2393901</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paper examines the intricate relationship between the national debts of EU-27 member countries and their CO2 emissions, employing the Logarithmic Mean Divisia Index additive model to dissect the impacts of different financial and economic factors on environmental sustainability. To thoroughly explore the evolution of CO2 emissions and influencing factors, the 27 economies analysed were classified into two categories (advanced economies and emerging economies). Furthermore, three sub-periods for analysis were set (1995–2007, 2008–2016, and 2017–2022). The study identifies significant correlations between debt structures, economic growth, energy consumption patterns, and CO2 emissions. The findings reveal that Economic Growth is the largest contributor to the CO2 emissions increase, followed by Total Debt Level. A powerful and constant counterbalancing effect of CO2 emissions reduction is assured by Fossil Fuel Financing. The results underscore the complex interplay between financial and environmental policies in the EU, emphasizing the need for balanced approaches to achieve climate goals. It suggests that investment in green technologies and renewable energy sources, alongside innovative financing mechanisms for green technologies, enhanced energy efficiency, and fiscal policies aimed at reducing national debts, can have the dual benefit of mitigating climate change while </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pStyle w:val="Heading2"/>
      </w:pPr>
      <w:r>
        <w:t>732.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pStyle w:val="Heading2"/>
      </w:pPr>
      <w:r>
        <w:t>733.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2023:</w:t>
      </w:r>
      <w:r>
        <w:t xml:space="preserve"> Executive summary — https://doi.org/10.1787/3cb44a40-en</w:t>
      </w:r>
    </w:p>
    <w:p>
      <w:pPr/>
      <w:r>
        <w:rPr>
          <w:b/>
        </w:rPr>
        <w:t>Shared claim-specific concepts:</w:t>
      </w:r>
      <w:r>
        <w:t xml:space="preserve"> summary, makers, information; EU scope not established. This is a provisional connection, not an outcome finding.</w:t>
      </w:r>
    </w:p>
    <w:p>
      <w:pPr>
        <w:pStyle w:val="SourceNote"/>
      </w:pPr>
      <w:r>
        <w:rPr>
          <w:b/>
        </w:rPr>
        <w:t>Available abstract (not full text):</w:t>
      </w:r>
      <w:r>
        <w:t xml:space="preserve"> In recent years, largely due to the COVID-19 pandemic, policy makers have gained new awareness of public communication’s potential in achieving better policy outcomes. With weak public confidence in government institutions and the deteriorating health of information ecosystems, governments are rethinking how communication can support democratic resilience. In many democracies, the space for open public debate that fosters this democratic resilience suffers from polarising narratives and disinformation. This can undermine policy and result in public disengagement from political and civic participation.</w:t>
      </w:r>
    </w:p>
    <w:p>
      <w:pPr/>
      <w:r>
        <w:rPr>
          <w:b/>
        </w:rPr>
        <w:t>POSSIBLE 2023:</w:t>
      </w:r>
      <w:r>
        <w:t xml:space="preserve"> Trends in Hyperlipidemia Treatments: Summary of Recommendations for Statin and Non-Statin Options — https://doi.org/10.26420/jfammed.2024.1343</w:t>
      </w:r>
    </w:p>
    <w:p>
      <w:pPr/>
      <w:r>
        <w:rPr>
          <w:b/>
        </w:rPr>
        <w:t>Shared claim-specific concepts:</w:t>
      </w:r>
      <w:r>
        <w:t xml:space="preserve"> summary, recommendations, decision, date; EU scope not established. This is a provisional connection, not an outcome finding.</w:t>
      </w:r>
    </w:p>
    <w:p>
      <w:pPr>
        <w:pStyle w:val="SourceNote"/>
      </w:pPr>
      <w:r>
        <w:rPr>
          <w:b/>
        </w:rPr>
        <w:t>Available abstract (not full text):</w:t>
      </w:r>
      <w:r>
        <w:t xml:space="preserve"> Several treatment options and recommendations exist to guide a primary care provider to reduce overall cardiac morbidity and mortality risk through lipid control. The wealth of data from large studies, the choices of agents with varying mechanisms of action, and differing guidelines result in a challenge to keep abreast of this rapidly changing landscape. In this literature review the latest data regarding lipid management are reviewed and summarized. Current US and international cholesterol treatment guidelines recommend lifestyle modification followed by statin as first-line of therapy in management of hyperlipidemia. After optimizing statin dose if LDL remains above target goal, then the addition of ezetimibe provides added reductions in morbidity and mortality. Fibrates can be considered as an adjunct to statins therapy particularly in the diabetic population with persistent triglyceride elevations and provide modest reductions in coronary artery disease. PCSK9 inhibitors can reduce morbidity and mortality in a high-risk population when a statin or statin+ezetimibe does not bring LDL below the target goal. Some newer agents (ANGPTL3/ACL/MTP Inhibitors) are reserved for patients with a predisposition to ASCVD due to a familial genetic dyslipidemia. Cost for these adjunctive therapies is a concern for the patient and clinician and patient education along with a shared decisio</w:t>
      </w:r>
    </w:p>
    <w:p>
      <w:pPr>
        <w:pStyle w:val="Heading2"/>
      </w:pPr>
      <w:r>
        <w:t>734.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735.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pStyle w:val="Heading2"/>
      </w:pPr>
      <w:r>
        <w:t>736.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2025:</w:t>
      </w:r>
      <w:r>
        <w:t xml:space="preserve"> Moving on to a Pathway of Hope: Stories of Female Persons Deprived of Liberty (PDL) — https://doi.org/10.32996/ijlps.2025.7.7.2</w:t>
      </w:r>
    </w:p>
    <w:p>
      <w:pPr/>
      <w:r>
        <w:rPr>
          <w:b/>
        </w:rPr>
        <w:t>Shared claim-specific concepts:</w:t>
      </w:r>
      <w:r>
        <w:t xml:space="preserve"> support, moving, well-being; EU scope not established. This is a provisional connection, not an outcome finding.</w:t>
      </w:r>
    </w:p>
    <w:p>
      <w:pPr>
        <w:pStyle w:val="SourceNote"/>
      </w:pPr>
      <w:r>
        <w:rPr>
          <w:b/>
        </w:rPr>
        <w:t>Available abstract (not full text):</w:t>
      </w:r>
      <w:r>
        <w:t xml:space="preserve"> The Bureau of Jail Management and Penology in the Philippines is responsible for developing plans, programs, and policies to effectively implement rehabilitation programs for all inmates nationwide. It also collaborates with other government and private organizations to support these programs. The primary goal is to improve the well-being of inmates and prepare them for successful reintegration into society after their release while ensuring humane treatment for all inmates, regardless of their backgrounds and gender. This research study aimed to understand the experiences of female Persons Deprived of Liberty (PDL) within the rehabilitation program through a qualitative research method. The informants of this study were ten (10) resides at the Cebu City Jail Female Dormitory (CCJFD)situated at Barangay Kalunasan Cebu City, Philippines. Four (4) informants were subjected to an in-depth interview and six (6) informants for the Focus Group Discussions (FGD). The findings of this study are articulated in emergent themes. Six (6) emergent themes described the positive and negative experiences of the informants on the rehabilitation program. For the positive experiences, three (3) emergent themes were developed, namely: Jailhouse Jukebox, Cellmate for Change, and From Cell to Success: Skills, Swag, and Savings. For the negative experiences, three (3) emergent themes were also develo</w:t>
      </w:r>
    </w:p>
    <w:p>
      <w:pPr>
        <w:pStyle w:val="Heading2"/>
      </w:pPr>
      <w:r>
        <w:t>737.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pStyle w:val="Heading2"/>
      </w:pPr>
      <w:r>
        <w:t>738.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2024:</w:t>
      </w:r>
      <w:r>
        <w:t xml:space="preserve"> Sustainable worm control in ruminants in Europe: current perspectives — https://doi.org/10.1093/af/vfae033</w:t>
      </w:r>
    </w:p>
    <w:p>
      <w:pPr/>
      <w:r>
        <w:rPr>
          <w:b/>
        </w:rPr>
        <w:t>Shared claim-specific concepts:</w:t>
      </w:r>
      <w:r>
        <w:t xml:space="preserve"> current, average, however; EU scope visible. This is a provisional connection, not an outcome finding.</w:t>
      </w:r>
    </w:p>
    <w:p>
      <w:pPr>
        <w:pStyle w:val="SourceNote"/>
      </w:pPr>
      <w:r>
        <w:rPr>
          <w:b/>
        </w:rPr>
        <w:t>Available abstract (not full text):</w:t>
      </w:r>
      <w:r>
        <w:t xml:space="preserve"> Anthelmintic resistance is an escalating problem in Europe and the environmental consequences (soil and aquatic health) related to anthelmintic use are an increasing matter of concern. Several sustainable worm control (SWC) practices are available now. These include the increased use of diagnostics and decision support enabling a targeted use of anthelmintics. Complementary control measures, referred to as the “Basket of Options”, include plant-based control, grazing management, nematode-destroying fungi, and selective breeding and can also reduce the need for anthelmintic use. Their use is more complex than the simple use of anthelmintics and their uptake has remained relatively low. Equipped by recent studies on the barriers to and drivers of uptake of SWC practices, it is now time to develop a Community of Practice across Europe, involving all relevant stakeholders at local, national, and European levels to achieve SWC together. Cattle, sheep, goats, and their associated industries are a vital component in the development of rural areas and sustainable land use strategies in Europe. With 77 million bovines and 74 million sheep and goats in the EU (Eurostat, 2023), ruminant production is deeply linked to European culture. All European farmed ruminant populations with outdoor access are exposed to parasitic worm (helminth) infections and these remain an important constraint on</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Range Contraction and Population Decline of the European Dupont’s Lark Population — https://doi.org/10.3390/d15080928</w:t>
      </w:r>
    </w:p>
    <w:p>
      <w:pPr/>
      <w:r>
        <w:rPr>
          <w:b/>
        </w:rPr>
        <w:t>Shared claim-specific concepts:</w:t>
      </w:r>
      <w:r>
        <w:t xml:space="preserve"> current, decline, reach; EU scope visible. This is a provisional connection, not an outcome finding.</w:t>
      </w:r>
    </w:p>
    <w:p>
      <w:pPr>
        <w:pStyle w:val="SourceNote"/>
      </w:pPr>
      <w:r>
        <w:rPr>
          <w:b/>
        </w:rPr>
        <w:t>Available abstract (not full text):</w:t>
      </w:r>
      <w:r>
        <w:t xml:space="preserve"> The Dupont’s lark (Chersophilus duponti) is an endangered passerine typical of Mediterranean shrub-steppes, whose European distribution is restricted to Spain. Here, we update the population size and distribution range of the species at a European scale and evaluate (i) the current status; (ii) the change in population size and distribution range of the species from 2004 to 2009 to the current period (2017–2022); and (iii) the effectiveness of the current network of special protection areas (SPAs) for protecting the Dupont’s lark. The European Dupont’s lark population showed a decrease of 29.9%, declining from ca. 3267 to 2289 territorial males from 2004 to 2009 to the current period. Moreover, the species has suffered a contraction in its distribution range of 35.9%, with only 39.3% of the species’ territories located within the current network of SPAs. Our findings agree with the previously described decline of the Dupont’s lark in Europe. The population decline was even larger in peripheral regions, which suggests that the species is suffering a centripetal process of contraction and extinction. These results indicate that if there is no change in present-day declining forces, several peripheral populations will reach extinction in a few decades and the overall population size of the species will continue decreasing. Our study should be considered as a last call for action a</w:t>
      </w:r>
    </w:p>
    <w:p>
      <w:pPr>
        <w:pStyle w:val="Heading2"/>
      </w:pPr>
      <w:r>
        <w:t>739.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2024:</w:t>
      </w:r>
      <w:r>
        <w:t xml:space="preserve"> International trade and economy: A historical perspective — https://doi.org/10.56238/sevened2023.006-113</w:t>
      </w:r>
    </w:p>
    <w:p>
      <w:pPr/>
      <w:r>
        <w:rPr>
          <w:b/>
        </w:rPr>
        <w:t>Shared claim-specific concepts:</w:t>
      </w:r>
      <w:r>
        <w:t xml:space="preserve"> trade, perspective, relations; EU scope not established. This is a provisional connection, not an outcome finding.</w:t>
      </w:r>
    </w:p>
    <w:p>
      <w:pPr>
        <w:pStyle w:val="SourceNote"/>
      </w:pPr>
      <w:r>
        <w:rPr>
          <w:b/>
        </w:rPr>
        <w:t>Available abstract (not full text):</w:t>
      </w:r>
      <w:r>
        <w:t xml:space="preserve"> The article discusses the historical evolution of commercial relations throughout human history, from primitive exchanges to the contemporary scenario of complex challenges in global trade relations, including the formation of international institutions such as the World Trade Organization and the importance of international logistics in economic development and the competitiveness of nations. The text highlights the importance of international trade in the development of nations and in fostering good relationships and satisfactory trade relations between nations. The approach methodology is inductive, and the research technique is qualitative bibliographic analysis. The primary objective of this work is to analyze the evolution of commercial relations throughout human history, from the early days of barter to the sophisticated forms of trade today. It will address the crucial phases of this development, from primitive exchanges to complex global trade systems. The results demonstrate that the history of trade is intrinsically linked to the development of humanity, driving economic growth and collaboration between nations. The formation of international institutions has played a fundamental role in fair trade relations and maintaining global peace. International logistics has emerged as a key component in global trade, driving economic development and the competitiveness of nat</w:t>
      </w:r>
    </w:p>
    <w:p>
      <w:pPr/>
      <w:r>
        <w:rPr>
          <w:b/>
        </w:rPr>
        <w:t>POSSIBLE 2024:</w:t>
      </w:r>
      <w:r>
        <w:t xml:space="preserve"> Diversified Farms as Models Of Circular Agrifood: A Case Study — https://openalex.org/W7217867999</w:t>
      </w:r>
    </w:p>
    <w:p>
      <w:pPr/>
      <w:r>
        <w:rPr>
          <w:b/>
        </w:rPr>
        <w:t>Shared claim-specific concepts:</w:t>
      </w:r>
      <w:r>
        <w:t xml:space="preserve"> agrifood, different; EU scope not established. This is a provisional connection, not an outcome finding.</w:t>
      </w:r>
    </w:p>
    <w:p>
      <w:pPr>
        <w:pStyle w:val="SourceNote"/>
      </w:pPr>
      <w:r>
        <w:rPr>
          <w:b/>
        </w:rPr>
        <w:t>Available abstract (not full text):</w:t>
      </w:r>
      <w:r>
        <w:t xml:space="preserve"> Circular economy (CE) has gained prominence in academic research in recent years. Case studies in circular economy have proven to be a useful way to learn about the main barriers and facilitators to implementing circular economy practices. Nevertheless, most of them are based on the manufacturing and energy sectors and technological solutions that are needed to achieve circularity. However, our paper presents the concept of circular economy applied to a diversified farm model. The aim is to discuss to what extent this model meets the circularity criteria that are promoted by the institutions, as well as the factors that favour and slow down the implementation of circularity in this type of farm. The case study analyzed is a family farm which has been making an innovative proposal for diversification in different links of the agri-food chain to closing circles. Keywords: circular agri-food, family farming, diversified farms, “masia”, case study _____________________________________ Les fermes diversifiées comme modèles d’agroalimentaire circulaire : une étude de cas RésuméL’économie circulaire (EC) a pris de l’importance dans la recherche universitaire ces dernières années. Les études de cas sur l’économie circulaire se sont révélées être un moyen utile de connaître les principaux obstacles et facilitateurs à la mise en oeuvre de pratiques d’économie circulaire. Néanmoins, la pl</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pStyle w:val="Heading2"/>
      </w:pPr>
      <w:r>
        <w:t>740.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pStyle w:val="Heading2"/>
      </w:pPr>
      <w:r>
        <w:t>741.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2024:</w:t>
      </w:r>
      <w:r>
        <w:t xml:space="preserve"> “The People” and Climate Justice: Reconceptualizing Populism and Pluralism within Climate Politics — https://doi.org/10.1086/729277</w:t>
      </w:r>
    </w:p>
    <w:p>
      <w:pPr/>
      <w:r>
        <w:rPr>
          <w:b/>
        </w:rPr>
        <w:t>Shared claim-specific concepts:</w:t>
      </w:r>
      <w:r>
        <w:t xml:space="preserve"> possible, climate, exclusionary; EU scope not established. This is a provisional connection, not an outcome finding.</w:t>
      </w:r>
    </w:p>
    <w:p>
      <w:pPr>
        <w:pStyle w:val="SourceNote"/>
      </w:pPr>
      <w:r>
        <w:rPr>
          <w:b/>
        </w:rPr>
        <w:t>Available abstract (not full text):</w:t>
      </w:r>
      <w:r>
        <w:t xml:space="preserve"> Today, populism is widely understood to entail an exclusionary conception of “the people” that threatens climate change action. While this threat is real, I argue that populism itself can be understood as a response to perceived exclusion and marginalization, making it possible to conceptualize a more heterogeneous conception of populism’s “people.” Examining two approaches to climate change action rooted in contrasting conceptions of the people and the elite, I argue that climate justice organizing offers a promising effort to construct a heterogeneous people and offers a powerful critique of the elite representation of climate change action in which “we are all in this together.” Yet along with this promise, climate justice organizing must navigate tensions that are inescapable within any populist formation. One neglected thread of populist history and theory offers resources for doing so; in the final section of this paper, I explore its relevance to climate justice today.</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pStyle w:val="Heading2"/>
      </w:pPr>
      <w:r>
        <w:t>742.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r>
        <w:rPr>
          <w:b/>
        </w:rPr>
        <w:t>POSSIBLE 2024:</w:t>
      </w:r>
      <w:r>
        <w:t xml:space="preserve"> Influence of Forest Management on the Sustainability of Community Areas in Northern Inland Portugal: A Simulated Case Study Assessment — https://doi.org/10.3390/su16188006</w:t>
      </w:r>
    </w:p>
    <w:p>
      <w:pPr/>
      <w:r>
        <w:rPr>
          <w:b/>
        </w:rPr>
        <w:t>Shared claim-specific concepts:</w:t>
      </w:r>
      <w:r>
        <w:t xml:space="preserve"> case, northern, portugal, local, abandonment, different; EU scope visible. This is a provisional connection, not an outcome finding.</w:t>
      </w:r>
    </w:p>
    <w:p>
      <w:pPr>
        <w:pStyle w:val="SourceNote"/>
      </w:pPr>
      <w:r>
        <w:rPr>
          <w:b/>
        </w:rPr>
        <w:t>Available abstract (not full text):</w:t>
      </w:r>
      <w:r>
        <w:t xml:space="preserve"> The northern inland region of Portugal has experienced significant population decline due to the exodus of younger generations and an aging population. This has led to the abandonment of traditional activities in these territories, contributing to territorial abandonment, degradation of local economic conditions, increased social vulnerability, and a heightened risk of rural fires. The presence of communal lands, known as “baldios”, is an important facilitator for implementing actions that revitalize local villages, making them more attractive to the community. Forests, which are abundant in the baldios of northern inland Portugal, have the potential to generate environmental, social, and economic value through carbon sequestration, job creation, population stabilization, and wealth generation in the villages. However, the viability of this asset as a driver for sustainable development depends on the forest management model implemented. This case study aims to demonstrate that different forest management models have varied impacts on sustainability indicators, particularly economic and environmental sustainability. Based on naturally regenerated forests in the Carvalhelhos baldio in the Tâmega Valley region, data were collected to simulate in software four management scenarios, varying the number (0 to 4) and age of thinnings until the final cut. The simulation allowed for the </w:t>
      </w:r>
    </w:p>
    <w:p>
      <w:pPr>
        <w:pStyle w:val="Heading2"/>
      </w:pPr>
      <w:r>
        <w:t>743.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r>
        <w:rPr>
          <w:b/>
        </w:rPr>
        <w:t>POSSIBLE 2024:</w:t>
      </w:r>
      <w:r>
        <w:t xml:space="preserve"> Exploring super-resolution spatial downscaling of several meteorological variables and potential applications for photovoltaic power — https://doi.org/10.1038/s41598-024-57759-8</w:t>
      </w:r>
    </w:p>
    <w:p>
      <w:pPr/>
      <w:r>
        <w:rPr>
          <w:b/>
        </w:rPr>
        <w:t>Shared claim-specific concepts:</w:t>
      </w:r>
      <w:r>
        <w:t xml:space="preserve"> potential, method, several, exploring, wind; EU scope not established. This is a provisional connection, not an outcome finding.</w:t>
      </w:r>
    </w:p>
    <w:p>
      <w:pPr>
        <w:pStyle w:val="SourceNote"/>
      </w:pPr>
      <w:r>
        <w:rPr>
          <w:b/>
        </w:rPr>
        <w:t>Available abstract (not full text):</w:t>
      </w:r>
      <w:r>
        <w:t xml:space="preserve"> We applied a perfect prognosis approach to downscale four meteorological variables that affect photovoltaic (PV) power output using four machine learning (ML) algorithms. In addition to commonly investigated variables, such as air temperature and precipitation, we also focused on wind speed and surface solar radiation, which are not frequently examined. The downscaling performance of the four variables followed the order of: temperature &gt; surface solar radiation &gt; wind speed &gt; precipitation. Having assessed the dependence of the downscaling accuracy on the scaling factor, we focused on a super-resolution downscaling. We found that the convolutional neural network (CNN) generally outperformed the other linear and non-linear algorithms. The CNN was further able to reproduce extremes. With the rapid transition from coal to renewables, the need to evaluate low solar output conditions at a regional scale is expected to benefit from CNNs. Because weather affects PV power output in multiple ways, and future climate change will modify meteorological conditions, we focused on obtaining exemplary super-resolution application by evaluating future changes in PV power outputs using climate simulations. Our results confirmed the reliability of the CNN method for producing super-resolution climate scenarios and will enable energy planners to anticipate the effects of future weather variabilit</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potential, several, access;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pStyle w:val="Heading2"/>
      </w:pPr>
      <w:r>
        <w:t>744.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2025:</w:t>
      </w:r>
      <w:r>
        <w:t xml:space="preserve"> FLOOD PREDICTION USING SUPPORT VECTOR MACHINE ALGORITHM ON MOBILE APPLICATION — https://doi.org/10.22452/mjcs.vol38spf.1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Keywords: Floods are recurrent natural disasters that can have a devastating impact on societies, economies, and the environment. Therefore, it is critical to predict and manage flood situations promptly to minimize the damage they cause. However, many people are unaware of flood risks, and there are limited mobile applications that can provide timely and accurate flood predictions. This study explores the application of the Support Vector Machine (SVM) algorithm for flood prediction in a mobile application. The aim is to provide users with timely and accurate flood predictions, enabling them to make informed decisions and take necessary precautions to mitigate flood impacts. By integrating the SVM algorithm into a mobile application, users gain convenient access to flood predictions, empowering them to be better prepared for potential flooding events. The user-friendly platform delivers critical flood forecasts, ensuring individuals and communities can respond effectively to flood situations. The evaluation of the SVM algorithm's performance reveals an achieved accuracy of 66.66%. In conclusion, this study underscores the potential of the SVM algorithm for flood prediction in a mobile application. These findings contribute to the field of flood forecasting technology, paving the way for more sophisticated and effective flood prediction tools in the future., Floods; Support Vec</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pStyle w:val="Heading2"/>
      </w:pPr>
      <w:r>
        <w:t>745.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r>
        <w:rPr>
          <w:b/>
        </w:rPr>
        <w:t>POSSIBLE 2025:</w:t>
      </w:r>
      <w:r>
        <w:t xml:space="preserve"> Recommendations for SOME Use for Study Purposes for the Case Organization — https://openalex.org/W7127236695</w:t>
      </w:r>
    </w:p>
    <w:p>
      <w:pPr/>
      <w:r>
        <w:rPr>
          <w:b/>
        </w:rPr>
        <w:t>Shared claim-specific concepts:</w:t>
      </w:r>
      <w:r>
        <w:t xml:space="preserve"> case, recommendations, use, based, experts; EU scope not established. This is a provisional connection, not an outcome finding.</w:t>
      </w:r>
    </w:p>
    <w:p>
      <w:pPr>
        <w:pStyle w:val="SourceNote"/>
      </w:pPr>
      <w:r>
        <w:rPr>
          <w:b/>
        </w:rPr>
        <w:t>Available abstract (not full text):</w:t>
      </w:r>
      <w:r>
        <w:t xml:space="preserve"> The primary objective of this thesis is to examine the use of social media (SOME) in the study practices of Finnish Universities of Applied Sciences (UASs) and to develop practical recommendations for integrating SOME into the educational framework of the case organization. By analyzing current trends and best practices in social media adoption across higher education institutions (HEIs), the thesis aims to enhance student learning, collaboration, and engagement. The research context revolves around identifying how social media tools can be strategically applied to support academic goals and improve institutional communication. To achieve this objective, the study employed a mixed-methods research approach grounded in applied action research. Data was gathered in three phases: a questionnaire distributed to 20 students and faculty members, semi-structured interviews with stakeholders including a learning community leader, and a validation group discussion with faculty experts. This multi-phase strategy allowed for both quantitative insights and qualitative depth, ensuring that the recommendations are data-informed, context-sensitive, and aligned with user needs. The theoretical foundation of the study is based on three key areas of SOME use in HEIs: enhancing learning and engagement, supporting content creation and knowledge sharing, and fostering communication and collaboratio</w:t>
      </w:r>
    </w:p>
    <w:p>
      <w:pPr>
        <w:pStyle w:val="Heading2"/>
      </w:pPr>
      <w:r>
        <w:t>746.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2022:</w:t>
      </w:r>
      <w:r>
        <w:t xml:space="preserve"> Older adults as designers of behavior change strategies to increase physical activity—Report of a participatory design process — https://doi.org/10.3389/fpubh.2022.988470</w:t>
      </w:r>
    </w:p>
    <w:p>
      <w:pPr/>
      <w:r>
        <w:rPr>
          <w:b/>
        </w:rPr>
        <w:t>Shared claim-specific concepts:</w:t>
      </w:r>
      <w:r>
        <w:t xml:space="preserve"> increase, designers, different; EU scope not established. This is a provisional connection, not an outcome finding.</w:t>
      </w:r>
    </w:p>
    <w:p>
      <w:pPr>
        <w:pStyle w:val="SourceNote"/>
      </w:pPr>
      <w:r>
        <w:rPr>
          <w:b/>
        </w:rPr>
        <w:t>Available abstract (not full text):</w:t>
      </w:r>
      <w:r>
        <w:t xml:space="preserve"> Background: Despite the significant value of physical activity for the health of older adults, this population often fails to achieve recommended activity levels. Digital interventions show promise in providing support for self-managed physical activity. However, more information is needed about older adults' preferences for digital support to change physical activity behaviors as well as the process of designing them. The aim of this paper was to describe the participatory design process in which older adults were involved in the co-creation of digitally supported behavioral change strategies to support self-managed physical activity, and how the results were integrated in a prototype. Methods: The participatory design process involved with nine older adults and two researchers. The participants were divided in two groups, and each group participated in three workshops and completed home tasks in between workshops. Following an iterative design process influenced by theories of behavior change, the workshops and home tasks were continuously analyzed, and the content and process were developed between groups and the next set of workshops. Prototypes of a mobile health (mHealth) solution for fall preventive exercise for older adults were developed in which the conceptualized strategies were integrated. To support coherence in reporting and evaluation, the developed techniques we</w:t>
      </w:r>
    </w:p>
    <w:p>
      <w:pPr/>
      <w:r>
        <w:rPr>
          <w:b/>
        </w:rPr>
        <w:t>POSSIBLE 2021:</w:t>
      </w:r>
      <w:r>
        <w:t xml:space="preserve"> THE ROLE OF SHARING CREATIVE IDEAS: PROFESSIONAL DESIGNERS ABOUT THEIR WORK — https://doi.org/10.3846/cs.2021.14723</w:t>
      </w:r>
    </w:p>
    <w:p>
      <w:pPr/>
      <w:r>
        <w:rPr>
          <w:b/>
        </w:rPr>
        <w:t>Shared claim-specific concepts:</w:t>
      </w:r>
      <w:r>
        <w:t xml:space="preserve"> designers, work, creativity, different; EU scope not established. This is a provisional connection, not an outcome finding.</w:t>
      </w:r>
    </w:p>
    <w:p>
      <w:pPr>
        <w:pStyle w:val="SourceNote"/>
      </w:pPr>
      <w:r>
        <w:rPr>
          <w:b/>
        </w:rPr>
        <w:t>Available abstract (not full text):</w:t>
      </w:r>
      <w:r>
        <w:t xml:space="preserve"> A characteristic feature of the transition from industrial to post-industrial society is basing a significant part of production on the “intangible” value (software production, audiovisual production, advertising, design, cultural activities, etc.). The individual is perceived as the main actor in management processes where professional success depends on readiness for dialogue and exchange of owned capital (not only economically). It means a different definition of work, perceiving it as an element of shaping – understood in many dimensions – social, economic and cultural relations. Dematerialization of work means therefore giving primacy to the handling of information. This phenomenon can also be seen as a manifestation of cognitive capitalism characterized as a different accumulation system which is based on knowledge and creativity, in other words, on forms of intangible investment. Therefore, it seems that it would be particularly valuable to examine the potential of groups that have this knowledge capital as the basis of their activity. The article will discuss the theoretical concept of the exchange and sharing of creative ideas in the design field. It also presents original research devoted to this issue, conducted in the environment of Polish designers.</w:t>
      </w:r>
    </w:p>
    <w:p>
      <w:pPr/>
      <w:r>
        <w:rPr>
          <w:b/>
        </w:rPr>
        <w:t>POSSIBLE 2021:</w:t>
      </w:r>
      <w:r>
        <w:t xml:space="preserve"> LIGHTWEIGHT STRUCTURES FROM THE PERSPECTIVE OF FORM FINDING FOR ARCHITECTS AND DESIGNERS — https://doi.org/10.46529/darch.202121</w:t>
      </w:r>
    </w:p>
    <w:p>
      <w:pPr/>
      <w:r>
        <w:rPr>
          <w:b/>
        </w:rPr>
        <w:t>Shared claim-specific concepts:</w:t>
      </w:r>
      <w:r>
        <w:t xml:space="preserve"> increase, designers, work, view, different; EU scope not established. This is a provisional connection, not an outcome finding.</w:t>
      </w:r>
    </w:p>
    <w:p>
      <w:pPr>
        <w:pStyle w:val="SourceNote"/>
      </w:pPr>
      <w:r>
        <w:rPr>
          <w:b/>
        </w:rPr>
        <w:t>Available abstract (not full text):</w:t>
      </w:r>
      <w:r>
        <w:t xml:space="preserve"> Architecture always reflects the requirements of the time.The revolutionary progress in science and technology pushes the boundaries of technical unfeasibility.Construction and technological methods now often determine the architecture of the building.New technologies allow to realize structures that have larger spans and are more and more light.The differences between design, construction and its characteristic form are disappearing.Lightweight structures represent one of the popular architectural forms of today construction and design.They appeal especially by their non-traditional solution and exceptional shape.The concept of lightweight structures is very interesting for the needs of architects or designers from the view of Form Finding.Architects and engineers are studying, improving, and discovering.They are the creators of new spaces, forms, and structures.One category of them are lightweight structures that are seen in different forms, shapes, sizes, and variations in a broad spectrum of use.These structures developed over the years and together with advances in material engineering and technology they continue to progress.Lightweight structures may be internal, external, permanent, temporary, large, small, supported, etc.Their unique forms have played an important role in contemporary architecture and design since the time they first appeared in the 1960s as part of th</w:t>
      </w:r>
    </w:p>
    <w:p>
      <w:pPr/>
      <w:r>
        <w:rPr>
          <w:b/>
        </w:rPr>
        <w:t>POSSIBLE 2020:</w:t>
      </w:r>
      <w:r>
        <w:t xml:space="preserve"> Involving Cultural Sensitivity in the Design Process: A Design Toolkit for Chinese Cultural Products — https://doi.org/10.1111/jade.12301</w:t>
      </w:r>
    </w:p>
    <w:p>
      <w:pPr/>
      <w:r>
        <w:rPr>
          <w:b/>
        </w:rPr>
        <w:t>Shared claim-specific concepts:</w:t>
      </w:r>
      <w:r>
        <w:t xml:space="preserve"> increase, designers, sensitivity; EU scope not established. This is a provisional connection, not an outcome finding.</w:t>
      </w:r>
    </w:p>
    <w:p>
      <w:pPr>
        <w:pStyle w:val="SourceNote"/>
      </w:pPr>
      <w:r>
        <w:rPr>
          <w:b/>
        </w:rPr>
        <w:t>Available abstract (not full text):</w:t>
      </w:r>
      <w:r>
        <w:t xml:space="preserve"> Abstract Cultural and creative industries have become prosperous, and successful examples in the UK have inspired many countries to commercialise their own cultures by integrating their cultural values into art and design production. Inspired by this trend, the aim of this project is to increase awareness of traditional Chinese cultural aesthetics in modern product development as well as to highlight the role of cultural sensitivity in the product design process. This study focuses on industrial cultural products and examines the meanings and values of cultural products. Through the examination of the user experience of current cultural products with questionnaires and interviews with product designers, a design toolkit for Chinese cultural products was developed and applied in design practice. Design majors from various cultural backgrounds were recruited to participate in workshops to evaluate the usability of the toolkit and to validate whether the toolkit helped in their design processes. The findings of the research revealed that users’ experiences, particularly users’ emotional engagement with the products, could be enriched when the design toolkit was applied in the design process. This design toolkit is designed for use by international designers in the initial stage of the design process when idea generation, brainstorming and sketching occur. The toolkit could be appl</w:t>
      </w:r>
    </w:p>
    <w:p>
      <w:pPr>
        <w:pStyle w:val="Heading2"/>
      </w:pPr>
      <w:r>
        <w:t>747.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pStyle w:val="Heading2"/>
      </w:pPr>
      <w:r>
        <w:t>748.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pStyle w:val="Heading2"/>
      </w:pPr>
      <w:r>
        <w:t>749.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pStyle w:val="Heading2"/>
      </w:pPr>
      <w:r>
        <w:t>750.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r>
        <w:rPr>
          <w:b/>
        </w:rPr>
        <w:t>POSSIBLE 2024:</w:t>
      </w:r>
      <w:r>
        <w:t xml:space="preserve"> The Digitalization in Insurance Broker Industry: How Artificial Intelligence Affect This Industry — https://doi.org/10.52728/ijjm.v5i1.1032</w:t>
      </w:r>
    </w:p>
    <w:p>
      <w:pPr/>
      <w:r>
        <w:rPr>
          <w:b/>
        </w:rPr>
        <w:t>Shared claim-specific concepts:</w:t>
      </w:r>
      <w:r>
        <w:t xml:space="preserve"> affect, industry, especially; EU scope not established. This is a provisional connection, not an outcome finding.</w:t>
      </w:r>
    </w:p>
    <w:p>
      <w:pPr>
        <w:pStyle w:val="SourceNote"/>
      </w:pPr>
      <w:r>
        <w:rPr>
          <w:b/>
        </w:rPr>
        <w:t>Available abstract (not full text):</w:t>
      </w:r>
      <w:r>
        <w:t xml:space="preserve"> This qualitative research explores the impact of digitalization, with a particular focus on artificial intelligence (AI), on the insurance broker industry. In-depth interviews and focus group discussions were conducted with eight senior-level employee and eight younger participants from technology and operations departments, also from client-facing positions. The research aimed to analyze the impact of digitalization, especially artificial intelligence, to the insurance broker industry and to explore whether artificial intelligence is capable to replace an insurance broker role. The findings indicate that digitalization, including the adoption of AI, has brought about significant advancements in the industry. Digitalization efforts have led to streamlined processes, reduced costs, improved data analysis, and enhanced customer experiences. The findings of this research highlight the importance of taking a deliberate and strategic approach to digitalization and AI adoption in the insurance broker industry. Companies should use technology to increase efficiency while maintaining the human-centric elements that are essential for developing strong client relationships and providing tailored insurance solutions.</w:t>
      </w:r>
    </w:p>
    <w:p>
      <w:pPr>
        <w:pStyle w:val="Heading2"/>
      </w:pPr>
      <w:r>
        <w:t>751.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pStyle w:val="Heading2"/>
      </w:pPr>
      <w:r>
        <w:t>752.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753.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pStyle w:val="Heading2"/>
      </w:pPr>
      <w:r>
        <w:t>754.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755.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pStyle w:val="Heading2"/>
      </w:pPr>
      <w:r>
        <w:t>756.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2020:</w:t>
      </w:r>
      <w:r>
        <w:t xml:space="preserve"> The Porcupine and the End of History — https://doi.org/10.47777/cankujhss.848919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Set in a fictional East European country in the aftermath of the collapse of communism, Julian Barnes’s The Porcupine (1992) is a political satire where he juxtaposes two dominant ideologies; capitalist liberal democracy and communism. Although this short novel has a conventional narrative form, postmodern discussions on history can be observed, especially the discussion which has revolved around the idea of “the end of history”. It was Francis Fukuyama’s controversial article entitled “The End of History” (1989) that has sparked this specific debate. In 1992, he elaborated his thesis in a book titled The End of History and the Last Man, the same year Barnes published his novel. Fukuyama suggests that the modern Western liberal democracy is the ultimate and the most successful form of human government, the point where the Hegelian dialectic of history comes to an end. The aim of this article is to present a critical reading of the novel in the context of Fukuyama’s thesis and the discussion generated by this thesis. While it is true that Fukuyama’s thesis has now been outdated and negated, this reading may still provide fresh insights for the current political panorama of the world shaped by surging nationalism, increasing populism and growing conservatism.</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pStyle w:val="Heading2"/>
      </w:pPr>
      <w:r>
        <w:t>757.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758.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pStyle w:val="Heading2"/>
      </w:pPr>
      <w:r>
        <w:t>759.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based, tool, different,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pStyle w:val="Heading2"/>
      </w:pPr>
      <w:r>
        <w:t>760.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761.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2025:</w:t>
      </w:r>
      <w:r>
        <w:t xml:space="preserve"> Global Climate Synergies: Coordinated Application of Urban, Technological, and Ecosystem Solutions in the Planet’s Strategic Regions — https://doi.org/10.6084/m9.figshare.30651470</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Sinergias Climáticas Globales: Aplicación Conjunta de Soluciones Urbanas, Tecnológicas y Ecosistémicas en Regiones Estratégicas del PlanetaResumenEl presente documento identifica quince regiones clave del planeta cuya dinámica climática influye directa o indirectamente en la estabilidad térmica global. Se propone la aplicación coordinada de un conjunto de soluciones sostenibles —incluyendo captación de aguas residuales urbanas, enfriamiento de microclimas, regeneración vegetal, mejoras en eficiencia energética, uso de recursos espaciales y otras acciones previamente desarrolladas— para generar sinergias climáticas positivas mediante efectos multiplicadores regionales y transcontinentales. La intervención simultánea en estas zonas estratégicas puede contribuir significativamente a la reducción de temperaturas locales, la estabilización de patrones atmosféricos y la mitigación del calentamiento global.1.Regiones del Planeta y su Impacto Climático1. AmazoniaRegula la humedad continental y genera “ríos voladores” que alimentan Sudamérica. Su restauración produce enfriamiento regional y estabilización del ciclo del agua.2. India del NorteDetermina la intensidad del monzón asiático, afectando ecosistemas y agricultura de miles de kilómetros.3. China OrientalZona crítica para la formación de tifones y la circulación del Pacífico.4. Costa Oeste de EE.UU.Controla los ríos atmosféricos q</w:t>
      </w:r>
    </w:p>
    <w:p>
      <w:pPr>
        <w:pStyle w:val="Heading2"/>
      </w:pPr>
      <w:r>
        <w:t>762.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pStyle w:val="Heading2"/>
      </w:pPr>
      <w:r>
        <w:t>763.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2023:</w:t>
      </w:r>
      <w:r>
        <w:t xml:space="preserve"> Influence of Climate and Geographical Location on the Development of Scientific Knowledge In Europe and Asia — https://openalex.org/W7215669423</w:t>
      </w:r>
    </w:p>
    <w:p>
      <w:pPr/>
      <w:r>
        <w:rPr>
          <w:b/>
        </w:rPr>
        <w:t>Shared claim-specific concepts:</w:t>
      </w:r>
      <w:r>
        <w:t xml:space="preserve"> knowledge, natural, climate; EU scope visible. This is a provisional connection, not an outcome finding.</w:t>
      </w:r>
    </w:p>
    <w:p>
      <w:pPr>
        <w:pStyle w:val="SourceNote"/>
      </w:pPr>
      <w:r>
        <w:rPr>
          <w:b/>
        </w:rPr>
        <w:t>Available abstract (not full text):</w:t>
      </w:r>
      <w:r>
        <w:t xml:space="preserve"> Does this mean that geographical factors determine the fate of a country's development? If yes, to what extent? If not, what measures should be taken to ensure long-term economic growth? We will try to shed light on these and other questions in this article. Geographically isolated countries and their common problems, it is no secret that the development of a country is significantly influenced by its geographical location and natural features.</w:t>
      </w:r>
    </w:p>
    <w:p>
      <w:pPr>
        <w:pStyle w:val="Heading2"/>
      </w:pPr>
      <w:r>
        <w:t>764.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2023:</w:t>
      </w:r>
      <w:r>
        <w:t xml:space="preserve"> Current Status of the Main Olive Pests: Useful Integrated Pest Management Strategies and Genetic Tools — https://doi.org/10.3390/app132112078</w:t>
      </w:r>
    </w:p>
    <w:p>
      <w:pPr/>
      <w:r>
        <w:rPr>
          <w:b/>
        </w:rPr>
        <w:t>Shared claim-specific concepts:</w:t>
      </w:r>
      <w:r>
        <w:t xml:space="preserve"> useful, increase; EU scope not established. This is a provisional connection, not an outcome finding.</w:t>
      </w:r>
    </w:p>
    <w:p>
      <w:pPr>
        <w:pStyle w:val="SourceNote"/>
      </w:pPr>
      <w:r>
        <w:rPr>
          <w:b/>
        </w:rPr>
        <w:t>Available abstract (not full text):</w:t>
      </w:r>
      <w:r>
        <w:t xml:space="preserve"> Mediterranean olive cultivation faces challenges in the global environmental change context. Pests and diseases caused by arthropods such as Bactrocera oleae, Prays oleae, and certain vectors of Xylella fastidiosa are expected to increase and spread in part due to this global scenario. The control of these arthropods has relied on synthetic pesticides, the misuse of which has led to pest population resistance and concerns about their negative impacts on biodiversity and global health. Integrated pest management (IPM) methods have emerged through the careful consideration of all available control techniques and the subsequent integration of appropriate measures that discourage the development of pest populations. This paper reviews the IPM guidelines for olive cultivation, prioritizing the use of biological control methods, and the integration of genetics and biotechnology, which bring precision, efficacy, and safety. It evidences the importance of genetic analysis in pest populations, pesticide resistance and in the contributions of predators to pest control. Advances in formulations and delivery systems for pesticides such as Bacillus thuringiensis, plant-incorporated protectants, improved SIT techniques, and the specific efficacy of biologicals pesticides are covered. Finally, this paper explores promising tools such as RNAi and gene drive while recognizing the ethical, envir</w:t>
      </w:r>
    </w:p>
    <w:p>
      <w:pPr/>
      <w:r>
        <w:rPr>
          <w:b/>
        </w:rPr>
        <w:t>POSSIBLE 2023:</w:t>
      </w:r>
      <w:r>
        <w:t xml:space="preserve"> Discovering the Significance of Housing Neighbourhoods by Assessing Their Attributes With a Digital Tool — https://doi.org/10.17645/up.6998</w:t>
      </w:r>
    </w:p>
    <w:p>
      <w:pPr/>
      <w:r>
        <w:rPr>
          <w:b/>
        </w:rPr>
        <w:t>Shared claim-specific concepts:</w:t>
      </w:r>
      <w:r>
        <w:t xml:space="preserve"> recognised, useful, tool, qualitative, existing; EU scope visible. This is a provisional connection, not an outcome finding.</w:t>
      </w:r>
    </w:p>
    <w:p>
      <w:pPr>
        <w:pStyle w:val="SourceNote"/>
      </w:pPr>
      <w:r>
        <w:rPr>
          <w:b/>
        </w:rPr>
        <w:t>Available abstract (not full text):</w:t>
      </w:r>
      <w:r>
        <w:t xml:space="preserve"> Much of the building stock subjected to the upcoming European Renovation Wave is neither listed as heritage nor considered valuable architecture. This also applies to Dutch housing built between 1965 and 1985, more than 30% of the Dutch housing stock, for which there is no consensus on their cultural significance. Their successful renovation process requires broad support. What attributes do citizens consider significant in their neighbourhood? How do we include a multitude of stakeholders? And can digital methods help collect and process responses? This article reveals significant attributes of residential neighbourhoods from 1965 to 1985, assessed by various stakeholders with a digital tool based on case studies in Amsterdam and Almere. A mobile application allowed individuals to identify significant attributes at various scales while visiting the neighbourhood. By qualitative data analysis of survey and interview results, groups of tangible and intangible attributes were deduced. Results show that identifying attributes by current stakeholders broadens existing expert-led assessments on 1965–1985 neighbourhoods by including, for example, generic attributes not originally intended by the designers. Asking open-ended questions is considered essential to identify undiscovered attributes by alternative stakeholders, although dealing with large numbers of responses is recognised </w:t>
      </w:r>
    </w:p>
    <w:p>
      <w:pPr>
        <w:pStyle w:val="Heading2"/>
      </w:pPr>
      <w:r>
        <w:t>765.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European Beech Forests in Austria—Current Distribution and Possible Future Habitat — https://doi.org/10.3390/f14102019</w:t>
      </w:r>
    </w:p>
    <w:p>
      <w:pPr/>
      <w:r>
        <w:rPr>
          <w:b/>
        </w:rPr>
        <w:t>Shared claim-specific concepts:</w:t>
      </w:r>
      <w:r>
        <w:t xml:space="preserve"> business-as-usual, bau, increase, increases; EU scope visible. This is a provisional connection, not an outcome finding.</w:t>
      </w:r>
    </w:p>
    <w:p>
      <w:pPr>
        <w:pStyle w:val="SourceNote"/>
      </w:pPr>
      <w:r>
        <w:rPr>
          <w:b/>
        </w:rPr>
        <w:t>Available abstract (not full text):</w:t>
      </w:r>
      <w:r>
        <w:t xml:space="preserve"> A change in tree species composition in Central Europe to increase the resilience of forests when coping with climate change effects is imminent. We evaluated the present and expected future role of the European beech, (Fagus sylvatica L.), with respect to the expansion of its habitat and its stem. We assessed the current relevance of beech from data of the Austrian Forest Inventory 2007/09, and analyzed forest policies promoting the establishment of beech forests. We simulated forest growth with the model CALDIS, linked with the timber-market model FOHOW2. We used a business-as-usual (BAU) forest management strategy under moderate (RCP 4.5 BAU) or extreme (RCP 8.5 BAU) climate change. We also simulated an extreme climate change scenario with a forced change in the tree species composition (RCP 8.5 Change Species). Beech occurs in Austrian forests over the elevational gradient of 250 to 1600 m a.s.l. In low elevation, it forms beech-dominated forests, often for the supply of the domestic fuelwood demand. In mountain regions, beech enriches the diversity of Norway spruce, (Picea abies (L.) H. Karst.)-dominated forests. In a BAU setting, the habitat of beech increases only slightly in both climate scenarios. The scenario ‘RCP 8.5 Change Species’ increases the habitat of beech in the next 60 years considerably. With progressing warming, other broadleaved tree species gain relevanc</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766.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r>
        <w:rPr>
          <w:b/>
        </w:rPr>
        <w:t>POSSIBLE 2025:</w:t>
      </w:r>
      <w:r>
        <w:t xml:space="preserve"> DEVELOPMENT OF THE FAST PAYMENT SYSTEM (FPS) IN RUSSIA AT THE PRESENT STAGE — https://doi.org/10.36871/ek.up.p.r.2025.04.08.015</w:t>
      </w:r>
    </w:p>
    <w:p>
      <w:pPr/>
      <w:r>
        <w:rPr>
          <w:b/>
        </w:rPr>
        <w:t>Shared claim-specific concepts:</w:t>
      </w:r>
      <w:r>
        <w:t xml:space="preserve"> article, presented, system, general; EU scope not established. This is a provisional connection, not an outcome finding.</w:t>
      </w:r>
    </w:p>
    <w:p>
      <w:pPr>
        <w:pStyle w:val="SourceNote"/>
      </w:pPr>
      <w:r>
        <w:rPr>
          <w:b/>
        </w:rPr>
        <w:t>Available abstract (not full text):</w:t>
      </w:r>
      <w:r>
        <w:t xml:space="preserve"> This article represents basic principles of the Fast Payment System (FPS), its history, is devoted to the latest changes in this system, as well as an analysis of the influence of factors on the system, and proposals for improving the product have been developed. In the context of international sanctions and uncertainty, the state needs to ensure the stability and uninterrupted autonomous operation of the financial system and instructions, create the necessary conditions and infrastructure for making non-cash payments on territory of Russia without using foreign payment system and their elements. In recent years, one of priorities for development of the Russian Federation on the field of financial communication has been the strengthening and development of its own national payment system (NPS). One of measures to strengthen the domestic non-cash payment system was to increase the reliability, stability of operation and cybersecurity of functioning. The most important role in this is taken by the formation and development of the financial infrastructure of the Fast Payment System (FPS), the latest transformations of which are presented in this article, as well as an analysis of the impact on the Russian economy. The subject of the study is the Fast Payment System (FPS). The object is the influence of various factors on the development of the system and their assessment. The work</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pStyle w:val="Heading2"/>
      </w:pPr>
      <w:r>
        <w:t>767.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pStyle w:val="Heading2"/>
      </w:pPr>
      <w:r>
        <w:t>768.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r>
        <w:rPr>
          <w:b/>
        </w:rPr>
        <w:t>POSSIBLE 2024:</w:t>
      </w:r>
      <w:r>
        <w:t xml:space="preserve"> Measuring cultural friction in cross-border mergers and acquisitions using a microfoundation-based approach — https://doi.org/10.1108/cpoib-04-2024-0035</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Purpose Cultural friction (CF) was introduced by researchers to overcome the issues and challenges of cultural distance measurement in the context of cross-border mergers and acquisitions (CBMAs). However, this construct has proved itself to be problematic to operationalize. To address this challenge, this paper aims to elaborate on a CF measurement instrument based on individual perceptions in CBMAs. This study used a microfoundation approach to measure CF, relying on managers’ interactions in CBMA settings. Design/methodology/approach To develop and validate a CF measurement in the context of CBMAs, this study followed a classical procedure including items development, lab tests and one field-study and an assessment of the construct validity. Findings The final instrument developed for measuring CF is composed of six critical incidents with three associated items each. The factor analysis revealed that the scale used in the field-test measures two factors of CF: internal and external. Reliability and discriminant validity are tested, demonstrating a good discriminant validity of “external” CF. The final measurement can be used as a valid and reliable scale in further studies to assess CF in the context of CBMAs. Originality/value This paper’s originality lies in developing and validating a CF measurement instrument that does not rely on cultural distance frameworks. The resul</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pStyle w:val="Heading2"/>
      </w:pPr>
      <w:r>
        <w:t>769.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770.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IPCC Shared Socioeconomic Pathways (SSPs): Explained, Evaluated, Replaced — https://doi.org/10.3386/w32178</w:t>
      </w:r>
    </w:p>
    <w:p>
      <w:pPr/>
      <w:r>
        <w:rPr>
          <w:b/>
        </w:rPr>
        <w:t>Shared claim-specific concepts:</w:t>
      </w:r>
      <w:r>
        <w:t xml:space="preserve"> shared, socioeconomic, pathways, ssps, alternative; EU scope not established. This is a provisional connection, not an outcome finding.</w:t>
      </w:r>
    </w:p>
    <w:p>
      <w:pPr>
        <w:pStyle w:val="SourceNote"/>
      </w:pPr>
      <w:r>
        <w:rPr>
          <w:b/>
        </w:rPr>
        <w:t>Available abstract (not full text):</w:t>
      </w:r>
      <w:r>
        <w:t xml:space="preserve"> Shared socioeconomic pathways (SSPs) are perhaps the most influential economic policy analyses today.My paper evaluates their development, natural associations, logical consequences, and economic identification.All five SSP baseline scenarios are predicting scenarios that historical time-series analysis would consider empirically highly implausible.This alternative -econometric time-series analysis based on worldwide IPAT componentssuggests alternative emission scenarios, mapping into expected radiative forcing of about RCP 6.5, with a reasonable plausibility range from RCP 4.5 to RCP 7.0.</w:t>
      </w:r>
    </w:p>
    <w:p>
      <w:pPr/>
      <w:r>
        <w:rPr>
          <w:b/>
        </w:rPr>
        <w:t>POSSIBLE 2024:</w:t>
      </w:r>
      <w:r>
        <w:t xml:space="preserve"> Developing an integrated assessment model to explore optimal cost-benefit paths for Shared Socioeconomic Pathways scenarios — https://doi.org/10.5194/egusphere-2024-1640</w:t>
      </w:r>
    </w:p>
    <w:p>
      <w:pPr/>
      <w:r>
        <w:rPr>
          <w:b/>
        </w:rPr>
        <w:t>Shared claim-specific concepts:</w:t>
      </w:r>
      <w:r>
        <w:t xml:space="preserve"> shared, socioeconomic, pathways, set, climate, potential; EU scope not established. This is a provisional connection, not an outcome finding.</w:t>
      </w:r>
    </w:p>
    <w:p>
      <w:pPr>
        <w:pStyle w:val="SourceNote"/>
      </w:pPr>
      <w:r>
        <w:rPr>
          <w:b/>
        </w:rPr>
        <w:t>Available abstract (not full text):</w:t>
      </w:r>
      <w:r>
        <w:t xml:space="preserve"> Abstract. Most recent cost-benefit Integrated Assessment Models have used only one reference scenario and focused on reducing mainly CO2 emissions. This goal may not adequately account for the uncertainties arising from diverse socioeconomic developments and the potential for mitigating the effects of emissions of individual greenhouse gases, aerosols, and pollutants. We developed an Integrated Assessment Model framework by combining a socioeconomic module with a reduced-complexity climate module. We represented the Shared Socioeconomic Pathways (SSP) scenarios by 1) calculating a new set of marginal abatement cost curves based on the most recent integrated assessment model, 2) creating a new SSP-dependent damage function based on process-based impact simulation results, and 3) extending the evaluation time to the year 2450. The cost-benefit analysis revealed that the SSP scenarios achieved various rates of control for emissions of individual greenhouse gases, aerosols, and pollutants. The result was diverse patterns of optimal temperatures, including maximum temperature achieved and stabilized temperature by the end of the evaluation period. The model simulations showed the importance of distinguishing options for reducing emissions of greenhouse gases based on distinct socioeconomic growth scenarios. We also show an example of a long-term socioeconomic projection spanning sev</w:t>
      </w:r>
    </w:p>
    <w:p>
      <w:pPr>
        <w:pStyle w:val="Heading2"/>
      </w:pPr>
      <w:r>
        <w:t>771.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772.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pStyle w:val="Heading2"/>
      </w:pPr>
      <w:r>
        <w:t>773.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r>
        <w:rPr>
          <w:b/>
        </w:rPr>
        <w:t>POSSIBLE 2025:</w:t>
      </w:r>
      <w:r>
        <w:t xml:space="preserve"> New developments in the national consumption model and life satisfaction of the Romanian population — https://doi.org/10.35782/jcpp.2025.3.01</w:t>
      </w:r>
    </w:p>
    <w:p>
      <w:pPr/>
      <w:r>
        <w:rPr>
          <w:b/>
        </w:rPr>
        <w:t>Shared claim-specific concepts:</w:t>
      </w:r>
      <w:r>
        <w:t xml:space="preserve"> union, based; EU scope visible. This is a provisional connection, not an outcome finding.</w:t>
      </w:r>
    </w:p>
    <w:p>
      <w:pPr>
        <w:pStyle w:val="SourceNote"/>
      </w:pPr>
      <w:r>
        <w:rPr>
          <w:b/>
        </w:rPr>
        <w:t>Available abstract (not full text):</w:t>
      </w:r>
      <w:r>
        <w:t xml:space="preserve"> In the last decade and especially after 2020, major changes have taken place in the consumption behavior but also in the level of life satisfaction of the population from Romania. This study analyzes some recent developments in the national consumption model, discussing the extent to which material living conditions influence the degree of life satisfaction - knowing that, for over a decade, Romania has recorded the highest poverty rates in the European Union but also a particularly high level of life satisfaction of the population. The study proposes some social policies aimed at alleviating the particular difficulties in the lives of economically disadvantaged population categories. In the context, comments based on the author's calculations are presented, but also, are used for argumentation, data published by Eurostat, the National Institute of Statistics from Romania, FAO, the National Bank of Romania etc.</w:t>
      </w:r>
    </w:p>
    <w:p>
      <w:pPr/>
      <w:r>
        <w:rPr>
          <w:b/>
        </w:rPr>
        <w:t>POSSIBLE 2025:</w:t>
      </w:r>
      <w:r>
        <w:t xml:space="preserve"> Camelina oil for sustainable aviation fuel production: A scenario assessment for recovering European degraded soils — https://doi.org/10.1016/j.enpol.2025.115043</w:t>
      </w:r>
    </w:p>
    <w:p>
      <w:pPr/>
      <w:r>
        <w:rPr>
          <w:b/>
        </w:rPr>
        <w:t>Shared claim-specific concepts:</w:t>
      </w:r>
      <w:r>
        <w:t xml:space="preserve"> show, advanced, renewable, fuel, union; EU scope visible. This is a provisional connection, not an outcome finding.</w:t>
      </w:r>
    </w:p>
    <w:p>
      <w:pPr>
        <w:pStyle w:val="SourceNote"/>
      </w:pPr>
      <w:r>
        <w:rPr>
          <w:b/>
        </w:rPr>
        <w:t>Available abstract (not full text):</w:t>
      </w:r>
      <w:r>
        <w:t xml:space="preserve"> The European aviation sector is currently under pressure to rapidly integrate renewable energy sources, with a particular emphasis on sustainable aviation fuels (SAF), which are essential for achieving short-term decarbonization targets. This study proposes an innovative supply chain producing SAF according to the REFuelEU Aviation's progressive targets for 2050, the international ICAO-CORSIA mandates and the European Union's Renewable Energy Directive for greening the transport sector.The focus is on camelina (Camelina sativa L. Crantz) grown in Southern European regions on marginal land affected by severe soil degradation. In this case, according to most recent policy requirements, “severely degraded lands” suitable for advanced biofuels production are currently defined as those under erosion with poor soil organic matter (SOM) content or with high salinity. Unlike other common oilseeds, camelina can successfully grow in degraded and eroded soils making it particularly well-suited to produce low indirect land-use change (iLUC) risk feedstocks for SAF. The challenges of achieving profitable yields under marginal conditions have been examined and discussed.The results show a potential of 116 thousand km2 of available lands that can produce 3.2 Mtoe per year of SAF, corresponding to 175% of bio-SAF mandates in 2030. The calculated carbon intensity of SAF ranges between 10.5 and </w:t>
      </w:r>
    </w:p>
    <w:p>
      <w:pPr/>
      <w:r>
        <w:rPr>
          <w:b/>
        </w:rPr>
        <w:t>POSSIBLE 2025:</w:t>
      </w:r>
      <w:r>
        <w:t xml:space="preserve"> Fundraising strategies of European political parties and foundations: a demand and supply model for political donations — https://doi.org/10.1017/ipo.2025.4</w:t>
      </w:r>
    </w:p>
    <w:p>
      <w:pPr/>
      <w:r>
        <w:rPr>
          <w:b/>
        </w:rPr>
        <w:t>Shared claim-specific concepts:</w:t>
      </w:r>
      <w:r>
        <w:t xml:space="preserve"> show, abstract, based; EU scope visible. This is a provisional connection, not an outcome finding.</w:t>
      </w:r>
    </w:p>
    <w:p>
      <w:pPr>
        <w:pStyle w:val="SourceNote"/>
      </w:pPr>
      <w:r>
        <w:rPr>
          <w:b/>
        </w:rPr>
        <w:t>Available abstract (not full text):</w:t>
      </w:r>
      <w:r>
        <w:t xml:space="preserve"> Abstract Fundraising is an essential part of the political enterprise. In almost all countries, parties and candidates rely on donations in order to collect sufficient resources to finance their political activities. While most of the existing research in the past has focused on the motivation of donors to contribute to parties and candidates, this article starts from the premise that the level of donations can best be explained by an interplay of supply-side factors (donors) and demand-side factors (political actors). This article specifically focuses on the demand-side: which policy and strategies do political actors develop to seek donations from various sources? To this end, explanatory factors on three main dimensions – institutional, inter-party, intra-party – were examined with regards to the fundraising strategies of European political parties and foundations. Based on a combination of a document analysis and semi-structured interviews, the article will show how the regulatory framework, the possibility of a public backlash, party ideology and the general income structure of political parties influence their donation policy.</w:t>
      </w:r>
    </w:p>
    <w:p>
      <w:pPr>
        <w:pStyle w:val="Heading2"/>
      </w:pPr>
      <w:r>
        <w:t>774.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2025:</w:t>
      </w:r>
      <w:r>
        <w:t xml:space="preserve"> The impact of the European Union on graphic design — https://doi.org/10.58534/3eg54v9evz</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study investigates the presence of the concept of Europe in the naming of Spanish companies, examining how the word “Europe” and its derivatives are represented in imagotypes, along with the accompanying graphic elements. The methodology employed is known as content analysis, applied with a quantitative approach. The research corpus sample consists of eighteen elements, which are the brand images of private educational institutions in Madrid for the year 2023, according to the website of the Ministry of Education and Vocational Training (educacion.gob.es). The results show recurring patterns in the design of brand images through the imagotypes that evoke the idea of Europe, confirming the cultural and business link between Spain and Europe.</w:t>
      </w:r>
    </w:p>
    <w:p>
      <w:pPr/>
      <w:r>
        <w:rPr>
          <w:b/>
        </w:rPr>
        <w:t>POSSIBLE 2025:</w:t>
      </w:r>
      <w:r>
        <w:t xml:space="preserve"> Exploring the future of Mobility as a Service (MaaS): A co-design approach to scenario planning in European cities — https://doi.org/10.1016/j.urbmob.2025.100133</w:t>
      </w:r>
    </w:p>
    <w:p>
      <w:pPr/>
      <w:r>
        <w:rPr>
          <w:b/>
        </w:rPr>
        <w:t>Shared claim-specific concepts:</w:t>
      </w:r>
      <w:r>
        <w:t xml:space="preserve"> methodology, approach, employs, experts; EU scope visible. This is a provisional connection, not an outcome finding.</w:t>
      </w:r>
    </w:p>
    <w:p>
      <w:pPr>
        <w:pStyle w:val="SourceNote"/>
      </w:pPr>
      <w:r>
        <w:rPr>
          <w:b/>
        </w:rPr>
        <w:t>Available abstract (not full text):</w:t>
      </w:r>
      <w:r>
        <w:t xml:space="preserve"> This article contributes to the discourse on Mobility as a Service (MaaS) by presenting four plausible scenarios for its development in Europe up to 2030. Unlike previous scenario studies, which often relied on desk research or focused on narrow contexts, this study employs a co-design methodology that involved interdisciplinary experts from both public and private sectors across Europe. Their perspectives are integrated throughout the process, from identifying key uncertainties to building the scenario narratives. This approach supports a comprehensive understanding of the challenges and opportunities shaping MaaS futures. The four resulting scenarios (i.e. Mobility Walled Garden, Open Data Power in Standby, Everyone on Their Own , and Open Ecosystem ) reflect how different configurations of market competition and API openness shape the trajectory of MaaS. While open standards and interoperability emerge as key enablers, their impact depends on the presence of supportive governance and institutional coordination. Imbalances, such as strong data frameworks without market diversity, or open competition with fragmented and poorly coordinated services, can weaken long-term system resilience. The scenario framework offers a structured lens for anticipating these tensions and guiding strategic decisions in MaaS development.</w:t>
      </w:r>
    </w:p>
    <w:p>
      <w:pPr>
        <w:pStyle w:val="Heading2"/>
      </w:pPr>
      <w:r>
        <w:t>775.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pStyle w:val="Heading2"/>
      </w:pPr>
      <w:r>
        <w:t>776.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r>
        <w:rPr>
          <w:b/>
        </w:rPr>
        <w:t>POSSIBLE 2025:</w:t>
      </w:r>
      <w:r>
        <w:t xml:space="preserve"> Design methodologies for environmentally friendly remanufacturing: An affordability-based approach — https://doi.org/10.1063/5.0270999</w:t>
      </w:r>
    </w:p>
    <w:p>
      <w:pPr/>
      <w:r>
        <w:rPr>
          <w:b/>
        </w:rPr>
        <w:t>Shared claim-specific concepts:</w:t>
      </w:r>
      <w:r>
        <w:t xml:space="preserve"> design, methodology, approach, findings, methodologies; EU scope not established. This is a provisional connection, not an outcome finding.</w:t>
      </w:r>
    </w:p>
    <w:p>
      <w:pPr>
        <w:pStyle w:val="SourceNote"/>
      </w:pPr>
      <w:r>
        <w:rPr>
          <w:b/>
        </w:rPr>
        <w:t>Available abstract (not full text):</w:t>
      </w:r>
      <w:r>
        <w:t xml:space="preserve"> This research illuminates the intricate correlation between design methodologies, ecologically sustainable remanufacturing, and affordability indices by providing empirical insights and doing quantitative analysis. The study used a mixed-methods methodology, integrating comprehensive literature reviews, case studies, and interviews with experts in the field. In addition, the research incorporates quantitative assessments of affordability indicators derived from experimental data. The empirical study findings demonstrate that using modular designs and standardized components in remanufacturing processes leads to a substantial reduction in the costs associated with remanufacturing materials. The economic viability of strategic design choices is substantiated by affordability indices, which are calculated using cost differentials and demonstrate a significant increase, reaching as high as 25 percent. These findings represent a valuable addition to the rapidly growing field of sustainable manufacturing by offering actionable insights to practitioners, policymakers, and researchers. These people aim to combine environmental care and economic considerations within the framework of manufacturable design.</w:t>
      </w:r>
    </w:p>
    <w:p>
      <w:pPr>
        <w:pStyle w:val="Heading2"/>
      </w:pPr>
      <w:r>
        <w:t>777.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778.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2025:</w:t>
      </w:r>
      <w:r>
        <w:t xml:space="preserve"> Analysis of Aging in Spain: Contemporary Sociological and Demographic Implications — https://doi.org/10.3390/soc15020046</w:t>
      </w:r>
    </w:p>
    <w:p>
      <w:pPr/>
      <w:r>
        <w:rPr>
          <w:b/>
        </w:rPr>
        <w:t>Shared claim-specific concepts:</w:t>
      </w:r>
      <w:r>
        <w:t xml:space="preserve"> implications, demographic, aging, population; EU scope visible. This is a provisional connection, not an outcome finding.</w:t>
      </w:r>
    </w:p>
    <w:p>
      <w:pPr>
        <w:pStyle w:val="SourceNote"/>
      </w:pPr>
      <w:r>
        <w:rPr>
          <w:b/>
        </w:rPr>
        <w:t>Available abstract (not full text):</w:t>
      </w:r>
      <w:r>
        <w:t xml:space="preserve"> Ageing, as a phenomenon of profound social significance, has important repercussions. In this work, focused on Spain, the indicators of ageing and population structure are analyzed. This base for demographic analysis is later useful for preparing a sociological essay on the most pressing challenges facing Spanish society, with regard to population ageing. The methodology used, as is usual in the framework of the Social Sciences, involves a combination of the quantitative and qualitative approach. Specifically, from the eminently quantitative perspective, the important methodological shift of the 2021 Population and Housing Census has been taken into account. It also considers how the Statistics on Migrations and Changes of Residence emerge with the aim of measuring the migratory phenomenon between two consecutive censuses, a phenomenon, also, of great social significance in our country. The work culminates with a brief sociological interpretation of the challenges facing Spanish society, as a consequence of the population dynamics studied.</w:t>
      </w:r>
    </w:p>
    <w:p>
      <w:pPr>
        <w:pStyle w:val="Heading2"/>
      </w:pPr>
      <w:r>
        <w:t>779.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Structural-Acoustic-Fluidic Modelling of Synthetic Jet Actuators — https://openalex.org/W7133055487</w:t>
      </w:r>
    </w:p>
    <w:p>
      <w:pPr/>
      <w:r>
        <w:rPr>
          <w:b/>
        </w:rPr>
        <w:t>Shared claim-specific concepts:</w:t>
      </w:r>
      <w:r>
        <w:t xml:space="preserve"> jet, characteristics; EU scope not established. This is a provisional connection, not an outcome finding.</w:t>
      </w:r>
    </w:p>
    <w:p>
      <w:pPr>
        <w:pStyle w:val="SourceNote"/>
      </w:pPr>
      <w:r>
        <w:rPr>
          <w:b/>
        </w:rPr>
        <w:t>Available abstract (not full text):</w:t>
      </w:r>
      <w:r>
        <w:t xml:space="preserve"> Global efforts to mitigate noise, emissions, and power consumption have spurred rapid advancements in active flow control – a technique that injects energy into a flow to alter its aerodynamic characteristics. While passive flow control methods like flaps on airplanes or slots on wind turbine blades have demonstrated efficiency improvements, significant further enhancements necessitate active approaches. This need becomes increasingly crucial as technologies such as aviation and wind power continue to gain prominence and widespread use.One particularly promising use for active flow control is its application to airfoils. Synthetic jet actuators are devices that apply active flow control in the form of oscillatory excitement, and have been shown to delay flow separation, improve lift, and decrease drag when implemented in airfoils. A computational model was developed to study synthetic jet actuators using a Multiphysics approach. The model coupled physics from structural mechanics to provide unique insight into the physics of this flow, electrostatics, pressure acoustics, and fluid mechanics to make it as physically realistic as possible, and the most complete model published in the literature to date. The model was validated using hot wire measurements, then was used to study the fluid behaviour, acoustic properties, and the impact of modelling a physical diaphragm. Multiphysic</w:t>
      </w:r>
    </w:p>
    <w:p>
      <w:pPr>
        <w:pStyle w:val="Heading2"/>
      </w:pPr>
      <w:r>
        <w:t>780.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2024:</w:t>
      </w:r>
      <w:r>
        <w:t xml:space="preserve"> The increasing prevalence of cancer in the elderly: An investigation of epidemiological trends — https://doi.org/10.1002/agm2.12347</w:t>
      </w:r>
    </w:p>
    <w:p>
      <w:pPr/>
      <w:r>
        <w:rPr>
          <w:b/>
        </w:rPr>
        <w:t>Shared claim-specific concepts:</w:t>
      </w:r>
      <w:r>
        <w:t xml:space="preserve"> increase, prevalence, expected; EU scope not established. This is a provisional connection, not an outcome finding.</w:t>
      </w:r>
    </w:p>
    <w:p>
      <w:pPr>
        <w:pStyle w:val="SourceNote"/>
      </w:pPr>
      <w:r>
        <w:rPr>
          <w:b/>
        </w:rPr>
        <w:t>Available abstract (not full text):</w:t>
      </w:r>
      <w:r>
        <w:t xml:space="preserve"> Cancer poses a significant health threat to the elderly, accounting for a substantial proportion of cancer patients aged 65 and above. As life expectancy continues to rise and the population ages, the incidence of cancer in the elderly is expected to increase further. Age is a major risk factor for the majority of common cancers, with the incidence and prevalence rising as individuals grow older. Factors such as chemoprevention and environmental carcinogen elimination may influence the process of carcinogenesis. Studies reveal that the incidence and mortality rates of various cancers in the elderly and extremely old individuals are on the rise worldwide, with most types peaking around the age of 75 to 90, followed by a sharp decline. Birth cohort and period effects also play a complex role in the connection between aging and cancer risk. Clinical trials often exclude older individuals, limiting our understanding of cancer treatments' effects on this particular age group. More research is needed to focus on the unique requirements of older adults with cancer.</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pStyle w:val="Heading2"/>
      </w:pPr>
      <w:r>
        <w:t>781.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2022:</w:t>
      </w:r>
      <w:r>
        <w:t xml:space="preserve"> Educational divides and class coalitions: How mainstream party voters divide and unite over immigration issues — https://doi.org/10.1080/1369183x.2022.2134989</w:t>
      </w:r>
    </w:p>
    <w:p>
      <w:pPr/>
      <w:r>
        <w:rPr>
          <w:b/>
        </w:rPr>
        <w:t>Shared claim-specific concepts:</w:t>
      </w:r>
      <w:r>
        <w:t xml:space="preserve"> mainstream, academic, internal; EU scope visible. This is a provisional connection, not an outcome finding.</w:t>
      </w:r>
    </w:p>
    <w:p>
      <w:pPr>
        <w:pStyle w:val="SourceNote"/>
      </w:pPr>
      <w:r>
        <w:rPr>
          <w:b/>
        </w:rPr>
        <w:t>Available abstract (not full text):</w:t>
      </w:r>
      <w:r>
        <w:t xml:space="preserve"> At the extremes of the transnational cleavage in Western European democracies, voters for far-right and green parties tend to hold polarising immigration attitudes. Yet, the extent to which immigration concerns divide mainstream left and right voters, and drive vote-choice at the ballot box for mainstream parties, is under-researched. In this article, I disentangle both immigration attitudes and mainstream electorates to answer these questions. I show that immigration issues divide electorates within the mainstream left and right along educational lines. Yet, the divide between low-educated and highly-educated voters, in particular regarding their cultural immigration concerns, is larger for the mainstream left. Secondly, turning to the drivers of vote choice, I find that cultural immigration issues explain voting for the mainstream right, particularly for lower educated voters, whereas economic concerns are associated with voting for the mainstream left, despite education level. The paper contributes to ongoing debates about immigration issues and voting by recalibrating the academic focus towards mainstream party electorates and internal divisions therein.</w:t>
      </w:r>
    </w:p>
    <w:p>
      <w:pPr/>
      <w:r>
        <w:rPr>
          <w:b/>
        </w:rPr>
        <w:t>POSSIBLE 2022:</w:t>
      </w:r>
      <w:r>
        <w:t xml:space="preserve"> Environmental Mainstreaming in Greek TEN-T Ports — https://doi.org/10.3390/su14031634</w:t>
      </w:r>
    </w:p>
    <w:p>
      <w:pPr/>
      <w:r>
        <w:rPr>
          <w:b/>
        </w:rPr>
        <w:t>Shared claim-specific concepts:</w:t>
      </w:r>
      <w:r>
        <w:t xml:space="preserve"> mainstream, but, union, recent; EU scope visible. This is a provisional connection, not an outcome finding.</w:t>
      </w:r>
    </w:p>
    <w:p>
      <w:pPr>
        <w:pStyle w:val="SourceNote"/>
      </w:pPr>
      <w:r>
        <w:rPr>
          <w:b/>
        </w:rPr>
        <w:t>Available abstract (not full text):</w:t>
      </w:r>
      <w:r>
        <w:t xml:space="preserve"> Along with recent fundamental changes in several aspects of the port industry, ports come up against formidable environmental challenges. It is thus important and often imperative to mainstream environmental concerns in their operation, planning, and development; improve their environmental performance; and make the transition to sustainable production and consumption patterns. The industry’s greening is largely underpinned by European Union (EU) transport and port policy, with major European initiatives such as the Trans-European Transport Network (TEN-T), the European Green Deal, and Blue Growth expected to give new impetus. This paper examines environmental mainstreaming in Greek TEN-T ports and their ability to cope with upcoming challenges based on questionnaire responses by 23 port authorities and taking into account the relevant progress made by ESPO port members. We argue that all respondents have gradually become aware of the need to move towards an environment-friendly operation and development, but progress is slow, and there is still a lot to be done. Performances vary and depend on different factors, while ports are faced with significant challenges and various constraints. Nevertheless, new environmental standards present a real opportunity for Greek ports to undertake deep structural changes, especially in view of current and future European port policy.</w:t>
      </w:r>
    </w:p>
    <w:p>
      <w:pPr>
        <w:pStyle w:val="Heading2"/>
      </w:pPr>
      <w:r>
        <w:t>782.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783.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784.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pStyle w:val="Heading2"/>
      </w:pPr>
      <w:r>
        <w:t>785.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2024:</w:t>
      </w:r>
      <w:r>
        <w:t xml:space="preserve"> An Investigation on File Carving Tool Methodologies Using Scenario Based Image Creation — https://doi.org/10.17485/ijst/v17i3.808</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Objectives: The objective of this study is to develop and validate carving techniques and tools for recovering fragmented files in digital forensics, using various data sets (Data recovery done from various SSD for investigation environment) to verify effectiveness and contribute to the advancement of the field. Methods: The research method used in this study involves the development and validation of carving techniques and tools that can effectively retrieve data from fragmented files. The study uses various data with the use of scenario based from different research organizations to verify the effectiveness of the developed carving techniques and tools. Here this study based on foremost tool, the study also creates 16 pictures for tool verification depending on situations and uses a well-known commercial carving tool, Foremost, to demonstrate the developed image carving pace and precision of each media. The research method is focused on functional verification and creating solutions for digital forensics. Findings: The research findings of this study indicate that the data recovery (from solid state drive) of fragmented files is a significant challenge for file carving (Tools - Scalpel, Bulk Extractor, Foremost, and Photorec) in digital forensics. The study highlights the need for developing and validating carving techniques and tools that can effectively retrieve data from f</w:t>
      </w:r>
    </w:p>
    <w:p>
      <w:pPr>
        <w:pStyle w:val="Heading2"/>
      </w:pPr>
      <w:r>
        <w:t>786.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r>
        <w:rPr>
          <w:b/>
        </w:rPr>
        <w:t>POSSIBLE 2022:</w:t>
      </w:r>
      <w:r>
        <w:t xml:space="preserve"> Potential for seasonal flood forecasting in West Africa using climate indexes — https://doi.org/10.1111/jfr3.12833</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Abstract Floods are among the most devastating natural disasters and are expected to become more severe with changing climate and population growth. Flood forecasting is one of the key components of flood risk reduction. The potential for seasonal flood forecasting through climate indexes has not been studied for West Africa so far. This work investigates how climate indicators can be used to predict in advance, one to several months ahead of the flood season, above or below normal flood discharge in West Africa. Six global and regional climate indexes were screened for their potential to predict flood discharge of 56 river gauging stations across West Africa. Forecasting models are developed, based on simple and multiple linear regressions between climate indexes and annual maximum discharge, and evaluated using the relative operating characteristics and the relative operating levels scores. The western dipole mode index is the most skillful individual climate index for above normal flood prediction. Combining climate indexes via multiple linear regressions outperforms individual climate indexes for both above and below normal flood prediction. The models show forecasting skills for up to 4 months prior to the flood season. Hence, this study opens promising possibilities for seasonal flood forecasting in West Africa. This may help alert disaster reduction agencies of entering </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2021:</w:t>
      </w:r>
      <w:r>
        <w:t xml:space="preserve"> An Evaluation of World Economic Outlook Growth Forecasts, 2004–17 — https://doi.org/10.5089/9781513587172.001</w:t>
      </w:r>
    </w:p>
    <w:p>
      <w:pPr/>
      <w:r>
        <w:rPr>
          <w:b/>
        </w:rPr>
        <w:t>Shared claim-specific concepts:</w:t>
      </w:r>
      <w:r>
        <w:t xml:space="preserve"> forecasts, output; EU scope not established. This is a provisional connection, not an outcome finding.</w:t>
      </w:r>
    </w:p>
    <w:p>
      <w:pPr>
        <w:pStyle w:val="SourceNote"/>
      </w:pPr>
      <w:r>
        <w:rPr>
          <w:b/>
        </w:rPr>
        <w:t>Available abstract (not full text):</w:t>
      </w:r>
      <w:r>
        <w:t xml:space="preserve"> This paper examines the performance of World Economic Outlook (WEO) growth forecasts for 2004-17. Short-term real GDP growth forecasts over that period exhibit little bias, and their accuracy is broadly similar to those of Consensus Economics forecasts. By contrast, two- to five-year ahead WEO growth forecasts in 2004-17 tend to be upward biased, and in up to half of countries less accurate than a naïve forecast given by the average growth rate in the recent past. The analysis suggests that a more efficient use of available information on internal and external factors—such as the estimated output gap, projected terms of trade, and the growth forecasts of major trading partners—can improve the accuracy of some economies’ growth forecasts.</w:t>
      </w:r>
    </w:p>
    <w:p>
      <w:pPr/>
      <w:r>
        <w:rPr>
          <w:b/>
        </w:rPr>
        <w:t>POSSIBLE 2021:</w:t>
      </w:r>
      <w:r>
        <w:t xml:space="preserve"> Growth in Emerging Market Economies and the Commodity Boom of 2003–2008: Evidence from Growth Forecast Revisions — https://doi.org/10.34989/swp-2012-8</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Demand for industrial raw materials from emerging economies, particularly emerging Asia, is widely believed to have fueled the surge in oil and industrial commodity prices during 2002-2008. The paper first presents a simple storage model in which commodity prices respond to market participant’s changing expectations of the future macroeconomic environment. In the model, the change in the price of a commodity depends on the unanticipated changes in demand factors, along with the real exchange rate, the real interest rate, and other factors that affect the marginal convenience yield. It then focuses on the role of demand factors by using a newly constructed monthly measure of unanticipated demand shocks for commodities based on revisions to professional forecasts of industrial production growth for a large group of emerging market and advanced economies. The empirical framework also controls for other macroeconomic factors that affect commodity prices, such as the real effective exchange rate (REER) of the U.S. dollar and the real interest rate. The results show that revisions to growth forecasts for emerging Asia play an important role in explaining movements in the real prices of industrial metals. In addition, the REER of the U.S. dollar is an important determinant of industrial commodity prices. For crude oil, growth forecast revisions for the U.S. and the real interest rate </w:t>
      </w:r>
    </w:p>
    <w:p>
      <w:pPr>
        <w:pStyle w:val="Heading2"/>
      </w:pPr>
      <w:r>
        <w:t>787.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r>
        <w:rPr>
          <w:b/>
        </w:rPr>
        <w:t>POSSIBLE 2024:</w:t>
      </w:r>
      <w:r>
        <w:t xml:space="preserve"> Recognition of Kafāla in European Member States: Need for a Uniform Approach? — https://doi.org/10.1007/978-3-031-71598-3_18</w:t>
      </w:r>
    </w:p>
    <w:p>
      <w:pPr/>
      <w:r>
        <w:rPr>
          <w:b/>
        </w:rPr>
        <w:t>Shared claim-specific concepts:</w:t>
      </w:r>
      <w:r>
        <w:t xml:space="preserve"> member, states, legislative; EU scope visible. This is a provisional connection, not an outcome finding.</w:t>
      </w:r>
    </w:p>
    <w:p>
      <w:pPr>
        <w:pStyle w:val="SourceNote"/>
      </w:pPr>
      <w:r>
        <w:rPr>
          <w:b/>
        </w:rPr>
        <w:t>Available abstract (not full text):</w:t>
      </w:r>
      <w:r>
        <w:t xml:space="preserve"> Abstract This article provides an overview of the different approaches adopted by EU member states and highlights the lack of a uniform EU legislative approach. It is emphasised that any European solution must comply with the EU Charter, the 1996 Child Protection Convention and respect the cultural context of the child.</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pStyle w:val="Heading2"/>
      </w:pPr>
      <w:r>
        <w:t>788.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pStyle w:val="Heading2"/>
      </w:pPr>
      <w:r>
        <w:t>789.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2023:</w:t>
      </w:r>
      <w:r>
        <w:t xml:space="preserve"> European Society of Endocrinology clinical practice guidelines on the management of adrenal incidentalomas, in collaboration with the European Network for the Study of Adrenal Tumors — https://doi.org/10.1093/ejendo/lvad066</w:t>
      </w:r>
    </w:p>
    <w:p>
      <w:pPr/>
      <w:r>
        <w:rPr>
          <w:b/>
        </w:rPr>
        <w:t>Shared claim-specific concepts:</w:t>
      </w:r>
      <w:r>
        <w:t xml:space="preserve"> expert, provided; EU scope visible. This is a provisional connection, not an outcome finding.</w:t>
      </w:r>
    </w:p>
    <w:p>
      <w:pPr>
        <w:pStyle w:val="SourceNote"/>
      </w:pPr>
      <w:r>
        <w:rPr>
          <w:b/>
        </w:rPr>
        <w:t>Available abstract (not full text):</w:t>
      </w:r>
      <w:r>
        <w:t xml:space="preserve"> Adrenal incidentalomas are adrenal masses detected on imaging performed for reasons other than suspected adrenal disease. In most cases, adrenal incidentalomas are nonfunctioning adrenocortical adenomas but may also require therapeutic intervention including that for adrenocortical carcinoma, pheochromocytoma, hormone-producing adenoma, or metastases. Here, we provide a revision of the first international, interdisciplinary guidelines on incidentalomas. We followed the Grading of Recommendations Assessment, Development and Evaluation system and updated systematic reviews on 4 predefined clinical questions crucial for the management of incidentalomas: (1) How to assess risk of malignancy?; (2) How to define and manage mild autonomous cortisol secretion?; (3) Who should have surgical treatment and how should it be performed?; and (4) What follow-up is indicated if the adrenal incidentaloma is not surgically removed? Selected Recommendations: (1) Each adrenal mass requires dedicated adrenal imaging. Recent advances now allow discrimination between risk categories: Homogeneous lesions with Hounsfield unit (HU) ≤ 10 on unenhanced CT are benign and do not require any additional imaging independent of size. All other patients should be discussed in a multidisciplinary expert meeting, but only lesions &gt;4 cm that are inhomogeneous or have HU &gt;20 have sufficiently high risk of malignancy</w:t>
      </w:r>
    </w:p>
    <w:p>
      <w:pPr>
        <w:pStyle w:val="Heading2"/>
      </w:pPr>
      <w:r>
        <w:t>790.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pStyle w:val="Heading2"/>
      </w:pPr>
      <w:r>
        <w:t>791.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r>
        <w:rPr>
          <w:b/>
        </w:rPr>
        <w:t>POSSIBLE 2025:</w:t>
      </w:r>
      <w:r>
        <w:t xml:space="preserve"> Analysis of the Reasons for the Differences in the Penetration Rate of New Energy Vehicles between the North and South of China — https://doi.org/10.47297/taposatwsp2633-456907.20250606</w:t>
      </w:r>
    </w:p>
    <w:p>
      <w:pPr/>
      <w:r>
        <w:rPr>
          <w:b/>
        </w:rPr>
        <w:t>Shared claim-specific concepts:</w:t>
      </w:r>
      <w:r>
        <w:t xml:space="preserve"> penetration, different, between, vehicles, travel; EU scope not established. This is a provisional connection, not an outcome finding.</w:t>
      </w:r>
    </w:p>
    <w:p>
      <w:pPr>
        <w:pStyle w:val="SourceNote"/>
      </w:pPr>
      <w:r>
        <w:rPr>
          <w:b/>
        </w:rPr>
        <w:t>Available abstract (not full text):</w:t>
      </w:r>
      <w:r>
        <w:t xml:space="preserve"> By studying the differences in the penetration rate of new energy vehicles between the southern and northern parts of China, we can gain a deeper understanding of the demand characteristics, purchasing power and consumption preferences of consumers in different regions. This provides a basis for policy-making, allowing government departments to formulate differentiated industrial policies and subsidy policies based on the different situations of new energy vehicle penetration in the south and north. It also promotes infrastructure construction, and puts forward some reasonable plans and layout suggestions for the development of new energy vehicles and the construction of charging infrastructure. It promotes regional economic development. The development of the new energy vehicle industry has an important driving effect on the regional economy. It promotes sustainable development. The popularization of new energy vehicles is an important measure to achieve energy conservation and emission reduction in the transportation sector and promote sustainable development. In addition, it can also enhance consumer awareness. This research can help consumers understand the usage and development trends of new energy vehicles in different regions, helping them make more rational choices about their travel methods and vehicle types, and also increase their awareness and acceptance of new ener</w:t>
      </w:r>
    </w:p>
    <w:p>
      <w:pPr/>
      <w:r>
        <w:rPr>
          <w:b/>
        </w:rPr>
        <w:t>POSSIBLE 2025:</w:t>
      </w:r>
      <w:r>
        <w:t xml:space="preserve"> Micro-CT assessment of sealant penetration in different types of fissures in primary molars — https://doi.org/10.3897/folmed.67.e140934</w:t>
      </w:r>
    </w:p>
    <w:p>
      <w:pPr/>
      <w:r>
        <w:rPr>
          <w:b/>
        </w:rPr>
        <w:t>Shared claim-specific concepts:</w:t>
      </w:r>
      <w:r>
        <w:t xml:space="preserve"> penetration, different; EU scope not established. This is a provisional connection, not an outcome finding.</w:t>
      </w:r>
    </w:p>
    <w:p>
      <w:pPr>
        <w:pStyle w:val="SourceNote"/>
      </w:pPr>
      <w:r>
        <w:rPr>
          <w:b/>
        </w:rPr>
        <w:t>Available abstract (not full text):</w:t>
      </w:r>
      <w:r>
        <w:t xml:space="preserve"> Introduction: Sealants prevent the development of dental caries by forming a protective barrier that reduces bacterial growth and food retention. The morphology of the pits and fissures and the material of the sealant can affect the depth to which it penetrates into the fissures and the longevity and durability of the sealant. Aim: To compare the depth of penetration into fissures and pits of different types of sealants in primary molars using micro-CT assessment. Material and methods: Forty intact primary molars were extracted just prior to their physiologic exfoliation. They were sealed with glass ionomer cement (GIC) and resin sealant. The samples were scanned with a desktop X-ray microtomograph. The fissure profile, sealant penetration depth, and depth of the unfilled part of the fissure were measured. Descriptive and inferential statistics were used to analyze the data. Results: The median penetration depth of GIC was 89% (IQR 81.31%–100.00%) in U-type fissures and 66% (IQR 55.64%–76.77%) in V-type fissures. The deepest median penetration with resin sealant was found in U-type fissures 89% (IQR 73.16%–100.00%) and the shallowest median depth was found in IK-type fissures 34% (IQR 25.39%–41.73%). Penetration depths ranged from 34% to 43% in the I and IK fissure types. No statistically significant difference was found in the penetration of the two types of sealants in the di</w:t>
      </w:r>
    </w:p>
    <w:p>
      <w:pPr>
        <w:pStyle w:val="Heading2"/>
      </w:pPr>
      <w:r>
        <w:t>792.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pStyle w:val="Heading2"/>
      </w:pPr>
      <w:r>
        <w:t>793.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794.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life, expectancy, over,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Disability free life expectancy decomposition: a comparative analysis across European countries — https://doi.org/10.71014/sieds.v78i2.264</w:t>
      </w:r>
    </w:p>
    <w:p>
      <w:pPr/>
      <w:r>
        <w:rPr>
          <w:b/>
        </w:rPr>
        <w:t>Shared claim-specific concepts:</w:t>
      </w:r>
      <w:r>
        <w:t xml:space="preserve"> female, life, expectancy, men, increase, male; EU scope visible. This is a provisional connection, not an outcome finding.</w:t>
      </w:r>
    </w:p>
    <w:p>
      <w:pPr>
        <w:pStyle w:val="SourceNote"/>
      </w:pPr>
      <w:r>
        <w:rPr>
          <w:b/>
        </w:rPr>
        <w:t>Available abstract (not full text):</w:t>
      </w:r>
      <w:r>
        <w:t xml:space="preserve"> Life expectancies (LE) at birth and at adult ages have progressively increased in recent decades in Europe. LE is a quantitative indicator and therefore it provides a limited view of the status of the population, ignoring the weight and the effects that the health condition has on the years that remain to live. To address this issue, we refer to Disability Free Life Expectancy (DFLE) indicating the average number of years a person of a given age x expects to live in good health. In this paper we analyse the change in LE and DFLE at age 65 from 2004 to 2016 for a set of the most long-lived European countries, as well as for male and female populations in order to highlight gender differences. Then we quantify the extent by which age specific mortality and morbidity contribute to changes in DFLE for understanding whether the trends observed are due to compression/expansion of morbidity or to variation in mortality patterns. This goal is important both for health policies planning and for sustainability of socio-economic and social security systems. DFLE is calculated using the Sullivan method, measuring disability in terms of the Global Activity Limitation Indicator (GALI). We refer both to step-wise and continuous change techniques for DFLE decomposition. Data sources are Human Mortality Database (HMD) for mortality rates and the European Health Life Expectancy Information Syste</w:t>
      </w:r>
    </w:p>
    <w:p>
      <w:pPr/>
      <w:r>
        <w:rPr>
          <w:b/>
        </w:rPr>
        <w:t>POSSIBLE 2024:</w:t>
      </w:r>
      <w:r>
        <w:t xml:space="preserve"> Social and Economic Determinants of Life Expectancy at Birth in Eastern Europe — https://doi.org/10.3390/healthcare12111148</w:t>
      </w:r>
    </w:p>
    <w:p>
      <w:pPr/>
      <w:r>
        <w:rPr>
          <w:b/>
        </w:rPr>
        <w:t>Shared claim-specific concepts:</w:t>
      </w:r>
      <w:r>
        <w:t xml:space="preserve"> life, expectancy, over, every, country, increase; EU scope visible. This is a provisional connection, not an outcome finding.</w:t>
      </w:r>
    </w:p>
    <w:p>
      <w:pPr>
        <w:pStyle w:val="SourceNote"/>
      </w:pPr>
      <w:r>
        <w:rPr>
          <w:b/>
        </w:rPr>
        <w:t>Available abstract (not full text):</w:t>
      </w:r>
      <w:r>
        <w:t xml:space="preserve"> Life expectancy at birth is considered a parameter of the social development, health system, or economic development of a country. We aimed to investigate the effects of GDP per capita (as the economic factor), health care expenditure, the number of medical doctors (as social factors), and CO2 emissions (as the environmental factor) on life expectancy. We used panel data analysis for 13 Eastern European countries over the 2000–2020 period. After performing the analysis, we used a cross-country fixed-effects panel (GLS with SUR weights). According to our model, a one percent increase in health expenditure (as % of GDP) increases life expectancy at birth by 0.376 years, whereas each additional medical doctor per 10,000 inhabitants increases life expectancy at birth by 0.088 years on average. At the same time, each additional 10,000 USD per capita each year would increase life expectancy at birth by 1.8 years on average. If CO2 emissions increase by 1 metric ton per capita, life expectancy at birth would decrease by 0.24 years, suggesting that higher carbon emissions are capable of reducing longevity. Every European country has to make special efforts to increase the life expectancy of its inhabitants by applying economic and health policies focused on the well-being of the population.</w:t>
      </w:r>
    </w:p>
    <w:p>
      <w:pPr>
        <w:pStyle w:val="Heading2"/>
      </w:pPr>
      <w:r>
        <w:t>795.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pStyle w:val="Heading2"/>
      </w:pPr>
      <w:r>
        <w:t>796.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pStyle w:val="Heading2"/>
      </w:pPr>
      <w:r>
        <w:t>797.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r>
        <w:rPr>
          <w:b/>
        </w:rPr>
        <w:t>POSSIBLE 2023:</w:t>
      </w:r>
      <w:r>
        <w:t xml:space="preserve"> Developing Offshore Wind Farms – A Comparison and Analysis of the Legal and Governance Frameworks of the North Sea Coastal States — https://doi.org/10.1163/22134514-bja10064</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Abstract With high offshore wind ambitions, the North Sea coastal states have each followed a different path in the development of the legal framework for offshore wind development. This article compares the legal frameworks of the coastal states on three main issues: the location choice, including selection of developers; the permitting procedures, and the connection of the owf s. The analysis shows legislative and governance convergence across the North Sea, but also a few instances where different choices are made. The consequences of the choices are discussed and analysed, with recommendations for other coastal states wishing to develop an offshore wind regulatory framework.</w:t>
      </w:r>
    </w:p>
    <w:p>
      <w:pPr>
        <w:pStyle w:val="Heading2"/>
      </w:pPr>
      <w:r>
        <w:t>798.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general, circulation;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Examining the influence of forest changes on drought across time scales in Europe through multiple regional climate model simulations — https://doi.org/10.5194/egusphere-egu24-11163</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Land cover changes, notably forest alterations, have been observed across Europe due to extensive land management policies. These changes have significant influence on local climates through diverse biophysical mechanisms, given the crucial role of forests in the land ecosystem. While modeling studies have emphasized the impact of forest changes on regional temperature and precipitation in recent decades, their effects on drought conditions in this region remain largely unexplored. To address this gap, our study analyzes multiple simulations with regional climate models to comprehensively investigate how forest changes impact drought across various timescales in Europe. Specifically, we explored seven models, each simulated two extreme scenarios: maximum forest coverage and grass coverage in the region. The comparison between extreme forest coverage and grass coverage serves to evaluate the impact of deforestation on drought. The Standardized Precipitation Evapotranspiration Index was chosen as our metric to assess drought conditions. Our findings reveal considerable variation among the models in depicting the response to deforestation in terms of drought, particularly notable in Scandinavia and Eastern Europe. Our results suggest an increase in aridity on the Iberian Peninsula following deforestation. In Scandinavia the response varies during the year: winter months tend towar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quantify, forest, climate, developed, period;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pStyle w:val="Heading2"/>
      </w:pPr>
      <w:r>
        <w:t>799.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2025:</w:t>
      </w:r>
      <w:r>
        <w:t xml:space="preserve"> Robust Assessment of Atmospheric Circulation Trends over Central Europe Using a Multi-Classification Approach — https://doi.org/10.5194/ems2025-600</w:t>
      </w:r>
    </w:p>
    <w:p>
      <w:pPr/>
      <w:r>
        <w:rPr>
          <w:b/>
        </w:rPr>
        <w:t>Shared claim-specific concepts:</w:t>
      </w:r>
      <w:r>
        <w:t xml:space="preserve"> differences, atmospheric, circulation; EU scope visible. This is a provisional connection, not an outcome finding.</w:t>
      </w:r>
    </w:p>
    <w:p>
      <w:pPr>
        <w:pStyle w:val="SourceNote"/>
      </w:pPr>
      <w:r>
        <w:rPr>
          <w:b/>
        </w:rPr>
        <w:t>Available abstract (not full text):</w:t>
      </w:r>
      <w:r>
        <w:t xml:space="preserve"> Changes in atmospheric circulation are key drivers of regional climate variability and long-term trends in the midlatitudes, particularly across Europe. This study investigates the concurrence and temporal trends in the frequency and persistence of atmospheric circulation types (CTs) over Central Europe for the period 1951–2020. We apply five distinct classifications: the large-scale Grosswetterlagen (GWL), and four regional-scale schemes—Lityński (LIT), Niedźwiedź (TN), Péczely (PEC), and the objective Jenkinson–Collinson (JCT) classification adapted to the study area.The analysis is conducted year-round as well as for the four meteorological seasons, offering a comprehensive perspective on synoptic-scale variability and its evolution over time. Results show substantial methodological differences between individual classification schemes. To assess the consistency and co-occurrence of CTs across methods, we employ a suite of statistical measures including contingency tables, mutual probabilities, Cramér’s V, Adjusted Rand Index (ARI), and Normalized Mutual Information (NMI). These measures highlight both areas of agreement and systematic discrepancies, underscoring the risk of overinterpretation when relying on a single classification.Despite differences, some robust trends emerge: notably, a consistent increase in westerly types and decline in meridional flow patterns during </w:t>
      </w:r>
    </w:p>
    <w:p>
      <w:pPr/>
      <w:r>
        <w:rPr>
          <w:b/>
        </w:rPr>
        <w:t>POSSIBLE 2025:</w:t>
      </w:r>
      <w:r>
        <w:t xml:space="preserve"> DIFFERENCES IN THE COMPOSITION OF ATMOSPHERIC AEROSOL NR-PM1 AT DIFFERENT HEIGHTS — https://openalex.org/W7135503777</w:t>
      </w:r>
    </w:p>
    <w:p>
      <w:pPr/>
      <w:r>
        <w:rPr>
          <w:b/>
        </w:rPr>
        <w:t>Shared claim-specific concepts:</w:t>
      </w:r>
      <w:r>
        <w:t xml:space="preserve"> differences, atmospheric, different, significant; EU scope not established. This is a provisional connection, not an outcome finding.</w:t>
      </w:r>
    </w:p>
    <w:p>
      <w:pPr>
        <w:pStyle w:val="SourceNote"/>
      </w:pPr>
      <w:r>
        <w:rPr>
          <w:b/>
        </w:rPr>
        <w:t>Available abstract (not full text):</w:t>
      </w:r>
      <w:r>
        <w:t xml:space="preserve"> Vertical variations in the composition of atmospheric aerosol NR-PM1 were studied and significant differences were found especially at night, when atmospheric mixing is often limited. Each major NR-PM1 component studied (Organics, sulphates, nitrates, ammonium) had a different behavior, with organics showing the highest differences at night.</w:t>
      </w:r>
    </w:p>
    <w:p>
      <w:pPr>
        <w:pStyle w:val="Heading2"/>
      </w:pPr>
      <w:r>
        <w:t>800.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2023:</w:t>
      </w:r>
      <w:r>
        <w:t xml:space="preserve"> Let’s Have a Chat! A Conversation with ChatGPT: Technology, Applications, and Limitations — https://doi.org/10.47852/bonviewaia3202939</w:t>
      </w:r>
    </w:p>
    <w:p>
      <w:pPr/>
      <w:r>
        <w:rPr>
          <w:b/>
        </w:rPr>
        <w:t>Shared claim-specific concepts:</w:t>
      </w:r>
      <w:r>
        <w:t xml:space="preserve"> highlights, limitations, only; EU scope not established. This is a provisional connection, not an outcome finding.</w:t>
      </w:r>
    </w:p>
    <w:p>
      <w:pPr>
        <w:pStyle w:val="SourceNote"/>
      </w:pPr>
      <w:r>
        <w:rPr>
          <w:b/>
        </w:rPr>
        <w:t>Available abstract (not full text):</w:t>
      </w:r>
      <w:r>
        <w:t xml:space="preserve"> The advent of artificial intelligence-empowered chatbots capable of constructing human-like sentences and articulating cohesive essays has captivated global interest. This paper provides a historical perspective on chatbots, focusing on the technology underpinning the Chat Generative Pre-trained Transformer, better known as ChatGPT. We underscore the potential utility of ChatGPT across a multitude of fields, including healthcare, education, and research. To the best of our knowledge, this is the first review that not only highlights the applications of ChatGPT in multiple domains but also analyzes its performance on examinations across various disciplines. Despite its promising capabilities, ChatGPT raises numerous ethical and privacy concerns that are meticulously explored in this paper. Acknowledging the current limitations of ChatGPT is crucial in understanding its potential for growth. We also ask ChatGPT to provide its point of view and present its responses to several questions we attempt to answer. Received: 5 April 2023 | Revised: 23 May 2023 | Accepted: 29 May 2023 Conflicts of Interest The authors declare that they have no conflicts of interest to this work. Data Availability Statement Data sharing is not applicable to this article as no new data were created or analyzed in this study.</w:t>
      </w:r>
    </w:p>
    <w:p>
      <w:pPr/>
      <w:r>
        <w:rPr>
          <w:b/>
        </w:rPr>
        <w:t>POSSIBLE 2023:</w:t>
      </w:r>
      <w:r>
        <w:t xml:space="preserve"> Key uncertainties behind global projections of direct air capture deployment — https://doi.org/10.1016/j.apenergy.2023.121485</w:t>
      </w:r>
    </w:p>
    <w:p>
      <w:pPr/>
      <w:r>
        <w:rPr>
          <w:b/>
        </w:rPr>
        <w:t>Shared claim-specific concepts:</w:t>
      </w:r>
      <w:r>
        <w:t xml:space="preserve"> highlights, limitations, projections; EU scope not established. This is a provisional connection, not an outcome finding.</w:t>
      </w:r>
    </w:p>
    <w:p>
      <w:pPr>
        <w:pStyle w:val="SourceNote"/>
      </w:pPr>
      <w:r>
        <w:rPr>
          <w:b/>
        </w:rPr>
        <w:t>Available abstract (not full text):</w:t>
      </w:r>
      <w:r>
        <w:t xml:space="preserve"> To limit global warming to levels set in the Paris Agreement, integrated assessment modeling highlights the necessity of removing gigatons of carbon dioxide. Direct air capture is one of the potential methods for carbon dioxide removal and has gained significant attention despite being a relatively new technology. While some scenarios can meet Paris targets without relying on direct air capture, other models show the need for up to 38 gigatons/yr of removal by this technology. Such wide variation in projections reflects uncertainty over the feasibility of deploying direct air capture at scale and points the need for greater attention to the model assumptions driving this variation. This study provides a comprehensive review of scenarios from the Intergovernmental Panel on Climate Change Sixth Assessment Report and peer-reviewed studies focusing on direct air capture as a mitigation strategy. The review identifies several key factors contributing to uncertainty in direct air capture projections, including prolonged fossil fuel use, diversity of carbon removal methods, future socio-economic conditions, intergenerational assumptions, deployment limitations, and technology costs. The study recommends conducting multi-model assessments of direct air capture scenarios due to the influence of various assumptions and model structures on projections. The authors also suggest including d</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2022:</w:t>
      </w:r>
      <w:r>
        <w:t xml:space="preserve"> Treatment satisfaction and limitations in haemophilia A, with a focus on factor VIII product storage conditions: patients’ perspectives and challenges — https://doi.org/10.1007/s40267-022-00967-x</w:t>
      </w:r>
    </w:p>
    <w:p>
      <w:pPr/>
      <w:r>
        <w:rPr>
          <w:b/>
        </w:rPr>
        <w:t>Shared claim-specific concepts:</w:t>
      </w:r>
      <w:r>
        <w:t xml:space="preserve"> highlights, limitations, focussing, only; EU scope visible. This is a provisional connection, not an outcome finding.</w:t>
      </w:r>
    </w:p>
    <w:p>
      <w:pPr>
        <w:pStyle w:val="SourceNote"/>
      </w:pPr>
      <w:r>
        <w:rPr>
          <w:b/>
        </w:rPr>
        <w:t>Available abstract (not full text):</w:t>
      </w:r>
      <w:r>
        <w:t xml:space="preserve"> Prophylaxis with factor VIII (FVIII) concentrates is the mainstay of treatment for haemophilia A; however, patients’ perceptions of treatment can negatively affect compliance and treatment outcomes. The aim of this study was to explore treatment limitations and satisfaction in haemophilia A from the patient’s perspective, with a focus on product storage characteristics. Patients with haemophilia A in Slovenia completed a survey focussing on treatment satisfaction and understanding of FVIII product storage conditions. Patient satisfaction with product storage was analysed using the Kano model. There were 63 survey respondents in total (note: not all patients answered all questions). Most patients were aged &gt; 18 years (93.6%), had severe haemophilia A (68.3%) and were on FVIII prophylaxis (73.8%). The mean (median) number of bleeds in the previous 12 months was 4.9 (3.0). Missed, forgotten or delayed doses were reported by 46.4% of all patients and by 53.3% of patients on prophylaxis. Most patients believed FVIII products should be stored at ≤ 25 °C (90.7%) or only in a refrigerator (53.7%). Additionally, 76.4% of patients reported limitations in daily activities (especially travel) due to product storage requirements. Survey results and Kano model analysis indicated that treatment satisfaction may be improved by a product that can be stored at &gt; 25 °C. This survey highlights pat</w:t>
      </w:r>
    </w:p>
    <w:p>
      <w:pPr>
        <w:pStyle w:val="Heading2"/>
      </w:pPr>
      <w:r>
        <w:t>801.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2022:</w:t>
      </w:r>
      <w:r>
        <w:t xml:space="preserve"> Strategic Inertia and Renewal: Contrasting Responses to Market Changes — https://doi.org/10.5465/ambpp.2022.14719abstract</w:t>
      </w:r>
    </w:p>
    <w:p>
      <w:pPr/>
      <w:r>
        <w:rPr>
          <w:b/>
        </w:rPr>
        <w:t>Shared claim-specific concepts:</w:t>
      </w:r>
      <w:r>
        <w:t xml:space="preserve"> changing, need, planning; EU scope not established. This is a provisional connection, not an outcome finding.</w:t>
      </w:r>
    </w:p>
    <w:p>
      <w:pPr>
        <w:pStyle w:val="SourceNote"/>
      </w:pPr>
      <w:r>
        <w:rPr>
          <w:b/>
        </w:rPr>
        <w:t>Available abstract (not full text):</w:t>
      </w:r>
      <w:r>
        <w:t xml:space="preserve"> The academic, consulting, and practitioner-oriented literatures present many examples of companies that have failed to adapt their strategy in the face of a changing competitive arena, even when their top managers and executives acknowledged the need for change—and had a reasonable idea of what ought to be done. By means of an in-depth study of two polar cases of large companies from the fast-moving consumer goods sector, we shed light on the complex intertwined causes that might lead some companies into strategic inertia, while others engage in strategic renewal. Our findings suggest that strategic inertia is a multilevel phenomenon, which extends beyond the “usual suspects” presented, in isolation or in combination, in the literature (i.e., cognitions, power and politicking, emotions, and communication). We found that encouragement of divergent judgments and a participative planning process, as well as propensity to experiment, may lead a company to jettison the drivers of its past success and embrace novel pathways with serenity to deal with short-term uncertainty and anguish.</w:t>
      </w:r>
    </w:p>
    <w:p>
      <w:pPr/>
      <w:r>
        <w:rPr>
          <w:b/>
        </w:rPr>
        <w:t>POSSIBLE 2022:</w:t>
      </w:r>
      <w:r>
        <w:t xml:space="preserve"> Towards an Understanding of Digital Nomadic Mobilities — https://doi.org/10.3167/trans.2022.120310</w:t>
      </w:r>
    </w:p>
    <w:p>
      <w:pPr/>
      <w:r>
        <w:rPr>
          <w:b/>
        </w:rPr>
        <w:t>Shared claim-specific concepts:</w:t>
      </w:r>
      <w:r>
        <w:t xml:space="preserve"> mobility, travel, about; EU scope not established. This is a provisional connection, not an outcome finding.</w:t>
      </w:r>
    </w:p>
    <w:p>
      <w:pPr>
        <w:pStyle w:val="SourceNote"/>
      </w:pPr>
      <w:r>
        <w:rPr>
          <w:b/>
        </w:rPr>
        <w:t>Available abstract (not full text):</w:t>
      </w:r>
      <w:r>
        <w:t xml:space="preserve"> Abstract This paper instigates a discussion on the applicability of a mobility lens to digital nomadism. Digital nomadism defines the lifestyle of highly mobile professionals, known as digital nomads, who work while traveling on a (semi)- permanent basis. Digital nomads encompass the mobility changes that have taken place both at a personal and at a societal level and serve as an example of the mobility changes brought about by “the mobilities turn.” This article outlines how mobility and immobility are present in digital nomadism, and how mobility regimes shape the digital nomadic lifestyle. It further discusses digital nomadism in relation to work and travel to examine how this phenomenon challenges and broadens our understanding of and perspectives on mobilities.</w:t>
      </w:r>
    </w:p>
    <w:p>
      <w:pPr>
        <w:pStyle w:val="Heading2"/>
      </w:pPr>
      <w:r>
        <w:t>802.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pStyle w:val="Heading2"/>
      </w:pPr>
      <w:r>
        <w:t>803.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range;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804.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r>
        <w:rPr>
          <w:b/>
        </w:rPr>
        <w:t>POSSIBLE 2025:</w:t>
      </w:r>
      <w:r>
        <w:t xml:space="preserve"> Continual Learning for Multimodal Data Fusion of a Soft Gripper — https://doi.org/10.1002/adrr.202500126</w:t>
      </w:r>
    </w:p>
    <w:p>
      <w:pPr/>
      <w:r>
        <w:rPr>
          <w:b/>
        </w:rPr>
        <w:t>Shared claim-specific concepts:</w:t>
      </w:r>
      <w:r>
        <w:t xml:space="preserve"> data, fusion; EU scope not established. This is a provisional connection, not an outcome finding.</w:t>
      </w:r>
    </w:p>
    <w:p>
      <w:pPr>
        <w:pStyle w:val="SourceNote"/>
      </w:pPr>
      <w:r>
        <w:rPr>
          <w:b/>
        </w:rPr>
        <w:t>Available abstract (not full text):</w:t>
      </w:r>
      <w:r>
        <w:t xml:space="preserve"> Continual learning (CL) refers to the ability of an algorithm to continuously and incrementally acquire new knowledge from its environment while preserving previously learned information. Traditional models trained on a single data modality often fail to generalize when exposed to different modalities. A simple strategy to address this limitation is to fuze multiple modalities by concatenating their features and training the model on the combined representation. However, this generally requires retraining the model from scratch whenever a new domain is introduced. In this paper, we propose a CL algorithm that incrementally learns from multiple data modalities by combining class‐incremental and domain‐incremental learning settings. We validate our algorithm on a custom multimodal dataset composed of tactile signals collected from a soft sensorized pneumatic gripper and visual data consisting of nonstationary object images captured from video sequences. Additionally, we evaluate our method on a subset of the publicly available VGGSound dataset, which integrates both visual and audio signals corresponding to various real‐world activities. To further demonstrate the robustness and real‐time applicability of our approach, we conduct an object classification experiment using a soft sensorized gripper and an external camera setup, all synchronized through the robot operating system fr</w:t>
      </w:r>
    </w:p>
    <w:p>
      <w:pPr>
        <w:pStyle w:val="Heading2"/>
      </w:pPr>
      <w:r>
        <w:t>805.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pStyle w:val="Heading2"/>
      </w:pPr>
      <w:r>
        <w:t>806.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r>
        <w:rPr>
          <w:b/>
        </w:rPr>
        <w:t>POSSIBLE 2025:</w:t>
      </w:r>
      <w:r>
        <w:t xml:space="preserve"> Occupational Autonomy and Wage Divergence: Evidence From European Survey Data — https://doi.org/10.1111/bjir.70003</w:t>
      </w:r>
    </w:p>
    <w:p>
      <w:pPr/>
      <w:r>
        <w:rPr>
          <w:b/>
        </w:rPr>
        <w:t>Shared claim-specific concepts:</w:t>
      </w:r>
      <w:r>
        <w:t xml:space="preserve"> occupational, trend, over, well, occupations, technological; EU scope visible. This is a provisional connection, not an outcome finding.</w:t>
      </w:r>
    </w:p>
    <w:p>
      <w:pPr>
        <w:pStyle w:val="SourceNote"/>
      </w:pPr>
      <w:r>
        <w:rPr>
          <w:b/>
        </w:rPr>
        <w:t>Available abstract (not full text):</w:t>
      </w:r>
      <w:r>
        <w:t xml:space="preserve"> ABSTRACT Wages across occupations in Western Europe have diverged, resulting in increased wage inequality. However, existing theories such as routine‐biased technological change (RBTC) or task offshoring fail to explain this trend. We propose a new explanation based on occupational autonomy. Autonomy measures workers' control and influence over their work process based on the tasks required in an occupation. Analysing individual‐level data from the EU Survey of Income and Living Conditions, we reveal a rising autonomy wage premium, that is, higher wage growth for occupations with higher autonomy, which accurately predicts the observed occupational wage divergence. We also find that the autonomy premium increases more rapidly in countries and industries with greater employee monitoring and outsourcing, as well as in countries with declining minimum wages. These findings imply that low‐autonomy occupations have been disadvantaged by recent socioeconomic trends that have altered power relations in the workplace. Notably, our analysis does not support previous explanations for occupational wage trends based on RBTC or task offshoring.</w:t>
      </w:r>
    </w:p>
    <w:p>
      <w:pPr/>
      <w:r>
        <w:rPr>
          <w:b/>
        </w:rPr>
        <w:t>POSSIBLE 2025:</w:t>
      </w:r>
      <w:r>
        <w:t xml:space="preserve"> The Rise in Occupational Coding Mismatches and Occupational Mobility, 1991–2020 — https://doi.org/10.1177/00491241241303517</w:t>
      </w:r>
    </w:p>
    <w:p>
      <w:pPr/>
      <w:r>
        <w:rPr>
          <w:b/>
        </w:rPr>
        <w:t>Shared claim-specific concepts:</w:t>
      </w:r>
      <w:r>
        <w:t xml:space="preserve"> main, occupational, over; EU scope not established. This is a provisional connection, not an outcome finding.</w:t>
      </w:r>
    </w:p>
    <w:p>
      <w:pPr>
        <w:pStyle w:val="SourceNote"/>
      </w:pPr>
      <w:r>
        <w:rPr>
          <w:b/>
        </w:rPr>
        <w:t>Available abstract (not full text):</w:t>
      </w:r>
      <w:r>
        <w:t xml:space="preserve"> Occupation is a construct prone to classification mismatches by coders and description inconsistency by respondents. We explore whether mismatches in occupational coding have recently increased, what factors are associated with the rise in mismatches, and how the rise affects estimates of intragenerational occupational mobility. Utilizing the 1991–2020 Annual Social and Economic Supplement of the Current Population Survey, which collects information on respondents’ current occupation and the previous year’s main occupation, we identify coding mismatches and compare the probabilities of occupational mobility based on four combinations of two variables. Our results show that not only do the estimates of occupational mobility between two adjacent years vary substantially across measures, but also that the magnitudes of intragenerational occupational mobility across measures become increasingly decoupled over time. We demonstrate that the likely cause of this divergence is the rise in coding mismatches between coders. We discuss the implications of our findings.</w:t>
      </w:r>
    </w:p>
    <w:p>
      <w:pPr>
        <w:pStyle w:val="Heading2"/>
      </w:pPr>
      <w:r>
        <w:t>807.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r>
        <w:rPr>
          <w:b/>
        </w:rPr>
        <w:t>POSSIBLE 2025:</w:t>
      </w:r>
      <w:r>
        <w:t xml:space="preserve"> The Role of Shipbuilding in Maritime Decarbonisation — https://doi.org/10.1787/0c8362c0-en</w:t>
      </w:r>
    </w:p>
    <w:p>
      <w:pPr/>
      <w:r>
        <w:rPr>
          <w:b/>
        </w:rPr>
        <w:t>Shared claim-specific concepts:</w:t>
      </w:r>
      <w:r>
        <w:t xml:space="preserve"> decarbonisation, fleet, greenhouse; EU scope not established. This is a provisional connection, not an outcome finding.</w:t>
      </w:r>
    </w:p>
    <w:p>
      <w:pPr>
        <w:pStyle w:val="SourceNote"/>
      </w:pPr>
      <w:r>
        <w:rPr>
          <w:b/>
        </w:rPr>
        <w:t>Available abstract (not full text):</w:t>
      </w:r>
      <w:r>
        <w:t xml:space="preserve"> Maritime transport underpins global trade, moving around 80% of goods worldwide. At the same time, it accounts for nearly 3% of global greenhouse gas emissions. As momentum builds for cleaner shipping, the shipbuilding industry plays a critical role in designing, constructing, and retrofitting vessels than can operate on alternative fuels, advanced propulsion systems, and energy-efficient technologies. With the International Maritime Organisation’s 2023 GHG strategy setting a clear course, the industry is accelerating the development of low- and zero-emission solutions. Yet, challenges remain— an aging fleet, diverse ship types, high fuel costs, and investment gaps all influence the pace of progress. This report examines how new ship designs, fuel technologies, and technology innovations are reshaping maritime transport and explores the key enablers driving this transformation forward.</w:t>
      </w:r>
    </w:p>
    <w:p>
      <w:pPr/>
      <w:r>
        <w:rPr>
          <w:b/>
        </w:rPr>
        <w:t>POSSIBLE 2025:</w:t>
      </w:r>
      <w:r>
        <w:t xml:space="preserve"> Japan: Putting Hydrogen at the Core of Its Decarbonisation Strategy — https://doi.org/10.1007/978-3-031-84022-7_5</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Abstract Japan has led efforts to promote hydrogen and derivatives as options for supporting decarbonisation globally. Domestically, the Japanese government has positioned hydrogen as playing an important role in helping achieve the country’s 2050 net-zero emissions commitment. The government is supporting technology development on both the supply side and in end-use sectors, notably in relation to power generation. The Japanese government is also championing hydrogen internationally, including by promoting it as a decarbonisation option in Southeast Asia, whilst examining the feasibility of different options for enabling maritime trade in hydrogen. This suggests that new patterns of trade and investment may emerge, although there remain crucial questions about commercial feasibility.</w:t>
      </w:r>
    </w:p>
    <w:p>
      <w:pPr>
        <w:pStyle w:val="Heading2"/>
      </w:pPr>
      <w:r>
        <w:t>808.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pStyle w:val="Heading2"/>
      </w:pPr>
      <w:r>
        <w:t>809.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810.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2025:</w:t>
      </w:r>
      <w:r>
        <w:t xml:space="preserve"> Using LOCA to downscale precipitation over Europe — https://doi.org/10.5194/egusphere-egu25-12783</w:t>
      </w:r>
    </w:p>
    <w:p>
      <w:pPr/>
      <w:r>
        <w:rPr>
          <w:b/>
        </w:rPr>
        <w:t>Shared claim-specific concepts:</w:t>
      </w:r>
      <w:r>
        <w:t xml:space="preserve"> projections, precipitation, over, continent, resolution; EU scope visible. This is a provisional connection, not an outcome finding.</w:t>
      </w:r>
    </w:p>
    <w:p>
      <w:pPr>
        <w:pStyle w:val="SourceNote"/>
      </w:pPr>
      <w:r>
        <w:rPr>
          <w:b/>
        </w:rPr>
        <w:t>Available abstract (not full text):</w:t>
      </w:r>
      <w:r>
        <w:t xml:space="preserve"> Localized Constructed Analogs (LOCA) is a statistical downscaling technique that uses a multiple scale approach to determine appropriate local analogs from historical data. It was developed with a particular focus on the preservation of extreme events that were dampened or lost altogether when employing earlier analog methods. The LOCA method has been used to produce relatively high-resolution projections of precipitation over the coterminous United States for use in hydrologic applications but has never been applied over Europe. In this presentation we will describe the method in detail and show how it is being utilized to downscale CMIP6 precipitation to 1 arcmin x 1 arcmin horizontal resolution over the continent using the European Meteorological Observations (EMO-1) gridded dataset as the analog pool. Lastly, we will compare the LOCA output to that from other downscaled products.</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r>
        <w:rPr>
          <w:b/>
        </w:rPr>
        <w:t>POSSIBLE 2024:</w:t>
      </w:r>
      <w:r>
        <w:t xml:space="preserve"> Spatial Modeling and Future Projection of Extreme Precipitation Extents — https://doi.org/10.1080/01621459.2024.2408045</w:t>
      </w:r>
    </w:p>
    <w:p>
      <w:pPr/>
      <w:r>
        <w:rPr>
          <w:b/>
        </w:rPr>
        <w:t>Shared claim-specific concepts:</w:t>
      </w:r>
      <w:r>
        <w:t xml:space="preserve"> projections, precipitation, extremes, climate; EU scope not established. This is a provisional connection, not an outcome finding.</w:t>
      </w:r>
    </w:p>
    <w:p>
      <w:pPr>
        <w:pStyle w:val="SourceNote"/>
      </w:pPr>
      <w:r>
        <w:rPr>
          <w:b/>
        </w:rPr>
        <w:t>Available abstract (not full text):</w:t>
      </w:r>
      <w:r>
        <w:t xml:space="preserve"> Extreme precipitation events with large spatial extents may have more severe impacts than localized events as they can lead to widespread flooding. It is debated how climate change may affect the spatial extent of precipitation extremes, whose investigation often directly relies on simulations of precipitation from climate models. Here, we use a different strategy to investigate how future changes in spatial extents of precipitation extremes differ across climate zones and seasons in two river basins (Danube and Mississippi). We rely on observed precipitation extremes while exploiting a physics-based average-temperature covariate, enabling us to project future precipitation extents based on projected temperatures. We include the covariate into newly developed time-varying r-Pareto processes using suitably chosen spatial risk functionals r. This model captures temporal non-stationarity in the spatial dependence structure of precipitation extremes by linking it to the temperature covariate, derived from reanalysis data (ERA5-Land) for model calibration and from bias-corrected climate simulations (CMIP6) for projections. Our results show an increasing trend in the margins, with both significantly positive or negative trend coefficients depending on season and river (sub-)basin. During major rainy seasons, the significant trends indicate that future spatial extreme events will beco</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pStyle w:val="Heading2"/>
      </w:pPr>
      <w:r>
        <w:t>811.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Between energy transition and industrial revival: Exploring hydrogen imaginaries in the United Kingdom and Teesside — https://doi.org/10.1002/geo2.70033</w:t>
      </w:r>
    </w:p>
    <w:p>
      <w:pPr/>
      <w:r>
        <w:rPr>
          <w:b/>
        </w:rPr>
        <w:t>Shared claim-specific concepts:</w:t>
      </w:r>
      <w:r>
        <w:t xml:space="preserve"> united, kingdom, transition, emissions, within; EU scope not established. This is a provisional connection, not an outcome finding.</w:t>
      </w:r>
    </w:p>
    <w:p>
      <w:pPr>
        <w:pStyle w:val="SourceNote"/>
      </w:pPr>
      <w:r>
        <w:rPr>
          <w:b/>
        </w:rPr>
        <w:t>Available abstract (not full text):</w:t>
      </w:r>
      <w:r>
        <w:t xml:space="preserve"> Abstract Hydrogen is increasingly positioned as a key enabler of global net‐zero transitions, hailed for its versatility and low‐carbon emissions potential. Yet hydrogen's nascent future is contested, with divergent visions of its role across technological, political and geographical contexts. In this paper, we employ the concept of sociotechnical imaginaries (STIs) to explore the emergence and interaction of two hydrogen STIs in the United Kingdom: a national imaginary promoted by the British state through energy policies and a regional vision centred on Teesside in Northeast England, shaped by the local industrial legacy, incumbent actors and existing industrial infrastructures. We do so by drawing on three strands within the STI literature—emerging imaginaries, national–regional dynamics and the role of materialities in shaping energy futures—to examine how these STIs co‐produce hydrogen futures with political strategies, existing infrastructures and socio‐economic agendas. We find that the national imaginary envisions hydrogen as a novel, flexible and frictionless decarbonisation solution—a scalable energy carrier enabling a smooth transition to net zero while sustaining current market norms and lifestyles. In contrast, Teesside's regional imaginary is grounded in place‐based assets, legacy infrastructure and a broader strategy of industrial renewal. It prioritises rapid de</w:t>
      </w:r>
    </w:p>
    <w:p>
      <w:pPr>
        <w:pStyle w:val="Heading2"/>
      </w:pPr>
      <w:r>
        <w:t>812.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2024:</w:t>
      </w:r>
      <w:r>
        <w:t xml:space="preserve"> Scanning European Needs and Expectations Related to Livestock Biosecurity Training by Using the World Café Method — https://doi.org/10.1155/2024/6743691</w:t>
      </w:r>
    </w:p>
    <w:p>
      <w:pPr/>
      <w:r>
        <w:rPr>
          <w:b/>
        </w:rPr>
        <w:t>Shared claim-specific concepts:</w:t>
      </w:r>
      <w:r>
        <w:t xml:space="preserve"> four, regarding, training, courses; EU scope visible. This is a provisional connection, not an outcome finding.</w:t>
      </w:r>
    </w:p>
    <w:p>
      <w:pPr>
        <w:pStyle w:val="SourceNote"/>
      </w:pPr>
      <w:r>
        <w:rPr>
          <w:b/>
        </w:rPr>
        <w:t>Available abstract (not full text):</w:t>
      </w:r>
      <w:r>
        <w:t xml:space="preserve"> The European Union Animal Health Law (2016/429) emphasizes disease prevention, underpinned by livestock biosecurity, surveillance, and traceability, as key aspects to minimize the risk of animal diseases. An important element of biosecurity is the training of key actors involved in implementing it. However, their needs and expectations regarding this training are poorly known. Under the COST action BETTER (CA20103), a World Café was organized to identify the needs and expectations of biosecurity training for farmers, veterinary practitioners, veterinary students, and other actors. A total of 78 participants distributed in four groups participated in the World Café. Needs and expectations were identified and ranked in decreasing order of importance. For farmers, the most important aspects were training focusing on practical aspects, the planning of training sessions in the day to accommodate workload, the need to prepare multiple reminders of upcoming training, and the short duration of events. For veterinary practitioners, it was considered that a mixed approach, including a theoretical and a practical part where people are invited to create a biosecurity plan and a follow-up report, were the most important features of training. For veterinary students, creating a good knowledge of the main principles of biosecurity was found as an essential element of training. Regarding other</w:t>
      </w:r>
    </w:p>
    <w:p>
      <w:pPr>
        <w:pStyle w:val="Heading2"/>
      </w:pPr>
      <w:r>
        <w:t>813.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2023:</w:t>
      </w:r>
      <w:r>
        <w:t xml:space="preserve"> Cooperation sustainability in small groups: Exogenous and endogenous dynamics of the sustainability of cooperation — https://doi.org/10.1177/10434631231209832</w:t>
      </w:r>
    </w:p>
    <w:p>
      <w:pPr/>
      <w:r>
        <w:rPr>
          <w:b/>
        </w:rPr>
        <w:t>Shared claim-specific concepts:</w:t>
      </w:r>
      <w:r>
        <w:t xml:space="preserve"> tight, cooperation, develop; EU scope not established. This is a provisional connection, not an outcome finding.</w:t>
      </w:r>
    </w:p>
    <w:p>
      <w:pPr>
        <w:pStyle w:val="SourceNote"/>
      </w:pPr>
      <w:r>
        <w:rPr>
          <w:b/>
        </w:rPr>
        <w:t>Available abstract (not full text):</w:t>
      </w:r>
      <w:r>
        <w:t xml:space="preserve"> Cooperation sustainability presents a complex social phenomenon. Two common approaches have been used to study the sustainability of cooperation in small groups: endogenous processes (dynamic) and exogenous factors (static approaches). The present study integrates existing research by investigating how the interplay between exogenous and endogenous conditions affects cooperation in small groups. To uncover endogenous group dynamics in an online Public Goods experiment ( n = 353), we performed multilevel latent Markov models on Bayesian estimation that allowed us to estimate latent classes on the level of rounds, individuals, and groups. We studied exogenous factors by investigating the effects of situational tightness versus looseness, and monetary versus symbolic frames on cooperation sustainability. Our key findings show that both endogenous and exogenous factors are critical to explain the variation of cooperation sustainability between groups. Second, groups exposed to tight situations reveal higher levels of cooperation sustainability than groups exposed to loose situations. Money primes did not have an impact. Among the control variables, collective intentionality showed the strongest association with cooperation. Future research may develop a more sophisticated measure of tight versus loose situations and examine the causal relationship between collective intentionality </w:t>
      </w:r>
    </w:p>
    <w:p>
      <w:pPr/>
      <w:r>
        <w:rPr>
          <w:b/>
        </w:rPr>
        <w:t>POSSIBLE 2023:</w:t>
      </w:r>
      <w:r>
        <w:t xml:space="preserve"> Modular Morals: The Genetic Architecture of Morality as Cooperation — https://doi.org/10.31234/osf.io/srjyq</w:t>
      </w:r>
    </w:p>
    <w:p>
      <w:pPr/>
      <w:r>
        <w:rPr>
          <w:b/>
        </w:rPr>
        <w:t>Shared claim-specific concepts:</w:t>
      </w:r>
      <w:r>
        <w:t xml:space="preserve"> cooperation, solutions, mechanisms; EU scope not established. This is a provisional connection, not an outcome finding.</w:t>
      </w:r>
    </w:p>
    <w:p>
      <w:pPr>
        <w:pStyle w:val="SourceNote"/>
      </w:pPr>
      <w:r>
        <w:rPr>
          <w:b/>
        </w:rPr>
        <w:t>Available abstract (not full text):</w:t>
      </w:r>
      <w:r>
        <w:t xml:space="preserve"> Is morality the product of multiple domain-specific psychological mechanisms or one domain-general mechanism? Recent research suggests that morality consists of a range of solutions to the problems of cooperation that are recurrent in human social life. According to the theory of Morality as Cooperation (MAC), this involves at least seven types of cooperation, giving rise to seven types of morality: Family, Group, Reciprocity, Heroism, Deference, Fairness and Property Rights. However, how genes and environments influence these morals is unclear. Here we use multivariate analysis of a large twin sample (N = 1,066 pairs) to determine the genetic and environmental structure of moral values as measured by the Morality as Cooperation Questionnaire, contrasting models in which these morals are the product of either 1) multiple domain-specific psychological mechanisms versus 2) a single domain-general mechanism implementing all forms of cooperation. The results supported multiple heritable moral mechanisms, and models with fewer than the predicted seven factors fit poorly. A domain-general mechanism was also needed, though this showed non-significant heritability and may reflect response bias. We discuss the current study's limitations and suggest future research on the nature, structure, and content of morality.</w:t>
      </w:r>
    </w:p>
    <w:p>
      <w:pPr>
        <w:pStyle w:val="Heading2"/>
      </w:pPr>
      <w:r>
        <w:t>814.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2025:</w:t>
      </w:r>
      <w:r>
        <w:t xml:space="preserve"> Nuclear nostalgia – Unveiling the sociotechnical imaginary of new nuclear power in Sweden — https://doi.org/10.5194/safend2025-64</w:t>
      </w:r>
    </w:p>
    <w:p>
      <w:pPr/>
      <w:r>
        <w:rPr>
          <w:b/>
        </w:rPr>
        <w:t>Shared claim-specific concepts:</w:t>
      </w:r>
      <w:r>
        <w:t xml:space="preserve"> nuclear, power, experience, reactors, within, several; EU scope visible. This is a provisional connection, not an outcome finding.</w:t>
      </w:r>
    </w:p>
    <w:p>
      <w:pPr>
        <w:pStyle w:val="SourceNote"/>
      </w:pPr>
      <w:r>
        <w:rPr>
          <w:b/>
        </w:rPr>
        <w:t>Available abstract (not full text):</w:t>
      </w:r>
      <w:r>
        <w:t xml:space="preserve"> Recently, interest in nuclear power has surged. Several countries are either planning for or have already begun constructing new nuclear power plants. The European Union now includes nuclear in its green taxonomy (EU 2022/1214). Coupled with recent technical development, most notably 4th generation- and Small Modular Reactor technology, there are even talks of a renaissance of nuclear power.In Sweden, this phenomenon has manifested in plans to again build nuclear power plants. The government has launched a new nuclear program (Busch et al, 2023), laws are being changed (Andersson, 2023) and investigations are ongoing to facilitate the financing of new power plants (Dillén, 2024).In the past, Sweden was at the forefront of civil nuclear technology by building twelve reactors between 1971 and 1985 (IAEA, 2021). Thereafter followed, however, a period of decommissioning where six reactors were phased out (ibid, 2021). With recent plans to build new nuclear plants, Sweden has once again changed paths.According to theoretical insights of sociotechnical imaginaries (STI) this development can be understood as informed by visions of how nuclear power will aid in achieving a beneficial future (Jasanoff &amp; Kim, 2015; 2009). Within this field of research, several papers have studied different nations’ constructions of (un)desirable futures of nuclear power (e.g., Felt, 2015; Jasanoff &amp; Kim,</w:t>
      </w:r>
    </w:p>
    <w:p>
      <w:pPr/>
      <w:r>
        <w:rPr>
          <w:b/>
        </w:rPr>
        <w:t>POSSIBLE 2025:</w:t>
      </w:r>
      <w:r>
        <w:t xml:space="preserve"> Small Modular Nuclear Power Reactors as a Driver of Development of Nuclear Technologies — https://doi.org/10.3390/en18215766</w:t>
      </w:r>
    </w:p>
    <w:p>
      <w:pPr/>
      <w:r>
        <w:rPr>
          <w:b/>
        </w:rPr>
        <w:t>Shared claim-specific concepts:</w:t>
      </w:r>
      <w:r>
        <w:t xml:space="preserve"> nuclear, power, technological, reactors, article; EU scope not established. This is a provisional connection, not an outcome finding.</w:t>
      </w:r>
    </w:p>
    <w:p>
      <w:pPr>
        <w:pStyle w:val="SourceNote"/>
      </w:pPr>
      <w:r>
        <w:rPr>
          <w:b/>
        </w:rPr>
        <w:t>Available abstract (not full text):</w:t>
      </w:r>
      <w:r>
        <w:t xml:space="preserve"> Small Modular Reactors (SMRs) are becoming one of the key trends in the development of nuclear technology, offering a flexible, safe and cost-effective alternative to large nuclear power plants. This review defines the “driving force” of SMRs as their ability to enhance safety, modular scalability, and fuel sustainability through innovative design and policy integration. It aims to provide a systematic assessment of technological trends, deployment strategies, and fuel innovations that underpin the future of nuclear energy. This article provides a comprehensive overview of the main classes of SMRs, categorised by fuel type and application, ranging from Low-Enriched Uranium (LEU) and High-Assay Low-Enriched Uranium (HALEU) reactors to thorium-232, metallic fuel and reprocessed nuclear materials. The key technical advantages of SMRs are discussed—passive safety systems, extended fuel cycles (longer operational periods before refuelling compared to conventional reactors), modular production and compactness—which make such reactors particularly suitable for use in hard-to-reach regions, military facilities, in space and as part of hybrid power systems. Special attention is paid to the prospects of advanced fuel cycles, including the conversion of thorium to uranium-233 and the reuse of actinides, which contributes to waste reduction and supports the realisation of a closed nuclear </w:t>
      </w:r>
    </w:p>
    <w:p>
      <w:pPr>
        <w:pStyle w:val="Heading2"/>
      </w:pPr>
      <w:r>
        <w:t>815.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pStyle w:val="Heading2"/>
      </w:pPr>
      <w:r>
        <w:t>816.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2023:</w:t>
      </w:r>
      <w:r>
        <w:t xml:space="preserve"> Restorative diets: a methodological exploration comparing historical and contemporary salmon harvest rates — https://doi.org/10.5751/es-13870-280229</w:t>
      </w:r>
    </w:p>
    <w:p>
      <w:pPr/>
      <w:r>
        <w:rPr>
          <w:b/>
        </w:rPr>
        <w:t>Shared claim-specific concepts:</w:t>
      </w:r>
      <w:r>
        <w:t xml:space="preserve"> harvest, findings, existing, compared, historical; EU scope not established. This is a provisional connection, not an outcome finding.</w:t>
      </w:r>
    </w:p>
    <w:p>
      <w:pPr>
        <w:pStyle w:val="SourceNote"/>
      </w:pPr>
      <w:r>
        <w:rPr>
          <w:b/>
        </w:rPr>
        <w:t>Available abstract (not full text):</w:t>
      </w:r>
      <w:r>
        <w:t xml:space="preserve"> Along the coast of what has come to be known as British Columbia, First Nations face persistent challenges related to the state of the fisheries on which they depend. Fisheries management strategies imposed by the colonial-through-to-federal governance regimes have been implicated in contributing to the challenges, and are rejected by many coastal First Nations who are reasserting governance authority over their fisheries. In particular, the current management approach continues to set ceilings on First Nations’ harvest rates (e.g., food, social, and ceremonial allocation). Too often the evidence used to determine such ceilings reflects diets and fishing practices deeply disrupted by social-ecological change, including, but not limited to, colonialism and climate change. Through this paper we use the example of salmon to propose harvest rates more consistent with less disrupted diets, what we refer to as restorative diets. Methodologically, we use empirical records on historical diets as a basis for envisioning what restorative diets might look like and for considering the magnitude of the difference between harvest rates consistent with such diets compared to contemporary diets. We do so by developing a model of restorative harvest rates in reference to caloric needs, the proportion of diets historically contributed by salmon, and the amount of salmon harvested per calorie, wh</w:t>
      </w:r>
    </w:p>
    <w:p>
      <w:pPr/>
      <w:r>
        <w:rPr>
          <w:b/>
        </w:rPr>
        <w:t>POSSIBLE 2023:</w:t>
      </w:r>
      <w:r>
        <w:t xml:space="preserve"> Modelling harvest of Greenland barnacle geese and its implications in mitigating human–wildlife conflict — https://doi.org/10.1111/1365-2664.14369</w:t>
      </w:r>
    </w:p>
    <w:p>
      <w:pPr/>
      <w:r>
        <w:rPr>
          <w:b/>
        </w:rPr>
        <w:t>Shared claim-specific concepts:</w:t>
      </w:r>
      <w:r>
        <w:t xml:space="preserve"> harvest, rate, findings; EU scope not established. This is a provisional connection, not an outcome finding.</w:t>
      </w:r>
    </w:p>
    <w:p>
      <w:pPr>
        <w:pStyle w:val="SourceNote"/>
      </w:pPr>
      <w:r>
        <w:rPr>
          <w:b/>
        </w:rPr>
        <w:t>Available abstract (not full text):</w:t>
      </w:r>
      <w:r>
        <w:t xml:space="preserve"> Abstract Arctic‐breeding goose populations have increased in recent decades and their expansion into agricultural areas has caused increasing conflict with farmers due to the damage they cause. Lethal control and scaring are common management strategies of conflict mitigation. Management typically focuses on local/national scales, making addressing the impact of localised control on the wider population challenging, particularly when populations move over large areas and cross international borders. We construct an integrated population model (IPM) to assess the cumulative impact of all shooting harvest (hunting and derogation shooting) on the Greenland barnacle goose, Branta leucopsis. We use data from monitoring schemes throughout the migratory flyway and use population projections to evaluate the impact of potential future shooting strategies on abundance. Our model suggests flyway abundance has declined since its 2012 peak, consistent with an increase in harvest rate and low productivity. Harvest rate increase was most pronounced on Islay (rising from 2% to 7% from 2011 to 2017), suggesting this was a probable cause of flyway abundance decline. Islay abundance has declined since derogation shooting began in 2000, while abundance at other wintering sites has increased. This may indicate that declines in Islay abundance may be due to both shooting mortality and emigration fro</w:t>
      </w:r>
    </w:p>
    <w:p>
      <w:pPr/>
      <w:r>
        <w:rPr>
          <w:b/>
        </w:rPr>
        <w:t>POSSIBLE 2022:</w:t>
      </w:r>
      <w:r>
        <w:t xml:space="preserve"> Exploring a relative harvest rate strategy for moderately data-limited fisheries management — https://doi.org/10.1093/icesjms/fsac103</w:t>
      </w:r>
    </w:p>
    <w:p>
      <w:pPr/>
      <w:r>
        <w:rPr>
          <w:b/>
        </w:rPr>
        <w:t>Shared claim-specific concepts:</w:t>
      </w:r>
      <w:r>
        <w:t xml:space="preserve"> harvest, rate, historical; EU scope not established. This is a provisional connection, not an outcome finding.</w:t>
      </w:r>
    </w:p>
    <w:p>
      <w:pPr>
        <w:pStyle w:val="SourceNote"/>
      </w:pPr>
      <w:r>
        <w:rPr>
          <w:b/>
        </w:rPr>
        <w:t>Available abstract (not full text):</w:t>
      </w:r>
      <w:r>
        <w:t xml:space="preserve"> Abstract Moderately data-limited fisheries can be managed with simple empirical management procedures without analytical stock assessments. Often, control rules adjust advised catches by the trend of an abundance index. We explored an alternative approach where a relative harvest rate, defined by the catch relative to a biomass index, is used and the target level derived from analysing historical catch length data. This harvest rate rule was tested generically with management strategy evaluation. A genetic algorithm was deployed as an optimisation procedure to tune the parameters of the control rule to meet maximum sustainable yield and precautionary management objectives. Results indicated that this method could outperform trend-based strategies, particularly when optimised, achieving higher long-term yields while remaining precautionary. However, optimum harvest rate levels can be narrow and challenging to find because they depend on historical exploitation and life history characteristics. Misspecification of target levels can have a detrimental impact on management. Nevertheless, harvest rates appear to be a suitable management option for moderately data-limited resources, and their application has modest data requirements. Harvest rate strategies are especially suitable for stocks for which case-specific analyses can be conducted.</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pStyle w:val="Heading2"/>
      </w:pPr>
      <w:r>
        <w:t>817.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2021:</w:t>
      </w:r>
      <w:r>
        <w:t xml:space="preserve"> Barriers to ecological restoration in Europe: expert perspectives — https://doi.org/10.1111/rec.13346</w:t>
      </w:r>
    </w:p>
    <w:p>
      <w:pPr/>
      <w:r>
        <w:rPr>
          <w:b/>
        </w:rPr>
        <w:t>Shared claim-specific concepts:</w:t>
      </w:r>
      <w:r>
        <w:t xml:space="preserve"> delphi, key, expert, main;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818.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2023:</w:t>
      </w:r>
      <w:r>
        <w:t xml:space="preserve"> Determining factors in shaping the sustainable behavior of the generation Z consumer — https://doi.org/10.3389/fenvs.2023.1096183</w:t>
      </w:r>
    </w:p>
    <w:p>
      <w:pPr/>
      <w:r>
        <w:rPr>
          <w:b/>
        </w:rPr>
        <w:t>Shared claim-specific concepts:</w:t>
      </w:r>
      <w:r>
        <w:t xml:space="preserve"> identification, factors, perspective; EU scope not established. This is a provisional connection, not an outcome finding.</w:t>
      </w:r>
    </w:p>
    <w:p>
      <w:pPr>
        <w:pStyle w:val="SourceNote"/>
      </w:pPr>
      <w:r>
        <w:rPr>
          <w:b/>
        </w:rPr>
        <w:t>Available abstract (not full text):</w:t>
      </w:r>
      <w:r>
        <w:t xml:space="preserve"> Introduction: Organizations currently emphasize green marketing strategies by implementing marketing practices, aiming to design, produce, promote and sell green products. Thus, both consumers and producers have turned their attention to the category of environmental friendly products, taking into account that the concept of green marketing is now being given greater importance. Responsible organizations have begun to adapt their strategies in production, promotion and interaction activities with consumers or potential consumers of organic products in the context we are going through, when environmental protection becomes an imperative. Analysis of the sustainable behavior of Generation Z is a determining factor from the perspective of the task that this generation will naturally take on, in terms of environmental responsibility. Methods: The research aims to determine the profile of the Generation Z consumer, in order to adapt the strategic actions of the government or organizations to direct and educate as objectively and efficiently as possible towards adopting the principles of ecological, sustainable and responsible consumption. Based on the data collected through a survey, we analyzed the sustainable behavior of Generation Z consumers studying at Romanian universities where there are specializations in this field. The research is quantitative, using structural equation mo</w:t>
      </w:r>
    </w:p>
    <w:p>
      <w:pPr/>
      <w:r>
        <w:rPr>
          <w:b/>
        </w:rPr>
        <w:t>POSSIBLE 2023:</w:t>
      </w:r>
      <w:r>
        <w:t xml:space="preserve"> GWAS Meta-Analysis of Suicide Attempt: Identification of 12 Genome-Wide Significant Loci and Implication of Genetic Risks for Specific Health Factors — https://doi.org/10.1176/appi.ajp.21121266</w:t>
      </w:r>
    </w:p>
    <w:p>
      <w:pPr/>
      <w:r>
        <w:rPr>
          <w:b/>
        </w:rPr>
        <w:t>Shared claim-specific concepts:</w:t>
      </w:r>
      <w:r>
        <w:t xml:space="preserve"> objective, attempt, identification, significant, factors; EU scope visible. This is a provisional connection, not an outcome finding.</w:t>
      </w:r>
    </w:p>
    <w:p>
      <w:pPr>
        <w:pStyle w:val="SourceNote"/>
      </w:pPr>
      <w:r>
        <w:rPr>
          <w:b/>
        </w:rPr>
        <w:t>Available abstract (not full text):</w:t>
      </w:r>
      <w:r>
        <w:t xml:space="preserve"> OBJECTIVE: Suicidal behavior is heritable and is a major cause of death worldwide. Two large-scale genome-wide association studies (GWASs) recently discovered and cross-validated genome-wide significant (GWS) loci for suicide attempt (SA). The present study leveraged the genetic cohorts from both studies to conduct the largest GWAS meta-analysis of SA to date. Multi-ancestry and admixture-specific meta-analyses were conducted within groups of significant African, East Asian, and European ancestry admixtures. METHODS: This study comprised 22 cohorts, including 43,871 SA cases and 915,025 ancestry-matched controls. Analytical methods across multi-ancestry and individual ancestry admixtures included inverse variance-weighted fixed-effects meta-analyses, followed by gene, gene-set, tissue-set, and drug-target enrichment, as well as summary-data-based Mendelian randomization with brain expression quantitative trait loci data, phenome-wide genetic correlation, and genetic causal proportion analyses. RESULTS: ). Significant brain tissue gene expression and drug set enrichment were observed. There was shared genetic variation of SA with attention deficit hyperactivity disorder, smoking, and risk tolerance after conditioning SA on both major depressive disorder and posttraumatic stress disorder. Genetic causal proportion analyses implicated shared genetic risk for specific health factor</w:t>
      </w:r>
    </w:p>
    <w:p>
      <w:pPr/>
      <w:r>
        <w:rPr>
          <w:b/>
        </w:rPr>
        <w:t>POSSIBLE 2023:</w:t>
      </w:r>
      <w:r>
        <w:t xml:space="preserve"> Sustainable Consumption and Production in the European Union—An Attempt to Assess Changes and Convergence from the Perspective of Central and Eastern European Countries — https://doi.org/10.3390/su152316485</w:t>
      </w:r>
    </w:p>
    <w:p>
      <w:pPr/>
      <w:r>
        <w:rPr>
          <w:b/>
        </w:rPr>
        <w:t>Shared claim-specific concepts:</w:t>
      </w:r>
      <w:r>
        <w:t xml:space="preserve"> attempt, perspective; EU scope visible. This is a provisional connection, not an outcome finding.</w:t>
      </w:r>
    </w:p>
    <w:p>
      <w:pPr>
        <w:pStyle w:val="SourceNote"/>
      </w:pPr>
      <w:r>
        <w:rPr>
          <w:b/>
        </w:rPr>
        <w:t>Available abstract (not full text):</w:t>
      </w:r>
      <w:r>
        <w:t xml:space="preserve"> The aim of this paper is to attempt to assess changes in terms of sustainable consumption and production (SCP) in the European Union (EU), with particular emphasis on the countries of central and eastern Europe (CEE). So far, relatively little attention has been paid to the analysis of SCP in countries at different levels of development in the literature in this subject area. Even less attention has been paid to the study of the similarity of economies in this respect and the signs of convergence. The basis for assessment is the analysis of dispersion measures, cluster analysis, variance analysis and the construction of a synthetic index. The authors conclude that CEE countries are characterized by a relatively low level of development in terms of SCP compared to the rest of the EU. The signs of σ-convergence and β-convergence can only be identified in terms of “Average CO2 emissions per km from new passenger cars”. It is also the only indicator that significantly differentiates both analyzed clusters. In CEE countries, changes in other SCP indicators were mainly negative (increased adverse environmental impact), and the distance to other EU countries increased. The pandemic was conducive to σ-convergence in terms of “Generation of waste” and β-convergence in terms of “Circular material use rate”, but in 2021, the conditions of gradual easing of pandemic restrictions favored di</w:t>
      </w:r>
    </w:p>
    <w:p>
      <w:pPr>
        <w:pStyle w:val="Heading2"/>
      </w:pPr>
      <w:r>
        <w:t>819.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r>
        <w:rPr>
          <w:b/>
        </w:rPr>
        <w:t>POSSIBLE 2023:</w:t>
      </w:r>
      <w:r>
        <w:t xml:space="preserve"> Current state and prospects of sunflower seed production — https://doi.org/10.32782/2226-0099.2023.131.25</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СУЧАСНИЙ СТАН ТА ПЕРСПЕКТИВИ ВИРОБНИЦТВА НАСІННЯ СОНЯШНИКУ Сидякіна О.В.-к.с.-г.н., доцент, доцентка кафедри рослинництва та агроінженерії, Херсонський державний аграрно-економічний університет Гамаюнова В.В.-д.с.-г.н., професор, завідувачка кафедри землеробства, геодезії та землеустрою, Миколаївський національний аграрний університет У статті наведено результати аналітичних досліджень щодо сучасного стану виробництва насіння соняшнику в Україні, Європі та світі.Інформаційною базою для здійснення наукового пошуку слугували статистичні дані FAOSTAT за 2010-2021 роки.Для досягнення поставленої мети використовували метод порівняльного аналізу, графічний та абстрактно-логічний методи.Аналіз статистичних даних засвідчує, що площі посівів, відведені під соняшник, в Україні, Європі та світі мають тенденцію до зростання.З 2010 по 2021 рр.це зростання в Європі становило 49%, у світі -28%.В Україні за даний період площі посівів соняшнику збільшились у 1,5 рази, що обумовлено потеплінням клімату, зменшенням кількості атмосферних опадів, а соняшник є найбільш посухостійкою культурою та характеризується економічною привабливістю для сільгоспвиробників.Деякі дослідники стверджують, що площі посівів соняшнику в Україні значно перевищують усі науково обґрунтовані норми, що призводить до втрат врожаю від хвороб та погіршення якості вирощеної продукції.В Україні розміщено третину всіх посівних п</w:t>
      </w:r>
    </w:p>
    <w:p>
      <w:pPr>
        <w:pStyle w:val="Heading2"/>
      </w:pPr>
      <w:r>
        <w:t>820.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r>
        <w:rPr>
          <w:b/>
        </w:rPr>
        <w:t>POSSIBLE 2025:</w:t>
      </w:r>
      <w:r>
        <w:t xml:space="preserve"> Children with Autism using the Floreo Virtual Reality Building Social Connections Module: a Feasibility Study — https://doi.org/10.1101/2025.08.28.25334679</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Abstract Immersive virtual reality (VR) technology shows promise as a therapeutic aid to support social communication in children with autism spectrum disorder (ASD). The main objective was to assess the feasibility of using Floreo’s VR headset with the BSC module curriculum as a component of behavioral therapy for preschool and school-age autistic children. Using a randomized control study design, a total of 14 participants (8 participants in the intervention group and 6 participants in the control group) received approximately 36 sessions of Floreo’s BSC treatment or VR control up to 3 times a week over a 12-15 week period in an in-clinic ABA therapy setting. Outcomes were measured using the validated and reliable Autism Impact Measure (AIM), which provides a composite score as well as subdomain scores for communication, social reciprocity, peer interaction, repetitive behavior, and atypical behavior. As a primary outcome measure, we evaluated change from baseline in AIM composite and subdomain scores as a function of treatment. The Floreo VR headset was well-tolerated by study participants and was incorporated without difficulty into clinical treatment sessions. No serious adverse events occurred, and no participants dropped out of the study due to undesirable side effects. Autistic children who received Floreo’s immersive VR BSC program showed an overall mean improvement in</w:t>
      </w:r>
    </w:p>
    <w:p>
      <w:pPr>
        <w:pStyle w:val="Heading2"/>
      </w:pPr>
      <w:r>
        <w:t>821.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r>
        <w:rPr>
          <w:b/>
        </w:rPr>
        <w:t>POSSIBLE 2024:</w:t>
      </w:r>
      <w:r>
        <w:t xml:space="preserve"> Financing and Provision of Social Infrastructure – Insights from Japan — https://doi.org/10.1080/13673882.2024.12466434</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The potential for policy transfer across regions generally requires carefully understanding local nuances, legal frameworks, and specific regional development needs. Hence, it is not realistic to fully transfer the DAS system to other countries like the UK, and DAS itself is not a perfect solution within Japan either. However, there are a few distinct characteristics and approaches of DAS that could be useful for future PPP frameworks in the Global North, such as the idea of a specific framework for social infrastructure management distinct from public services and operation, more flexible public-private partnership frameworks based on the needs of local regions, and scale-appropriate management approaches for individual facilities.</w:t>
      </w:r>
    </w:p>
    <w:p>
      <w:pPr/>
      <w:r>
        <w:rPr>
          <w:b/>
        </w:rPr>
        <w:t>POSSIBLE 2024:</w:t>
      </w:r>
      <w:r>
        <w:t xml:space="preserve"> INFRASTRUCTURE PROVISION FOR SUSTAINABLE DEVELOPMENT OF THE UKRAINIAN BANKING (CREDIT) SYSTEM — https://doi.org/10.21272/1817-9215.2024.2-07</w:t>
      </w:r>
    </w:p>
    <w:p>
      <w:pPr/>
      <w:r>
        <w:rPr>
          <w:b/>
        </w:rPr>
        <w:t>Shared claim-specific concepts:</w:t>
      </w:r>
      <w:r>
        <w:t xml:space="preserve"> infrastructure, provision, other, until; EU scope not established. This is a provisional connection, not an outcome finding.</w:t>
      </w:r>
    </w:p>
    <w:p>
      <w:pPr>
        <w:pStyle w:val="SourceNote"/>
      </w:pPr>
      <w:r>
        <w:rPr>
          <w:b/>
        </w:rPr>
        <w:t>Available abstract (not full text):</w:t>
      </w:r>
      <w:r>
        <w:t xml:space="preserve"> A modern banking system is an integral part of the economic development of any country, as it ensures the functioning of the financial market, mobilizes resources of business entities, facilitates the expansion of credit opportunities and ensures the sustainability of the financial system as a whole. Ukraine, as a country with a transition economy, has faced numerous challenges and tasks in developing its banking system in recent decades. One of the main aspects is the infrastructure support for the sustainable development of the banking system, which is the country's key financial intermediary. Accordingly, in the era of dynamic economic shifts and global financial transformations, the role of infrastructural support in ensuring the sustainable development of banking systems is of primary importance. This issue is of great practical importance and is relevant for further research, given the impact of socio-political and economic turbulence observed in Ukraine where the banking sector is a key financial intermediary of the national economy. Therefore, for a timely and effective response to the challenges of the financial system and the needs of business entities, the Ukrainian banking system needs a reliable and adaptive infrastructure. In this context, the study aims to analyze the infrastructure support for the sustainable development of the banking (credit) system of Ukraine</w:t>
      </w:r>
    </w:p>
    <w:p>
      <w:pPr/>
      <w:r>
        <w:rPr>
          <w:b/>
        </w:rPr>
        <w:t>POSSIBLE 2023:</w:t>
      </w:r>
      <w:r>
        <w:t xml:space="preserve"> Social Infrastructure and the Alleviation of Loneliness in Europe — https://doi.org/10.1007/s11577-023-00883-6</w:t>
      </w:r>
    </w:p>
    <w:p>
      <w:pPr/>
      <w:r>
        <w:rPr>
          <w:b/>
        </w:rPr>
        <w:t>Shared claim-specific concepts:</w:t>
      </w:r>
      <w:r>
        <w:t xml:space="preserve"> infrastructure, provision, other; EU scope visible. This is a provisional connection, not an outcome finding.</w:t>
      </w:r>
    </w:p>
    <w:p>
      <w:pPr>
        <w:pStyle w:val="SourceNote"/>
      </w:pPr>
      <w:r>
        <w:rPr>
          <w:b/>
        </w:rPr>
        <w:t>Available abstract (not full text):</w:t>
      </w:r>
      <w:r>
        <w:t xml:space="preserve"> In Europe, individualist societies, in which people more highly value independence, have fewer people who are lonely. Yet these societies also have more people who live alone, a strong determinant of loneliness. Evidence suggests that some unrecognized societal-level resources or characteristics can explain this. We uncover multiple pathways toward a lower degree of loneliness among European societies using an ideal method for this purpose, fuzzy-set qualitative comparative analysis. Using data from the 2014 wave of the European Social Survey and other sources, we analyzed loneliness outcomes among 26 European societies. Our findings suggest two necessary conditions for a low degree of loneliness: high internet access and high association participation. Further, three pathways are sufficient for achieving less loneliness at the societal level. Most societies that have less loneliness follow both the welfare support and cultural support pathways. The third path, commercial provision, is mutually exclusive with welfare support because the former requires a weak welfare state. The surest policy for building societies that have lower rates of loneliness includes the expansion of internet accessibility, the fostering of civil society through association participation and volunteering, and a welfare state that protects potentially vulnerable populations while funding opportunities fo</w:t>
      </w:r>
    </w:p>
    <w:p>
      <w:pPr>
        <w:pStyle w:val="Heading2"/>
      </w:pPr>
      <w:r>
        <w:t>822.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2023:</w:t>
      </w:r>
      <w:r>
        <w:t xml:space="preserve"> Safe havens for energy democracy? Analysing the low-carbon transitions of Danish energy islands — https://doi.org/10.1007/s41358-023-00347-5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Denmark has long been known as a pioneer in renewable energy technology development. Apart from technological leadership, Denmark has also been the home to many community-based renewable energy initiatives. Citizen involvement in local energy projects has been key to increasing and maintaining acceptance to wind, solar and biomass. Three Danish islands (Bornholm, Samsø and Ærø) have been particularly active in promoting renewables. All three have claimed the title “energy island” and two of them have established specific institutions to promote further RE projects. In this article, we investigate community energy projects on two of the islands (Samsø and Ærø) through an Energy Democracy lens. The purpose of this investigation is to understand how the development on these islands relate to the concept of Energy Democracy: we outline how democratic processes and institutions shape the development of the local infrastructure and how this development, in turn, shaped local democracy. We found that many of the features of Energy Democracy were present in the two cases. Our research highlights a number of shortcomings of the concept of energy democracy, most importantly, a certain disregard for questions of energy justice and a blindness towards questions of scale.</w:t>
      </w:r>
    </w:p>
    <w:p>
      <w:pPr>
        <w:pStyle w:val="Heading2"/>
      </w:pPr>
      <w:r>
        <w:t>823.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pStyle w:val="Heading2"/>
      </w:pPr>
      <w:r>
        <w:t>824.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2023:</w:t>
      </w:r>
      <w:r>
        <w:t xml:space="preserve"> European offshore renewable energy: Towards a sustainable future — https://doi.org/10.5281/zenodo.7561905</w:t>
      </w:r>
    </w:p>
    <w:p>
      <w:pPr/>
      <w:r>
        <w:rPr>
          <w:b/>
        </w:rPr>
        <w:t>Shared claim-specific concepts:</w:t>
      </w:r>
      <w:r>
        <w:t xml:space="preserve"> however, renewable, potential; EU scope visible. This is a provisional connection, not an outcome finding.</w:t>
      </w:r>
    </w:p>
    <w:p>
      <w:pPr>
        <w:pStyle w:val="SourceNote"/>
      </w:pPr>
      <w:r>
        <w:rPr>
          <w:b/>
        </w:rPr>
        <w:t>Available abstract (not full text):</w:t>
      </w:r>
      <w:r>
        <w:t xml:space="preserve"> We have reached a critical juncture for addressing climate change and must find ways to urgently and dramatically reduce our carbon emissions. Extraction of energy from offshore renewable energy sources is seen as one of the key measures that will enable this reduction. The EU highlights offshore renewable energy as a key enabler for achieving its carbon neutrality ambitions by 2050, as outlined in the EU Green Deal. However, to achieve the EU Green Deal vision, offshore renewable energy capacity in European must increase 30-fold compared to current installed capacity. Several offshore renewable energy extraction technologies are already reaching high levels of maturity, and this need for significant expansion of offshore renewable energy is also driving innovation in less established technologies. However, in the rush to develop and install new offshore renewable energy devices across the European sea basins, we cannot ignore the potential environmental and societal impacts that they could have. We must take steps to ensure that the expansion of this sector is managed sustainably, responsibly and equitably. Building on the recommendations made in EMB Vision Document No. 2 on Marine Renewable Energy from 2010, and at a critical juncture for the industry, Future Science Brief No. 9 provides an overview of the current offshore renewable energy technology, and the extent of Europe</w:t>
      </w:r>
    </w:p>
    <w:p>
      <w:pPr>
        <w:pStyle w:val="Heading2"/>
      </w:pPr>
      <w:r>
        <w:t>825.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pStyle w:val="Heading2"/>
      </w:pPr>
      <w:r>
        <w:t>826.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2022:</w:t>
      </w:r>
      <w:r>
        <w:t xml:space="preserve"> The 2018–2020 Multi‐Year Drought Sets a New Benchmark in Europe — https://doi.org/10.1029/2021ef002394</w:t>
      </w:r>
    </w:p>
    <w:p>
      <w:pPr/>
      <w:r>
        <w:rPr>
          <w:b/>
        </w:rPr>
        <w:t>Shared claim-specific concepts:</w:t>
      </w:r>
      <w:r>
        <w:t xml:space="preserve"> thus, here, climate, socioeconomic, coupled, assessment;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pStyle w:val="Heading2"/>
      </w:pPr>
      <w:r>
        <w:t>827.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pStyle w:val="Heading2"/>
      </w:pPr>
      <w:r>
        <w:t>828.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r>
        <w:rPr>
          <w:b/>
        </w:rPr>
        <w:t>POSSIBLE 2024:</w:t>
      </w:r>
      <w:r>
        <w:t xml:space="preserve"> Energy in Europe: The influence of uncertainty on biogas development — https://openalex.org/W4397049276</w:t>
      </w:r>
    </w:p>
    <w:p>
      <w:pPr/>
      <w:r>
        <w:rPr>
          <w:b/>
        </w:rPr>
        <w:t>Shared claim-specific concepts:</w:t>
      </w:r>
      <w:r>
        <w:t xml:space="preserve"> influence, number, between, significant, due;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factors, between, significant;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pStyle w:val="Heading2"/>
      </w:pPr>
      <w:r>
        <w:t>829.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2024:</w:t>
      </w:r>
      <w:r>
        <w:t xml:space="preserve"> Technical Requirements for 2023 IMO GHG Strategy — https://doi.org/10.3390/su16072766</w:t>
      </w:r>
    </w:p>
    <w:p>
      <w:pPr/>
      <w:r>
        <w:rPr>
          <w:b/>
        </w:rPr>
        <w:t>Shared claim-specific concepts:</w:t>
      </w:r>
      <w:r>
        <w:t xml:space="preserve"> ghg, emission, reduction, target; EU scope not established. This is a provisional connection, not an outcome finding.</w:t>
      </w:r>
    </w:p>
    <w:p>
      <w:pPr>
        <w:pStyle w:val="SourceNote"/>
      </w:pPr>
      <w:r>
        <w:rPr>
          <w:b/>
        </w:rPr>
        <w:t>Available abstract (not full text):</w:t>
      </w:r>
      <w:r>
        <w:t xml:space="preserve"> The 80th session of the IMO Maritime Environment Protection Committee (MEPC 80) adopted the 2023 IMO Strategy on the Reduction of GHG Emissions from Ships (2023 IMO GHG Strategy), with enhanced targets to tackle harmful emissions. This study strives to provide an exact interpretation of the target of the 2023 IMO GHG Strategy and reveal the technical requirements therein. Decarbonization targets were expressed in IMO GHG emission scenarios for specifications. Model calculations and parameterizations were in line with IMO GHG reduction principles and decarbonizing practices in the shipping sector to avoid the prejudicial tendency of alternative fuels and the overestimated integral efficiency of short-term measures in existing predictions. IMO DCS data were used for the first time to gain reliable practical efficiencies of newly adopted regulations and further reduce the model uncertainty. The results demonstrated that the decarbonization goals for emission intensity were actually 51.5–62.5% in the IMO GHG reduction scenarios, which was much higher than the IMO recommended value of 40% as the target. Combined with the continuous applications of short-term measures, onshore power and regulations were required to contribute their maximum potential no later than the year 2030. Even so, considerable penetration (15.0–26.0%) of alternative fuels will be required by 2030 to achieve the</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implementing, ghg, only, energy;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show, ghg, domestic, energy; EU scope not established. This is a provisional connection, not an outcome finding.</w:t>
      </w:r>
    </w:p>
    <w:p>
      <w:pPr>
        <w:pStyle w:val="SourceNote"/>
      </w:pPr>
      <w:r>
        <w:rPr>
          <w:b/>
        </w:rPr>
        <w:t>Available abstract (not full text):</w:t>
      </w:r>
      <w:r>
        <w:t xml:space="preserve"> The carbon footprint (CFP) is a measure of greenhouse gases (GHGs) emitted throughout the lifecycle of a product or activity, while the energy footprint (EFP) and water footprint (WFP) measure energy and water consumption, respectively. These footprints are essential for managing emissions and consumption and promoting low-carbon consumption. A carbon labeling scheme could help consumers make informed choices. Pakistan is a major textile producer and consumer, so studying textiles' carbon, energy, and water footprints is essential for managing domestic emissions, energy and water consumption, and international trade negotiations. This paper presents a method and framework for assessing CFP, EFP, and WFP at the product level and calculates the footprints for textile products made in Pakistan. The results show that the total CFP of all textile products produced in Pakistan is 42,624.12 MT CO 2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pStyle w:val="Heading2"/>
      </w:pPr>
      <w:r>
        <w:t>830.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Assessing the global competitiveness of European countries — https://doi.org/10.7441/joc.2023.04.03</w:t>
      </w:r>
    </w:p>
    <w:p>
      <w:pPr/>
      <w:r>
        <w:rPr>
          <w:b/>
        </w:rPr>
        <w:t>Shared claim-specific concepts:</w:t>
      </w:r>
      <w:r>
        <w:t xml:space="preserve"> different, between; EU scope visible. This is a provisional connection, not an outcome finding.</w:t>
      </w:r>
    </w:p>
    <w:p>
      <w:pPr>
        <w:pStyle w:val="SourceNote"/>
      </w:pPr>
      <w:r>
        <w:rPr>
          <w:b/>
        </w:rPr>
        <w:t>Available abstract (not full text):</w:t>
      </w:r>
      <w:r>
        <w:t xml:space="preserve"> Despite the importance of competitiveness in the context of a market economy, both practical and methodological issues remain unresolved in the assessment of its state.One of the reasons is that this phenomenon is a complex phenomenon, manifested in many different facets in reality, and therefore the concepts and definitions of competitiveness emphasise different aspects that reflect it.On the other hand, almost all of them emphasise its impact on the country's economic development.The results of the analysis of these impacts depend to a large extent on the adequacy of the assessment of the actual level of competitiveness of the country.To a large extent, it depends on how it was valued.Out of the three most widely applied methodologies, the World Economic Forum, the Institute for International Management Development, and the Institute for Industrial Policy Studies, the Global Competitiveness Index, proposed by the World Economic Forum, brings together 12 dimensions of equal importance.The analysis shows that this importance must be different, as some reflect factors that directly and fully affect the competitiveness of a country, while others are the result of the first effects.This idea is confirmed by experts, giving dimensions different weights and greater importance to factors directly affecting the competitiveness of the country.An assessment of the Global Competitiveness</w:t>
      </w:r>
    </w:p>
    <w:p>
      <w:pPr/>
      <w:r>
        <w:rPr>
          <w:b/>
        </w:rPr>
        <w:t>POSSIBLE 2023:</w:t>
      </w:r>
      <w:r>
        <w:t xml:space="preserve"> Assessing Fossil Fuels and Renewables’ Impact on Energy Poverty Conditions in Europe — https://doi.org/10.3390/en16010560</w:t>
      </w:r>
    </w:p>
    <w:p>
      <w:pPr/>
      <w:r>
        <w:rPr>
          <w:b/>
        </w:rPr>
        <w:t>Shared claim-specific concepts:</w:t>
      </w:r>
      <w:r>
        <w:t xml:space="preserve"> also, different, between; EU scope visible. This is a provisional connection, not an outcome finding.</w:t>
      </w:r>
    </w:p>
    <w:p>
      <w:pPr>
        <w:pStyle w:val="SourceNote"/>
      </w:pPr>
      <w:r>
        <w:rPr>
          <w:b/>
        </w:rPr>
        <w:t>Available abstract (not full text):</w:t>
      </w:r>
      <w:r>
        <w:t xml:space="preserve"> The disadvantages of fossil fuels and their impact on the environment have made the transition to renewable energy sources essential to cover our energy needs. However, different energy resources have a different impact on energy poverty conditions in the world, an issue that is important to examine and properly address. This study examines the impact that fossil fuels final energy consumption in households per capita and renewables and biofuels final energy consumption in households per capita have on energy poverty conditions in Europe, using panel data from 28 European countries for the time period 2004–2019 and static and dynamic regression models, while also performing various econometric tests. The findings indicate that GDP per capita and fossil fuels are linked to an inverse relationship to energy poverty conditions. Renewables and biofuels are also linked to an inverse relationship to the inability to keep homes adequately warm and the presence of leaks, damp, or rot in the dwelling, but they could be considered a driver of arrears on utility bills. In addition, a comparative analysis between Sweden, Germany, and Greece and their conditions on energy poverty and energy transition was conducted, highlighting the differences existing between the three European countries. The findings of the research can be useful for governments and policy makers to develop strategies th</w:t>
      </w:r>
    </w:p>
    <w:p>
      <w:pPr>
        <w:pStyle w:val="Heading2"/>
      </w:pPr>
      <w:r>
        <w:t>831.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pStyle w:val="Heading2"/>
      </w:pPr>
      <w:r>
        <w:t>832.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2024:</w:t>
      </w:r>
      <w:r>
        <w:t xml:space="preserve"> Understanding and addressing the water footprint in the textile sector: A review — https://doi.org/10.1515/aut-2024-0004</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pStyle w:val="Heading2"/>
      </w:pPr>
      <w:r>
        <w:t>833.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r>
        <w:rPr>
          <w:b/>
        </w:rPr>
        <w:t>POSSIBLE 2025:</w:t>
      </w:r>
      <w:r>
        <w:t xml:space="preserve"> Economic differentiation of the European Union at the level of member states during the 2019-2023 period — https://openalex.org/W7135935661</w:t>
      </w:r>
    </w:p>
    <w:p>
      <w:pPr/>
      <w:r>
        <w:rPr>
          <w:b/>
        </w:rPr>
        <w:t>Shared claim-specific concepts:</w:t>
      </w:r>
      <w:r>
        <w:t xml:space="preserve"> indicate, member, states, compared, energy, framework; EU scope visible. This is a provisional connection, not an outcome finding.</w:t>
      </w:r>
    </w:p>
    <w:p>
      <w:pPr>
        <w:pStyle w:val="SourceNote"/>
      </w:pPr>
      <w:r>
        <w:rPr>
          <w:b/>
        </w:rPr>
        <w:t>Available abstract (not full text):</w:t>
      </w:r>
      <w:r>
        <w:t xml:space="preserve"> This thesis analyses the economic differentiation among the member states of the European Union during the period from 2019 to 2023, with a particular focus on the impact of the Covid- 19 pandemic, the war in Ukraine, and the energy crisis on the economic situation in Germany, the Netherlands, Poland, and Slovakia. The aim of the thesis is to examine whether external shocks have deepened existing economic disparities among the member states and how these differences have influenced the dynamics of European integration. The thesis applies a combination of quantitative comparative analysis of macroeconomic indicators and qualitative analysis of national responses to crisis events. The theoretical framework is based on liberal intergovernmentalism and the theory of differentiated integration. The results indicate that the crises significantly deepened economic differentiation, with Germany and the Netherlands demonstrating greater resilience compared to Poland and Slovakia. The thesis thus contributes to a deeper understanding of the dynamics of economic differentiation in the EU during periods of intense global shocks and highlights the importance of targeted support for convergence in the future.</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pStyle w:val="Heading2"/>
      </w:pPr>
      <w:r>
        <w:t>834.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2023:</w:t>
      </w:r>
      <w:r>
        <w:t xml:space="preserve"> Climate-trait relationships exhibit strong habitat specificity in plant communities across Europe — https://doi.org/10.1038/s41467-023-36240-6</w:t>
      </w:r>
    </w:p>
    <w:p>
      <w:pPr/>
      <w:r>
        <w:rPr>
          <w:b/>
        </w:rPr>
        <w:t>Shared claim-specific concepts:</w:t>
      </w:r>
      <w:r>
        <w:t xml:space="preserve"> assuming, strong, climate, only; EU scope visible. This is a provisional connection, not an outcome finding.</w:t>
      </w:r>
    </w:p>
    <w:p>
      <w:pPr>
        <w:pStyle w:val="SourceNote"/>
      </w:pPr>
      <w:r>
        <w:rPr>
          <w:b/>
        </w:rPr>
        <w:t>Available abstract (not full text):</w:t>
      </w:r>
      <w:r>
        <w:t xml:space="preserve"> Ecological theory predicts close relationships between macroclimate and functional traits. Yet, global climatic gradients correlate only weakly with the trait composition of local plant communities, suggesting that important factors have been ignored. Here, we investigate the consistency of climate-trait relationships for plant communities in European habitats. Assuming that local factors are better accounted for in more narrowly defined habitats, we assigned &gt; 300,000 vegetation plots to hierarchically classified habitats and modelled the effects of climate on the community-weighted means of four key functional traits using generalized additive models. We found that the predictive power of climate increased from broadly to narrowly defined habitats for specific leaf area and root length, but not for plant height and seed mass. Although macroclimate generally predicted the distribution of all traits, its effects varied, with habitat-specificity increasing toward more narrowly defined habitats. We conclude that macroclimate is an important determinant of terrestrial plant communities, but future predictions of climatic effects must consider how habitats are defined.</w:t>
      </w:r>
    </w:p>
    <w:p>
      <w:pPr/>
      <w:r>
        <w:rPr>
          <w:b/>
        </w:rPr>
        <w:t>POSSIBLE 2022:</w:t>
      </w:r>
      <w:r>
        <w:t xml:space="preserve"> 21st Century alpine climate change — https://doi.org/10.1007/s00382-022-06303-3</w:t>
      </w:r>
    </w:p>
    <w:p>
      <w:pPr/>
      <w:r>
        <w:rPr>
          <w:b/>
        </w:rPr>
        <w:t>Shared claim-specific concepts:</w:t>
      </w:r>
      <w:r>
        <w:t xml:space="preserve"> strong, climate, two, main, emission, show;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pStyle w:val="Heading2"/>
      </w:pPr>
      <w:r>
        <w:t>835.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2020:</w:t>
      </w:r>
      <w:r>
        <w:t xml:space="preserve"> The climate change mitigation effect of bioenergy from sustainably managed forests in Central Europe — https://doi.org/10.1111/gcbb.12672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Abstract We compare sustainably managed with unmanaged forests in terms of their contribution to climate change mitigation based on published data. For sustainably managed forests, accounting of carbon (C) storage based on ecosystem biomass and products as required by the United Nations Framework Convention on Climate Change is not sufficient to quantify their contribution to climate change mitigation. The ultimate value of biomass is its use for biomaterials and bioenergy. Taking Germany as an example, we show that the average removals of wood from managed forests are higher than stated by official reports, ranging between 56 and 86 mill. m 3 year −1 due to the unrecorded harvest of firewood. We find that removals from one hectare can substitute 0.87 m 3 ha −1 year −1 of diesel, or 7.4 MWh ha −1 year −1 , taking into account the unrecorded firewood, the use of fuel for harvesting and processing, and the efficiency of energy conversion. Energy substitution ranges between 1.9 and 2.2 t CO 2 equiv. ha −1 year −1 depending on the type of fossil fuel production. Including bioenergy and carbon storage, the total mitigation effect of managed forest ranges between 3.2 and 3.5 t CO 2 equiv. ha −1 year −1 . This is more than previously reported because of the full accounting of bioenergy. Unmanaged nature conservation forests contribute via C storage only about 0.37 t CO 2 equiv. ha −1 </w:t>
      </w:r>
    </w:p>
    <w:p>
      <w:pPr/>
      <w:r>
        <w:rPr>
          <w:b/>
        </w:rPr>
        <w:t>POSSIBLE 2020:</w:t>
      </w:r>
      <w:r>
        <w:t xml:space="preserve"> The current state of DNA barcoding of macroalgae in the Mediterranean Sea: presently lacking but urgently required — https://doi.org/10.1515/bot-2019-0041</w:t>
      </w:r>
    </w:p>
    <w:p>
      <w:pPr/>
      <w:r>
        <w:rPr>
          <w:b/>
        </w:rPr>
        <w:t>Shared claim-specific concepts:</w:t>
      </w:r>
      <w:r>
        <w:t xml:space="preserve"> presently, especially, concerned, about, article; EU scope visible. This is a provisional connection, not an outcome finding.</w:t>
      </w:r>
    </w:p>
    <w:p>
      <w:pPr>
        <w:pStyle w:val="SourceNote"/>
      </w:pPr>
      <w:r>
        <w:rPr>
          <w:b/>
        </w:rPr>
        <w:t>Available abstract (not full text):</w:t>
      </w:r>
      <w:r>
        <w:t xml:space="preserve"> Abstract This review article explores the state of DNA barcoding of macroalgae in the Mediterranean Sea. Data from the Barcode of Life Data System (BOLD) were utilised in conjunction with a thorough bibliographic review. Our findings indicate that from around 1124 records of algae in the Mediterranean Sea, only 114 species have been barcoded. We thus conclude that there are insufficient macroalgal genetic data from the Mediterranean and that this area would greatly benefit from studies involving DNA barcoding. Such research would contribute to resolving numerous questions about macroalgal systematics in the area and address queries related to biogeography, especially those concerned with non-indigenous species. It could also possibly result in the development and application of better, cost-effective biodiversity monitoring programmes emanating from UN conventions and EU Directives. One possible way of achieving this is to construct DNA libraries via sequencing and barcoding, subsequently enabling better cost-effective biodiversity monitoring through environmental DNA metabarcoding.</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pStyle w:val="Heading2"/>
      </w:pPr>
      <w:r>
        <w:t>836.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837.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838.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2025:</w:t>
      </w:r>
      <w:r>
        <w:t xml:space="preserve"> Potential systemic availability classification of chemicals for safety assessment — https://doi.org/10.1016/j.envint.2025.109636</w:t>
      </w:r>
    </w:p>
    <w:p>
      <w:pPr/>
      <w:r>
        <w:rPr>
          <w:b/>
        </w:rPr>
        <w:t>Shared claim-specific concepts:</w:t>
      </w:r>
      <w:r>
        <w:t xml:space="preserve"> based, systemic, assessment, approach, framework; EU scope visible. This is a provisional connection, not an outcome finding.</w:t>
      </w:r>
    </w:p>
    <w:p>
      <w:pPr>
        <w:pStyle w:val="SourceNote"/>
      </w:pPr>
      <w:r>
        <w:rPr>
          <w:b/>
        </w:rPr>
        <w:t>Available abstract (not full text):</w:t>
      </w:r>
      <w:r>
        <w:t xml:space="preserve"> The assessment of chemical safety is essential for protecting human health, yet current approaches have severe limitations. They are unable to address the rapidly growing number of substances requiring evaluation and further rely on animal testing, which the public expects to be phased out for ethical reasons. To address this, the European Partnership for Alternative Approaches to Animal Testing (EPAA) proposed the use of a novel framework for the classification of systemic toxicity based on new approach methodologies. One dimension of this framework is the grouping of substances into different classes of Potential Systemic Availability (PSA) concern (low, medium, high). But so far it remained conceptually and practically unclear how this classification can be achieved. Here, we outline the theoretical considerations for a health-protective definition of PSA concern classes and present a method for the quantitative evaluation of this property. Using high-throughput physiologically based kinetic modelling, we are able to classify the PSA concerns of 139 out of 150 EPAA NAM Designathon compounds. Further, we manually annotate these compounds to evaluate the plausibility of predicted classifications against expert judgement. Our results outline under which circumstances it is appropriate to prioritise or deprioritise chemicals due to their toxicokinetic properties. However, we fin</w:t>
      </w:r>
    </w:p>
    <w:p>
      <w:pPr/>
      <w:r>
        <w:rPr>
          <w:b/>
        </w:rPr>
        <w:t>POSSIBLE 2025:</w:t>
      </w:r>
      <w:r>
        <w:t xml:space="preserve"> The Opinions of Chemistry Teachers and Chemistry Teaching Students on Systemic Assessment — https://doi.org/10.1088/1742-6596/3037/1/012018</w:t>
      </w:r>
    </w:p>
    <w:p>
      <w:pPr/>
      <w:r>
        <w:rPr>
          <w:b/>
        </w:rPr>
        <w:t>Shared claim-specific concepts:</w:t>
      </w:r>
      <w:r>
        <w:t xml:space="preserve"> based, systemic, assessment, approach; EU scope not established. This is a provisional connection, not an outcome finding.</w:t>
      </w:r>
    </w:p>
    <w:p>
      <w:pPr>
        <w:pStyle w:val="SourceNote"/>
      </w:pPr>
      <w:r>
        <w:rPr>
          <w:b/>
        </w:rPr>
        <w:t>Available abstract (not full text):</w:t>
      </w:r>
      <w:r>
        <w:t xml:space="preserve"> Abstract The paper deals with the education strategy referred to as SATL (Systemic Approach in Teaching and Learning). This approach involves systemic assessment. It is based on systemic tasks in which students are supposed to consider multiple concepts at once and apply them in a new situation, which requires synthesis to formulate a complex answer. The research goal was to collect the opinions of chemistry teachers and chemistry teaching students on the implementation of systemic tasks in teaching. For this purpose, worksheets with different types of systemic tasks were created (e.g. systemic synthesis, systemic analysis, multiple choice, true/false, matching, arranging) for the selected topics of inorganic (sodium and its compounds, calcium and its compounds) and organic (e.g. hydrocarbons, hydroxy derivatives, carboxylic acids) chemistry. 89 teachers implemented the worksheets in their teaching over two school years (2019 – 2021) with a sample of 2136 2nd-year grammar school students. Subsequently, these teachers expressed their views and attitudes towards this type of task in a questionnaire. 40 chemistry teaching students were learning about systemic tasks and performing them during the Chemistry Didactics course over two academic years (2019 – 2021). Subsequently, they expressed their opinions on and attitudes to these tasks in a questionnaire developed by the authors. T</w:t>
      </w:r>
    </w:p>
    <w:p>
      <w:pPr/>
      <w:r>
        <w:rPr>
          <w:b/>
        </w:rPr>
        <w:t>POSSIBLE 2025:</w:t>
      </w:r>
      <w:r>
        <w:t xml:space="preserve"> Polycrisis and Systemic Risk: Assessment, Governance, and Communication — https://doi.org/10.1007/s13753-025-00636-3</w:t>
      </w:r>
    </w:p>
    <w:p>
      <w:pPr/>
      <w:r>
        <w:rPr>
          <w:b/>
        </w:rPr>
        <w:t>Shared claim-specific concepts:</w:t>
      </w:r>
      <w:r>
        <w:t xml:space="preserve"> based, systemic, assessment; EU scope not established. This is a provisional connection, not an outcome finding.</w:t>
      </w:r>
    </w:p>
    <w:p>
      <w:pPr>
        <w:pStyle w:val="SourceNote"/>
      </w:pPr>
      <w:r>
        <w:rPr>
          <w:b/>
        </w:rPr>
        <w:t>Available abstract (not full text):</w:t>
      </w:r>
      <w:r>
        <w:t xml:space="preserve"> Abstract The emphasis of integrated disaster and risk research has shifted from topical analysis, such as dealing with natural hazard-related disasters, technological accidents, or environmental crises, to a comprehensive analysis of interconnected and mutually interactive risk sources and crises. This interaction has often been framed in the language of “polycrisis” indicating the potentially amplifying and cascading effects of each crisis from one domain to the next. At the same time, the literature on systemic risk also includes the effects of multiple, interacting risks on the functionality and survivability of entire systems such as climate stability, cybersecurity, or energy production. This review article provides first a summary of the literature on both concepts, explicates the commonalities and differences and develops a risk and crisis concept that builds a bridge between the two research traditions. Based on this concept, the review delineates the implementations of a joint understanding of polycrisis and systemic risk for risk assessment, risk and crisis governance, and effective communication to different audiences.</w:t>
      </w:r>
    </w:p>
    <w:p>
      <w:pPr/>
      <w:r>
        <w:rPr>
          <w:b/>
        </w:rPr>
        <w:t>POSSIBLE 2025:</w:t>
      </w:r>
      <w:r>
        <w:t xml:space="preserve"> Smart carbon–neutral development: Embracing complexity with multi-level governance and convolution — https://doi.org/10.1016/j.worlddev.2025.107026</w:t>
      </w:r>
    </w:p>
    <w:p>
      <w:pPr/>
      <w:r>
        <w:rPr>
          <w:b/>
        </w:rPr>
        <w:t>Shared claim-specific concepts:</w:t>
      </w:r>
      <w:r>
        <w:t xml:space="preserve"> systemic, approach, framework, process; EU scope visible. This is a provisional connection, not an outcome finding.</w:t>
      </w:r>
    </w:p>
    <w:p>
      <w:pPr>
        <w:pStyle w:val="SourceNote"/>
      </w:pPr>
      <w:r>
        <w:rPr>
          <w:b/>
        </w:rPr>
        <w:t>Available abstract (not full text):</w:t>
      </w:r>
      <w:r>
        <w:t xml:space="preserve"> • The EU Missions framework drives transformative and systemic changes essential for achieving both mitigation and adaptation outcomes. • Thessaloniki’s Net Zero Plan uses tech, governance and management solutions across sectors, applying a systems-innovation approach and multiple levers to cut emissions. • Enhancing our understanding of spatial impacts requires continuous recalibration of governance strategies to ensure effective policy implementation. • Path-dependence in both actions and governance models poses limitations, highlighting the need for a systems perspective in smart carbon–neutral development. • Policy design should be seen as a convolution process—where actions and governance models merge—rather than as separate entities that need to be linked or combined. This paper delves into the current EU policy and strategy for advancing smart, carbon–neutral development across Europe, as outlined by the EU Missions framework. This framework aims to boost the resilience to climate change of at least 150 European regions and communities and facilitate the transformation of 100 cities into climate-neutral and smart urban centers by 2030. Our primary objective is to explore potential synergies between theoretical concepts and their practical application in realizing smart carbon–neutral development. Specifically, we examine the challenges associated with scaling processes i</w:t>
      </w:r>
    </w:p>
    <w:p>
      <w:pPr>
        <w:pStyle w:val="Heading2"/>
      </w:pPr>
      <w:r>
        <w:t>839.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2023:</w:t>
      </w:r>
      <w:r>
        <w:t xml:space="preserve"> Factors Affecting Gastric Perforation Patient Outcome with History of Arthritis and Long Term Use of NSAIDs in Dr. Kariadi Semarang Period 2020 – 2022 — https://doi.org/10.36408/mhjcm.v10i3.978</w:t>
      </w:r>
    </w:p>
    <w:p>
      <w:pPr/>
      <w:r>
        <w:rPr>
          <w:b/>
        </w:rPr>
        <w:t>Shared claim-specific concepts:</w:t>
      </w:r>
      <w:r>
        <w:t xml:space="preserve"> gives, background, factors, long-term; EU scope not established. This is a provisional connection, not an outcome finding.</w:t>
      </w:r>
    </w:p>
    <w:p>
      <w:pPr>
        <w:pStyle w:val="SourceNote"/>
      </w:pPr>
      <w:r>
        <w:rPr>
          <w:b/>
        </w:rPr>
        <w:t>Available abstract (not full text):</w:t>
      </w:r>
      <w:r>
        <w:t xml:space="preserve"> Background: The incidence of gastric perforation gives a high mortality outcome. The second most common cause of gastric perforation is long-term use of NSAIDs. In cases of arthritis during the COVID-19 pandemic, a conservative therapeutic approach and administration of NSAIDs are preferred. Due to this, researchers want to know the factors affecting gastric perforation cause by NSAIDs. Method: An analytic descriptive study with a retrospective cohort study design, using electronic medical records of patients at RSUP Dr. Kariadi Semarang from January 2020 - December 2022. Data collected was in the form of demographics, diagnoses, procedures, preoperative conditions, scoring system, and outcome. Results: PULP score, one of prognostic factor, has a good level of significance compared to other scoring systems in determining the prognostic mortality of patients with gastric perforation. The combination of variables between the type of NSAIDs and the type of arthritis has a direct correlation with a positive inter-variable power of 86.7% and a significance of 0.049 on patient outcome. Conclusion: NSAIDs pose a risk of gastric perforation in long-term use. tNSAIDs carry a higher risk inducing gastric perforation than selective NSAIDs.</w:t>
      </w:r>
    </w:p>
    <w:p>
      <w:pPr/>
      <w:r>
        <w:rPr>
          <w:b/>
        </w:rPr>
        <w:t>POSSIBLE 2023:</w:t>
      </w:r>
      <w:r>
        <w:t xml:space="preserve"> Background Interference-Based Temporal Enhancement for Action Recognition — https://doi.org/10.1109/aihcir61661.2023.00017</w:t>
      </w:r>
    </w:p>
    <w:p>
      <w:pPr/>
      <w:r>
        <w:rPr>
          <w:b/>
        </w:rPr>
        <w:t>Shared claim-specific concepts:</w:t>
      </w:r>
      <w:r>
        <w:t xml:space="preserve"> gives, background, main, factors; EU scope not established. This is a provisional connection, not an outcome finding.</w:t>
      </w:r>
    </w:p>
    <w:p>
      <w:pPr>
        <w:pStyle w:val="SourceNote"/>
      </w:pPr>
      <w:r>
        <w:rPr>
          <w:b/>
        </w:rPr>
        <w:t>Available abstract (not full text):</w:t>
      </w:r>
      <w:r>
        <w:t xml:space="preserve"> Temporal modeling is key for action recognition. In the process of modeling temporal information, the speed of character's movement and interference of background are two main factors. Motion Excitation(ME) module based on two-frame differencing is more suited for scenes with less motion and slower speeds but it is vulnerable to background interference. Background Interference Weakening(BIW) module based on three-frame differencing excels in scenarios with rapid motion changes and faster speeds but it tends to lose too much information about the target's movement. To break through the limitations of existing approaches, this paper proposes the following improvements: (i) We propose Background Interference-based Temporal Enhancement (BITE) module, which designed to flexibly adapt to different scenarios. A self-learning threshold parameter is designed to calculate background interference in the BITE module. (ii) When the background interference is strong, our method gives higher weight to the BIW when fusing the ME and the BIW, thus enhancing the motion information under the premise of reducing the background interference. (iii) When the background interference is weak, the model gives higher weight to ME when fusing ME and BIW. In this way, our method can better enhance the motion information without losing important information. Our method achieves superior recognition accuracy</w:t>
      </w:r>
    </w:p>
    <w:p>
      <w:pPr/>
      <w:r>
        <w:rPr>
          <w:b/>
        </w:rPr>
        <w:t>POSSIBLE 2023:</w:t>
      </w:r>
      <w:r>
        <w:t xml:space="preserve"> Analysis of withstand capacity of VSC-HVDC system to background harmonics of grid — https://doi.org/10.1049/icp.2023.2115</w:t>
      </w:r>
    </w:p>
    <w:p>
      <w:pPr/>
      <w:r>
        <w:rPr>
          <w:b/>
        </w:rPr>
        <w:t>Shared claim-specific concepts:</w:t>
      </w:r>
      <w:r>
        <w:t xml:space="preserve"> gives, background, main, national; EU scope not established. This is a provisional connection, not an outcome finding.</w:t>
      </w:r>
    </w:p>
    <w:p>
      <w:pPr>
        <w:pStyle w:val="SourceNote"/>
      </w:pPr>
      <w:r>
        <w:rPr>
          <w:b/>
        </w:rPr>
        <w:t>Available abstract (not full text):</w:t>
      </w:r>
      <w:r>
        <w:t xml:space="preserve"> Taking the withstand capacity of the voltage source converter based high voltage dc transmission (VSC-HVDC) system to the background harmonics of the grid as the starting point, this paper first sorts out and compares the relevant requirements of IEC, IEEE and national standards on the background harmonics content of the grid, and gives the distribution level of system background harmonics by taking the 500kV AC system near a back-to-back project site of Guangdong Power Grid as an example. Furthermore, the influence mechanism of the background harmonics of the grid on the VSC-HVDC main equipment and the withstand capacity of the main equipment to the background harmonics are analyzed. Finally, two harmonic suppression control strategies and their respective advantages and disadvantages are proposed, and the effect and correlation analysis of the proposed control strategies are compared and verified by simulation.</w:t>
      </w:r>
    </w:p>
    <w:p>
      <w:pPr>
        <w:pStyle w:val="Heading2"/>
      </w:pPr>
      <w:r>
        <w:t>840.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Design Futures: Cultivating Strategic Foresight Competencies in Design Education — https://doi.org/10.5772/intechopen.1007696</w:t>
      </w:r>
    </w:p>
    <w:p>
      <w:pPr/>
      <w:r>
        <w:rPr>
          <w:b/>
        </w:rPr>
        <w:t>Shared claim-specific concepts:</w:t>
      </w:r>
      <w:r>
        <w:t xml:space="preserve"> foresight, crucial, current; EU scope not established. This is a provisional connection, not an outcome finding.</w:t>
      </w:r>
    </w:p>
    <w:p>
      <w:pPr>
        <w:pStyle w:val="SourceNote"/>
      </w:pPr>
      <w:r>
        <w:rPr>
          <w:b/>
        </w:rPr>
        <w:t>Available abstract (not full text):</w:t>
      </w:r>
      <w:r>
        <w:t xml:space="preserve"> Future thinking and speculation practices can be seen as a crucial premise to approach solving a problem in an innovative way. It is profitable at circumstances in which challenges are complex. Future thinking incorporates two particular approaches: diverging and converging. It requires a flexible way of understanding, to come with different thoughts. This chapter reviews the literature crossing Strategic Foresight and Design disciplines with the accentuation put on how innovation design students, educators and design practitioners may engage with the future. Combining Foresight and Design, as part of Strategic Planning processes, can help the emergence of new possibilities, cultivate the incorporation of diverse stakeholders, and provide for continuous learning through experimentation by utilizing design approaches to attain more profound knowledge and arrangement around current reality. A framework was presented to integrate speculation in design education highlighting the significance of the strategic foresight approach and explaining the theoretical background behind creating the framework. A participatory design workshop was conducted to explain methods used to validate the results of the theoretical background in order to further develop the framework. This framework can be adopted in the design field in order to facilitate the process and to support practitioners’ decisi</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foresight, based, policies;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Foresight: Fifty Years to Think Your Futures — https://doi.org/10.1007/978-3-031-66100-6_4</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pStyle w:val="Heading2"/>
      </w:pPr>
      <w:r>
        <w:t>841.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2023:</w:t>
      </w:r>
      <w:r>
        <w:t xml:space="preserve"> Techno-authoritarian imaginaries and the politics of resistance against facial recognition technology in the US and European Union* — https://doi.org/10.1080/13510347.2023.2258803</w:t>
      </w:r>
    </w:p>
    <w:p>
      <w:pPr/>
      <w:r>
        <w:rPr>
          <w:b/>
        </w:rPr>
        <w:t>Shared claim-specific concepts:</w:t>
      </w:r>
      <w:r>
        <w:t xml:space="preserve"> concept, democratic, political; EU scope visible. This is a provisional connection, not an outcome finding.</w:t>
      </w:r>
    </w:p>
    <w:p>
      <w:pPr>
        <w:pStyle w:val="SourceNote"/>
      </w:pPr>
      <w:r>
        <w:rPr>
          <w:b/>
        </w:rPr>
        <w:t>Available abstract (not full text):</w:t>
      </w:r>
      <w:r>
        <w:t xml:space="preserve"> While artificial intelligence technologies are increasingly studied as drivers of “digital authoritarianism,” resistance to this process has remained underexplored. Our paper addresses this gap by asking why and how citizens resist AI-powered autocratization in consolidated democracies. We first conceptualize this resistance as distinct from other forms of anti-autocratic resistance in that it is anticipatory rather than reactive, and directed at existing authorities rather than new democratic challengers. We then introduce techno-authoritarian imaginaries as a novel concept to understand the drivers and shapes of this resistance. First, we argue that activists from civil society draw on these broader, pre-existing imaginaries of authoritarian futures to make sense of new technologies and articulate technology-specific problem frames. Second, we propose that imaginaries are contingent on historical and political experiences and therefore differ between contexts. Such differences, in turn, shape how the respective targets respond to resistance. We illustrate our argument by case studies of campaigns against facial recognition technology in the U.S. and the European Union. Our paper enriches existing debates on resistance to autocratization and advocates or a more pronounced engagement with practices of future-making, as constructions of societal futures—both desirable and undesi</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2022:</w:t>
      </w:r>
      <w:r>
        <w:t xml:space="preserve"> Introduction to the Imaginary of Precision Oncology — https://doi.org/10.1007/978-3-030-92612-0_2</w:t>
      </w:r>
    </w:p>
    <w:p>
      <w:pPr/>
      <w:r>
        <w:rPr>
          <w:b/>
        </w:rPr>
        <w:t>Shared claim-specific concepts:</w:t>
      </w:r>
      <w:r>
        <w:t xml:space="preserve"> imaginary, ideas, around; EU scope not established. This is a provisional connection, not an outcome finding.</w:t>
      </w:r>
    </w:p>
    <w:p>
      <w:pPr>
        <w:pStyle w:val="SourceNote"/>
      </w:pPr>
      <w:r>
        <w:rPr>
          <w:b/>
        </w:rPr>
        <w:t>Available abstract (not full text):</w:t>
      </w:r>
      <w:r>
        <w:t xml:space="preserve"> Abstract Ideas about precision medicine found its way into cancer research around the turn of the twentieth century and resulted in the imaginary of precision oncology. This chapter presents the emergence of the imaginary as well as its historical background. It furthermore argues that the imaginary is not well suited to take full biological complexity into account. This gives rise to conceptual limitations as well as practical risks as ambitions of precision are translated into practice.</w:t>
      </w:r>
    </w:p>
    <w:p>
      <w:pPr>
        <w:pStyle w:val="Heading2"/>
      </w:pPr>
      <w:r>
        <w:t>842.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better, understanding, germany;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2024:</w:t>
      </w:r>
      <w:r>
        <w:t xml:space="preserve"> Understanding public support for workplace diversity and antidiscrimination policies in Europe — https://doi.org/10.3389/fsoc.2024.1256751</w:t>
      </w:r>
    </w:p>
    <w:p>
      <w:pPr/>
      <w:r>
        <w:rPr>
          <w:b/>
        </w:rPr>
        <w:t>Shared claim-specific concepts:</w:t>
      </w:r>
      <w:r>
        <w:t xml:space="preserve"> information, better, understanding, show, range; EU scope visible. This is a provisional connection, not an outcome finding.</w:t>
      </w:r>
    </w:p>
    <w:p>
      <w:pPr>
        <w:pStyle w:val="SourceNote"/>
      </w:pPr>
      <w:r>
        <w:rPr>
          <w:b/>
        </w:rPr>
        <w:t>Available abstract (not full text):</w:t>
      </w:r>
      <w:r>
        <w:t xml:space="preserve"> Societal processes and public opinion can affect whether employers take action and which policy measures they choose to boost diversity, equal opportunities and inclusion, and to reduce discrimination in the workplace. Yet, public opinion regarding workplace diversity initiatives (other than affirmative action) has so far received little scholarly attention, especially in Europe. Consequently, we have very little evidence about how the general public feels about workplace diversity policies - particularly those that are more common or more often discussed in Europe - and about which factors shape public support for these workplace diversity initiatives. Yet, a better understanding of the patterns and antecedents of citizens' attitudes toward workplace diversity policies is of clear scientific and practical importance. Against this background, this study sheds light on public attitudes toward three different, commonly applied types of workplace diversity policies, and examines which individual-level and - innovatively - national-level conditions shape public support. To do so, we bring together insights from various different and so far largely disconnected strands of research and a range of theoretical perspectives. We use large-scale, representative survey data from two pooled waves of the Eurobarometer, covering 38,009 citizens across 26 European countries. We enrich these da</w:t>
      </w:r>
    </w:p>
    <w:p>
      <w:pPr>
        <w:pStyle w:val="Heading2"/>
      </w:pPr>
      <w:r>
        <w:t>843.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844.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Analysis of the Main Achievements of the Negotiation Process for the Accession of the European Union to the European Convention on Human Rights of 1950 (2019-2023) — https://doi.org/10.24833/2073-8420-2023-4-69-85-94</w:t>
      </w:r>
    </w:p>
    <w:p>
      <w:pPr/>
      <w:r>
        <w:rPr>
          <w:b/>
        </w:rPr>
        <w:t>Shared claim-specific concepts:</w:t>
      </w:r>
      <w:r>
        <w:t xml:space="preserve"> since, one, main, identify, attempt, they; EU scope visible. This is a provisional connection, not an outcome finding.</w:t>
      </w:r>
    </w:p>
    <w:p>
      <w:pPr>
        <w:pStyle w:val="SourceNote"/>
      </w:pPr>
      <w:r>
        <w:rPr>
          <w:b/>
        </w:rPr>
        <w:t>Available abstract (not full text):</w:t>
      </w:r>
      <w:r>
        <w:t xml:space="preserve"> Introduction. The article examines the main stages and achievements in the work of the ad hoc group (46+1) based on the results of the past 14 rounds of the negotiation process on the accession of the European Union to the European Convention on Human Rights of 1950. The author examines the fundamental problems prevented the European Union from accessing to the European Convention on Human Rights in 2013, as well as the novellas included in the revised draft Agreement on the Accession of the European Union to the European Convention on Human Rights, such as the application of Articles 33 and 53 of the European Convention on Human Rights 1950, as well as Protocol No. 16 thereto in relation to the law of the European Union. Materials and methods. The methodological ground of the study based on the following general scientific and special methods of the recognition of legal phenomena and processes in the field of European law: the method of system-structural analysis, the method of synthesis of social phenomena, the comparative legal method, the formal logical method. For certain questions, statistical data was involved in the study. To identify further vectors for the development of interaction between judicial bodies used the content analysis. Results of the study. Based on the results of the study, the author comes to the conclusion that the main problems preventing the Europea</w:t>
      </w:r>
    </w:p>
    <w:p>
      <w:pPr/>
      <w:r>
        <w:rPr>
          <w:b/>
        </w:rPr>
        <w:t>POSSIBLE 2024:</w:t>
      </w:r>
      <w:r>
        <w:t xml:space="preserve"> Critical Evaluation of EIA Notification 2020 in India w.r.t Sustainable Development Goals and European Union Best Practices in Climate Change Policy — https://doi.org/10.1051/e3sconf/202449101008</w:t>
      </w:r>
    </w:p>
    <w:p>
      <w:pPr/>
      <w:r>
        <w:rPr>
          <w:b/>
        </w:rPr>
        <w:t>Shared claim-specific concepts:</w:t>
      </w:r>
      <w:r>
        <w:t xml:space="preserve"> since, one, goals, attempt; EU scope visible. This is a provisional connection, not an outcome finding.</w:t>
      </w:r>
    </w:p>
    <w:p>
      <w:pPr>
        <w:pStyle w:val="SourceNote"/>
      </w:pPr>
      <w:r>
        <w:rPr>
          <w:b/>
        </w:rPr>
        <w:t>Available abstract (not full text):</w:t>
      </w:r>
      <w:r>
        <w:t xml:space="preserve"> Climate change as a challenge imposes an obligation on nations to indicate that climate change mitigation is at the core of their domestic policymaking. As a responsible stakeholder in climate change mitigation, India responded by announcing constitutional protection for the environment under the constitution. Since then, India has enacted several legislations to protect and conserve the environment. In 1994, the Environmental Impact Assessment (EIA) was one such attempt to forecast and mitigate possible harm to the environment. Recently, the Government of India has amended the EIA process by introducing changes to the law through the EIA Notification 2020. The paper identifies the problems associated with recent changes and produces empirical evidence to substantiate the study. It further attempts to appraise the Sustainable Development Goals and the importance given to environmental impact assessment by international organizations including the World Bank and the Asian Development Bank. The paper further studies several best practices in the European Union and concludes by suggesting law reforms in Indian law.</w:t>
      </w:r>
    </w:p>
    <w:p>
      <w:pPr/>
      <w:r>
        <w:rPr>
          <w:b/>
        </w:rPr>
        <w:t>POSSIBLE 2024:</w:t>
      </w:r>
      <w:r>
        <w:t xml:space="preserve"> East Central Europe since 1989 — https://doi.org/10.4324/9781003312031</w:t>
      </w:r>
    </w:p>
    <w:p>
      <w:pPr/>
      <w:r>
        <w:rPr>
          <w:b/>
        </w:rPr>
        <w:t>Shared claim-specific concepts:</w:t>
      </w:r>
      <w:r>
        <w:t xml:space="preserve"> since, poland, they; EU scope visible. This is a provisional connection, not an outcome finding.</w:t>
      </w:r>
    </w:p>
    <w:p>
      <w:pPr>
        <w:pStyle w:val="SourceNote"/>
      </w:pPr>
      <w:r>
        <w:rPr>
          <w:b/>
        </w:rPr>
        <w:t>Available abstract (not full text):</w:t>
      </w:r>
      <w:r>
        <w:t xml:space="preserve"> This groundbreaking treatment of post-communist developments in East Central Europe examines politics, economics, media, religious institutions, transitional justice, gender inequality, and literature, highlighting the overt functions, latent functions, and side effects associated with each sphere. Communism in East Central Europe had cracks from the beginning, as uprisings in East Germany in 1953 and Hungary in 1956 demonstrated. But with the establishment of the Independent Trade Union Solidarity in Poland in the Summer of 1980, communism went into steady decline and, between 1988 and 1991, crumbled. What followed has been an unsteady transition to various forms of often corrupt pluralism with democracy doing best in the Czech Republic (with the exception of the years 2017–2021) and Slovenia, and worst in Hungary, Albania, Serbia, and Bosnia-Herzegovina. Drawing on the functionalist theory of Robert K. Merton, the authors examine what policymakers – communist and post-communist – were or are trying to accomplish, the intended and unintended results of these policies, and the side-effects they have produced. This volume will be of interest not only to specialists in East Central Europe but also to graduate and undergraduate students, members of the diplomatic corps, and general readers.</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pStyle w:val="Heading2"/>
      </w:pPr>
      <w:r>
        <w:t>845.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r>
        <w:rPr>
          <w:b/>
        </w:rPr>
        <w:t>POSSIBLE 2024:</w:t>
      </w:r>
      <w:r>
        <w:t xml:space="preserve"> The Australian Identity: Through the Othering of China — https://doi.org/10.1111/pafo.12265</w:t>
      </w:r>
    </w:p>
    <w:p>
      <w:pPr/>
      <w:r>
        <w:rPr>
          <w:b/>
        </w:rPr>
        <w:t>Shared claim-specific concepts:</w:t>
      </w:r>
      <w:r>
        <w:t xml:space="preserve"> australia, china, national; EU scope not established. This is a provisional connection, not an outcome finding.</w:t>
      </w:r>
    </w:p>
    <w:p>
      <w:pPr>
        <w:pStyle w:val="SourceNote"/>
      </w:pPr>
      <w:r>
        <w:rPr>
          <w:b/>
        </w:rPr>
        <w:t>Available abstract (not full text):</w:t>
      </w:r>
      <w:r>
        <w:t xml:space="preserve"> This article deconstructs the Australian national identity through the “othering” of China amidst the coronavirus pandemic. During this time, Australia–China relations reached one of their lowest points in recent history. It examines the diplomatic fallout and the media frames used to portray China in the image of mistrust, fear, threat, and a place of disease and sickness. Through this process of “othering,” the Australian media reassigned and redefined its national identity and what it meant to be an Australian in the global order. The article engages with public discourse, highlighting the media's influence in narrating, shaping, and reinforcing the values of the national identity. It argues that these negative perceptions of China, place China in the seat of the “other” and serve to juxtapose and strengthen the Australian identity that is democratic, liberal, free, and just.</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pStyle w:val="Heading2"/>
      </w:pPr>
      <w:r>
        <w:t>846.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2024:</w:t>
      </w:r>
      <w:r>
        <w:t xml:space="preserve"> Conflict-based Change Awareness for Collaborative Model-driven Software Engineering. — https://doi.org/10.5381/jot.2024.23.3.a7</w:t>
      </w:r>
    </w:p>
    <w:p>
      <w:pPr/>
      <w:r>
        <w:rPr>
          <w:b/>
        </w:rPr>
        <w:t>Shared claim-specific concepts:</w:t>
      </w:r>
      <w:r>
        <w:t xml:space="preserve"> growing, awareness, potential; EU scope not established. This is a provisional connection, not an outcome finding.</w:t>
      </w:r>
    </w:p>
    <w:p>
      <w:pPr>
        <w:pStyle w:val="SourceNote"/>
      </w:pPr>
      <w:r>
        <w:rPr>
          <w:b/>
        </w:rPr>
        <w:t>Available abstract (not full text):</w:t>
      </w:r>
      <w:r>
        <w:t xml:space="preserve"> Collaborative Model-driven Software Engineering (CoMDSE) involves multiple engineers working together on modifying domainspecific models.This collaborative effort, however, can lead to conflicts during merges due to differing perspectives and goals among engineers.Solutions primarily focus on resolving conflicts during merges, but these approaches can be cumbersome and time-intensive.Thus, researchers also propose secondary strategies such as change awareness to notify engineers of each other's model changes mitigating conflicts before they happen.Change awareness strategies, however, often overwhelm engineers with a bulk of change notifications, many of which are irrelevant to their immediate tasks.Additionally, they are required to manually analyze these notifications for conflicts, which adds significant overhead, leading to decreased productivity and increased frustration.Thus, in this paper, we propose a novel approach for conflict-based change awareness.It utilizes an incremental growing operation tree data structure to promptly detect potential conflicts after a model change.It specifically targets conflicts detectable through the analysis of changes in property-value-based models, such as syntactic conflicts.The obtained results are utilized to filter corresponding change notifications, which are then sent to the engineers.This empowers engineers to proactively identify</w:t>
      </w:r>
    </w:p>
    <w:p>
      <w:pPr/>
      <w:r>
        <w:rPr>
          <w:b/>
        </w:rPr>
        <w:t>POSSIBLE 2024:</w:t>
      </w:r>
      <w:r>
        <w:t xml:space="preserve"> Where are Fossil Fuels Displaced by Alternatives? — https://doi.org/10.5195/jwsr.2024.1218</w:t>
      </w:r>
    </w:p>
    <w:p>
      <w:pPr/>
      <w:r>
        <w:rPr>
          <w:b/>
        </w:rPr>
        <w:t>Shared claim-specific concepts:</w:t>
      </w:r>
      <w:r>
        <w:t xml:space="preserve"> driven, fossil, further; EU scope not established. This is a provisional connection, not an outcome finding.</w:t>
      </w:r>
    </w:p>
    <w:p>
      <w:pPr>
        <w:pStyle w:val="SourceNote"/>
      </w:pPr>
      <w:r>
        <w:rPr>
          <w:b/>
        </w:rPr>
        <w:t>Available abstract (not full text):</w:t>
      </w:r>
      <w:r>
        <w:t xml:space="preserve"> In light of ongoing and accelerating climate change driven by human combustion of fossil fuels, researchers have found evidence that national-level inequality influences whether nations are able to replace fossil fuels with alternative energies. This paper asks whether the inequality between nations also influences the rate at which nations replace fossil fuels. I use multilevel modeling techniques, World Bank data and data aggregated by Our World in Data for 146 nations from 1960–2021 to better understand the variation in national-level displacement of fossil fuels. Findings suggest there has been only partial displacement of fossil fuels at the global level during this period. In examining whether the variation in displacement of fossil fuels with alternative fuels at the national level can be described by lasting global inequality among nations, here measured by world-systems position, I find that semiperiphery nations displace fossil fuels at a higher rate on average as compared with core nations. This is further evidence for the importance of fossil fuel infrastructure and global inequality for implementing energy transitions to address climate change.</w:t>
      </w:r>
    </w:p>
    <w:p>
      <w:pPr>
        <w:pStyle w:val="Heading2"/>
      </w:pPr>
      <w:r>
        <w:t>847.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2024:</w:t>
      </w:r>
      <w:r>
        <w:t xml:space="preserve"> Comparison of economic erowth between the European Union and the US: emphasis on factors accounting for the slower growth in the EU — https://openalex.org/W7135513502</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This bachelor thesis investigates the differential factors influencing economic growth between the European Union (EU) and the United States (US) from 1996 to 2021. Utilizing an Ordinary Least Squares (OLS) regression model, the re-search examines variables such as technological progress, public debt, human capital, population growth, openness to trade, Index of Economic Freedom, Rule of Law Index, government expenditure on consumption, gross fixed capital for-mation and labour force participation rate to assess their impact on GDP per capi-ta. Key findings indicate that public debt has a consistently negative impact on economic growth in both the EU and the US. The study highlights the critical role of policy frameworks, especially in managing technological integration and public debt, to foster sustainable economic growth.</w:t>
      </w:r>
    </w:p>
    <w:p>
      <w:pPr>
        <w:pStyle w:val="Heading2"/>
      </w:pPr>
      <w:r>
        <w:t>848.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2021:</w:t>
      </w:r>
      <w:r>
        <w:t xml:space="preserve"> Claustropolitanism, Capitalism and Covid: Un/Popular Culture at the End of the World — https://doi.org/10.23918/ijsses.v8i1p1</w:t>
      </w:r>
    </w:p>
    <w:p>
      <w:pPr/>
      <w:r>
        <w:rPr>
          <w:b/>
        </w:rPr>
        <w:t>Shared claim-specific concepts:</w:t>
      </w:r>
      <w:r>
        <w:t xml:space="preserve"> popular, world; EU scope not established. This is a provisional connection, not an outcome finding.</w:t>
      </w:r>
    </w:p>
    <w:p>
      <w:pPr>
        <w:pStyle w:val="SourceNote"/>
      </w:pPr>
      <w:r>
        <w:rPr>
          <w:b/>
        </w:rPr>
        <w:t>Available abstract (not full text):</w:t>
      </w:r>
      <w:r>
        <w:t xml:space="preserve"> Claustropolitanism as a new theory for foreclosed times.A theory for the end of the world, it resonates in research probing the Global Financial Crisis, but has reached a moment of profound utility through Covid and the resultant social, economic, health and political catastrophes.Capitalism, Covid and claustropolitanism align to offer a pointed provocation and recalibration of hierarchies of value, importance, relevance, and social change.The result of this reconfiguration is the emergence of un/popular culture.This article, applying the insights of deviant leisure and digitization, probes the changing role of the humanities and social sciences, with the promising opportunity to 'Make the end of the world great again.'</w:t>
      </w:r>
    </w:p>
    <w:p>
      <w:pPr/>
      <w:r>
        <w:rPr>
          <w:b/>
        </w:rPr>
        <w:t>POSSIBLE 2021:</w:t>
      </w:r>
      <w:r>
        <w:t xml:space="preserve"> COMING UP FOR AIR: ORWELLIAN VISION OF THE APOCALYPSE IN THE MODERN WORLD — https://doi.org/10.17719/jisr.2021.4804</w:t>
      </w:r>
    </w:p>
    <w:p>
      <w:pPr/>
      <w:r>
        <w:rPr>
          <w:b/>
        </w:rPr>
        <w:t>Shared claim-specific concepts:</w:t>
      </w:r>
      <w:r>
        <w:t xml:space="preserve"> vision, world, predicting; EU scope not established. This is a provisional connection, not an outcome finding.</w:t>
      </w:r>
    </w:p>
    <w:p>
      <w:pPr>
        <w:pStyle w:val="SourceNote"/>
      </w:pPr>
      <w:r>
        <w:rPr>
          <w:b/>
        </w:rPr>
        <w:t>Available abstract (not full text):</w:t>
      </w:r>
      <w:r>
        <w:t xml:space="preserve"> One of the important functions of a literary text is, no doubt, to serve the purpose of revealing and predicting what to come in the future.In each period, there always appears a literary production that foresees the future and aims to warn its readers against any possible cataclysmic events.As a distinct literary genre, secular apocalyptic literature aims to present its reader the startling revelation of any cataclysmic events in the eyes of an author with his/her vivid fictional depictionThis study aims to analyse George Orwell's novel Coming up for Air (1939) as one of the exemplary texts of secular apocalyptic fiction by depicting the socio-cultural and historical context Orwell was influenced.With his bright prophetic vision of the future and his realistic depiction of the imminent World War II, rapid industrialisation that manifested itself especially in the mass production of firearms in the eve of World War II, Orwell achieves to warn humanity against the war and its calamity afterwards.In this regard, Coming up for Air still keeps its own with his revelation regarding the war that humanity should take heed of.</w:t>
      </w:r>
    </w:p>
    <w:p>
      <w:pPr/>
      <w:r>
        <w:rPr>
          <w:b/>
        </w:rPr>
        <w:t>POSSIBLE 2020:</w:t>
      </w:r>
      <w:r>
        <w:t xml:space="preserve"> European Strategic Autonomy - chances and challenges for Europe — https://openalex.org/W3129001693</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The thesis explores the use of the term European Strategic Autonomy in the Common Security and Defence Policy (CFSP) of the European Union. The security environment around Europe has become increasingly unstable in the last 15 years. The EU Commission has tried to take account of the deteriorating geopolitical landscape by publishing an EU Global Strategy document in 2016 to share its vision for a stronger Europe. The document calls for strategic autonomy without properly defining it. Since then, many policy papers have captured the term and used it as a popular buzzword. Because it has not been properly defined on the political level, European Strategy Autonomy (ESA) was subject to speculations and national interpretations which did not help to advance the debate. Based on an extensive literature review the paper provides a comprehensive understanding by giving an historic overview and presenting different configurations of ESA in the contemporary context. A comparative case study, including France, Germany, and the Czech Republic has been conducted to assess their interpretation of the notion. The result of the case studies showed inherently different perceptions underlaid by different motivations and identifies the political layer to be the biggest challenge for moving forward with the topic....</w:t>
      </w:r>
    </w:p>
    <w:p>
      <w:pPr/>
      <w:r>
        <w:rPr>
          <w:b/>
        </w:rPr>
        <w:t>POSSIBLE 2020:</w:t>
      </w:r>
      <w:r>
        <w:t xml:space="preserve"> Rise of Turkey as a world power: Vision of Neo-Ottoman Empire — https://doi.org/10.47067/jlcc.v2i3.22</w:t>
      </w:r>
    </w:p>
    <w:p>
      <w:pPr/>
      <w:r>
        <w:rPr>
          <w:b/>
        </w:rPr>
        <w:t>Shared claim-specific concepts:</w:t>
      </w:r>
      <w:r>
        <w:t xml:space="preserve"> vision, world, based, benefits; EU scope not established. This is a provisional connection, not an outcome finding.</w:t>
      </w:r>
    </w:p>
    <w:p>
      <w:pPr>
        <w:pStyle w:val="SourceNote"/>
      </w:pPr>
      <w:r>
        <w:rPr>
          <w:b/>
        </w:rPr>
        <w:t>Available abstract (not full text):</w:t>
      </w:r>
      <w:r>
        <w:t xml:space="preserve"> The research explores the emergence of republic of turkey and its way of gaining the position from the central power to the emerging world power. Turkey in reality initiated to get the dominant position over region and influence over world after president Erdogan came into power whose pro-Islamic based policies brought many reforms in domestic and foreign policies.. In the war torn region president Erdogan policies has balanced the position of country in the region. The objectives of this research are to explore the facts about the Turkey’s way to the Neo-Ottoman Empire and its influence over international powers. This research also unfolds the changes in the global politics after Turkey’s position as a symbolic challenge for the world super and major powers. The research concerns with three main questions that are, how Turkey got significant position after many domestic and regional challenges? How president Erdogan would accomplish his future ambitions of Neo-Ottoman Empire and the last question refers to the post-Lausanne scenario in global politics. The research also provides the analysis over the Turkey’s pre-preparations for her dominancy over region and the political and economic benefits to the Turkey after revival of Neo-Ottoman Empire.The research explores the emergence of republic of turkey and its way of gaining the position from the central power to the emerging wo</w:t>
      </w:r>
    </w:p>
    <w:p>
      <w:pPr>
        <w:pStyle w:val="Heading2"/>
      </w:pPr>
      <w:r>
        <w:t>849.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2025:</w:t>
      </w:r>
      <w:r>
        <w:t xml:space="preserve"> Storylines of unprecedented flood risk using reforecast ensemble pooling — https://doi.org/10.5194/ems2025-528</w:t>
      </w:r>
    </w:p>
    <w:p>
      <w:pPr/>
      <w:r>
        <w:rPr>
          <w:b/>
        </w:rPr>
        <w:t>Shared claim-specific concepts:</w:t>
      </w:r>
      <w:r>
        <w:t xml:space="preserve"> then, framework, storylines, different, estimates; EU scope visible. This is a provisional connection, not an outcome finding.</w:t>
      </w:r>
    </w:p>
    <w:p>
      <w:pPr>
        <w:pStyle w:val="SourceNote"/>
      </w:pPr>
      <w:r>
        <w:rPr>
          <w:b/>
        </w:rPr>
        <w:t>Available abstract (not full text):</w:t>
      </w:r>
      <w:r>
        <w:t xml:space="preserve"> Assessing the frequency and impact of large-scale flood events is crucial for improving risk preparedness and emergency management. This effort, however, places emphasis on the need for large data samples to derive statistically robust probabilistic risk estimates. Recent studies have demonstrated the potential of using ensemble climate simulations to drastically extend the sample size of extreme events with respect to the relatively short historical record. This approach has become known as UNSEEN (UNprecedented Simulated Extremes using ENsembles) and has been successfully applied to different types of hazards. In this study, we use ensemble simulations from Copernicus C3S – specifically, seasonal reforecasts from the European Flood Awareness System (EFAS) and ECMWF SEAS5 – to generate a catalogue of flood events that are unprecedented in the historical record, yet plausible in the current climate. We focus on two target regions with recent episodes of severe flooding: The Panaro river basin in northern Italy and the Turia river basin in eastern Spain. We then employ the probabilistic event-based impact model CLIMADA (Aznar-Siguan et al. 2024) to rank the UNSEEN flood events in both basins by their estimated socio-economic impact and develop storylines of unprecedented flood risk. We find that high-impact UNSEEN events generally display recurrent synoptic patterns, similar to </w:t>
      </w:r>
    </w:p>
    <w:p>
      <w:pPr/>
      <w:r>
        <w:rPr>
          <w:b/>
        </w:rPr>
        <w:t>POSSIBLE 2025:</w:t>
      </w:r>
      <w:r>
        <w:t xml:space="preserve"> Widespread reduction of ozone extremes in storylines of future climate — https://doi.org/10.1038/s44407-025-00019-4</w:t>
      </w:r>
    </w:p>
    <w:p>
      <w:pPr/>
      <w:r>
        <w:rPr>
          <w:b/>
        </w:rPr>
        <w:t>Shared claim-specific concepts:</w:t>
      </w:r>
      <w:r>
        <w:t xml:space="preserve"> storylines, leading; EU scope not established. This is a provisional connection, not an outcome finding.</w:t>
      </w:r>
    </w:p>
    <w:p>
      <w:pPr>
        <w:pStyle w:val="SourceNote"/>
      </w:pPr>
      <w:r>
        <w:rPr>
          <w:b/>
        </w:rPr>
        <w:t>Available abstract (not full text):</w:t>
      </w:r>
      <w:r>
        <w:t xml:space="preserve"> High ozone levels harm people and the environment, especially during extreme weather. Climate change is expected to increase the frequency and intensity of these events, exacerbating vegetation-atmosphere interactions. However, current models predict inconsistent responses to warming, potentially due to simplified vegetation representations. We address this uncertainty by incorporating realistic vegetation responses to abiotic stresses into a global atmospheric chemistry model. By constructing storylines of future climate with fixed anthropogenic emissions, we quantify how temperature and humidity changes affect ozone and associated mortality. Here, we show that locally, vegetation and photochemistry often act in concert to amplify ozone pollution extremes, while increased humidity in the free troposphere tends to suppress background ozone levels. The latter effect becomes more dominant with increasing temperatures, leading to a widespread decrease in ozone pollution across the Northern hemisphere. The storyline approach is an effective method for disentangling drivers of air pollution perturbed by climate change.</w:t>
      </w:r>
    </w:p>
    <w:p>
      <w:pPr>
        <w:pStyle w:val="Heading2"/>
      </w:pPr>
      <w:r>
        <w:t>850.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Assessment of the monthly risk of dirofilariosis infection in Europe and its projection to 2100 under climate change from a One Health perspective — https://doi.org/10.1186/s13071-025-07148-5</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exhibit</w:t>
      </w:r>
    </w:p>
    <w:p>
      <w:pPr/>
      <w:r>
        <w:rPr>
          <w:b/>
        </w:rPr>
        <w:t>POSSIBLE 2025:</w:t>
      </w:r>
      <w:r>
        <w:t xml:space="preserve"> What do warming-adjusted CORDEX RCM projections tell us about climate change in central Europe? — https://doi.org/10.5194/egusphere-egu25-15870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The majority of CORDEX RCMs show an underestimation of historical warming compared to observations, as well as an underestimation of projected warming compared to global climate models. This is in part due to a lack of consideration of changing aerosol concentrations, with a particularly strong effect in Europe leading to a delayed warming. We have developed a new method to address this issue and present the results of the warming-adjusted data. The method adjusts the CORDEX RCM simulations by using a mapping based on large scale warming with only few parameters and minimal interventions, preserving time monotony. The impact of the method is strongest for high emission scenarios but can be demonstrated for all emission scenarios.An application is shown for a central European region and within this framework we analyze adjusted climate projections. Compared to global climate model experiments, warming-adjusted RCM simulations better capture fine-scale details such as complex orography, yet – by design – feature the same overall temperature evolution across Western Europe. The presented method could also be useful for CORDEX projections for other regions and can provide information for upcoming assessment reports.</w:t>
      </w:r>
    </w:p>
    <w:p>
      <w:pPr/>
      <w:r>
        <w:rPr>
          <w:b/>
        </w:rPr>
        <w:t>POSSIBLE 2025:</w:t>
      </w:r>
      <w:r>
        <w:t xml:space="preserve"> Assessment of the monthly risk of dirofilariosis infection in Europe and its projection to 2100 under climate change from a One Health perspective — https://doi.org/10.6084/m9.figshare.c.8225063</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Abstract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w:t>
      </w:r>
    </w:p>
    <w:p>
      <w:pPr>
        <w:pStyle w:val="Heading2"/>
      </w:pPr>
      <w:r>
        <w:t>851.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Directions for improving the regulation of the innovation circulation in the European Union through the prism of the implementation of the European Innovation Act (EIA) — https://doi.org/10.15587/2706-5448.2025.345998</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The object of the research is the system of measures and methods of regulatory influence on the processes of innovation circulation in the European Union, through the prism of the prospective agreement EUROPEAN INNOVATION ACT (EIA). The current methods of identifying innovation circulation in the EU are studied, as well as the prospects for development within the framework of the implementation of EIA. The research found that the process of regulating innovation circulation in the EU is not unified. It is proven that the existing regulatory model of state influence in the EU is not focused on simplifying and stimulating its circulation. The main task is to intensify and scale the number of innovations within the EU economic system. It was determined that within the EU there is a need to improve the regulatory approach to determining the rules for the functioning of innovation circulation in the EU. A study of the areas of regulatory influence within the framework of the prospective EUROPEAN INNOVATION ACT was conducted. The results of a public discussion of its possible content were analyzed. Proposals were formulated for making changes to its text. The need to introduce a single definition of innovation, the formation of a preferential tax regime, is substantiated. The need to change the object of regulation and its focus on the system of economic relations Innovation Life Cyc</w:t>
      </w:r>
    </w:p>
    <w:p>
      <w:pPr/>
      <w:r>
        <w:rPr>
          <w:b/>
        </w:rPr>
        <w:t>POSSIBLE 2025:</w:t>
      </w:r>
      <w:r>
        <w:t xml:space="preserve"> European Security in Changing. Geopolitical Perspectives — https://doi.org/10.5281/zenodo.18076173</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Abstract: European security is undergoing an accelerated transformation process, driven by changes in the global geopolitical environment, technological developments and the reconfiguration of relations between great powers. In the context of intensifying strategic competition, pressures on the international order and the proliferation of hybrid threats, the European space is faced with the need to redefine its instruments and mechanisms for defense and cooperation. The article analyzes the main trends that are reshaping Europe's security architecture, highlighting the role of regional and global actors, the dynamics of Euro-Atlantic institutions and the implications for medium-term stability. The study offers an integrated perspective on emerging challenges and possible directions for strategic adaptation to strengthen European resilience. Keywords: European Security, Geopolitics, Hybrid Threats, Euro-Atlantic Cooperation, Strategic Resilience, Operational Adaptation</w:t>
      </w:r>
    </w:p>
    <w:p>
      <w:pPr>
        <w:pStyle w:val="Heading2"/>
      </w:pPr>
      <w:r>
        <w:t>852.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2024:</w:t>
      </w:r>
      <w:r>
        <w:t xml:space="preserve"> A Multi-Criteria Method Integrating Distances to Ideal and Anti-Ideal Points — https://doi.org/10.3390/sym16081025</w:t>
      </w:r>
    </w:p>
    <w:p>
      <w:pPr/>
      <w:r>
        <w:rPr>
          <w:b/>
        </w:rPr>
        <w:t>Shared claim-specific concepts:</w:t>
      </w:r>
      <w:r>
        <w:t xml:space="preserve"> ideal, situations, applied, reference; EU scope visible. This is a provisional connection, not an outcome finding.</w:t>
      </w:r>
    </w:p>
    <w:p>
      <w:pPr>
        <w:pStyle w:val="SourceNote"/>
      </w:pPr>
      <w:r>
        <w:rPr>
          <w:b/>
        </w:rPr>
        <w:t>Available abstract (not full text):</w:t>
      </w:r>
      <w:r>
        <w:t xml:space="preserve"> Multi-criteria decision-making methods based on reference points and distances from them are essential for evaluating alternatives across multiple criteria. These methods provide structured approaches to comparing and ranking alternatives relative to specified reference points. The main objective of this paper is to present the Multi-Criteria Method Integrating Distances to Ideal and Anti-ideal Points (MIDIA), which, through a weighted system, allows for the consideration of balance and asymmetry in assessing alternatives based on their distances from the ideal and anti-ideal points. As a multi-criteria algorithm, MIDIA is user-friendly and reflects the human mind’s natural tendency to assess objects based on fundamental concepts—comparison with the ideal solution and the anti-ideal solution—that are familiar from everyday experiences and provide valuable insights from a behavioral perspective. Moreover, the proposed method can be seen as an extension of Hellwig’s approach, designed to facilitate the ranking of alternatives based on two reference points: the ideal point and the anti-ideal point, measuring the distance between the alternative and the ideal point and the distance between the ideal and anti-ideal points. The MIDIA method integrates elements from both TOPSIS and VIKOR, by incorporating the structure of TOPSIS and the compromise perspective of VIKOR, offering a bala</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pStyle w:val="Heading2"/>
      </w:pPr>
      <w:r>
        <w:t>853.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pStyle w:val="Heading2"/>
      </w:pPr>
      <w:r>
        <w:t>854.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approaches, potential, union, article;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Historical institutionalism and policy coordination: origins of the European semester — https://doi.org/10.1007/s40844-023-00253-z</w:t>
      </w:r>
    </w:p>
    <w:p>
      <w:pPr/>
      <w:r>
        <w:rPr>
          <w:b/>
        </w:rPr>
        <w:t>Shared claim-specific concepts:</w:t>
      </w:r>
      <w:r>
        <w:t xml:space="preserve"> governance, mechanism, union; EU scope visible. This is a provisional connection, not an outcome finding.</w:t>
      </w:r>
    </w:p>
    <w:p>
      <w:pPr>
        <w:pStyle w:val="SourceNote"/>
      </w:pPr>
      <w:r>
        <w:rPr>
          <w:b/>
        </w:rPr>
        <w:t>Available abstract (not full text):</w:t>
      </w:r>
      <w:r>
        <w:t xml:space="preserve"> Abstract Using historical institutionalism as a theoretical foundation, this paper explores whether multilateral surveillance and policy coordination under the European Semester (ES), introduced in the aftermath of the global financial crisis of 2007–2008, was based on a path-changing or a path-dependent mechanism. Following a legal-historical analysis going back to the Maastricht Treaty, we demonstrate that the ES in its institutional form was not the result of a crisis-induced critical juncture, but rather of a gradual, path-dependent historical evolution which kept the balance of power relations in the European Union (EU) broadly unchanged. With this, we offer a critique of literature on the post-crisis European economic governance framework, which sees an increase in the influence of supranational actors, notably the European Commission. Focusing on the ES, our paper puts forward an alternative view, grounded in the theory of historical institutionalism, arguing that the balance of power relations has broadly stayed the same. The conclusion is based on a legal-historical analysis of 12 indicators, which help to understand the evolution of the ES.</w:t>
      </w:r>
    </w:p>
    <w:p>
      <w:pPr>
        <w:pStyle w:val="Heading2"/>
      </w:pPr>
      <w:r>
        <w:t>855.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r>
        <w:rPr>
          <w:b/>
        </w:rPr>
        <w:t>POSSIBLE 2023:</w:t>
      </w:r>
      <w:r>
        <w:t xml:space="preserve"> Mental health in undergraduate engineering students: Identifying facilitators and barriers to seeking help — https://doi.org/10.1002/jee.20551</w:t>
      </w:r>
    </w:p>
    <w:p>
      <w:pPr/>
      <w:r>
        <w:rPr>
          <w:b/>
        </w:rPr>
        <w:t>Shared claim-specific concepts:</w:t>
      </w:r>
      <w:r>
        <w:t xml:space="preserve"> identify, relationships, between, four; EU scope not established. This is a provisional connection, not an outcome finding.</w:t>
      </w:r>
    </w:p>
    <w:p>
      <w:pPr>
        <w:pStyle w:val="SourceNote"/>
      </w:pPr>
      <w:r>
        <w:rPr>
          <w:b/>
        </w:rPr>
        <w:t>Available abstract (not full text):</w:t>
      </w:r>
      <w:r>
        <w:t xml:space="preserve"> Abstract Background Engineering students encounter high levels of stress, which may negatively impact their mental health. Nevertheless, engineering students who experience mental health distress are less likely than their peers to seek professional help, even when controlling for gender and race/ethnicity. Purpose We examined beliefs that undergraduate engineering students have about barriers and facilitators to seeking professional help for their mental health. We also sought to identify cultural and systemic factors within and beyond engineering that might affect help‐seeking. Together, these beliefs influence students' sense of personal agency around seeking mental health care. Method We implemented a pragmatic qualitative design that incorporated the integrated behavioral model to investigate engineering students' ( N = 33) professional mental health help‐seeking beliefs. We used thematic analysis to analyze help‐seeking beliefs and perceived barriers and facilitators that students described during interviews. Results We identified four themes: Navigating the system impacts personal agency; sacrifices associated with help‐seeking act as a barrier; engineering culture acts as a barrier to help‐seeking; and student confidence in help‐seeking varies significantly. These themes portray the effect of perceived barriers and facilitators on students' personal agency for accessing</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pStyle w:val="Heading2"/>
      </w:pPr>
      <w:r>
        <w:t>856.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2025:</w:t>
      </w:r>
      <w:r>
        <w:t xml:space="preserve"> Sextus Empiricus on the Third Unproved — https://doi.org/10.30965/26664275-bja10129</w:t>
      </w:r>
    </w:p>
    <w:p>
      <w:pPr/>
      <w:r>
        <w:rPr>
          <w:b/>
        </w:rPr>
        <w:t>Shared claim-specific concepts:</w:t>
      </w:r>
      <w:r>
        <w:t xml:space="preserve"> third, work, fourth; EU scope not established. This is a provisional connection, not an outcome finding.</w:t>
      </w:r>
    </w:p>
    <w:p>
      <w:pPr>
        <w:pStyle w:val="SourceNote"/>
      </w:pPr>
      <w:r>
        <w:rPr>
          <w:b/>
        </w:rPr>
        <w:t>Available abstract (not full text):</w:t>
      </w:r>
      <w:r>
        <w:t xml:space="preserve"> Abstract In his attack on Stoic Logic, Sextus Empiricus goes through each of the five Stoic unproveds and shows that they suffer from being redundant. An argument is redundant just in case it is valid if one of the premisses is removed: redundant arguments have one premiss too many. The Stoics argue that this flaw renders an argument invalid, and so Sextus concludes that, on these grounds at least, the five unproveds are not syllogisms. Sextus’ arguments can be made to work for the first, second, fourth, and fifth unproveds, but his argument does not work for the third. Sextus misstates the truth conditions of its leading premiss, and the argument does not go through under the correct truth conditions. Galen also had trouble accommodating the Stoic third unproved in his hypothetical syllogistic, rejecting the possibility of a hypothetical syllogism whose leading premiss is a Stoic negated conjunction. There is an error common to both authors, which is that they both require the leading premiss of the third unproved to be a proposition which announces an inference, with the remainder of the argument enacting the inference. Such an error betrays a misunderstanding of how the Stoic unproveds are supposed to work.</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pStyle w:val="Heading2"/>
      </w:pPr>
      <w:r>
        <w:t>857.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pStyle w:val="Heading2"/>
      </w:pPr>
      <w:r>
        <w:t>858.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r>
        <w:rPr>
          <w:b/>
        </w:rPr>
        <w:t>POSSIBLE 2025:</w:t>
      </w:r>
      <w:r>
        <w:t xml:space="preserve"> Participatory toponym handling: Preserving local names in Indonesia — https://doi.org/10.3990/1.9789036565905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Toponym Handling: Preserving Local Names in Indonesia investigates the development of a Participatory Toponym Handling (PTH) framework to preserve local geographical names (toponyms) in Indonesia. The study addresses gaps in traditional toponym handling approaches by incorporating citizen participation and fostering collaboration among diverse stakeholders, including government agencies, researchers, non-governmental organizations, and local communities. The research objectives are threefold: to assess the current state and challenges of toponym handling, to develop a generic PTH framework tailored to the Indonesian context, and to implement and evaluate this framework in practical projects. The methodology encompasses literature reviews, stakeholder analyses, and participatory projects conducted in Indonesia. These projects engaged citizens through mobile applications, workshops, and community-driven surveys to collect and enrich toponymic information. The findings demonstrate the substantial contribution of citizen participation to the enhancement of toponymic datasets by incorporating cultural, historical, and linguistic insights. The PTH framework effectively facilitated collaborative learning and knowledge exchange among stakeholders. However, the study also identified challenges, including legal and organizational barriers, data quality assurance, and partic</w:t>
      </w:r>
    </w:p>
    <w:p>
      <w:pPr/>
      <w:r>
        <w:rPr>
          <w:b/>
        </w:rPr>
        <w:t>POSSIBLE 2025:</w:t>
      </w:r>
      <w:r>
        <w:t xml:space="preserve"> The Assessment of the Backcasting Technique's Role in Thai Regenerative Design Practice as a Built Environment Design Tool — https://doi.org/10.29227/im-2025-02-02-057</w:t>
      </w:r>
    </w:p>
    <w:p>
      <w:pPr/>
      <w:r>
        <w:rPr>
          <w:b/>
        </w:rPr>
        <w:t>Shared claim-specific concepts:</w:t>
      </w:r>
      <w:r>
        <w:t xml:space="preserve"> backcasting, methodology; EU scope not established. This is a provisional connection, not an outcome finding.</w:t>
      </w:r>
    </w:p>
    <w:p>
      <w:pPr>
        <w:pStyle w:val="SourceNote"/>
      </w:pPr>
      <w:r>
        <w:rPr>
          <w:b/>
        </w:rPr>
        <w:t>Available abstract (not full text):</w:t>
      </w:r>
      <w:r>
        <w:t xml:space="preserve"> Thai Regenerative Design Practice serves as a tool in the built environment design and planning process, specifically tailored to the Thai socio-environmental context. This practice integrates the principles of regenerative design, the Thai Rating of Energy and Environmental Sustainability (TREES), and the backcasting technique to address existing gaps in regenerative design practices, enhancing efficiency in design and planning strategies for comprehensive sustainability. Existing studies indicate that regenerative design principles and TREES share ideological and procedural similarities, guiding genuinely sustainable design. Meanwhile, the backcasting technique is primarily utilised to establish desirable goals within strategic planning processes. Fundamentally, backcasting involves creating a normative vision of the future and then designing pathways back to the present to determine the steps necessary to achieve these goals. This approach ensures that present-day decisions facilitate long-term sustainable change. However, in Thailand, the backcasting technique has not yet been applied within the built environment design and planning process. This study regards it as an opportunity and seeks to evaluate the effectiveness of the backcasting technique as a fundamental component of the Thai Regenerative Design Practice, examining its role in enhancing the credibility of this ap</w:t>
      </w:r>
    </w:p>
    <w:p>
      <w:pPr>
        <w:pStyle w:val="Heading2"/>
      </w:pPr>
      <w:r>
        <w:t>859.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pStyle w:val="Heading2"/>
      </w:pPr>
      <w:r>
        <w:t>860.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2024:</w:t>
      </w:r>
      <w:r>
        <w:t xml:space="preserve"> Developing a societal impact evaluation framework for sustainable European University Alliances — https://doi.org/10.1038/s41598-024-63933-9</w:t>
      </w:r>
    </w:p>
    <w:p>
      <w:pPr/>
      <w:r>
        <w:rPr>
          <w:b/>
        </w:rPr>
        <w:t>Shared claim-specific concepts:</w:t>
      </w:r>
      <w:r>
        <w:t xml:space="preserve"> evaluation, field; EU scope visible. This is a provisional connection, not an outcome finding.</w:t>
      </w:r>
    </w:p>
    <w:p>
      <w:pPr>
        <w:pStyle w:val="SourceNote"/>
      </w:pPr>
      <w:r>
        <w:rPr>
          <w:b/>
        </w:rPr>
        <w:t>Available abstract (not full text):</w:t>
      </w:r>
      <w:r>
        <w:t xml:space="preserve"> European University alliances, formally introduced in 2019, are rapidly expanding, as more than 400 million euros have been dedicated in 2023 by the European Commission to foster international collaborations to promote new forms of development within and beyond university communities. By undertaking interventionist research on UNITA - Universitas Montium, one of the largest European alliances, representing 160.000 students, this paper aims to illustrate how a university alliance is tasked with developing an internal assessment methodology to account for the societal benefits created by the project for the academic and civil communities. The elaboration of the assessment tool to assess the contribution to higher education and societal sustainable communities has brought researchers to discover etic and emic implications, revealing the existence of an accountability layer in which the international alliance directly engages with rural and mountain communities in marginalized areas. This research marks a significant advancement in the field of higher education sustainability, providing both a novel analytical perspective on the benefits of university alliances for the development of local sustainable communities and a methodological tool for their assessment.</w:t>
      </w:r>
    </w:p>
    <w:p>
      <w:pPr/>
      <w:r>
        <w:rPr>
          <w:b/>
        </w:rPr>
        <w:t>POSSIBLE 2024:</w:t>
      </w:r>
      <w:r>
        <w:t xml:space="preserve"> A Systematic Survey and Critical Review on Evaluating Large Language Models: Challenges, Limitations, and Recommendations — https://doi.org/10.48550/arxiv.2407.04069</w:t>
      </w:r>
    </w:p>
    <w:p>
      <w:pPr/>
      <w:r>
        <w:rPr>
          <w:b/>
        </w:rPr>
        <w:t>Shared claim-specific concepts:</w:t>
      </w:r>
      <w:r>
        <w:t xml:space="preserve"> evaluation, review, evaluating; EU scope not established. This is a provisional connection, not an outcome finding.</w:t>
      </w:r>
    </w:p>
    <w:p>
      <w:pPr>
        <w:pStyle w:val="SourceNote"/>
      </w:pPr>
      <w:r>
        <w:rPr>
          <w:b/>
        </w:rPr>
        <w:t>Available abstract (not full text):</w:t>
      </w:r>
      <w:r>
        <w:t xml:space="preserve"> Large Language Models (LLMs) have recently gained significant attention due to their remarkable capabilities in performing diverse tasks across various domains. However, a thorough evaluation of these models is crucial before deploying them in real-world applications to ensure they produce reliable performance. Despite the well-established importance of evaluating LLMs in the community, the complexity of the evaluation process has led to varied evaluation setups, causing inconsistencies in findings and interpretations. To address this, we systematically review the primary challenges and limitations causing these inconsistencies and unreliable evaluations in various steps of LLM evaluation. Based on our critical review, we present our perspectives and recommendations to ensure LLM evaluations are reproducible, reliable, and robust.</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pStyle w:val="Heading2"/>
      </w:pPr>
      <w:r>
        <w:t>861.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pStyle w:val="Heading2"/>
      </w:pPr>
      <w:r>
        <w:t>862.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2024:</w:t>
      </w:r>
      <w:r>
        <w:t xml:space="preserve"> INDICATORS FOR EVALUATING THE EFFECTIVENESS OF PUBLIC-PRIVATE PARTNERSHIP PROJECTS IN THE FIELD OF VOCATIONAL EDUCATION: EUROPEAN EXPERIENCE — https://doi.org/10.32835/2707-3092.2024.29.21-37</w:t>
      </w:r>
    </w:p>
    <w:p>
      <w:pPr/>
      <w:r>
        <w:rPr>
          <w:b/>
        </w:rPr>
        <w:t>Shared claim-specific concepts:</w:t>
      </w:r>
      <w:r>
        <w:t xml:space="preserve"> create, set, indicators; EU scope visible. This is a provisional connection, not an outcome finding.</w:t>
      </w:r>
    </w:p>
    <w:p>
      <w:pPr>
        <w:pStyle w:val="SourceNote"/>
      </w:pPr>
      <w:r>
        <w:rPr>
          <w:b/>
        </w:rPr>
        <w:t>Available abstract (not full text):</w:t>
      </w:r>
      <w:r>
        <w:t xml:space="preserve"> Relevance. It is determined by the European integration trends of vocational education in Ukraine, which requires the study and implementation of the best practices of implementing public-private partnership projects in the EU; a system of indicators for assessing the effectiveness of PPP projects in the field of vocational education in Ukraine has been developed. Aim: to identify the main indicators for assessing the impact of public-private partnerships on the quality of vocational education in the EU and to develop a system of indicators for assessing the quality of PPP projects in vocational education in Ukraine. Methods: analysis – to determine the main indicators for assessing the effectiveness of the implementation of PPP projects in vocational education; generalization – to formulate conclusions and recommendations for improving the system of indicators for assessing the quality of PPP projects in vocational education in Ukraine. Results: it was found that the key quality indicators of PPP projects in the vocational education system include the following ones: Relevance and Alignment with Labor Market Needs; Quality of Training Delivery; Learner Outcomes and Satisfaction; Sustainability and Scalability; Stakeholder Engagement; Regulatory Compliance and Quality Assurance; Equity and Accessibility; Innovation and Responsiveness; Impact on Economic and Social Development;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indicators, socioeconomic,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Spatial indicators of digital economy in Russia and Еurope — https://doi.org/10.35595/2414-9179-2023-1-29-5-19</w:t>
      </w:r>
    </w:p>
    <w:p>
      <w:pPr/>
      <w:r>
        <w:rPr>
          <w:b/>
        </w:rPr>
        <w:t>Shared claim-specific concepts:</w:t>
      </w:r>
      <w:r>
        <w:t xml:space="preserve"> set, indicators, socioeconomic, concentration, based; EU scope visible. This is a provisional connection, not an outcome finding.</w:t>
      </w:r>
    </w:p>
    <w:p>
      <w:pPr>
        <w:pStyle w:val="SourceNote"/>
      </w:pPr>
      <w:r>
        <w:rPr>
          <w:b/>
        </w:rPr>
        <w:t>Available abstract (not full text):</w:t>
      </w:r>
      <w:r>
        <w:t xml:space="preserve"> Despite its significant socioeconomic impact, quantitative evaluation of the digital economy faces several obstacles. Spatial aspects of the digital economy and the relationship between digitization and well-being require further study for a full understanding of the socioeconomic impact on regional and local development. In light of this, the authors of the study aim to select socioeconomic indicators for assessing the development of the digital economy in regions of Russia and European countries, using an overlapping set of initial indicators. The study identified criteria for selecting indicators that characterize the geographic distribution of digital economic activity. Selected indicators include concentration of digital business and startups in specific regions, availability of high-speed internet and mobile networks, level of e-commerce activity, population computer skills, and business digitalization. The study also identified issues with the lack of some important indicators for assessing the digital economy at the regional level in Russia. Based on the collected database, a series of maps were created to assess the spatial development of the digital economy in Russia and Europe. Results show significant differences in the development of the digital economy in Russia and Europe, as well as some limitations in the evaluation methodology, such as data availability and di</w:t>
      </w:r>
    </w:p>
    <w:p>
      <w:pPr>
        <w:pStyle w:val="Heading2"/>
      </w:pPr>
      <w:r>
        <w:t>863.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864.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865.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pStyle w:val="Heading2"/>
      </w:pPr>
      <w:r>
        <w:t>866.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pStyle w:val="Heading2"/>
      </w:pPr>
      <w:r>
        <w:t>867.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868.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2024:</w:t>
      </w:r>
      <w:r>
        <w:t xml:space="preserve"> The Impact of Board Gender Diversity on European Firms’ Performance: The Moderating Role of Liquidity — https://doi.org/10.3390/jrfm17080359</w:t>
      </w:r>
    </w:p>
    <w:p>
      <w:pPr/>
      <w:r>
        <w:rPr>
          <w:b/>
        </w:rPr>
        <w:t>Shared claim-specific concepts:</w:t>
      </w:r>
      <w:r>
        <w:t xml:space="preserve"> sample, firms, period; EU scope visible. This is a provisional connection, not an outcome finding.</w:t>
      </w:r>
    </w:p>
    <w:p>
      <w:pPr>
        <w:pStyle w:val="SourceNote"/>
      </w:pPr>
      <w:r>
        <w:rPr>
          <w:b/>
        </w:rPr>
        <w:t>Available abstract (not full text):</w:t>
      </w:r>
      <w:r>
        <w:t xml:space="preserve"> This study examines how board gender diversity affects listed non-financial European companies’ financial performance. Data from the Refinitiv Eikon Platform—LSEG and World Bank databases was used to complete the analysis. The total sample included 4257 companies for the period 2011–2023. This study examined board gender diversity and its interaction with liquidity while controlling for board characteristics such as board size, independence, and board meetings. Controlling for firm characteristics (firm size and leverage) and macroeconomic variables like inflation and GDP. This study estimated the connection using panel regression. Due to Hausman test significance, fixed effect estimation was used. The findings demonstrated a notable and favorable influence of board features, such as gender diversity, board independence, and board size, on European nonfinancial companies. Additionally, liquidity positively affects firm performance. Furthermore, the findings indicated that leverage had a significant negative impact on profitability. Finally, both the size and GDP have a significant beneficial impact on profitability. Our findings indicate that an increased representation of women on the board of directors is associated with greater independence among board members and a higher number of board members being hired. This, in turn, has a positive impact on profitability due to the e</w:t>
      </w:r>
    </w:p>
    <w:p>
      <w:pPr>
        <w:pStyle w:val="Heading2"/>
      </w:pPr>
      <w:r>
        <w:t>869.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pStyle w:val="Heading2"/>
      </w:pPr>
      <w:r>
        <w:t>870.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pStyle w:val="Heading2"/>
      </w:pPr>
      <w:r>
        <w:t>871.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2024:</w:t>
      </w:r>
      <w:r>
        <w:t xml:space="preserve"> Assessing FDA REMS Program through Workshop — https://doi.org/10.1200/acon.12.00157</w:t>
      </w:r>
    </w:p>
    <w:p>
      <w:pPr/>
      <w:r>
        <w:rPr>
          <w:b/>
        </w:rPr>
        <w:t>Shared claim-specific concepts:</w:t>
      </w:r>
      <w:r>
        <w:t xml:space="preserve"> workshop, various, assessments; EU scope not established. This is a provisional connection, not an outcome finding.</w:t>
      </w:r>
    </w:p>
    <w:p>
      <w:pPr>
        <w:pStyle w:val="SourceNote"/>
      </w:pPr>
      <w:r>
        <w:rPr>
          <w:b/>
        </w:rPr>
        <w:t>Available abstract (not full text):</w:t>
      </w:r>
      <w:r>
        <w:t xml:space="preserve"> During the June 7, 2012, FDA public workshop, “Risk Evaluation and Mitigation Strategy (REMS) Assessments: Social Science Methodologies to Assess Goals Related to Knowledge,” ASCO REMS Working Group Chair James Frame, MD, FACP, stressed various REMS challenges that can detract from patient care because of administrative burden and system redundancy. In addition, he presented</w:t>
      </w:r>
    </w:p>
    <w:p>
      <w:pPr/>
      <w:r>
        <w:rPr>
          <w:b/>
        </w:rPr>
        <w:t>POSSIBLE 2024:</w:t>
      </w:r>
      <w:r>
        <w:t xml:space="preserve"> Methodological Challenges of Prospective Assessments — https://doi.org/10.1007/978-3-031-48359-2_12</w:t>
      </w:r>
    </w:p>
    <w:p>
      <w:pPr/>
      <w:r>
        <w:rPr>
          <w:b/>
        </w:rPr>
        <w:t>Shared claim-specific concepts:</w:t>
      </w:r>
      <w:r>
        <w:t xml:space="preserve"> used, assessments, method; EU scope not established. This is a provisional connection, not an outcome finding.</w:t>
      </w:r>
    </w:p>
    <w:p>
      <w:pPr>
        <w:pStyle w:val="SourceNote"/>
      </w:pPr>
      <w:r>
        <w:rPr>
          <w:b/>
        </w:rPr>
        <w:t>Available abstract (not full text):</w:t>
      </w:r>
      <w:r>
        <w:t xml:space="preserve"> Abstract Traditionally, environmental, economic, and social impact assessments of technological innovations have been conducted retrospectively, which means assessing the present or past impacts of products and services. However, for the evaluation of future aspects of technological developments, alternative assessment methods are needed. Prospective assessment is a future-oriented method that can be used to assess environmental, economic, and social impacts. Prospective assessments, like retrospective assessments, provide guidance to decision-makers, including technology developers, policymakers, and manufacturers. Despite the benefits offered by such assessments, a standard method to follow when conducting a prospective assessment presently does not exist. This section focuses on the methodological challenges of prospective assessments for the evaluation of the impacts of emerging technologies, with a particular focus on emerging battery technologies. Four key challenges of prospective assessments are defined and discussed, being data availability and quality, scaling issues, uncertainty management and variability, and comparability. Each of these challenges is described, and existing methods are suggested to mitigate the challenges. The section concludes by emphasising the need for harmonised and standardised methods when communicating results related to prospective LCAs. In</w:t>
      </w:r>
    </w:p>
    <w:p>
      <w:pPr>
        <w:pStyle w:val="Heading2"/>
      </w:pPr>
      <w:r>
        <w:t>872.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r>
        <w:rPr>
          <w:b/>
        </w:rPr>
        <w:t>POSSIBLE 2025:</w:t>
      </w:r>
      <w:r>
        <w:t xml:space="preserve"> The Role of Intellectual Capital in Enhancing Strategic Foresight — https://openalex.org/W7216857037</w:t>
      </w:r>
    </w:p>
    <w:p>
      <w:pPr/>
      <w:r>
        <w:rPr>
          <w:b/>
        </w:rPr>
        <w:t>Shared claim-specific concepts:</w:t>
      </w:r>
      <w:r>
        <w:t xml:space="preserve"> foresight, strategic; EU scope not established. This is a provisional connection, not an outcome finding.</w:t>
      </w:r>
    </w:p>
    <w:p>
      <w:pPr>
        <w:pStyle w:val="SourceNote"/>
      </w:pPr>
      <w:r>
        <w:rPr>
          <w:b/>
        </w:rPr>
        <w:t>Available abstract (not full text):</w:t>
      </w:r>
      <w:r>
        <w:t xml:space="preserve"> This study examines the relationship between intellectual capital and strategic foresight within the Iraqi Federal Commission of Integrity, focusing on the impact of human, structural, and relational capital. Using a structured questionnaire distributed to 200 employees, with 164 valid responses analyzed, the study employs a quantitative approach supported by statistical analysis through SPSS. Results reveal a significant and positive relationship between intellectual capital and strategic foresight, with each dimension contributing uniquely to enhancing foresight capabilities. Human capital fosters creativity and knowledge application, structural capital provides robust systems and processes, and relational capital strengthens external collaboration and information flow. The findings underscore the importance of intellectual capital as a strategic resource for anticipating and preparing for future challenges. Limitations of the study, including its focus on a single institution and reliance on self reported data, are acknowledged, with suggestions for future research to include diverse sectors, explore mediating variables, and adopt longitudinal designs. This study highlights the critical role of intellectual capital in fostering organizational foresight and resilience.</w:t>
      </w:r>
    </w:p>
    <w:p>
      <w:pPr>
        <w:pStyle w:val="Heading2"/>
      </w:pPr>
      <w:r>
        <w:t>873.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Health-related selection into employment among the unemployed — https://doi.org/10.1186/s12889-022-13023-0</w:t>
      </w:r>
    </w:p>
    <w:p>
      <w:pPr/>
      <w:r>
        <w:rPr>
          <w:b/>
        </w:rPr>
        <w:t>Shared claim-specific concepts:</w:t>
      </w:r>
      <w:r>
        <w:t xml:space="preserve"> unemployed, people, aged, between; EU scope not established. This is a provisional connection, not an outcome finding.</w:t>
      </w:r>
    </w:p>
    <w:p>
      <w:pPr>
        <w:pStyle w:val="SourceNote"/>
      </w:pPr>
      <w:r>
        <w:rPr>
          <w:b/>
        </w:rPr>
        <w:t>Available abstract (not full text):</w:t>
      </w:r>
      <w:r>
        <w:t xml:space="preserve"> BACKGROUND: Successful transitions from unemployment to employment are an important concern, yet little is known about health-related selection into employment. We assessed the association of various physical and psychiatric conditions with finding employment, and employment stability. METHODS: Using total population register data, we followed Finnish residents aged 30-60 with an unemployment spell during 2009-2018 (n = 814,085) for two years from the onset of unemployment. We predicted any, stable, and unstable employment by health status using Cox proportional hazards models. The data on specialized health care and prescription reimbursement were used to identify any alcohol-related conditions and poisonings, psychiatric conditions and self-harm, injuries, and physical conditions. We further separated physical conditions into cancer, diabetes, heart disease, and neurological conditions, and psychiatric conditions into depression, anxiety disorders and substance use disorders. RESULTS: The likelihood of any employment was lower among those who had any of the assessed health conditions. It was lowest among those with alcohol-related or psychiatric conditions with an age-adjusted hazard ratio of 0.45 (95% confidence interval 0.44, 0.46) among men and 0.39 (0.38, 0.41) among women for alcohol-related and 0.64 (0.63, 0.65) and 0.66 (0.65, 0.67) for psychiatric conditions, respecti</w:t>
      </w:r>
    </w:p>
    <w:p>
      <w:pPr/>
      <w:r>
        <w:rPr>
          <w:b/>
        </w:rPr>
        <w:t>POSSIBLE 2022:</w:t>
      </w:r>
      <w:r>
        <w:t xml:space="preserve"> Training during recessions: recent European evidence — https://doi.org/10.2478/izajolp-2022-0007</w:t>
      </w:r>
    </w:p>
    <w:p>
      <w:pPr/>
      <w:r>
        <w:rPr>
          <w:b/>
        </w:rPr>
        <w:t>Shared claim-specific concepts:</w:t>
      </w:r>
      <w:r>
        <w:t xml:space="preserve"> recent, unemployed, times; EU scope visible. This is a provisional connection, not an outcome finding.</w:t>
      </w:r>
    </w:p>
    <w:p>
      <w:pPr>
        <w:pStyle w:val="SourceNote"/>
      </w:pPr>
      <w:r>
        <w:rPr>
          <w:b/>
        </w:rPr>
        <w:t>Available abstract (not full text):</w:t>
      </w:r>
      <w:r>
        <w:t xml:space="preserve"> Abstract We use European Union Labour Force Survey data for the period 2005–2018 to investigate the cyclicality of training in Europe. Consistent with the view that firms use recessions as times to update skills, we find that training participation is moderately countercyclical for the employed. Within the not-employed group, this is true also for the unemployed, who are likely to be involved in public training programs during recessions, but not for the inactive, who may be affected by liquidity constraints.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pStyle w:val="Heading2"/>
      </w:pPr>
      <w:r>
        <w:t>874.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Decarbonizing the cement industry: Findings from coupling prospective life cycle assessment of clinker with integrated assessment model scenarios — https://doi.org/10.1016/j.jclepro.2024.141884</w:t>
      </w:r>
    </w:p>
    <w:p>
      <w:pPr/>
      <w:r>
        <w:rPr>
          <w:b/>
        </w:rPr>
        <w:t>Shared claim-specific concepts:</w:t>
      </w:r>
      <w:r>
        <w:t xml:space="preserve"> integrated, impacts, assessment, climate; EU scope not established. This is a provisional connection, not an outcome finding.</w:t>
      </w:r>
    </w:p>
    <w:p>
      <w:pPr>
        <w:pStyle w:val="SourceNote"/>
      </w:pPr>
      <w:r>
        <w:rPr>
          <w:b/>
        </w:rPr>
        <w:t>Available abstract (not full text):</w:t>
      </w:r>
      <w:r>
        <w:t xml:space="preserve"> In the race to achieve global climate neutrality, carbon intensive industries like the clinker and cement industry are required to decarbonize rapidly. The environmental impacts related to potential transition pathways to low-carbon systems can be evaluated using prospective life cycle assessment (pLCA). This study conducts a pLCA for future global clinker production, integrating long-term transition pathways from the IMAGE integrated assessment model (IAM) to maintain global consistency. It systematically modifies the ecoinvent v3.9.1 database using the Python library premise to create future database versions representing future clinker production embedded in a future economy according to a 3.5°C-baseline, a 2°C-compliant and a 1.5°C-compliant scenario. Our study indicates that climate change impacts of clinker production may decrease from about 1.03 kg CO2-eq/kg clinker in 2020 to 0.94 (3.5°C-baseline), 0.20 (2°C-compliant), and 0.16 (1.5°C-compliant) kg CO2-eq/kg clinker in 2060 for the global average. This corresponds to a 10% (3.5°C-baseline), 81% (2°C-compliant) and 84% (1.5°C-compliant) decrease by 2060 compared to 2020. Under these scenarios, global clinker production alone would require 5%–11% of the remaining end-of-century carbon budget for the 2 °C and 1.5°C-target, respectively. While the climate change impacts are substantially reduced, our study also indicates t</w:t>
      </w:r>
    </w:p>
    <w:p>
      <w:pPr/>
      <w:r>
        <w:rPr>
          <w:b/>
        </w:rPr>
        <w:t>POSSIBLE 2024:</w:t>
      </w:r>
      <w:r>
        <w:t xml:space="preserve"> Exploring Health Impact Assessment in Europe — https://doi.org/10.2427/5878</w:t>
      </w:r>
    </w:p>
    <w:p>
      <w:pPr/>
      <w:r>
        <w:rPr>
          <w:b/>
        </w:rPr>
        <w:t>Shared claim-specific concepts:</w:t>
      </w:r>
      <w:r>
        <w:t xml:space="preserve"> health, impacts, assessment;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An integrated inventory of One Health tools: Mapping and analysis of globally available tools to advance One Health — https://doi.org/10.1079/cabionehealth.2024.0017</w:t>
      </w:r>
    </w:p>
    <w:p>
      <w:pPr/>
      <w:r>
        <w:rPr>
          <w:b/>
        </w:rPr>
        <w:t>Shared claim-specific concepts:</w:t>
      </w:r>
      <w:r>
        <w:t xml:space="preserve"> integrated, health, assessment, three; EU scope not established. This is a provisional connection, not an outcome finding.</w:t>
      </w:r>
    </w:p>
    <w:p>
      <w:pPr>
        <w:pStyle w:val="SourceNote"/>
      </w:pPr>
      <w:r>
        <w:rPr>
          <w:b/>
        </w:rPr>
        <w:t>Available abstract (not full text):</w:t>
      </w:r>
      <w:r>
        <w:t xml:space="preserve"> Abstract The global demand from multi-sectoral partners for operational tools for One Health implementation and capacity building is increasing, yet a validated global inventory of One Health tools did not exist. Here, we map and analyze available One Health tools and assess their suitability to support One Health implementation, including the One Health Joint Plan of Action 2022–2026 (OH JPA). Our objectives were to identify (i) publicly available One Health tools to support capacity building and OH JPA implementation; (ii) optimal outcomes for countries/regions using available One Health tools; (iii) linkages to OH JPA Action Tracks and pathways in the One Health Theory of Change (TOC); and (iv) gaps and priorities for the development of additional One Health tools. One Health High Level Expert Panel (OHHLEP) members compiled information on One Health tools that were publicly available and released up to June 30, 2023, via online sources and partner networks including the Quadripartite organizations. Inclusion criteria addressed One Health relevance, use at the national, subnational, or regional level in ≥5 locations, and publicly available information. Tools were assessed for applicability by OH JPA action track, TOC pathway, scope, and intended outcomes, as well as the extent to which tools addressed gender equality, social inclusion, and environmental dimensions of One Hea</w:t>
      </w:r>
    </w:p>
    <w:p>
      <w:pPr>
        <w:pStyle w:val="Heading2"/>
      </w:pPr>
      <w:r>
        <w:t>875.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Impact of forest landscape restoration in combating soil erosion in the Lake Abaya catchment, Southern Ethiopia — https://doi.org/10.1007/s10661-024-12378-8</w:t>
      </w:r>
    </w:p>
    <w:p>
      <w:pPr/>
      <w:r>
        <w:rPr>
          <w:b/>
        </w:rPr>
        <w:t>Shared claim-specific concepts:</w:t>
      </w:r>
      <w:r>
        <w:t xml:space="preserve"> catchment, soil, areas; EU scope not established. This is a provisional connection, not an outcome finding.</w:t>
      </w:r>
    </w:p>
    <w:p>
      <w:pPr>
        <w:pStyle w:val="SourceNote"/>
      </w:pPr>
      <w:r>
        <w:rPr>
          <w:b/>
        </w:rPr>
        <w:t>Available abstract (not full text):</w:t>
      </w:r>
      <w:r>
        <w:t xml:space="preserve"> As an effect of forest degradation, soil erosion is among Ethiopia's most pressing environmental challenges and a major threat to food security where it could potentially compromise the ecosystem functions and services. As the effects of soil erosion intensify, the landscape's capacity to support ecosystem functions and services is compromised. Exploring the ecological implications of soil erosion is crucial. This study investigated the soil loss and land degradation in the Lake Abaya catchment to explore forest landscape restoration (FLR) implementation as a possible countermeasure to the effects. The study used a geographic information system (GIS)-based approach of the Revised Universal Soil Loss Equation (RUSLE) to determine the potential annual soil loss and develop an erosion risk map. Results show that 13% of the catchment, which accounts for approximately 110,000 ha, is under high erosion risk of exceeding the average annual tolerable soil loss of 10 t/ha/year. Allocation of land on steep slopes to crop production is the major reason for the calculated high erosion risk in the catchment. A scenario-based analysis was implemented following the slope-based land-use allocation proposal indicated in the Rural Land Use Proclamation 456/2005 of Ethiopia. The scenario analysis resulted in a reversal erosion effect whereby an estimated 3000 t/ha/year of soil loss in the catchme</w:t>
      </w:r>
    </w:p>
    <w:p>
      <w:pPr>
        <w:pStyle w:val="Heading2"/>
      </w:pPr>
      <w:r>
        <w:t>876.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pStyle w:val="Heading2"/>
      </w:pPr>
      <w:r>
        <w:t>877.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pStyle w:val="Heading2"/>
      </w:pPr>
      <w:r>
        <w:t>878.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pStyle w:val="Heading2"/>
      </w:pPr>
      <w:r>
        <w:t>879.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2025:</w:t>
      </w:r>
      <w:r>
        <w:t xml:space="preserve"> Uncertain climate futures - on optimality and robustness of climate adaptation options — https://doi.org/10.23967/icossar.2025.010</w:t>
      </w:r>
    </w:p>
    <w:p>
      <w:pPr/>
      <w:r>
        <w:rPr>
          <w:b/>
        </w:rPr>
        <w:t>Shared claim-specific concepts:</w:t>
      </w:r>
      <w:r>
        <w:t xml:space="preserve"> adaptation, options, significant, assessment; EU scope not established. This is a provisional connection, not an outcome finding.</w:t>
      </w:r>
    </w:p>
    <w:p>
      <w:pPr>
        <w:pStyle w:val="SourceNote"/>
      </w:pPr>
      <w:r>
        <w:rPr>
          <w:b/>
        </w:rPr>
        <w:t>Available abstract (not full text):</w:t>
      </w:r>
      <w:r>
        <w:t xml:space="preserve"> Climate change poses significant risk to civil infrastructure systems, exacerbated by epistemic uncertainties (also known as deep uncertainty) arising from limited knowledge about climate change.Consistently accounting for these epistemic uncertainties in developing decision support for the planning, design, and assessment/adaptation of civil infrastructure systems presents a critical challenge for society.This study introduces a risk-informed decision support framework that incorporates a new approach to represent epistemic uncertainty in decision-making.In particular, the proposed approach assigns probabilities to relevant climate scenarios based on expert opinions (e.g., from climate scientists, engineers), reflecting the degree of belief they hold about the likelihood of different future projections.This probabilistic representation of epistemic uncertainty differs from conventional robust decision-making approaches, such as the minimax regret (MMR), which typically relies on non-probabilistic methods.A case study compares the proposed approach with MMR, showing that the proposed approach is more effective on selecting decisions that are both optimal and robust based on the associated risk, whereas MMR focuses solely on robustness while neglecting the optimality.</w:t>
      </w:r>
    </w:p>
    <w:p>
      <w:pPr>
        <w:pStyle w:val="Heading2"/>
      </w:pPr>
      <w:r>
        <w:t>880.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2024:</w:t>
      </w:r>
      <w:r>
        <w:t xml:space="preserve"> Technical, economic and ecological assessment of European sustainable aviation fuels (SAF) production — https://doi.org/10.1007/s13272-024-00714-0</w:t>
      </w:r>
    </w:p>
    <w:p>
      <w:pPr/>
      <w:r>
        <w:rPr>
          <w:b/>
        </w:rPr>
        <w:t>Shared claim-specific concepts:</w:t>
      </w:r>
      <w:r>
        <w:t xml:space="preserve"> assessment, range, between, compared; EU scope visible. This is a provisional connection, not an outcome finding.</w:t>
      </w:r>
    </w:p>
    <w:p>
      <w:pPr>
        <w:pStyle w:val="SourceNote"/>
      </w:pPr>
      <w:r>
        <w:rPr>
          <w:b/>
        </w:rPr>
        <w:t>Available abstract (not full text):</w:t>
      </w:r>
      <w:r>
        <w:t xml:space="preserve"> Abstract Multiple options for sustainable alternatives to fossil kerosene have been assessed. The route using biomass gasification, hotgas cleaning, hydrogen addition (derived from water electrolysis using renewable power), Fischer-Tropsch synthesis and product upgrading towards ASTM D7566 certified SAF has technical, economic and environmental advantages to be discussed in detail. The technical assessment shows carbon resp. energy efficiency of fuel production at 61% resp. 55%. The economic assessment of brown-field installations in Finland predicts costs in the range of 1.00 €2019/l. For the evaluation of 200 MWth biomass plus 160.2 MWe grid power plant size, an electricity price and biomass price of 42 €2019/t and 51 €2019/MWh were assumed, respectively. The environmental assessment shows a global warming potential reduction of 91% (corresponds to 8.8 gCO2-eq./MJFuel,LHV) compared to fossil fuel using Finnish wind energy and biomass residues, far better than the required 65% GWP reduction of the European RED II regulation. Based on the techno-economic and environmental assessment of the preferred FT route, a European deployment potential between 10 and 60 Mt/a SAF seems achievable in early 2030 years. The authors propose to implement appropriate regulation with high urgency.</w:t>
      </w:r>
    </w:p>
    <w:p>
      <w:pPr>
        <w:pStyle w:val="Heading2"/>
      </w:pPr>
      <w:r>
        <w:t>881.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882.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2024:</w:t>
      </w:r>
      <w:r>
        <w:t xml:space="preserve"> Modeling arsenic in European topsoils with a coupled semiparametric (GAMLSS-RF) model for censored data — https://doi.org/10.1016/j.envint.2024.108544</w:t>
      </w:r>
    </w:p>
    <w:p>
      <w:pPr/>
      <w:r>
        <w:rPr>
          <w:b/>
        </w:rPr>
        <w:t>Shared claim-specific concepts:</w:t>
      </w:r>
      <w:r>
        <w:t xml:space="preserve"> used, two; EU scope visible. This is a provisional connection, not an outcome finding.</w:t>
      </w:r>
    </w:p>
    <w:p>
      <w:pPr>
        <w:pStyle w:val="SourceNote"/>
      </w:pPr>
      <w:r>
        <w:rPr>
          <w:b/>
        </w:rPr>
        <w:t>Available abstract (not full text):</w:t>
      </w:r>
      <w:r>
        <w:t xml:space="preserve"> Arsenic (As) is a versatile heavy metalloid trace element extensively used in industrial applications. As is carcinogen, poses health risks through both inhalation and ingestion, and is associated with an increased risk of liver, kidney, lung, and bladder tumors. In the agricultural context, the repeated application of arsenical products leads to elevated soil concentrations, which are also affected by environmental and management variables. Since exposure to As poses risks, effective assessment tools to support environmental and health policies are needed. However, the most comprehensive soil As data available, the Land Use/Cover Area frame statistical Survey (LUCAS) database, contains severe limitations due to high detection limits. Although within International Organization for Standardization standards, the detection limits preclude the adoption of standard methodologies for data analysis. The present work focused on developing a new method to model As contamination in European soils using LUCAS soil samples. We introduce the GAMLSS-RF model, a novel approach that couples Random Forests with Generalized Additive Models for Location, Scale, and Shape. The semiparametric model can capture non-linear interactions among input variables while accommodating censored and non-censored observations and can be calibrated to include information from other campaign databases. After fit</w:t>
      </w:r>
    </w:p>
    <w:p>
      <w:pPr/>
      <w:r>
        <w:rPr>
          <w:b/>
        </w:rPr>
        <w:t>POSSIBLE 2024:</w:t>
      </w:r>
      <w:r>
        <w:t xml:space="preserve"> The key role of sufficiency for low demand-based carbon neutrality and energy security across Europe — https://doi.org/10.1038/s41467-024-53393-0</w:t>
      </w:r>
    </w:p>
    <w:p>
      <w:pPr/>
      <w:r>
        <w:rPr>
          <w:b/>
        </w:rPr>
        <w:t>Shared claim-specific concepts:</w:t>
      </w:r>
      <w:r>
        <w:t xml:space="preserve"> bottom-up, energy, role; EU scope visible. This is a provisional connection, not an outcome finding.</w:t>
      </w:r>
    </w:p>
    <w:p>
      <w:pPr>
        <w:pStyle w:val="SourceNote"/>
      </w:pPr>
      <w:r>
        <w:rPr>
          <w:b/>
        </w:rPr>
        <w:t>Available abstract (not full text):</w:t>
      </w:r>
      <w:r>
        <w:t xml:space="preserve"> C compatible pathway is provided for Europe from a bottom-up, country scale modelling perspective. The level of detail enables a clear representation of the potential of sufficiency measures. Results show that by 2050, 50% final energy demand reduction compared to 2019 is possible in Europe, with at least 40% of it attributable to various sufficiency measures across all sectors. This reduction enables a 77% renewable energy share in 2040 and 100% in 2050, with very limited need for imports from outside of Europe and no carbon sequestration technologies. Sufficiency enables increased fairness between countries through the convergence towards a more equitable share of energy service levels. Here we show, that without sufficiency measures, Europe misses the opportunity to transform energy demand leaving considerable pressure on supply side changes combined with unproven carbon removal technologies.</w:t>
      </w:r>
    </w:p>
    <w:p>
      <w:pPr>
        <w:pStyle w:val="Heading2"/>
      </w:pPr>
      <w:r>
        <w:t>883.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2024:</w:t>
      </w:r>
      <w:r>
        <w:t xml:space="preserve"> Smart grids: A comprehensive survey of challenges, industry applications, and future trends — https://doi.org/10.1016/j.egyr.2024.05.051</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With the increasing energy demands of the 21st century, there is a clear need for developing a more sustainable method of energy generation, distribution, and transmission. Modern power grid infrastructures are currently managing these aspects, though their outdated configuration results in rigid and inefficient operation. The emerging technology of Smart Grids offers innovative solutions to these issues, utilizing advanced communication and computation structures. Through the integration of a bidirectional power and information flow, smart systems, and renewable energy sources, Smart Grids are the next generation of power grids, enabling cooperativity, automation, and efficiency. Even on small scales, the proposed benefits of the Smart Grid are substantial in maintaining sustainable energy use with growing demands. In this survey, we provide a comprehensive overview of Smart Grid technology, specifically focusing on the challenges presented by cybersecurity, interoperability, and renewable energy integration. These aspects were determined to be the most prevalent issues facing the advancement of Smart Grids, specifically for global application. We discuss these challenges thoroughly, determining the difficulties they induce and proposed solutions presented in literature. As such, this survey is intended to be a reference for other researchers, providing state-of-the-art approa</w:t>
      </w:r>
    </w:p>
    <w:p>
      <w:pPr/>
      <w:r>
        <w:rPr>
          <w:b/>
        </w:rPr>
        <w:t>POSSIBLE 2024:</w:t>
      </w:r>
      <w:r>
        <w:t xml:space="preserve"> Vulnerability of Machine Learning Approaches Applied in IoT-Based Smart Grid: A Review — https://doi.org/10.1109/jiot.2024.3349381</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Machine learning (ML) sees an increasing prevalence of being used in the internet-of-things (IoT)-based smart grid. However, the trustworthiness of ML is a severe issue that must be addressed to accommodate the trend of ML-based smart grid applications (MLsgAPPs). The adversarial distortion injected into the power signal will greatly affect the system’s normal control and operation. Therefore, it is imperative to conduct vulnerability assessment for MLsgAPPs applied in the safety-critical power systems. In this paper, we provide a comprehensive review of the recent progress in designing attack and defense methods for MLsgAPPs. Unlike the traditional survey about ML security, this is the first review work about the security of MLsgAPPs that focuses on the characteristics of power systems. We first highlight the specifics for constructing adversarial attacks on MLsgAPPs. Then, the vulnerability of MLsgAPP is analyzed from the perspective of the power system and ML model, respectively. Afterward, a comprehensive survey is conducted to review and compare existing studies about the adversarial attacks on MLsgAPPs in scenarios of generation, transmission, distribution, and consumption, and the countermeasures are reviewed according to the attacks that they defend against. Finally, the future research directions are discussed on the attacker’s and defender’s side, respectively. We als</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pStyle w:val="Heading2"/>
      </w:pPr>
      <w:r>
        <w:t>884.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2021:</w:t>
      </w:r>
      <w:r>
        <w:t xml:space="preserve"> Transboundary Marine Spatial Planning in European Sea Basins: Experimenting with Collaborative Planning and Governance — https://doi.org/10.1080/02697459.2021.2015855</w:t>
      </w:r>
    </w:p>
    <w:p>
      <w:pPr/>
      <w:r>
        <w:rPr>
          <w:b/>
        </w:rPr>
        <w:t>Shared claim-specific concepts:</w:t>
      </w:r>
      <w:r>
        <w:t xml:space="preserve"> planning, approach, developed, framework; EU scope visible. This is a provisional connection, not an outcome finding.</w:t>
      </w:r>
    </w:p>
    <w:p>
      <w:pPr>
        <w:pStyle w:val="SourceNote"/>
      </w:pPr>
      <w:r>
        <w:rPr>
          <w:b/>
        </w:rPr>
        <w:t>Available abstract (not full text):</w:t>
      </w:r>
      <w:r>
        <w:t xml:space="preserve"> This article employs a multi-disciplinary planning and political science perspective to examine transboundary marine spatial planning (TMSP) in European sea basins through a collaborative governance and planning framework. The article argues that TMSP is a breeding ground for collaborative planning and governance in the Baltic Sea, North Sea and Adriatic Sea Regions. Collaborative governance and planning models can be developed into an effective framework for MSP policymakers, practitioners and researchers to structure and evaluate TMSP practices. The approach can potentially contribute towards overcoming TMSP challenges and to increasing cohesion and alignment of national marine spatial plans within European sea basins.</w:t>
      </w:r>
    </w:p>
    <w:p>
      <w:pPr>
        <w:pStyle w:val="Heading2"/>
      </w:pPr>
      <w:r>
        <w:t>885.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2023:</w:t>
      </w:r>
      <w:r>
        <w:t xml:space="preserve"> Preliminary Results of Modular Embedded Tool Implementation — https://doi.org/10.1109/fie58773.2023.10342639</w:t>
      </w:r>
    </w:p>
    <w:p>
      <w:pPr/>
      <w:r>
        <w:rPr>
          <w:b/>
        </w:rPr>
        <w:t>Shared claim-specific concepts:</w:t>
      </w:r>
      <w:r>
        <w:t xml:space="preserve"> tool, theoretical, project; EU scope not established. This is a provisional connection, not an outcome finding.</w:t>
      </w:r>
    </w:p>
    <w:p>
      <w:pPr>
        <w:pStyle w:val="SourceNote"/>
      </w:pPr>
      <w:r>
        <w:rPr>
          <w:b/>
        </w:rPr>
        <w:t>Available abstract (not full text):</w:t>
      </w:r>
      <w:r>
        <w:t xml:space="preserve"> This work in progress paper reports on research that aims to measure student success in embedded systems upon implementing two educational hardware modules. Extending the research from Establishing Baseline Data on Student Success in Embedded Systems Education, the authors found that current projects within the Electrical and Computer Engineering curriculum at the University of New Haven do not sufficiently engage students, educate on embedded topics, nor inspire curiosity for independent learning. Courses following a traditional theoretical approach to embedded systems education do not leave a strong enough impression on students throughout their courses, nor best prepare students for the challenges of working in industry. To remedy these educational challenges, a novel series of Modular Embedded Tools (METs) has been developed to increase student competency, motivation and interest, level of independent ability to complete project assignments, their connection of embedded systems to other disciplines, and student readiness to solve real-world problems. Each tool has a design function targeting specific aspects of electrical engineering and embedded systems. Accompanying each designed tool are a series of projects to educate on the targeted subject. This paper presents data collected from the 2022-2023 academic year, highlighting the result of administration of new projects ut</w:t>
      </w:r>
    </w:p>
    <w:p>
      <w:pPr/>
      <w:r>
        <w:rPr>
          <w:b/>
        </w:rPr>
        <w:t>POSSIBLE 2023:</w:t>
      </w:r>
      <w:r>
        <w:t xml:space="preserve"> “Inference to the best explanation” as a methodology of social ontology — https://doi.org/10.22394/2074-0492-2023-4-122-140</w:t>
      </w:r>
    </w:p>
    <w:p>
      <w:pPr/>
      <w:r>
        <w:rPr>
          <w:b/>
        </w:rPr>
        <w:t>Shared claim-specific concepts:</w:t>
      </w:r>
      <w:r>
        <w:t xml:space="preserve"> shows, implement, theoretical, explanation; EU scope not established. This is a provisional connection, not an outcome finding.</w:t>
      </w:r>
    </w:p>
    <w:p>
      <w:pPr>
        <w:pStyle w:val="SourceNote"/>
      </w:pPr>
      <w:r>
        <w:rPr>
          <w:b/>
        </w:rPr>
        <w:t>Available abstract (not full text):</w:t>
      </w:r>
      <w:r>
        <w:t xml:space="preserve"> The article discusses the problem of the naturalistic methodology of social ontology. Following Katherine Hawley's (2018) analysis, the author considers three approaches: conceptual analysis, the ameliorative (or normative) approach, and inference to the best explanation (from best social science to social ontology). Hawley concludes that only the first two can provide a viable naturalistic social metaphysics, and the latter cannot. The author, drawing on the notion of naturalistic limitations of social ontology, shows that only a conclusion to the best explanation can lead to a consistent realistic social ontology; this methodology avoids the problem of being rooted in concepts that do not have an empirical basis, which contradicts realism, and also does not imply normative prescription, which also contradicts the realistic description of the world. The problem critics attribute to inference to the best explanation - the lack of a predictively strong theoretical core of social theory from which to infer social ontology - can be resolved by satisfying three criteria (Turner, 2007): physical realizability, computability, and cognitive realism. The author proposes to implement them through the introduction of naturalistic restrictions into game theory. Formal models of coordination described by a correlated equilibrium - coupled with evolutionary explanations of the cognitive mec</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pStyle w:val="Heading2"/>
      </w:pPr>
      <w:r>
        <w:t>886.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pStyle w:val="Heading2"/>
      </w:pPr>
      <w:r>
        <w:t>887.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pStyle w:val="Heading2"/>
      </w:pPr>
      <w:r>
        <w:t>888.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pStyle w:val="Heading2"/>
      </w:pPr>
      <w:r>
        <w:t>889.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2024:</w:t>
      </w:r>
      <w:r>
        <w:t xml:space="preserve"> Is larger really better? Productivity and firm size in European electricity generation sectors — https://doi.org/10.1016/j.jclepro.2024.141382</w:t>
      </w:r>
    </w:p>
    <w:p>
      <w:pPr/>
      <w:r>
        <w:rPr>
          <w:b/>
        </w:rPr>
        <w:t>Shared claim-specific concepts:</w:t>
      </w:r>
      <w:r>
        <w:t xml:space="preserve"> electricity, renewable, generation, substantial, sectors; EU scope visible. This is a provisional connection, not an outcome finding.</w:t>
      </w:r>
    </w:p>
    <w:p>
      <w:pPr>
        <w:pStyle w:val="SourceNote"/>
      </w:pPr>
      <w:r>
        <w:rPr>
          <w:b/>
        </w:rPr>
        <w:t>Available abstract (not full text):</w:t>
      </w:r>
      <w:r>
        <w:t xml:space="preserve"> Although a conventional wisdom claims that larger firms perform better than smaller ones, the conclusions drawn by the literature are ambiguous. This study examines the effect of firm size on productivity, using a dataset on European electricity generators from 2012 to 2020. European electricity generation sectors are particularly interesting given the substantial liberalisations in the past decades and strong subsidisation of electricity generated from renewables. Next to estimating productivity of electricity generators and establishing a link between firm size and performance in this industry, the analysis allows for heterogeneity of impacts of firm size on productivity across various dimensions (e.g., regulation scheme, state ownership), as firm size may attenuate or fuel associated problems and benefits. Besides, it adds to the literature by investigating whether and how renewable subsidies impact reallocation from the technically less efficient to the more productive firms, since they often favour smaller generators in European countries that might be less productive. The overall results highlight that firm size significantly boosts firm performance. Effects, however, diminish with size. Last, renewable subsidies deteriorate allocative efficiency. Hence, renewable subsidies favouring smaller generators are at the cost of allocative efficiency.</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pStyle w:val="Heading2"/>
      </w:pPr>
      <w:r>
        <w:t>890.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r>
        <w:rPr>
          <w:b/>
        </w:rPr>
        <w:t>POSSIBLE 2024:</w:t>
      </w:r>
      <w:r>
        <w:t xml:space="preserve"> Comparison of high pm10 concentration between Łódź and smaller municipalities of Central Poland in 2012–2023 in the light of meteorological conditions — https://doi.org/10.26485/agl/2024/117/3</w:t>
      </w:r>
    </w:p>
    <w:p>
      <w:pPr/>
      <w:r>
        <w:rPr>
          <w:b/>
        </w:rPr>
        <w:t>Shared claim-specific concepts:</w:t>
      </w:r>
      <w:r>
        <w:t xml:space="preserve"> pm10, concentrations, emission; EU scope visible. This is a provisional connection, not an outcome finding.</w:t>
      </w:r>
    </w:p>
    <w:p>
      <w:pPr>
        <w:pStyle w:val="SourceNote"/>
      </w:pPr>
      <w:r>
        <w:rPr>
          <w:b/>
        </w:rPr>
        <w:t>Available abstract (not full text):</w:t>
      </w:r>
      <w:r>
        <w:t xml:space="preserve"> Long-term human exposure to particulate matter with a size equal to or less than 10 micrometers may lead to serious health problems such as respiratory and cardiovascular diseases or cancer. Whereas in most of Europe the number of premature deaths decreased significantly over more than a decade, in Poland, it remained at the same level. In Central Poland, as in the rest of the country, the main reason for high PM10 concentrations is low-level emission from single-family houses, which are often poorly insulated and heated by old furnaces with low-quality fuels or substitutes (i.e., wastes). The high concentration of PM10 in winter is exaggerated by meteorological conditions that usually do not favour the dispersion of pollutants. High and very high PM10 concentrations occurred during anticyclonic weather, when high pressure, limited turbulence, subsidence of the air, low wind speed and lack of precipitation hindered air pollution removal. The highest probability of high PM10 concentration episodes is for the air mass inflow from the eastern (NE–E) and southern (SW–S) sectors when the anticyclone center is located in the north-east or south-east of Poland. Additionally, decreasing temperatures in winter increase the demand for heating and coal combustion. In Central Poland, from 2012 to 2023, the air quality significantly improved. Since 2019, the annual PM10 standards have been </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pStyle w:val="Heading2"/>
      </w:pPr>
      <w:r>
        <w:t>891.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pStyle w:val="Heading2"/>
      </w:pPr>
      <w:r>
        <w:t>892.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2023:</w:t>
      </w:r>
      <w:r>
        <w:t xml:space="preserve"> The social economy in Europe as an alternative development model — https://doi.org/10.1080/02255189.2023.2182276</w:t>
      </w:r>
    </w:p>
    <w:p>
      <w:pPr/>
      <w:r>
        <w:rPr>
          <w:b/>
        </w:rPr>
        <w:t>Shared claim-specific concepts:</w:t>
      </w:r>
      <w:r>
        <w:t xml:space="preserve"> alternative, reference; EU scope visible. This is a provisional connection, not an outcome finding.</w:t>
      </w:r>
    </w:p>
    <w:p>
      <w:pPr>
        <w:pStyle w:val="SourceNote"/>
      </w:pPr>
      <w:r>
        <w:rPr>
          <w:b/>
        </w:rPr>
        <w:t>Available abstract (not full text):</w:t>
      </w:r>
      <w:r>
        <w:t xml:space="preserve"> The social economy in Europe has grown in strength over the last 40 years. This paper analyses the different dynamics that are at play within the social economy. On the one hand, it appears to have a unique approach to social and business organisation integrated within the current construction of the Single Market and the Economic and Monetary Union. On the other hand, together with the political, social, feminist and environmental movements that pursue the same objective, it is seen as a reference for economic organisation towards a development model different to the current model based on neoliberal capitalism.</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pStyle w:val="Heading2"/>
      </w:pPr>
      <w:r>
        <w:t>893.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pStyle w:val="Heading2"/>
      </w:pPr>
      <w:r>
        <w:t>894.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2024:</w:t>
      </w:r>
      <w:r>
        <w:t xml:space="preserve"> Effects of reduced pesticide use on winter wheat production in the Canadian Prairies — https://doi.org/10.1139/cjps-2024-0043</w:t>
      </w:r>
    </w:p>
    <w:p>
      <w:pPr/>
      <w:r>
        <w:rPr>
          <w:b/>
        </w:rPr>
        <w:t>Shared claim-specific concepts:</w:t>
      </w:r>
      <w:r>
        <w:t xml:space="preserve"> wheat, yield, compared; EU scope not established. This is a provisional connection, not an outcome finding.</w:t>
      </w:r>
    </w:p>
    <w:p>
      <w:pPr>
        <w:pStyle w:val="SourceNote"/>
      </w:pPr>
      <w:r>
        <w:rPr>
          <w:b/>
        </w:rPr>
        <w:t>Available abstract (not full text):</w:t>
      </w:r>
      <w:r>
        <w:t xml:space="preserve"> Winter wheat ( Triticum aestivum L.) is a highly competitive crop with the potential to enhance on-farm revenue and reduce reliance on crop protection inputs. The adoption of winter wheat in the Canadian Prairies has varied significantly over recent decades; however, improved weed and disease management practices could facilitate stability of hectares cultivated. To assess current and alternative pesticide management practices, we conducted a study across 15 site-years at four locations over 4 years (2018–2022). Experimental treatments included pre-plant weed management (glyphosate vs. glyphosate mixed with pyroxasulfone + carfentrazone-ethyl), in-crop weed management (no in-crop herbicide vs. fall-applied 2,4-D vs. fall-applied 2,4-D + spring-applied site-year-specific herbicides), and in-crop fungicide management (no in-crop fungicide vs. one prothioconazole + tebuconazole application at Zadoks Growth Stage (ZGS) 60 vs. two prothioconazole + tebuconazole applications at ZGS32 and ZGS60). Pre-plant glyphosate alone and glyphosate tank-mixed with pyroxasulfone + carfentrazone-ethyl exhibited comparable effects on grain yield, quality parameters, and agronomic characteristics. In-crop weed management had no significant influence on these factors compared to the no in-crop herbicide control, suggesting that in-crop herbicide applications are unnecessary due to the high competitiv</w:t>
      </w:r>
    </w:p>
    <w:p>
      <w:pPr/>
      <w:r>
        <w:rPr>
          <w:b/>
        </w:rPr>
        <w:t>POSSIBLE 2024:</w:t>
      </w:r>
      <w:r>
        <w:t xml:space="preserve"> The development of bio-based industry in the European Union: A prospective integrated modelling assessment — https://doi.org/10.1016/j.ecolecon.2024.108156</w:t>
      </w:r>
    </w:p>
    <w:p>
      <w:pPr/>
      <w:r>
        <w:rPr>
          <w:b/>
        </w:rPr>
        <w:t>Shared claim-specific concepts:</w:t>
      </w:r>
      <w:r>
        <w:t xml:space="preserve"> increase, union, dynamics; EU scope visible. This is a provisional connection, not an outcome finding.</w:t>
      </w:r>
    </w:p>
    <w:p>
      <w:pPr>
        <w:pStyle w:val="SourceNote"/>
      </w:pPr>
      <w:r>
        <w:rPr>
          <w:b/>
        </w:rPr>
        <w:t>Available abstract (not full text):</w:t>
      </w:r>
      <w:r>
        <w:t xml:space="preserve"> Quantitative bioeconomy simulation models aid our understanding of the complex market driven dynamics accompanying the transition to a net-zero economy. This research addresses knowledge gaps in EU bioeconomy modelling capacity, particularly representations of contemporary bio-based industrial markets. Encompassing a comprehensive selection of biomass types and bioeconomy activities, an integrated model toolbox is constructed consisting of five state-of-the-art bioeconomy simulation models. Focusing on a public-policy driven bio-based industrial transformation, exploratory scenarios examine the synergies and trade-offs for the EU through the prism of its five bioeconomy pillars. Results indicate that the promotion of biomass for industry reduces fossil dependence, although if enacted globally, may result in a substantial increase in biomass demand. In addition, carbon taxes further accelerate market opportunities for bio-based alternatives, although a bio-based industry transformation contingent, at least in part, on woody and agricultural biomass feedstocks, will not achieve important reductions in emissions. Finally, in addition to a strict adherence to the principle of circularity in biomass usage, a socially responsible change in consumption behaviour represents an essential strategy for easing (agricultural) biomass market tensions.</w:t>
      </w:r>
    </w:p>
    <w:p>
      <w:pPr/>
      <w:r>
        <w:rPr>
          <w:b/>
        </w:rPr>
        <w:t>POSSIBLE 2024:</w:t>
      </w:r>
      <w:r>
        <w:t xml:space="preserve"> Adding mirror clauses within the European Green Deal: Hype or hope? — https://doi.org/10.1002/aepp.13434</w:t>
      </w:r>
    </w:p>
    <w:p>
      <w:pPr/>
      <w:r>
        <w:rPr>
          <w:b/>
        </w:rPr>
        <w:t>Shared claim-specific concepts:</w:t>
      </w:r>
      <w:r>
        <w:t xml:space="preserve"> based, countries; EU scope visible. This is a provisional connection, not an outcome finding.</w:t>
      </w:r>
    </w:p>
    <w:p>
      <w:pPr>
        <w:pStyle w:val="SourceNote"/>
      </w:pPr>
      <w:r>
        <w:rPr>
          <w:b/>
        </w:rPr>
        <w:t>Available abstract (not full text):</w:t>
      </w:r>
      <w:r>
        <w:t xml:space="preserve"> Abstract The proposed reductions in farm input uses foreseen in the European Green Deal may penalize European farm production while increasing environmental leakages to foreign countries where production may expand. These expected impacts have led to calls for a more restrictive trade policy based on mirror clauses. This paper considers as a case study a potential ban on glyphosate in vegetable and fruits production. We develop an original computable general equilibrium model with endogenous adoption of new European production standards by foreign producers on currently latent markets. We find in our case study that adding mirror clauses to the Green Deal marginally improves European farm income and the global environmental footprint of food. We find that foreign producers as a whole can gain from these clauses and not lose as in a standard analysis. European households support these clauses by paying higher food bills while consuming vegetables and fruits produced without glyphosate.</w:t>
      </w:r>
    </w:p>
    <w:p>
      <w:pPr>
        <w:pStyle w:val="Heading2"/>
      </w:pPr>
      <w:r>
        <w:t>895.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2022:</w:t>
      </w:r>
      <w:r>
        <w:t xml:space="preserve"> Contingency factors and budget actors' behaviour during COVID-19: the case of Uganda — https://doi.org/10.1108/jpbafm-03-2021-0058</w:t>
      </w:r>
    </w:p>
    <w:p>
      <w:pPr/>
      <w:r>
        <w:rPr>
          <w:b/>
        </w:rPr>
        <w:t>Shared claim-specific concepts:</w:t>
      </w:r>
      <w:r>
        <w:t xml:space="preserve"> multiple, contingency, national, countries; EU scope not established. This is a provisional connection, not an outcome finding.</w:t>
      </w:r>
    </w:p>
    <w:p>
      <w:pPr>
        <w:pStyle w:val="SourceNote"/>
      </w:pPr>
      <w:r>
        <w:rPr>
          <w:b/>
        </w:rPr>
        <w:t>Available abstract (not full text):</w:t>
      </w:r>
      <w:r>
        <w:t xml:space="preserve"> Purpose The purpose of this study is to examine the viewpoints and experiences of multiple budget actors to understand their particular budget related behaviours contingent upon the COVID-19 (C19) pandemic of a developing country. Design/methodology/approach This study uses Uganda as a case study and employs semi-structured interview method for the data collection. In trying to generate themes and patterns, data are analysed through three levels of coding: open, axial and selective coding. The contingency theory is used to interpret the data. Findings The task of budgeting formulation, implementation and control in times of C19 lead to varied actual behaviours of budget actors because of the environmental uncertainty, inappropriate structural and technological conditions and manipulative organisational cultures contingent upon the Ugandan C19 budget context. Research limitations/implications The insights generated from the study can be useful for the national governments of emerging economies, e.g. African countries, to understand the conditions that influence the budget actors' behaviour and together, develop long-term financial resilience strategies to face future emergencies. Originality/value This study contributes to accounting and public budgeting theory by showing that contingency theory is a relevant framework for understanding budget actors' behaviour in emergency situ</w:t>
      </w:r>
    </w:p>
    <w:p>
      <w:pPr>
        <w:pStyle w:val="Heading2"/>
      </w:pPr>
      <w:r>
        <w:t>896.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pStyle w:val="Heading2"/>
      </w:pPr>
      <w:r>
        <w:t>897.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Effects of the projected changes in land use and climate on soil vulnerability in Europe — https://doi.org/10.5194/egusphere-egu25-6131</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Effects of the projected changes in land use and climate on soil vulnerability in Europe — https://doi.org/10.15480/882.16429</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climate, two, based;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pStyle w:val="Heading2"/>
      </w:pPr>
      <w:r>
        <w:t>898.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pStyle w:val="Heading2"/>
      </w:pPr>
      <w:r>
        <w:t>899.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2023:</w:t>
      </w:r>
      <w:r>
        <w:t xml:space="preserve"> Development Trends of Reusable Launch Vehicles — https://doi.org/10.6108/kspe.2023.27.2.045</w:t>
      </w:r>
    </w:p>
    <w:p>
      <w:pPr/>
      <w:r>
        <w:rPr>
          <w:b/>
        </w:rPr>
        <w:t>Shared claim-specific concepts:</w:t>
      </w:r>
      <w:r>
        <w:t xml:space="preserve"> finally, makes, use; EU scope not established. This is a provisional connection, not an outcome finding.</w:t>
      </w:r>
    </w:p>
    <w:p>
      <w:pPr>
        <w:pStyle w:val="SourceNote"/>
      </w:pPr>
      <w:r>
        <w:rPr>
          <w:b/>
        </w:rPr>
        <w:t>Available abstract (not full text):</w:t>
      </w:r>
      <w:r>
        <w:t xml:space="preserve"> reuse.The Shuttle can be used to carry out missions in which scientists and technicians conduct experiments in Earth orbit or service automated satellites already orbiting.The Space Shuttle is the prime element of the U.S. Space Transportation System (STS) (fig.1-1 ) for space research and applications in future decades.Satellites of all types will be deployed and recovered by the Shuttle.Carrying payloads weighing up to 29 500 kilograms (65 000 pounds), the Space Shuttle will replace most of the expendable launch vehicles currently used and will be capable of launching deep-space missions into their initial low Earth orbit.It will also provide the first system capable of returning payloads from orbit on a routine basis.Shuttle crews will be able to retrieve satellites from Earth orbit and repair and redeploy them or bring them back to Earth for refurbishment and Development History In September 1969, a few months after the first manned lunar landing, a Space Task Group appointed by the President of the United States to study the future course of U.S. space research and exploration made the recommendation that "... the United States accept the basic goal of a balanced manned and unmanned space program.To achieve this goal, the United States should ... develop new systems of technology for space operation.., through a program directed initially toward development of a new space </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pStyle w:val="Heading2"/>
      </w:pPr>
      <w:r>
        <w:t>900.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pStyle w:val="Heading2"/>
      </w:pPr>
      <w:r>
        <w:t>901.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2024:</w:t>
      </w:r>
      <w:r>
        <w:t xml:space="preserve"> Conclusions with Recommendations — https://doi.org/10.4324/9781003361169-18</w:t>
      </w:r>
    </w:p>
    <w:p>
      <w:pPr/>
      <w:r>
        <w:rPr>
          <w:b/>
        </w:rPr>
        <w:t>Shared claim-specific concepts:</w:t>
      </w:r>
      <w:r>
        <w:t xml:space="preserve"> conclusions, recommendations, higher, education, key; EU scope not established. This is a provisional connection, not an outcome finding.</w:t>
      </w:r>
    </w:p>
    <w:p>
      <w:pPr>
        <w:pStyle w:val="SourceNote"/>
      </w:pPr>
      <w:r>
        <w:rPr>
          <w:b/>
        </w:rPr>
        <w:t>Available abstract (not full text):</w:t>
      </w:r>
      <w:r>
        <w:t xml:space="preserve"> The final chapter covers the key lessons learned throughout the research. They concern mishaps, misunderstandings as well as good practices and opportunities for cooperation between universities and non-governmental organizations in discussed countries. The chapter provides also more general conclusions and shows how the data collected and analysed on cross-sectoral cooperation can be used to foster civil society. Moving beyond the case of one specific country allows us to share not only recommendations on how to intensify cooperation between the third sector and the sector of higher education, but also enables to indicate areas and needs for further research.</w:t>
      </w:r>
    </w:p>
    <w:p>
      <w:pPr/>
      <w:r>
        <w:rPr>
          <w:b/>
        </w:rPr>
        <w:t>POSSIBLE 2024:</w:t>
      </w:r>
      <w:r>
        <w:t xml:space="preserve"> Sustainability as a market niche for internationalization of a born global SME: The case of a Central Eastern European firm strategy — https://doi.org/10.22495/cbsrv5i4art3</w:t>
      </w:r>
    </w:p>
    <w:p>
      <w:pPr/>
      <w:r>
        <w:rPr>
          <w:b/>
        </w:rPr>
        <w:t>Shared claim-specific concepts:</w:t>
      </w:r>
      <w:r>
        <w:t xml:space="preserve"> internationalization, process, international, key; EU scope visible. This is a provisional connection, not an outcome finding.</w:t>
      </w:r>
    </w:p>
    <w:p>
      <w:pPr>
        <w:pStyle w:val="SourceNote"/>
      </w:pPr>
      <w:r>
        <w:rPr>
          <w:b/>
        </w:rPr>
        <w:t>Available abstract (not full text):</w:t>
      </w:r>
      <w:r>
        <w:t xml:space="preserve"> Classical models often describe the internationalization of small and medium-sized enterprises (SMEs) as a gradual process and data underpins that SMEs are less likely to engage with foreign markets compared to larger firms. However, globalization and the proliferation of niche market opportunities stimulated some, primarily knowledge-intensive, SMEs to internationalize rapidly and to a great extent (Mushtaq et al., 2023). Such SMEs may play a crucial role in responding to global challenges, such as environmental sustainability, by offering economically viable solutions with global applicability. Yet, understanding the most important factors that affect the success and pace of their internationalization process requires further research. The purpose of the study is to contribute to the existing body of knowledge through the in-depth analysis of a born global (BG) Hungarian SME that offers an innovative and sustainability-focused service, with the aim of identifying the key driving forces behind its rapid international expansion. The paper uses a semi-structured interview-based case study method to respond to the call for geographical diversification in this research field and engages in the discussion by concluding that the entrepreneurs’ mindset and attitude play a pivotal role in capitalizing on a sustainability-oriented niche opportunity on the international stage, even amid</w:t>
      </w:r>
    </w:p>
    <w:p>
      <w:pPr>
        <w:pStyle w:val="Heading2"/>
      </w:pPr>
      <w:r>
        <w:t>902.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Actes des 22es Rencontres des Jeunes Chercheurs en Intelligence Artificielle — https://openalex.org/W4400479966</w:t>
      </w:r>
    </w:p>
    <w:p>
      <w:pPr/>
      <w:r>
        <w:rPr>
          <w:b/>
        </w:rPr>
        <w:t>Shared claim-specific concepts:</w:t>
      </w:r>
      <w:r>
        <w:t xml:space="preserve"> les, cadre, pour, une, article; EU scope visible. This is a provisional connection, not an outcome finding.</w:t>
      </w:r>
    </w:p>
    <w:p>
      <w:pPr>
        <w:pStyle w:val="SourceNote"/>
      </w:pPr>
      <w:r>
        <w:rPr>
          <w:b/>
        </w:rPr>
        <w:t>Available abstract (not full text):</w:t>
      </w:r>
      <w:r>
        <w:t xml:space="preserve"> Rencontres des Jeunes Chercheurs en Intelligence ArtificielleComme leur nom l'indique, les Rencontres des Jeunes Chercheurs en Intelligence Artificielle (RJCIA) sont destinées aux jeunes chercheurs en Intelligence Artificielle (IA), doctorants ou titulaires d'un doctorat depuis moins d'un an.A ce titre, l'objectif de cette manifestation est double : 1. permettre aux jeunes chercheurs préparant une thèse en IA, ou l'ayant soutenue depuis peu, de se rencontrer et de présenter leurs travaux, et d'ainsi nouer des contacts avec d'autres jeunes chercheurs et d'élargir leurs perspectives en échangeant avec des spécialistes d'autres domaines de l'IA ; 2. former les jeunes chercheurs à la préparation d'un article, à sa révision pour tenir compte des observations du comité de programme, et à sa présentation devant un auditoire de spécialistes, leur permettant ainsi d'obtenir des retours de chercheurs de leur domaine ou de domaines connexes.Toute contribution relevant de IA est la bienvenue ; l'IA s'invitant partout, traversant les disciplines et les défis en Recherche.Une liste non exhaustive de thématiques est donnée à titre indicatif : -recherche heuristique et résolution de problèmes ; -incertitude et intelligence artificielle ; -logique, satisfiabilité et satisfaction de contraintes ; -apprentissage automatique ; -extraction, ingénierie, représentation et gestion des connaissances et</w:t>
      </w:r>
    </w:p>
    <w:p>
      <w:pPr/>
      <w:r>
        <w:rPr>
          <w:b/>
        </w:rPr>
        <w:t>POSSIBLE 2024:</w:t>
      </w:r>
      <w:r>
        <w:t xml:space="preserve"> Voix Contemporaines. "Dialogues transmédiaux et transséculaires autour des Sueños de Quevedo" — https://openalex.org/W4406736714</w:t>
      </w:r>
    </w:p>
    <w:p>
      <w:pPr/>
      <w:r>
        <w:rPr>
          <w:b/>
        </w:rPr>
        <w:t>Shared claim-specific concepts:</w:t>
      </w:r>
      <w:r>
        <w:t xml:space="preserve"> second, tudie, les, pour, une, ici; EU scope not established. This is a provisional connection, not an outcome finding.</w:t>
      </w:r>
    </w:p>
    <w:p>
      <w:pPr>
        <w:pStyle w:val="SourceNote"/>
      </w:pPr>
      <w:r>
        <w:rPr>
          <w:b/>
        </w:rPr>
        <w:t>Available abstract (not full text):</w:t>
      </w:r>
      <w:r>
        <w:t xml:space="preserve"> Ce numéro de Voix contemporaines réunit quatre réflexions majeures sur Fran cisco de Quevedo, d'une part, et sur le sous-genre du sueño, d'autre part, et cela dans une démarche trans mé diale et trans sé cu laire au sein de laquelle dialoguent le texte du XVII siècle de Quevedo et des œuvres d'artistes et de drama turges des XX et XXI siècles. 1 e e e Le propos est ici de s'inter roger sur la manière dont un genre litté raire du XVII siècle, le sueño, peut inspirer l'art graphique et la drama turgie des XX et XXI siècles espa gnols.Sont ainsi analy sées les estampes d'Antonio Saura (1930-1998) et de Luis García-Ochoa (1920-2019), deux artistes du XX siècle qui illus trent les écrits de Quevedo à partir de la traduc tion fran çaise du Sieur de La Geneste pour le premier et d'une version en espa gnol pour le second.En outre, ce numéro étudie la (ré)écri ture théâ trale des Sueños 1 de Quevedo que propose en 2017 le drama turge José Luis Collado. 2 e e e e Ainsi, à partir d'une métho do logie réso lu ment trans dis ci pli naire, sont ici convo quées des grilles de lecture de nature inter mé diale -texte et gravures -, trans sé cu laire -XVII et XX -XXI siècles -et trans cul tu relle -version textuelle espa gnole de Quevedo et version textuelle fran çaise du Sieur de La Geneste.</w:t>
      </w:r>
    </w:p>
    <w:p>
      <w:pPr>
        <w:pStyle w:val="Heading2"/>
      </w:pPr>
      <w:r>
        <w:t>903.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pStyle w:val="Heading2"/>
      </w:pPr>
      <w:r>
        <w:t>904.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905.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906.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2025:</w:t>
      </w:r>
      <w:r>
        <w:t xml:space="preserve"> Assessing the driving forces of carbon dioxide emissions of the transport sector in Central Europe — https://doi.org/10.1016/j.trip.2025.101428</w:t>
      </w:r>
    </w:p>
    <w:p>
      <w:pPr/>
      <w:r>
        <w:rPr>
          <w:b/>
        </w:rPr>
        <w:t>Shared claim-specific concepts:</w:t>
      </w:r>
      <w:r>
        <w:t xml:space="preserve"> transport, sector, need, work, focusing; EU scope visible. This is a provisional connection, not an outcome finding.</w:t>
      </w:r>
    </w:p>
    <w:p>
      <w:pPr>
        <w:pStyle w:val="SourceNote"/>
      </w:pPr>
      <w:r>
        <w:rPr>
          <w:b/>
        </w:rPr>
        <w:t>Available abstract (not full text):</w:t>
      </w:r>
      <w:r>
        <w:t xml:space="preserve"> The transportation sector in Central Europe, encompassing Hungary, Poland, the Czech Republic, Slovakia, and Austria, has emerged as a significant contributor to CO 2 emissions, posing a critical challenge to the region’s climate goals. This study addresses the urgent need to understand the driving forces behind these emissions from 2001 to 2021, employing the Kaya identity and Logarithmic Mean Divisia Index (LMDI) method to decompose the changes into GDP growth, energy intensity, carbon intensity, and population effects. The analysis reveals that GDP growth, particularly in Poland and Slovakia, has been the dominant factor driving the increase in CO 2 emissions. However, the study also identifies successful reductions in energy and carbon intensity in Austria and Hungary, partially offsetting the emissions growth linked to their economic expansion. Despite these advancements, the slow transition to cleaner energy in Poland and Slovakia highlights the need for more aggressive policies. The minimal impact of population changes on emissions further underscores the importance of focusing on energy efficiency and renewable energy adoption. The findings suggest that to achieve substantial CO 2 reductions, Central European countries must implement targeted strategies tailored to their specific conditions. Future research should explore next-generation battery technologies, hydrogen f</w:t>
      </w:r>
    </w:p>
    <w:p>
      <w:pPr/>
      <w:r>
        <w:rPr>
          <w:b/>
        </w:rPr>
        <w:t>POSSIBLE 2025:</w:t>
      </w:r>
      <w:r>
        <w:t xml:space="preserve"> Investments in the green transition and their impact on economic growth and competitiveness in the European Union — https://doi.org/10.24136/oc.3963</w:t>
      </w:r>
    </w:p>
    <w:p>
      <w:pPr/>
      <w:r>
        <w:rPr>
          <w:b/>
        </w:rPr>
        <w:t>Shared claim-specific concepts:</w:t>
      </w:r>
      <w:r>
        <w:t xml:space="preserve"> investments, perspective, need; EU scope visible. This is a provisional connection, not an outcome finding.</w:t>
      </w:r>
    </w:p>
    <w:p>
      <w:pPr>
        <w:pStyle w:val="SourceNote"/>
      </w:pPr>
      <w:r>
        <w:rPr>
          <w:b/>
        </w:rPr>
        <w:t>Available abstract (not full text):</w:t>
      </w:r>
      <w:r>
        <w:t xml:space="preserve"> Research background: The European Union’s transition towards a green and sustainable-growth paradigm has been accelerated by flagship initiatives such as the European Green Deal, the NextGenerationEU Recovery Plan, and the Just Transition Mechanism. While the literature increasingly addresses renewable energy, energy efficiency, and circular economy dynamics, empirical evidence on how climate-related investments, public environmental expenditure, technological innovation, and structural disparities interact to shape competitiveness remains limited. Existing studies often analyze these factors in isolation, overlooking their systemic interdependencies and the heterogeneity among EU member states. Purpose of the article: This study examines how green transition investments shape economic competitiveness and circular value-added in the European Union. It evaluates the effects of climate mitigation spending, environmental protection, energy efficiency, renewable integration, and R&amp;D on sustainable performance while considering national heterogeneity. By capturing these interdependencies, the article advances the theoretical and empirical understanding of the green transition. Methods: A quantitative econometric framework based on panel data for the 27 EU member states over the period 2010–2023 was employed. The analysis relies on official Eurostat indicators capturing climate inves</w:t>
      </w:r>
    </w:p>
    <w:p>
      <w:pPr/>
      <w:r>
        <w:rPr>
          <w:b/>
        </w:rPr>
        <w:t>POSSIBLE 2025:</w:t>
      </w:r>
      <w:r>
        <w:t xml:space="preserve"> Entrepreneurial Orientation in Transport and Logistics Sector in the Last Decade: A Systematic Review — https://doi.org/10.61194/sijl.v3i4.900</w:t>
      </w:r>
    </w:p>
    <w:p>
      <w:pPr/>
      <w:r>
        <w:rPr>
          <w:b/>
        </w:rPr>
        <w:t>Shared claim-specific concepts:</w:t>
      </w:r>
      <w:r>
        <w:t xml:space="preserve"> transport, sector, need, focusing; EU scope visible. This is a provisional connection, not an outcome finding.</w:t>
      </w:r>
    </w:p>
    <w:p>
      <w:pPr>
        <w:pStyle w:val="SourceNote"/>
      </w:pPr>
      <w:r>
        <w:rPr>
          <w:b/>
        </w:rPr>
        <w:t>Available abstract (not full text):</w:t>
      </w:r>
      <w:r>
        <w:t xml:space="preserve"> This study provides a systematic quantitative assessment technique (SQAT) of entrepreneurial orientation (EO) research conducted between 2012 and 2021, focusing on the transport and logistics sector. This review aims to map and evaluate global Entrepreneurial Orientation (EO) research trends within the transport and logistics sector published between 2012 and 2021. A total of 100 EO-related publications from 34 countries were reviewed, with the majority published in 2019, by European scholars. Among all contributing nations, the United States recorded the highest number of EO publications. Most of the reviewed studies employed empirical approaches, while a smaller proportion were conceptual in nature. Four primary data collection methods were identified (surveys, secondary data, interviews, and observations), with surveys emerging as the most dominant technique. The review further revealed three major thematic areas: EO magnitude, EO consequences, and EO mechanisms, with the magnitude dimension receiving the greatest scholarly attention. The authors highlight the need for increased EO research in underrepresented regions such as South America and Australasia and advocate for more conceptual contributions to balance the dominance of empirical works. They also recommend the adoption of qualitative and mixed-method approaches to generate deeper insights, the use of qualitative and</w:t>
      </w:r>
    </w:p>
    <w:p>
      <w:pPr>
        <w:pStyle w:val="Heading2"/>
      </w:pPr>
      <w:r>
        <w:t>907.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pStyle w:val="Heading2"/>
      </w:pPr>
      <w:r>
        <w:t>908.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2025:</w:t>
      </w:r>
      <w:r>
        <w:t xml:space="preserve"> Hypertension care: the knowledge and attitudes of the community pharmacists — https://doi.org/10.1080/20523211.2025.2544635</w:t>
      </w:r>
    </w:p>
    <w:p>
      <w:pPr/>
      <w:r>
        <w:rPr>
          <w:b/>
        </w:rPr>
        <w:t>Shared claim-specific concepts:</w:t>
      </w:r>
      <w:r>
        <w:t xml:space="preserve"> community, pharmacists, role, health, pharmaceutical, services; EU scope visible. This is a provisional connection, not an outcome finding.</w:t>
      </w:r>
    </w:p>
    <w:p>
      <w:pPr>
        <w:pStyle w:val="SourceNote"/>
      </w:pPr>
      <w:r>
        <w:rPr>
          <w:b/>
        </w:rPr>
        <w:t>Available abstract (not full text):</w:t>
      </w:r>
      <w:r>
        <w:t xml:space="preserve"> Background: Hypertension is a major global risk factor for cardiovascular disease and mortality. In Greece, prevalence is about 40%, with many cases undiagnosed or poorly managed. While doctors remain central to diagnosis and treatment, community pharmacists, as accessible healthcare professionals, can support early detection and ongoing management. This study assesses Greek community pharmacists' knowledge of hypertension detection and management, focusing on their ability to measure blood pressure accurately, categorise hypertension, and understand lifestyle factors. Methods: A cross-sectional survey was conducted with 92 community pharmacists in Greece, using a structured questionnaire to assess knowledge of blood pressure measurement, hypertension categorisation, and lifestyle influences. The instrument collected demographic data and responses on hypertension management practices. Data were gathered between December 2022 and April 2023 and analysed using SPSS v22. Results: The survey revealed moderate to good knowledge levels among pharmacists, particularly in blood pressure measurement (mean score: 71.74%, SD = 16.08) and hypertension categorisation (mean score: 76.9%, SD = 8.48). Knowledge about lifestyle impacts on blood pressure was lower (mean score: 53.57%, SD = 15.65). Younger pharmacists (26 36 years old) demonstrated significantly higher lifestyle impact knowledge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pStyle w:val="Heading2"/>
      </w:pPr>
      <w:r>
        <w:t>909.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2023:</w:t>
      </w:r>
      <w:r>
        <w:t xml:space="preserve"> Hope and Optimism — https://doi.org/10.32920/24624660.v1</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Human beings are ambitious and goal-oriented creatures. Many, for example, aim at stable and fulfilling careers, good health, and happy families. Some also pursue broader aims, such as social justice, technological progress, or scientific discovery. But with such ambition comes adversity. When our central aims come under threat, as they inevitably do, we often find ourselves pessimistic or fearful. Despair might threaten to take hold. It is thus tempting to look to hope and optimism as ways of withstanding, or even smothering, these negative emotions. But should we? This review is a detailed examination of the nature and value of hope and optimism. By and large, American society affirms the value of hope and optimism. A brief glance at your local bookstore’s self-help section is sure to display such bestsellers as Norman Vincent Peale’s The Power of Positive Thinking and Jen Sincero’s You Are a Badass: How to Stop Doubting Your Greatness and Live an Awesome Life. In similar fashion, politicians seeking votes regularly promise us hope. Here we are reminded of Barack Obama’s well-known HOPE t-shirts and George W. Bush’s slogan, “A safer world and a more hopeful America” (Stitzlein 2019a, p. 5). But are hope and optimism really all they’re cracked up to be? There are growing doubts about the value of positive thinking. Speaking about the threat of climate change, Greta Thunberg re</w:t>
      </w:r>
    </w:p>
    <w:p>
      <w:pPr>
        <w:pStyle w:val="Heading2"/>
      </w:pPr>
      <w:r>
        <w:t>910.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pStyle w:val="Heading2"/>
      </w:pPr>
      <w:r>
        <w:t>911.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pStyle w:val="Heading2"/>
      </w:pPr>
      <w:r>
        <w:t>912.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r>
        <w:rPr>
          <w:b/>
        </w:rPr>
        <w:t>POSSIBLE 2025:</w:t>
      </w:r>
      <w:r>
        <w:t xml:space="preserve"> Multi-model ensemble of CMIP6 projections for past and future climate change on mean precipitation and temperature — https://doi.org/10.1186/s40068-025-00422-6</w:t>
      </w:r>
    </w:p>
    <w:p>
      <w:pPr/>
      <w:r>
        <w:rPr>
          <w:b/>
        </w:rPr>
        <w:t>Shared claim-specific concepts:</w:t>
      </w:r>
      <w:r>
        <w:t xml:space="preserve"> multi-model, ensemble, climate, projections, used, temperature; EU scope not established. This is a provisional connection, not an outcome finding.</w:t>
      </w:r>
    </w:p>
    <w:p>
      <w:pPr>
        <w:pStyle w:val="SourceNote"/>
      </w:pPr>
      <w:r>
        <w:rPr>
          <w:b/>
        </w:rPr>
        <w:t>Available abstract (not full text):</w:t>
      </w:r>
      <w:r>
        <w:t xml:space="preserve"> High-resolution climatic Projections are increasingly essential for informed decision-making and efficient adaptation and mitigation planning, especially in climatically sensitive regions such as the Baro River sub-basin in Ethiopia. This study applied station observation data with systematic bias correction utilizing quantile mapping. Historical and future climate trends were analyzed using multi-model ensembles from high-resolution Coupled Model Intercomparison Project phase 6 (CMIP6) under two Shared Socioeconomic Pathways (SSP2-4.5 and SSP5-8.5). The non-parametric Mann–Kendall test and Sen’s Slope estimator were used to detect trends in the 21st century. Historical records (1986–2014) reveal a distinct seasonal rainfall pattern, with peak rainfall occurring in July and August. Projections for the late 21st century (2081–2100) suggest significant increases in mean monthly rainfall by 20.6% (159.1 mm/month) under SSP2-4.5 and by 46.7% (193.5 mm/month) under SSP5-8.5 compared to the historical baseline (132.0 mm/month). Station-level analysis reveals pronounced spatial variability, with substantial increases in rainfall at Lare (+ 129.99%) and Gambella (+ 103.09%) under SSP5-8.5, while other stations show slight increases or even negative trends. Mean annual temperatures are projected to rise by up to 7.16% (reaching 23.69 °C) under SSP2-4.5 and by 18.83% (up to 26.27 °C) und</w:t>
      </w:r>
    </w:p>
    <w:p>
      <w:pPr/>
      <w:r>
        <w:rPr>
          <w:b/>
        </w:rPr>
        <w:t>POSSIBLE 2025:</w:t>
      </w:r>
      <w:r>
        <w:t xml:space="preserve"> Supplementary material to "A large transient multi-scenario multi-model ensemble of future streamflow and groundwater projections in France" — https://doi.org/10.5194/egusphere-2025-1788-supplement</w:t>
      </w:r>
    </w:p>
    <w:p>
      <w:pPr/>
      <w:r>
        <w:rPr>
          <w:b/>
        </w:rPr>
        <w:t>Shared claim-specific concepts:</w:t>
      </w:r>
      <w:r>
        <w:t xml:space="preserve"> multi-model, ensemble, climate, projections, estimate; EU scope visible. This is a provisional connection, not an outcome finding.</w:t>
      </w:r>
    </w:p>
    <w:p>
      <w:pPr>
        <w:pStyle w:val="SourceNote"/>
      </w:pPr>
      <w:r>
        <w:rPr>
          <w:b/>
        </w:rPr>
        <w:t>Available abstract (not full text):</w:t>
      </w:r>
      <w:r>
        <w:t xml:space="preserve"> A large transient multi-scenario and multi-model ensemble of future streamflow and groundwater projections in France developed in a national project named Explore2 was recently made available.The main objective of Explore2 is to provide rich and spatially-consistent information for the future evolution of hydrological (surface and groundwater) resources and extremes in France to support adaptation strategies.The Explore2 dataset was obtained using a nested multi-scenario 35 multi-model approach to estimate future uncertainty and to assess local climate at the catchment scale: three greenhouse gas</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pStyle w:val="Heading2"/>
      </w:pPr>
      <w:r>
        <w:t>913.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Partially Observable Markov Decision Processes and Robotics — https://doi.org/10.1146/annurev-control-042920-092451</w:t>
      </w:r>
    </w:p>
    <w:p>
      <w:pPr/>
      <w:r>
        <w:rPr>
          <w:b/>
        </w:rPr>
        <w:t>Shared claim-specific concepts:</w:t>
      </w:r>
      <w:r>
        <w:t xml:space="preserve"> applying, partially, over, decades; EU scope not established. This is a provisional connection, not an outcome finding.</w:t>
      </w:r>
    </w:p>
    <w:p>
      <w:pPr>
        <w:pStyle w:val="SourceNote"/>
      </w:pPr>
      <w:r>
        <w:rPr>
          <w:b/>
        </w:rPr>
        <w:t>Available abstract (not full text):</w:t>
      </w:r>
      <w:r>
        <w:t xml:space="preserve"> Planning under uncertainty is critical to robotics. The partially observable Markov decision process (POMDP) is a mathematical framework for such planning problems. POMDPs are powerful because of their careful quantification of the nondeterministic effects of actions and the partial observability of the states. But for the same reason, they are notorious for their high computational complexity and have been deemed impractical for robotics. However, over the past two decades, the development of sampling-based approximate solvers has led to tremendous advances in POMDP-solving capabilities. Although these solvers do not generate the optimal solution, they can compute good POMDP solutions that significantly improve the robustness of robotics systems within reasonable computational resources, thereby making POMDPs practical for many realistic robotics problems. This article presents a review of POMDPs, emphasizing computational issues that have hindered their practicality in robotics and ideas in sampling-based solvers that have alleviated such difficulties, together with lessons learned from applying POMDPs to physical robots.</w:t>
      </w:r>
    </w:p>
    <w:p>
      <w:pPr>
        <w:pStyle w:val="Heading2"/>
      </w:pPr>
      <w:r>
        <w:t>914.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2025:</w:t>
      </w:r>
      <w:r>
        <w:t xml:space="preserve"> The benefits and trade-offs of multi-variable calibration of the WaterGAP global hydrological model (WGHM) in the Ganges and Brahmaputra basins — https://doi.org/10.5194/hess-29-567-2025</w:t>
      </w:r>
    </w:p>
    <w:p>
      <w:pPr/>
      <w:r>
        <w:rPr>
          <w:b/>
        </w:rPr>
        <w:t>Shared claim-specific concepts:</w:t>
      </w:r>
      <w:r>
        <w:t xml:space="preserve"> hydrological, simulations, water, streamflow, uncertainty; EU scope not established. This is a provisional connection, not an outcome finding.</w:t>
      </w:r>
    </w:p>
    <w:p>
      <w:pPr>
        <w:pStyle w:val="SourceNote"/>
      </w:pPr>
      <w:r>
        <w:rPr>
          <w:b/>
        </w:rPr>
        <w:t>Available abstract (not full text):</w:t>
      </w:r>
      <w:r>
        <w:t xml:space="preserve"> Abstract. While global hydrological models (GHMs) are affected by large uncertainties regarding model structure, forcing and calibration data, and parameters, observations of model output variables are rarely used to calibrate the model. Pareto dominance-based multi-objective calibration, often referred to as Pareto-Optimal Calibration (POC), may serve to estimate model parameter sets and analyse trade-offs among different objectives during calibration. Within a POC framework, we determined optimal parameter sets for the WaterGAP Global Hydrology Model (WGHM) in the two largest basins of the Indian subcontinent—the Ganges and the Brahmaputra, collectively supporting nearly 580 million inhabitants. The selected model parameters, determined through a multi-variable multi-signature sensitivity analysis, were estimated using up to four types of observations: in-situ streamflow (Q), GRACE and GRACE Follow-On total water storage anomalies (TWSA), LandFlux evapotranspiration (ET), and surface water storage anomalies (SWSA) derived from multi-satellite observations. While our sensitivity analysis assured that the model parameters that are most influential for the four variables were identified in a transparent and comprehensive way, the rather large number of calibration parameters, 10 for the Ganges and 16 for the Brahmaputra, had a negative impact on parameter identifiability during </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pStyle w:val="Heading2"/>
      </w:pPr>
      <w:r>
        <w:t>915.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pStyle w:val="Heading2"/>
      </w:pPr>
      <w:r>
        <w:t>916.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r>
        <w:rPr>
          <w:b/>
        </w:rPr>
        <w:t>POSSIBLE 2024:</w:t>
      </w:r>
      <w:r>
        <w:t xml:space="preserve"> Exploring the Untapped Potential of Neuromarketing in Online Learning: Implications and Challenges for the Higher Education Sector in Europe — https://doi.org/10.3390/bs14020080</w:t>
      </w:r>
    </w:p>
    <w:p>
      <w:pPr/>
      <w:r>
        <w:rPr>
          <w:b/>
        </w:rPr>
        <w:t>Shared claim-specific concepts:</w:t>
      </w:r>
      <w:r>
        <w:t xml:space="preserve"> potential, implications, sector; EU scope visible. This is a provisional connection, not an outcome finding.</w:t>
      </w:r>
    </w:p>
    <w:p>
      <w:pPr>
        <w:pStyle w:val="SourceNote"/>
      </w:pPr>
      <w:r>
        <w:rPr>
          <w:b/>
        </w:rPr>
        <w:t>Available abstract (not full text):</w:t>
      </w:r>
      <w:r>
        <w:t xml:space="preserve"> This research investigates the impact of applying neuromarketing techniques to three practical examples of higher education (HE) branding: an official college website page, an official college Facebook page, and recorded online video lectures used for teaching at HE institutions. The study was conducted in three different HE institutions with a representative sample of 720 participants, with n = 529 used for testing the CARE college website, n = 59 for testing the HAZEF Facebook page, and n = 132 for testing the emotional response of students studying online. To assess the participants’ emotional responses, this study utilized automated facial coding through a webcam (15 Hz) and considered mood intensities. Additionally, a sentiment analysis was employed to verify the survey results and determine any discrepancies in the cognitive response. By analyzing gaze activity, movement patterns, and emotional responses, valuable insights were gained into students’ behaviors and preferences. This study recommends incorporating neuromarketing research into HE branding and online teaching to enhance students’ learning experiences. Overall, this study contributes to the understanding of human expectations and behaviors in response to online teaching and provides valuable insights for HE institutions in Europe.</w:t>
      </w:r>
    </w:p>
    <w:p>
      <w:pPr>
        <w:pStyle w:val="Heading2"/>
      </w:pPr>
      <w:r>
        <w:t>917.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pStyle w:val="Heading2"/>
      </w:pPr>
      <w:r>
        <w:t>918.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pStyle w:val="Heading2"/>
      </w:pPr>
      <w:r>
        <w:t>919.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2025:</w:t>
      </w:r>
      <w:r>
        <w:t xml:space="preserve"> The role of narratives in interprofessional collaboration during organizational change: an ethnographic case study in general practice — https://doi.org/10.1108/jhom-12-2024-0512</w:t>
      </w:r>
    </w:p>
    <w:p>
      <w:pPr/>
      <w:r>
        <w:rPr>
          <w:b/>
        </w:rPr>
        <w:t>Shared claim-specific concepts:</w:t>
      </w:r>
      <w:r>
        <w:t xml:space="preserve"> four, narratives, time, narrative, issues, practice; EU scope visible. This is a provisional connection, not an outcome finding.</w:t>
      </w:r>
    </w:p>
    <w:p>
      <w:pPr>
        <w:pStyle w:val="SourceNote"/>
      </w:pPr>
      <w:r>
        <w:rPr>
          <w:b/>
        </w:rPr>
        <w:t>Available abstract (not full text):</w:t>
      </w:r>
      <w:r>
        <w:t xml:space="preserve"> PURPOSE: The purpose of the study is to understand the role of narratives in interprofessional collaboration during organizational change by exploring the interplay between emerging narratives of collaboration in organizational change and established myths of collaboration in general practices undergoing change. DESIGN/METHODOLOGY/APPROACH: An ethnographic collective case study approach was deployed. Four general practices participating in a complex mental health intervention in the Central Denmark Region were used as cases. Ethnographic observations in the practices as well as one-person interviews and focus group interviews with clinic owners, staff and patients were used to collect data. FINDINGS: The study identified three narrative topics: Time, management and support. The topic of time illustrated how the narratives of change and the organizational myths sometimes varied profoundly, which created collaborative issues. The topic of management showed how narratives in some cases existed among different professional groups, which led to misunderstandings and conflicts. The topic of support demonstrated how the new narrative in the organizational process of change in some situations coexisted perfectly with the more established organizational myth. ORIGINALITY/VALUE: The study offers a new perspective to the field of narrative organizational research in healthcare by explorin</w:t>
      </w:r>
    </w:p>
    <w:p>
      <w:pPr/>
      <w:r>
        <w:rPr>
          <w:b/>
        </w:rPr>
        <w:t>POSSIBLE 2025:</w:t>
      </w:r>
      <w:r>
        <w:t xml:space="preserve"> Identity in narratives — https://doi.org/10.31926/but.pcs.2025.67.18.3.10</w:t>
      </w:r>
    </w:p>
    <w:p>
      <w:pPr/>
      <w:r>
        <w:rPr>
          <w:b/>
        </w:rPr>
        <w:t>Shared claim-specific concepts:</w:t>
      </w:r>
      <w:r>
        <w:t xml:space="preserve"> narratives, developed, narrative; EU scope not established. This is a provisional connection, not an outcome finding.</w:t>
      </w:r>
    </w:p>
    <w:p>
      <w:pPr>
        <w:pStyle w:val="SourceNote"/>
      </w:pPr>
      <w:r>
        <w:rPr>
          <w:b/>
        </w:rPr>
        <w:t>Available abstract (not full text):</w:t>
      </w:r>
      <w:r>
        <w:t xml:space="preserve"> The paper analyses students’ identity as expressed in narratives. The theoretical framework relies on the constructionist approach, which defines identity as manifested in individuals’ social actions, developed in discourse, and fluid (De Fina and Georgakopoulou 2013, Benwell and Stokoe 2006, Cohen 2010, Bamberg, de Fina and Schiffrin 2007). The paper focuses on the institutional and interactional types of identity and interprets narratives as a way to understand the world and the self and to account for what the narrator has become. The data analyzed come from a research interview conducted with students who were asked to narrate an experience that made them feel that they are students; the conclusions focus on the narrative structure and on the identity features expressed.</w:t>
      </w:r>
    </w:p>
    <w:p>
      <w:pPr/>
      <w:r>
        <w:rPr>
          <w:b/>
        </w:rPr>
        <w:t>POSSIBLE 2025:</w:t>
      </w:r>
      <w:r>
        <w:t xml:space="preserve"> Methodologies for developing and applying consensus‐based recommendations in epilepsy care: A narrative review — https://doi.org/10.1111/epi.70039</w:t>
      </w:r>
    </w:p>
    <w:p>
      <w:pPr/>
      <w:r>
        <w:rPr>
          <w:b/>
        </w:rPr>
        <w:t>Shared claim-specific concepts:</w:t>
      </w:r>
      <w:r>
        <w:t xml:space="preserve"> four, developed, each, reviewed, narrative, issues; EU scope not established. This is a provisional connection, not an outcome finding.</w:t>
      </w:r>
    </w:p>
    <w:p>
      <w:pPr>
        <w:pStyle w:val="SourceNote"/>
      </w:pPr>
      <w:r>
        <w:rPr>
          <w:b/>
        </w:rPr>
        <w:t>Available abstract (not full text):</w:t>
      </w:r>
      <w:r>
        <w:t xml:space="preserve"> Consensus-based recommendations (CBRs) are essential for health care decision-making when evidence is limited or conflicting. They can be developed using established methodologies such as the Delphi technique, the nominal group technique (NGT), and the RAND Corporation/University of California Los Angeles (UCLA) Appropriateness Method (RAM). This review explores the advantages and disadvantages of these methods and their applications in epilepsy. A narrative review using PubMed (November 22, 2017 to November 22, 2022) was undertaken examining publications describing Delphi, NGT, and RAM. The frequency of use of each method and their applications in epilepsy care were also reviewed (1966 to October 31, 2023). Sixteen articles were included describing the different consensus-based methods. The advantages and disadvantages of each method varied widely. The Delphi technique, the most widely used method, emerged as adaptable for instances with limited evidence or impracticality of face-to-face interactions. Although NGT favors prompt consensus in single-session formats, the RAM offers a balanced approach with its hybrid structure. We identified 64 epilepsy studies that used consensus methods, with 58 utilizing the most widely used technique, the Delphi. The Delphi guided consensus mostly for management including for individuals with rare conditions such as myoclonic-atonic seizures </w:t>
      </w:r>
    </w:p>
    <w:p>
      <w:pPr>
        <w:pStyle w:val="Heading2"/>
      </w:pPr>
      <w:r>
        <w:t>920.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r>
        <w:rPr>
          <w:b/>
        </w:rPr>
        <w:t>POSSIBLE 2024:</w:t>
      </w:r>
      <w:r>
        <w:t xml:space="preserve"> A Host Tree and Its Specialist Insects: Black Locust (Robinia pseudoacacia) Availability Largely Determines the Future Range Dynamics of Its Specialist Insects in Europe — https://doi.org/10.3390/insects15100765</w:t>
      </w:r>
    </w:p>
    <w:p>
      <w:pPr/>
      <w:r>
        <w:rPr>
          <w:b/>
        </w:rPr>
        <w:t>Shared claim-specific concepts:</w:t>
      </w:r>
      <w:r>
        <w:t xml:space="preserve"> here, range, dynamics, climate; EU scope visible. This is a provisional connection, not an outcome finding.</w:t>
      </w:r>
    </w:p>
    <w:p>
      <w:pPr>
        <w:pStyle w:val="SourceNote"/>
      </w:pPr>
      <w:r>
        <w:rPr>
          <w:b/>
        </w:rPr>
        <w:t>Available abstract (not full text):</w:t>
      </w:r>
      <w:r>
        <w:t xml:space="preserve"> Black locust is the only host of Robinia-specialist insects in Europe. However, no study to date has examined future range shifts of specialist insects, and the relative effects of host plant availability and other factors on their range shifts. Here, we characterized the future range shifts in the host and its four specialist insects and the factors contributing to changes in their ranges. We detected substantial range expansions in all target species. Climate predictors and host plant availability were expected to have the strongest effects on the range shifts in the host and its specialist insects, respectively, suggesting that the specialist insects will track the ranges of their host. Parectopa robiniella showed the largest potential and expanding ranges and should be made a priority species for controlling invasions of Robinia-specialist insects in Europe. The expanding ranges of all specialist species were largely identified in the United Kingdom, Germany, and France, suggesting that these should be priority regions for mitigating their effects on ecosystems. Reducing future climate change is essential for preventing the spreading of specialist insects in Europe since specialist insects track their specialist host plants, and host range expansions are mainly driven by future climate changes.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pStyle w:val="Heading2"/>
      </w:pPr>
      <w:r>
        <w:t>921.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2024:</w:t>
      </w:r>
      <w:r>
        <w:t xml:space="preserve"> The impact of mass migration on the demographic situation and the labor market in Ukraine — https://doi.org/10.31893/multirev.2024196</w:t>
      </w:r>
    </w:p>
    <w:p>
      <w:pPr/>
      <w:r>
        <w:rPr>
          <w:b/>
        </w:rPr>
        <w:t>Shared claim-specific concepts:</w:t>
      </w:r>
      <w:r>
        <w:t xml:space="preserve"> mass, migration, purpose, between, policies; EU scope not established. This is a provisional connection, not an outcome finding.</w:t>
      </w:r>
    </w:p>
    <w:p>
      <w:pPr>
        <w:pStyle w:val="SourceNote"/>
      </w:pPr>
      <w:r>
        <w:rPr>
          <w:b/>
        </w:rPr>
        <w:t>Available abstract (not full text):</w:t>
      </w:r>
      <w:r>
        <w:t xml:space="preserve"> The impact of migration on the country’s demographic status is particularly significant in the context of the Russian Federation’s full-scale invasion of Ukraine. The purpose of the academic paper is to assess the interrelation between migration processes and the demographic situation in Ukraine, and the social relations arising from migration processes in Ukraine and resulting in changes in the demographic situation in Ukraine are the objects of the research. The following methods were used in the research: analysis, synthesis, generalization and formal logical method. The academic paper raises significant issues regarding the impact of a full-scale invasion on migration processes and the demographic structure of the population in Ukraine. It is stated that the causes of migration processes can be divided by date – the beginning of the full-scale invasion of the Russian Federation into the territory of Ukraine. The reasons outlined have led to a change in demographic indicators in terms of gender and age indicators of the population in Ukraine. The academic paper also analyzes the Strategy of the State Migration Policy of Ukraine for the period up to 2025 in order to determine whether it contains state mechanisms and tools to improve the demographic situation. The scientific novelty is the author’s proposal to develop a Plan for the mutual influence of migration and demographi</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pStyle w:val="Heading2"/>
      </w:pPr>
      <w:r>
        <w:t>922.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2023:</w:t>
      </w:r>
      <w:r>
        <w:t xml:space="preserve"> Concrete with glass powder as a partial replacement for cement — https://doi.org/10.1063/5.0144626</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The cement companies manufacture a substantial amount of carbon dioxide, aninfluential greenhouse-gas that contributes to global warming. Cement manufacturing generates greenhouse gases both intrinsically and extrinsically: direct CO2 emissions occur during heating from limestone, while indirect CO2 emissions occur during the burning of fossil fuels used to heat the kiln. The cement business contributes around 8% of worldwide co2 Emissions, making this a key industry in terms of determine the precise reduction efforts. This research examines the feasibility of utilizing glass powder as a partial substitute for cement in compositions (10 %, 20 percent%, 30 percent%, 40 % and 50 %). The compressive split tensile strength among these compositions were determined after 7, 14, and twenty-eight days of complete curing, and findings of the same were associated to those of normal concrete. We discovered that replacing 20% of the glass powder with cement resulted in a 23 percent increase in strength, whereas replacing 30% and 40% of the component resulted in the same strength as M25. The composition usage of glass powder in the concrete reduces the cement consumption which inturn reduces the global warming effect and is also environmentally friendly.</w:t>
      </w:r>
    </w:p>
    <w:p>
      <w:pPr/>
      <w:r>
        <w:rPr>
          <w:b/>
        </w:rPr>
        <w:t>POSSIBLE 2022:</w:t>
      </w:r>
      <w:r>
        <w:t xml:space="preserve"> A Comprehensive Review on the Ground Granulated Blast Furnace Slag (GGBS) in Concrete Production — https://doi.org/10.3390/su14148783</w:t>
      </w:r>
    </w:p>
    <w:p>
      <w:pPr/>
      <w:r>
        <w:rPr>
          <w:b/>
        </w:rPr>
        <w:t>Shared claim-specific concepts:</w:t>
      </w:r>
      <w:r>
        <w:t xml:space="preserve"> concrete, information, sustainable; EU scope not established. This is a provisional connection, not an outcome finding.</w:t>
      </w:r>
    </w:p>
    <w:p>
      <w:pPr>
        <w:pStyle w:val="SourceNote"/>
      </w:pPr>
      <w:r>
        <w:rPr>
          <w:b/>
        </w:rPr>
        <w:t>Available abstract (not full text):</w:t>
      </w:r>
      <w:r>
        <w:t xml:space="preserve"> In the last few decades, the concrete industry has been massively expanded with the adoption of various kinds of binding materials. As a substitute to cement and in an effort to relieve ecofriendly difficulties linked with cement creation, the utilization of industrial waste as cementitious material can sharply reduce the amount of trash disposed of in lakes and landfills. With respect to the mechanical properties, durability and thermal behavior, ground-granulated blast-furnace slag (GGBS) delineates a rational way to develop sustainable cement and concrete. Apart from environmental benefits, the replacement of cement by GGBS illustrates an adequate way to mitigate the economic impact. Although many researchers concentrate on utilizing GGBS in concrete production, knowledge is scattered, and additional research is needed to better understand relationships among a wide spectrum of key questions and to more accurately determine these preliminary findings. This work aims to shed some light on the scientific literature focusing on the use and effectiveness of GGBS as an alternative to cement. First and foremost, basic information on GGBS manufacturing and its physical, chemical and hydraulic activity and heat of hydration are thoroughly discussed. In a following step, fresh concrete properties, such as flowability and mechanical strength, are examined. Furthermore, the durability </w:t>
      </w:r>
    </w:p>
    <w:p>
      <w:pPr>
        <w:pStyle w:val="Heading2"/>
      </w:pPr>
      <w:r>
        <w:t>923.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visions, like;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pStyle w:val="Heading2"/>
      </w:pPr>
      <w:r>
        <w:t>924.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pStyle w:val="Heading2"/>
      </w:pPr>
      <w:r>
        <w:t>925.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pStyle w:val="Heading2"/>
      </w:pPr>
      <w:r>
        <w:t>926.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2023:</w:t>
      </w:r>
      <w:r>
        <w:t xml:space="preserve"> Exploring the Prospects of Fermenting/Co-Fermenting Marine Biomass for Enhanced Bioethanol Production — https://doi.org/10.3390/fermentation9110934</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With the rising demands for renewable fuels, there is growing interest in utilizing abundant and sustainable non-edible biomass as a feedstock for bioethanol production. Macroalgal biomass contains a high content of carbohydrates in the form of special polysaccharides like alginate, agar, and carrageenan that can be converted to fermentable sugars. In addition, using seagrass as a feedstock for bioethanol production can provide a sustainable and renewable energy source while addressing environmental concerns. It is a resource-rich plant that offers several advantages for bioethanol production, including its high cellulose content, rapid growth rates, and abundance in coastal regions. To reduce sugar content and support efficient microbial fermentation, co-fermentation of macroalgae with seagrass (marine biomass) can provide complementary sugars and nutrients to improve process yields and economics. This review comprehensively covers the current status and future potential of fermenting macroalgal biomass and seagrass, as well as possible combinations for maximizing bioethanol production from non-edible energy crops. An overview is provided on the biochemical composition of macroalgae and seagrass, pretreatment methods, hydrolysis, and fermentation processes. Key technical challenges and strategies to achieve balanced co-substrate fermentation are discussed. The feasibility of c</w:t>
      </w:r>
    </w:p>
    <w:p>
      <w:pPr>
        <w:pStyle w:val="Heading2"/>
      </w:pPr>
      <w:r>
        <w:t>927.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2023:</w:t>
      </w:r>
      <w:r>
        <w:t xml:space="preserve"> A Comprehensive Evaluation of Walkability in Historical Cities: The Case of Xi’an and Kyoto — https://doi.org/10.3390/su15065525</w:t>
      </w:r>
    </w:p>
    <w:p>
      <w:pPr/>
      <w:r>
        <w:rPr>
          <w:b/>
        </w:rPr>
        <w:t>Shared claim-specific concepts:</w:t>
      </w:r>
      <w:r>
        <w:t xml:space="preserve"> kyoto, need, overall; EU scope visible. This is a provisional connection, not an outcome finding.</w:t>
      </w:r>
    </w:p>
    <w:p>
      <w:pPr>
        <w:pStyle w:val="SourceNote"/>
      </w:pPr>
      <w:r>
        <w:rPr>
          <w:b/>
        </w:rPr>
        <w:t>Available abstract (not full text):</w:t>
      </w:r>
      <w:r>
        <w:t xml:space="preserve"> Walkability is an important indicator of sustainable urban development, especially in fragmented historical blocks affected by modern development efforts. Xi’an, China, and Kyoto, Japan, which are among the oldest cities in Asia, have similar historical backgrounds and a grid-based street network that differs from European historical cities. They also have their own distinctive development characteristics. This study uses a novel quantitative approach to identify areas for improvement in the historical built environment of the two cities that, as part of an overall effort to create a pedestrian-friendly urban center, will promote and facilitate walking activities. The proposed method combines macro- and micro-aspects to identify factors that can either improve or hinder the walking environment. It was found that to ensure a walkable environment in its historical blocks, Xi’an will need to consider the potential negative impact on walkability as it pursues increased modernization. The built environment and the infrastructure of its streets need to be improved, and its historical streetscape and vegetation characteristics need to be maintained. As for Kyoto, to ensure a favorable walking environment, the focus should be on improving the vitality of its streets.</w:t>
      </w:r>
    </w:p>
    <w:p>
      <w:pPr/>
      <w:r>
        <w:rPr>
          <w:b/>
        </w:rPr>
        <w:t>POSSIBLE 2023:</w:t>
      </w:r>
      <w:r>
        <w:t xml:space="preserve"> The economic effect of the measures provided for by the Kyoto Protocol by region (as of the 2020s) — https://doi.org/10.48077/scihor4.2023.136</w:t>
      </w:r>
    </w:p>
    <w:p>
      <w:pPr/>
      <w:r>
        <w:rPr>
          <w:b/>
        </w:rPr>
        <w:t>Shared claim-specific concepts:</w:t>
      </w:r>
      <w:r>
        <w:t xml:space="preserve"> result, kyoto, agreement, reduce, emissions, allows; EU scope visible. This is a provisional connection, not an outcome finding.</w:t>
      </w:r>
    </w:p>
    <w:p>
      <w:pPr>
        <w:pStyle w:val="SourceNote"/>
      </w:pPr>
      <w:r>
        <w:rPr>
          <w:b/>
        </w:rPr>
        <w:t>Available abstract (not full text):</w:t>
      </w:r>
      <w:r>
        <w:t xml:space="preserve"> The Kyoto Protocol has become a promising component for solving one of the most urgent and discussed problems by scientists – air pollution. Therefore, it remains important to consider what has actually been achieved over the 17 years of the treaty; what effects (environmental or economic) prevail as a result of its action. In this research, special emphasis is placed on the impact of the Kyoto Protocol on certain regions, such as Europe, Asia, America and others. Thus, the purpose of the work is to demonstrate how this agreement influenced the development of countries in certain regions, what consequences it led to and how effective it turned out to be. The following research methods were used in the work: statistical, graphic, historical, modelling and forecasting. While writing the work, it was demonstrated what advantages and disadvantages the Kyoto Protocol has as a document for protecting the external environment. In addition, the authors described the main environmental benefits and economic losses from this agreement. The research has demonstrated that the Kyoto Protocol does reduce CO2 emissions in some regions and likely reduces the rate of growth in others. However, a general decline in industrial development was observed in the countries participating in the agreement. The authors conclude that it is currently impossible to say with certainty how effective this agre</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pStyle w:val="Heading2"/>
      </w:pPr>
      <w:r>
        <w:t>928.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pStyle w:val="Heading2"/>
      </w:pPr>
      <w:r>
        <w:t>929.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2018:</w:t>
      </w:r>
      <w:r>
        <w:t xml:space="preserve"> Emergence and spread of highly pathogenic avian influenza A(H5N8) in Europe in 2016-2017 — https://doi.org/10.1111/tbed.12861</w:t>
      </w:r>
    </w:p>
    <w:p>
      <w:pPr/>
      <w:r>
        <w:rPr>
          <w:b/>
        </w:rPr>
        <w:t>Shared claim-specific concepts:</w:t>
      </w:r>
      <w:r>
        <w:t xml:space="preserve"> fact, poses, planning; EU scope visible. This is a provisional connection, not an outcome finding.</w:t>
      </w:r>
    </w:p>
    <w:p>
      <w:pPr>
        <w:pStyle w:val="SourceNote"/>
      </w:pPr>
      <w:r>
        <w:rPr>
          <w:b/>
        </w:rPr>
        <w:t>Available abstract (not full text):</w:t>
      </w:r>
      <w:r>
        <w:t xml:space="preserve"> Circulation of highly pathogenic avian influenza (HPAI) viruses poses a continuous threat to animal and public health. After the 2005-2006 H5N1 and the 2014-2015 H5N8 epidemics, another H5N8 is currently affecting Europe. Up to August 2017, 1,112 outbreaks in domestic and 955 in wild birds in 30 European countries have been reported, the largest epidemic by a HPAI virus in the continent. Here, the main epidemiological findings are described. While some similarities with previous HPAI virus epidemics were observed, for example in the pattern of emergence, significant differences were also patent, in particular the size and extent of the epidemic. Even though no human infections have been reported to date, the fact that A/H5N8 has affected so far 1,112 domestic holdings, increases the risk of exposure of humans and therefore represents a concern. Understanding the epidemiology of HPAI viruses is essential for the planning future surveillance and control activities.</w:t>
      </w:r>
    </w:p>
    <w:p>
      <w:pPr/>
      <w:r>
        <w:rPr>
          <w:b/>
        </w:rPr>
        <w:t>POSSIBLE 2018:</w:t>
      </w:r>
      <w:r>
        <w:t xml:space="preserve"> European Territorial Governance and Spatial Planning Practices — https://openalex.org/W3012214400</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Territorial governance is an extremely heterogeneous activity. Each European country is characterised by a complex system of legal acts, tools, discourses and practices that had consolidated through time, as a consequence of peculiar path-dependent processes. At the same time, since more than 30 years the European Union is developing territorially relevant actions and interventions, ultimately aiming at achieving the economic, social and territorial cohesion of the continent. The mutual relations entangling domestic and supranational territorial governance remain unclear: on the one hand, the European Union is required to produce a framework for delivering its policies that is flexible enough to accommodate domestic differences; on the other hand, domestic territorial governance and spatial planning systems should adapt in order to allow room for cross-fertilization with supranational interventions. This contribution builds on the evidence collected by the research project ESPON COMPASS to frame and explore this issue. In doing so, it serves as an introduction for this special issue that, in the following contributions, presents a number of concrete examples of interaction between EU spatial policies and domestic territorial governance and spatial planning.</w:t>
      </w:r>
    </w:p>
    <w:p>
      <w:pPr>
        <w:pStyle w:val="Heading2"/>
      </w:pPr>
      <w:r>
        <w:t>930.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r>
        <w:rPr>
          <w:b/>
        </w:rPr>
        <w:t>POSSIBLE 2024:</w:t>
      </w:r>
      <w:r>
        <w:t xml:space="preserve"> Advanced Energy Forecasting Using IoT - Enabled SCADA Systems — https://doi.org/10.31224/4012</w:t>
      </w:r>
    </w:p>
    <w:p>
      <w:pPr/>
      <w:r>
        <w:rPr>
          <w:b/>
        </w:rPr>
        <w:t>Shared claim-specific concepts:</w:t>
      </w:r>
      <w:r>
        <w:t xml:space="preserve"> enabled, goal, system; EU scope not established. This is a provisional connection, not an outcome finding.</w:t>
      </w:r>
    </w:p>
    <w:p>
      <w:pPr>
        <w:pStyle w:val="SourceNote"/>
      </w:pPr>
      <w:r>
        <w:rPr>
          <w:b/>
        </w:rPr>
        <w:t>Available abstract (not full text):</w:t>
      </w:r>
      <w:r>
        <w:t xml:space="preserve"> With the substantial increase in global renewable energy production, real-time data has become essential for the efficient management of these resources particularly offshore and distant installations. A supervisory control and data acquisition system is a system that sends individual messages or directives to the external world. In this research paper, we introduce a SCADA system integrated with the Internet of Things (IoT) to monitor a hybrid system that includes hydropower, solar energy, wind, and tidal power. It provides a range of control functions for supervisors to manage and configure settings effectively. The goal is to achieve energy autonomy and promote sustainable economic growth. This technology makes it easier to administer the warning system, data logging, data monitoring and control system, and generated capacity, among other features of the station’s information. Additionally, a data packet and WiFi analyzer are used to measure the communication parameters and overall performance of the Internet of Things-based SCADA system. In addition, historical energy generation data is used to evaluate and identify what factors are impacting the output of hydropower stations. This data is then utilized to forecast the production levels for the upcoming year through the application of time series analysis.</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r>
        <w:rPr>
          <w:b/>
        </w:rPr>
        <w:t>POSSIBLE 2022:</w:t>
      </w:r>
      <w:r>
        <w:t xml:space="preserve"> Improving Seasonal Forecast Using Probabilistic Deep Learning — https://doi.org/10.1029/2021ms002766</w:t>
      </w:r>
    </w:p>
    <w:p>
      <w:pPr/>
      <w:r>
        <w:rPr>
          <w:b/>
        </w:rPr>
        <w:t>Shared claim-specific concepts:</w:t>
      </w:r>
      <w:r>
        <w:t xml:space="preserve"> forecasts, drawing, abstract, system; EU scope not established. This is a provisional connection, not an outcome finding.</w:t>
      </w:r>
    </w:p>
    <w:p>
      <w:pPr>
        <w:pStyle w:val="SourceNote"/>
      </w:pPr>
      <w:r>
        <w:rPr>
          <w:b/>
        </w:rPr>
        <w:t>Available abstract (not full text):</w:t>
      </w:r>
      <w:r>
        <w:t xml:space="preserve"> Abstract The path toward realizing the potential of seasonal forecasting and its socioeconomic benefits relies on improving general circulation model (GCM) based dynamical forecast systems. To improve dynamical seasonal forecasts, it is crucial to set up forecast benchmarks, and clarify forecast limitations posed by model initialization errors, formulation deficiencies, and internal climate variability. With huge costs in generating large forecast ensembles, and limited observations for forecast verification, the seasonal forecast benchmarking and diagnosing task proves challenging. Here, we develop a probabilistic deep learning‐based statistical forecast methodology, drawing on a wealth of climate simulations to enhance seasonal forecast capability and forecast diagnosis. By explicitly modeling the internal climate variability and GCM formulation differences, the proposed Conditional Generative Forecasting (CGF) methodology enables bypassing crucial barriers in dynamical forecast, and offers a top‐down viewpoint to examine how complicated GCMs encode the seasonal predictability information. We apply the CGF methodology for global seasonal forecast of precipitation and 2 m air temperature, based on a unique data set consisting 52,201 years of climate simulation. Results show that the CGF methodology can faithfully represent the seasonal predictability information encoded in GCM</w:t>
      </w:r>
    </w:p>
    <w:p>
      <w:pPr>
        <w:pStyle w:val="Heading2"/>
      </w:pPr>
      <w:r>
        <w:t>931.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pStyle w:val="Heading2"/>
      </w:pPr>
      <w:r>
        <w:t>932.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r>
        <w:rPr>
          <w:b/>
        </w:rPr>
        <w:t>POSSIBLE 2021:</w:t>
      </w:r>
      <w:r>
        <w:t xml:space="preserve"> Evaluation of a new 12 km regional perturbed parameter ensemble over Europe — https://doi.org/10.1007/s00382-021-05941-3</w:t>
      </w:r>
    </w:p>
    <w:p>
      <w:pPr/>
      <w:r>
        <w:rPr>
          <w:b/>
        </w:rPr>
        <w:t>Shared claim-specific concepts:</w:t>
      </w:r>
      <w:r>
        <w:t xml:space="preserve"> present, evaluate, two, impacts; EU scope visible. This is a provisional connection, not an outcome finding.</w:t>
      </w:r>
    </w:p>
    <w:p>
      <w:pPr>
        <w:pStyle w:val="SourceNote"/>
      </w:pPr>
      <w:r>
        <w:rPr>
          <w:b/>
        </w:rPr>
        <w:t>Available abstract (not full text):</w:t>
      </w:r>
      <w:r>
        <w:t xml:space="preserve"> Abstract We evaluate a 12-member perturbed parameter ensemble of regional climate simulations over Europe at 12 km resolution, carried out as part of the UK Climate Projections (UKCP) project. This ensemble is formed by varying uncertain parameters within the model physics, allowing uncertainty in future projections due to climate modelling uncertainty to be explored in a systematic way. We focus on present day performance both compared to observations, and consistency with the driving global ensemble. Daily and seasonal temperature and precipitation are evaluated as two variables commonly used in impacts assessments. For precipitation we find that downscaling, even whilst within the convection-parameterised regime, generally improves daily precipitation, but not everywhere. In summer, the underestimation of dry day frequency is worse in the regional ensemble than in the driving simulations. For temperature we find that the regional ensemble inherits a large wintertime cold bias from the global model, however downscaling reduces this bias. The largest bias reduction is in daily winter cold temperature extremes. In summer the regional ensemble is cooler and wetter than the driving global models, and we examine cloud and radiation diagnostics to understand the causes of the differences. We also use a low-resolution regional simulation to determine whether the differences are a co</w:t>
      </w:r>
    </w:p>
    <w:p>
      <w:pPr/>
      <w:r>
        <w:rPr>
          <w:b/>
        </w:rPr>
        <w:t>POSSIBLE 2021:</w:t>
      </w:r>
      <w:r>
        <w:t xml:space="preserve"> Is-it worth investing in NBS aiming at reducing water risks? Insights from the economic assessment of three European case studies — https://doi.org/10.1016/j.nbsj.2021.100002</w:t>
      </w:r>
    </w:p>
    <w:p>
      <w:pPr/>
      <w:r>
        <w:rPr>
          <w:b/>
        </w:rPr>
        <w:t>Shared claim-specific concepts:</w:t>
      </w:r>
      <w:r>
        <w:t xml:space="preserve"> present, aiming, reducing; EU scope visible. This is a provisional connection, not an outcome finding.</w:t>
      </w:r>
    </w:p>
    <w:p>
      <w:pPr>
        <w:pStyle w:val="SourceNote"/>
      </w:pPr>
      <w:r>
        <w:rPr>
          <w:b/>
        </w:rPr>
        <w:t>Available abstract (not full text):</w:t>
      </w:r>
      <w:r>
        <w:t xml:space="preserve"> Economic narratives are largely put forward as an argument for the promotion of Nature Based Solutions (NBS). However, integrated economic evidence, taking into account direct and opportunity costs, avoided damages and the multiplicity of co-benefits generated by NBS are still needed to support this argument and convince decision makers to invest in these solutions. To address this gap, we develop a methodological framework for the economic assessment of NBS for water related risks and present its application to three European case studies. We find that the cost of implementation and maintenance is lower for NBS strategies than for grey solutions for the same level of risk reduction, thereby confirming the cost-effectiveness advantage of these solutions. Benefits in terms of avoided damages are however generally not sufficient to cover these costs. Co-benefits represent the major share of the monetary value generated by NBS strategies. Finally, the results of the cost-benefit analysis reveal context-specific results on the overall economic efficiency of NBS. These results urge decision makers to tailor funding strategies to the specificity of NBS economic value.</w:t>
      </w:r>
    </w:p>
    <w:p>
      <w:pPr>
        <w:pStyle w:val="Heading2"/>
      </w:pPr>
      <w:r>
        <w:t>933.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pStyle w:val="Heading2"/>
      </w:pPr>
      <w:r>
        <w:t>934.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pStyle w:val="Heading2"/>
      </w:pPr>
      <w:r>
        <w:t>935.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Methodology for Deriving Parameters for Optimization Models of Systems of Flexible Energy Resources — https://doi.org/10.1109/ojies.2024.3425934</w:t>
      </w:r>
    </w:p>
    <w:p>
      <w:pPr/>
      <w:r>
        <w:rPr>
          <w:b/>
        </w:rPr>
        <w:t>Shared claim-specific concepts:</w:t>
      </w:r>
      <w:r>
        <w:t xml:space="preserve"> shows, resources, energy, systems, resource; EU scope not established. This is a provisional connection, not an outcome finding.</w:t>
      </w:r>
    </w:p>
    <w:p>
      <w:pPr>
        <w:pStyle w:val="SourceNote"/>
      </w:pPr>
      <w:r>
        <w:rPr>
          <w:b/>
        </w:rPr>
        <w:t>Available abstract (not full text):</w:t>
      </w:r>
      <w:r>
        <w:t xml:space="preserve"> The increasing share of renewable energy generation poses a challenge to maintaining the adequacy of power generation and demand. Planning the operation of flexible energy resources helps stabilize this balance. Optimization models are needed for operation planning. The use of a predefined and validated optimization model avoids modeling errors, but parameterization is still necessary and error-prone. This work presents a methodology for determining parameters of optimization models for various kinds of flexible energy resources. The parameters are derived from time series data of the resource operation after preprocessing. This methodology includes algorithms for determining operational boundaries, the input–output relationship, system states, and parameters for storage systems. Connections of flows between individual resources within a system are extracted from a standardized information model. A case study of a combined heat and power system demonstrates the applicability of the methodology by deriving a set of parameters from time series data and an information model of the system's structure. The model parameterized by means of the methodology shows very good alignment with a validation time series data set with a normalized root mean square error of 1% (generator), respectively, of 6% (heat exchanger).</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pStyle w:val="Heading2"/>
      </w:pPr>
      <w:r>
        <w:t>936.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pStyle w:val="Heading2"/>
      </w:pPr>
      <w:r>
        <w:t>937.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pStyle w:val="Heading2"/>
      </w:pPr>
      <w:r>
        <w:t>938.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pStyle w:val="Heading2"/>
      </w:pPr>
      <w:r>
        <w:t>939.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r>
        <w:rPr>
          <w:b/>
        </w:rPr>
        <w:t>POSSIBLE 2025:</w:t>
      </w:r>
      <w:r>
        <w:t xml:space="preserve"> THE FORMATION AND DEVELOPMENT OF RELATIONS BETWEEN THE EUROPEAN UNION AND THE LEAGUE OF ARAB STATES — https://doi.org/10.17721/2524-048x.2025.30.3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comprehensively examines the development of relations between the European Union and the League of Arab States. The aim of the article is to examine key aspects of relations between the European Union and the League of Arab States, their impact on the geopolitical situation, as well as the prospects for further development of the partnership. The research methodology is based on a set of general scientific and special principles, namely historicism, scientificity, objectivity, systematicity, continuity, scientific analysis, and synthesis. The scientific novelty is determined by the fact that the prerequisites for the formation of the Euro-Arab dialogue, which emerged in 1974 and became, at that time, a real “experiment” in international relations, were analyzed. It was found that the Euro-Arab Dialogue of 1974-1979, despite all its ambition, did not achieve significant progress in the development of partnership relations between the two organizations. The reason for this was the different expectations of the parties from this dialogue. The Arab League sought to focus on resolving political issues, while the European Union viewed the Euro-Arab Dialogue as a platform for discussing economic issues. The prerequisites and main factors of the formation of the Strategic Dialogue between the European Union and the League of Arab States in 2014 are described. The study conc</w:t>
      </w:r>
    </w:p>
    <w:p>
      <w:pPr>
        <w:pStyle w:val="Heading2"/>
      </w:pPr>
      <w:r>
        <w:t>940.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pStyle w:val="Heading2"/>
      </w:pPr>
      <w:r>
        <w:t>941.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2024:</w:t>
      </w:r>
      <w:r>
        <w:t xml:space="preserve"> The international system and the clash of world orders — https://doi.org/10.1007/s42533-024-00163-8</w:t>
      </w:r>
    </w:p>
    <w:p>
      <w:pPr/>
      <w:r>
        <w:rPr>
          <w:b/>
        </w:rPr>
        <w:t>Shared claim-specific concepts:</w:t>
      </w:r>
      <w:r>
        <w:t xml:space="preserve"> world, international, challenges; EU scope not established. This is a provisional connection, not an outcome finding.</w:t>
      </w:r>
    </w:p>
    <w:p>
      <w:pPr>
        <w:pStyle w:val="SourceNote"/>
      </w:pPr>
      <w:r>
        <w:rPr>
          <w:b/>
        </w:rPr>
        <w:t>Available abstract (not full text):</w:t>
      </w:r>
      <w:r>
        <w:t xml:space="preserve"> Abstract In 1945, humanity came together to create the Charter International System. It expressed the hope that after the most catastrophic war the world had yet seen, a superior system of international relations could emerge. The ‘spirit of 1945’ gave rise to the United Nations and its foundational Charter, reinforced subsequently by numerous declarations, protocols and conventions. The system delivers many public goods, including the system’s specialised agencies, but above all by establishing the normative and legitimate framework for the conduct of international politics. The Charter system today faces unprecedented challenges. The tension between the multilateralism and normative aspirations for peace and development represented by the Charter system and the competitive practices of international politics has become a contradiction and possibly an antinomy—an irreconcilable difference. The creation of competing blocs (world orders) in Cold War I prevented consensus on fundamental matters, however, all sides proclaimed their allegiance to the Charter system. When the Soviet bloc disintegrated in 1989–1991, the Charter system faced a new challenge—the quest for global hegemony of the remaining world order, the Political West led by the US. This bloc claimed certain tutelary privileges, formulated initially in terms of a ‘liberal international order’ and later in the form of </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2022:</w:t>
      </w:r>
      <w:r>
        <w:t xml:space="preserve"> How do cancer clinicians perceive real-world data and the evidence derived therefrom? Findings from an international survey of the European Organisation for Research and Treatment of Cancer — https://doi.org/10.3389/fphar.2022.969778</w:t>
      </w:r>
    </w:p>
    <w:p>
      <w:pPr/>
      <w:r>
        <w:rPr>
          <w:b/>
        </w:rPr>
        <w:t>Shared claim-specific concepts:</w:t>
      </w:r>
      <w:r>
        <w:t xml:space="preserve"> derived, international, challenges, influence; EU scope visible. This is a provisional connection, not an outcome finding.</w:t>
      </w:r>
    </w:p>
    <w:p>
      <w:pPr>
        <w:pStyle w:val="SourceNote"/>
      </w:pPr>
      <w:r>
        <w:rPr>
          <w:b/>
        </w:rPr>
        <w:t>Available abstract (not full text):</w:t>
      </w:r>
      <w:r>
        <w:t xml:space="preserve"> Background: The role of real-world evidence (RWE) in the development of anticancer therapies has been gradually growing over time. Regulators, payers and health technology assessment agencies, spurred by the rise of the precision medicine model, are increasingly incorporating RWE into their decision-making regarding the authorization and reimbursement of novel antineoplastic treatments. However, it remains unclear how this trend is viewed by clinicians in the field. This study aimed to investigate the opinions of these stakeholders with respect to RWE and its suitability for informing regulatory, reimbursement-related and clinical decisions in oncology. Methods: An online survey was disseminated to clinicians belonging to the network of the European Organisation for Research and Treatment of Cancer between May and July 2021. Results: In total, 557 clinicians across 30 different countries participated in the survey, representing 13 distinct cancer domains. Despite seeing the methodological challenges associated with its interpretation as difficult to overcome, the respondents mostly (75.0%) perceived RWE positively, and believed such evidence could be relatively strong, depending on the designs and data sources of the studies from which it is produced. Few (4.6%) saw a future expansion of its influence on decision-makers as a negative evolution. Furthermore, nearly all (94.0%) p</w:t>
      </w:r>
    </w:p>
    <w:p>
      <w:pPr>
        <w:pStyle w:val="Heading2"/>
      </w:pPr>
      <w:r>
        <w:t>942.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Forest Trade on the Amazon Frontier and Its Interaction with the EUDR — https://doi.org/10.1007/s11196-025-10250-7</w:t>
      </w:r>
    </w:p>
    <w:p>
      <w:pPr/>
      <w:r>
        <w:rPr>
          <w:b/>
        </w:rPr>
        <w:t>Shared claim-specific concepts:</w:t>
      </w:r>
      <w:r>
        <w:t xml:space="preserve"> article, different, perceptions, trade, reveal, union; EU scope visible. This is a provisional connection, not an outcome finding.</w:t>
      </w:r>
    </w:p>
    <w:p>
      <w:pPr>
        <w:pStyle w:val="SourceNote"/>
      </w:pPr>
      <w:r>
        <w:rPr>
          <w:b/>
        </w:rPr>
        <w:t>Available abstract (not full text):</w:t>
      </w:r>
      <w:r>
        <w:t xml:space="preserve"> Abstract This article analyzes how the European Union’s Deforestation-Free Products Regulation (EUDR) could affect the production of forest goods in Mato Grosso (MT), a Brazilian state whose economy depends on commodity exports. The text is divided into five topics: the first discusses the context of forestry products in the Brazilian state; the second analyzes the trade in forestry goods in the EU, its regulation, and the prospects for its application in MT; the third offers a conceptualization of the Brussels Effect and its manifestation in Brazil; the forth one presents the results of field research with actors in the forestry sector in the state, exploring their perceptions about the EU Brussels Effect; and the last one analzyes which Mato Grosso’s municipalities are more exposed to the EUDR in their timber exports. The results obtained through semi-structured interviews highlight the diversity of knowledge of the different groups interviewed about European regulations in the country’s timber forestry industry. State authorities show a clear awareness of the influence of EU regulations, mainly concerning local public policies and international pressure on deforested areas in the Amazon. Stakeholder perceptions reveal a complex intersection between environmental, economic, and social concerns, highlighting the importance of constructive dialogue between different actors to m</w:t>
      </w:r>
    </w:p>
    <w:p>
      <w:pPr>
        <w:pStyle w:val="Heading2"/>
      </w:pPr>
      <w:r>
        <w:t>943.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2025:</w:t>
      </w:r>
      <w:r>
        <w:t xml:space="preserve"> Post-measurement quantum Monte Carlo — https://doi.org/10.1103/2tx2-7z18</w:t>
      </w:r>
    </w:p>
    <w:p>
      <w:pPr/>
      <w:r>
        <w:rPr>
          <w:b/>
        </w:rPr>
        <w:t>Shared claim-specific concepts:</w:t>
      </w:r>
      <w:r>
        <w:t xml:space="preserve"> monte, carlo, over; EU scope not established. This is a provisional connection, not an outcome finding.</w:t>
      </w:r>
    </w:p>
    <w:p>
      <w:pPr>
        <w:pStyle w:val="SourceNote"/>
      </w:pPr>
      <w:r>
        <w:rPr>
          <w:b/>
        </w:rPr>
        <w:t>Available abstract (not full text):</w:t>
      </w:r>
      <w:r>
        <w:t xml:space="preserve"> We show how the effects of large numbers of measurements on many-body quantum ground and thermal states can be studied using quantum Monte Carlo (QMC). Density matrices generated by measurement in this setting feature products of many local nonunitary operators, and by expanding these density matrices as sums over operator strings we arrive at a generalized stochastic series expansion (SSE). Our ``post-measurement SSE'' is based on importance sampling of operator strings contributing to a measured thermal density matrix. We demonstrate our algorithm by probing the effects of measurements on the spin-$1/2$ Heisenberg antiferromagnet on the square lattice. Thermal states of this system have $\mathrm{SU}(2)$ symmetry, and at first we preserve this symmetry by measuring $\mathrm{SU}(2)$ symmetric observables. We identify classes of post-measurement states for which correlations can be calculated efficiently, as well as states for which $\mathrm{SU}(2)$ symmetric measurements generate a QMC sign problem when working in any site-local basis. For the first class, we show how deterministic loop updates can be leveraged. Using our algorithm we demonstrate the creation of long-range Bell pairs and symmetry-protected topological order, as well as the measurement-induced enhancement of antiferromagnetic correlations. We then study the effects of measuring the system in a basis where the st</w:t>
      </w:r>
    </w:p>
    <w:p>
      <w:pPr/>
      <w:r>
        <w:rPr>
          <w:b/>
        </w:rPr>
        <w:t>POSSIBLE 2025:</w:t>
      </w:r>
      <w:r>
        <w:t xml:space="preserve"> Developments in NuWro Monte Carlo generator — https://doi.org/10.48550/arxiv.2501.11470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In this article, we highlight physics improvements in the NuWro Monte Carlo event generator. The upcoming version of NuWro will incorporate the integration of the argon spectral function for quasi-elastic scattering, along with the MINER$ν$A parametrization of the axial form factor. Additionally, the new release will feature the implementation of the Valencia 2020 model for meson exchange current. The previously used simplistic delta resonance model for single-pion production will be replaced by a more accurate Ghent hybrid model in the upcoming version of NuWro. We also discuss the recent advancements made by the Wroclaw Neutrino Group in applying machine-learning techniques to achieve model-independent reconstruction of lepton-nucleus interactions</w:t>
      </w:r>
    </w:p>
    <w:p>
      <w:pPr>
        <w:pStyle w:val="Heading2"/>
      </w:pPr>
      <w:r>
        <w:t>944.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2023:</w:t>
      </w:r>
      <w:r>
        <w:t xml:space="preserve"> Rentierism, ‘Capitalist Breakthroughs’ and Non-Transformative Development in Late Putinism — https://doi.org/10.1080/09668136.2023.2276054</w:t>
      </w:r>
    </w:p>
    <w:p>
      <w:pPr/>
      <w:r>
        <w:rPr>
          <w:b/>
        </w:rPr>
        <w:t>Shared claim-specific concepts:</w:t>
      </w:r>
      <w:r>
        <w:t xml:space="preserve"> rather, regime, russian; EU scope not established. This is a provisional connection, not an outcome finding.</w:t>
      </w:r>
    </w:p>
    <w:p>
      <w:pPr>
        <w:pStyle w:val="SourceNote"/>
      </w:pPr>
      <w:r>
        <w:rPr>
          <w:b/>
        </w:rPr>
        <w:t>Available abstract (not full text):</w:t>
      </w:r>
      <w:r>
        <w:t xml:space="preserve"> This essay explores ‘territories of accelerated development’ (TORs) to reconstruct the economic policy-making, development institutions and macroeconomic framework of late Putinism since the 2010s. It argues that even with Russia’s integration into the world economy and the developmental rhetoric of state elites, TORs and the national developmental regime around them reproduce the patronal management and recycling of rents rather than the transformative and state-permeated facilitation of productive investments and capitalist profits. This upscaling of rents has been systemic. The result—rentierism—challenges common understandings of rent-seeking and commodity rents as incidental features of Russian ‘state capitalism’, and, instead places them at the centre of a non-capitalist order of its own.</w:t>
      </w:r>
    </w:p>
    <w:p>
      <w:pPr>
        <w:pStyle w:val="Heading2"/>
      </w:pPr>
      <w:r>
        <w:t>945.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r>
        <w:rPr>
          <w:b/>
        </w:rPr>
        <w:t>POSSIBLE 2020:</w:t>
      </w:r>
      <w:r>
        <w:t xml:space="preserve"> sbi: A toolkit for simulation-based inference — https://doi.org/10.21105/joss.02505</w:t>
      </w:r>
    </w:p>
    <w:p>
      <w:pPr/>
      <w:r>
        <w:rPr>
          <w:b/>
        </w:rPr>
        <w:t>Shared claim-specific concepts:</w:t>
      </w:r>
      <w:r>
        <w:t xml:space="preserve"> seeks, identify, based; EU scope not established. This is a provisional connection, not an outcome finding.</w:t>
      </w:r>
    </w:p>
    <w:p>
      <w:pPr>
        <w:pStyle w:val="SourceNote"/>
      </w:pPr>
      <w:r>
        <w:rPr>
          <w:b/>
        </w:rPr>
        <w:t>Available abstract (not full text):</w:t>
      </w:r>
      <w:r>
        <w:t xml:space="preserve"> Scientists and engineers employ stochastic numerical simulators to model empirically observed phenomena.In contrast to purely statistical models, simulators express scientific principles that provide powerful inductive biases, improve generalization to new data or scenarios and allow for fewer, more interpretable and domain-relevant parameters.Despite these advantages, tuning a simulator's parameters so that its outputs match data is challenging.Simulation-based inference (SBI) seeks to identify parameter sets that a) are compatible with prior knowledge and b) match empirical observations.Importantly, SBI does not seek to recover a single 'best' data-compatible parameter set, but rather to identify all high probability regions of parameter space that explain observed data, and thereby to quantify parameter uncertainty.In Bayesian terminology, SBI aims to retrieve the posterior distribution over the parameters of interest.In contrast to conventional Bayesian inference, SBI is also applicable when one can run model simulations, but no formula or algorithm exists for evaluating the probability of data given parameters, i.e. the likelihood.We present sbi, a PyTorch-based package that implements SBI algorithms based on neural networks.sbi facilitates inference on black-box simulators for practising scientists and engineers by providing a unified interface to state-of-the-art algorit</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2017:</w:t>
      </w:r>
      <w:r>
        <w:t xml:space="preserve"> Using New and Emerging Technologies to Identify and Respond to Suicidality Among Help-Seeking Young People: A Cross-Sectional Study — https://doi.org/10.2196/jmir.7897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BACKGROUND: Suicidal thoughts are common among young people presenting to face-to-face and online mental health services. The early detection and rapid response to these suicidal thoughts and other suicidal behaviors is a priority for suicide prevention and early intervention efforts internationally. Establishing how best to use new and emerging technologies to facilitate person-centered systematic assessment and early intervention for suicidality is crucial to these efforts. OBJECTIVE: The aim of this study was to examine the use of a suicidality escalation protocol to respond to suicidality among help-seeking young people. METHODS: A total of 232 young people in the age range of 16-25 years were recruited from either a primary mental health care service or online in the community. Each young person used the Synergy Online System and completed an initial clinical assessment online before their face-to-face or online clinical appointment. A suicidality escalation protocol was used to identify and respond to current and previous suicidal thoughts and behaviors. RESULTS: A total of 153 young people (66%, 153/232) reported some degree of suicidality and were provided with a real-time alert online. Further levels of escalation (email or phone contact and clinical review) were initiated for the 35 young people (15%, 35/232) reporting high suicidality. Higher levels of psychological </w:t>
      </w:r>
    </w:p>
    <w:p>
      <w:pPr>
        <w:pStyle w:val="Heading2"/>
      </w:pPr>
      <w:r>
        <w:t>946.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2024:</w:t>
      </w:r>
      <w:r>
        <w:t xml:space="preserve"> Disentangling rural smartness in European policies: a critical overview of the Smart Village concept — https://doi.org/10.3934/geosci.2024041</w:t>
      </w:r>
    </w:p>
    <w:p>
      <w:pPr/>
      <w:r>
        <w:rPr>
          <w:b/>
        </w:rPr>
        <w:t>Shared claim-specific concepts:</w:t>
      </w:r>
      <w:r>
        <w:t xml:space="preserve"> critical, overview, help; EU scope visible. This is a provisional connection, not an outcome finding.</w:t>
      </w:r>
    </w:p>
    <w:p>
      <w:pPr>
        <w:pStyle w:val="SourceNote"/>
      </w:pPr>
      <w:r>
        <w:rPr>
          <w:b/>
        </w:rPr>
        <w:t>Available abstract (not full text):</w:t>
      </w:r>
      <w:r>
        <w:t xml:space="preserve"> In recent years, several policies have increasingly considered smart technologies as a potential solution to overcome territorial marginality in rural areas, where digitalization and smart innovation could help local communities address challenges such as depopulation and socio-economic deprivation. At the European scale, the Smart Village Action was launched in 2017 to address the so-called "circle of decline", showing to what extent rural smartness has been recently gaining momentum in transnational cohesion policies. This work aims to critically explore the Smart Village paradigm as a recently-emerged policy framework in rural, cohesion and/or recovery policies, investigating if and how it is variously (re)interpreted in policies and operationally applied in projects. From a methodological point of view, a qualitative policy document analysis (QPDA) and software-based content analysis were carried out on UE official documents, offering new theoretical insights and operational recommendations for understanding the concept of smartness beyond urban-centered perspectives.</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pStyle w:val="Heading2"/>
      </w:pPr>
      <w:r>
        <w:t>947.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2023:</w:t>
      </w:r>
      <w:r>
        <w:t xml:space="preserve"> The interplay between energy technologies and human health: Implications for energy transition — https://doi.org/10.1016/j.egyr.2023.04.351</w:t>
      </w:r>
    </w:p>
    <w:p>
      <w:pPr/>
      <w:r>
        <w:rPr>
          <w:b/>
        </w:rPr>
        <w:t>Shared claim-specific concepts:</w:t>
      </w:r>
      <w:r>
        <w:t xml:space="preserve"> energy, technology, focus; EU scope not established. This is a provisional connection, not an outcome finding.</w:t>
      </w:r>
    </w:p>
    <w:p>
      <w:pPr>
        <w:pStyle w:val="SourceNote"/>
      </w:pPr>
      <w:r>
        <w:rPr>
          <w:b/>
        </w:rPr>
        <w:t>Available abstract (not full text):</w:t>
      </w:r>
      <w:r>
        <w:t xml:space="preserve"> This paper explores the relationship between human health and energy technologies, with a focus on how energy technology needs to adapt to new health challenges. The authors examine how a clean, affordable, and reliable energy infrastructure is critical for mitigating the impact of future pandemics. They also look at how increasing the proportion of solar and wind energy can create a near-zero emission energy system that is independent of fuel supply and its associated environmental problems. However, to ensure system resilience, significant investments in energy storage and smart control systems are necessary. For instance, the pandemic led to around 5% increase in US residential sector electricity consumption share in 2020 compared to 2019 due to stay-at-home orders, which could impact grid reliability and resiliency. This work also highlights the importance of designing energy-efficient and low-cost cooling and heating technologies for residential buildings to protect vulnerable populations from the health consequences of rising temperatures due to climate change. Additionally, the growing number of refugees worldwide and the need for efficient portable power sources in refugee camps are also addressed. The authors demonstrate how pandemics like COVID-19 can have far-reaching effects on energy technologies, from household energy use to large energy companies, and result in e</w:t>
      </w:r>
    </w:p>
    <w:p>
      <w:pPr>
        <w:pStyle w:val="Heading2"/>
      </w:pPr>
      <w:r>
        <w:t>948.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949.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pStyle w:val="Heading2"/>
      </w:pPr>
      <w:r>
        <w:t>950.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pStyle w:val="Heading2"/>
      </w:pPr>
      <w:r>
        <w:t>951.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pStyle w:val="Heading2"/>
      </w:pPr>
      <w:r>
        <w:t>952.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953.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r>
        <w:rPr>
          <w:b/>
        </w:rPr>
        <w:t>POSSIBLE 2023:</w:t>
      </w:r>
      <w:r>
        <w:t xml:space="preserve"> An Analysis of the Supply Chain Model for Production System Under Selling Price Demand Rate, Controllable Deterioration Rate With Several Market Demand — https://doi.org/10.26713/cma.v14i2.2216</w:t>
      </w:r>
    </w:p>
    <w:p>
      <w:pPr/>
      <w:r>
        <w:rPr>
          <w:b/>
        </w:rPr>
        <w:t>Shared claim-specific concepts:</w:t>
      </w:r>
      <w:r>
        <w:t xml:space="preserve"> here, significant; EU scope not established. This is a provisional connection, not an outcome finding.</w:t>
      </w:r>
    </w:p>
    <w:p>
      <w:pPr>
        <w:pStyle w:val="SourceNote"/>
      </w:pPr>
      <w:r>
        <w:rPr>
          <w:b/>
        </w:rPr>
        <w:t>Available abstract (not full text):</w:t>
      </w:r>
      <w:r>
        <w:t xml:space="preserve"> Stock is one of the significant elements of an e-business enterprise for its successful functioning and profitable execution. This research looks into an inventory model for fading gadgets with an ordinary deterioration rate. This paper develops a deterministic inventory model for spoiling items in which shortages are not allowed for declining things. As in applied eventualities, the demand for an object is related to its selling price. It is assumed to be a price-dependent demand. The uniqueness of this article is that the demand rate is selling price dependent, the preservation technique described here was applied for multiple market demands. The study highlights that the model is explained analytically by minimizing the total inventory cost and maximizing the profits incurred. Sensitivity analysis is implemented to show the effect of deviations in the various parameters for the finest solution. The model’s study indicates that the model’s explanation is relatively stable and can be applied to optimizing the entire inventory cost of deteriorating items. The inventory model discussed in this article has controllable deterioration rates. This model helps business enterprises find the finest replenishment plan for raw things and the production strategy for complete products.</w:t>
      </w:r>
    </w:p>
    <w:p>
      <w:pPr/>
      <w:r>
        <w:rPr>
          <w:b/>
        </w:rPr>
        <w:t>POSSIBLE 2023:</w:t>
      </w:r>
      <w:r>
        <w:t xml:space="preserve"> Applying Fuzzy Time Series for Developing Forecasting Electricity Demand Models — https://doi.org/10.3390/math11173667</w:t>
      </w:r>
    </w:p>
    <w:p>
      <w:pPr/>
      <w:r>
        <w:rPr>
          <w:b/>
        </w:rPr>
        <w:t>Shared claim-specific concepts:</w:t>
      </w:r>
      <w:r>
        <w:t xml:space="preserve"> significant, energy, developing, forecasts, consumption; EU scope visible. This is a provisional connection, not an outcome finding.</w:t>
      </w:r>
    </w:p>
    <w:p>
      <w:pPr>
        <w:pStyle w:val="SourceNote"/>
      </w:pPr>
      <w:r>
        <w:rPr>
          <w:b/>
        </w:rPr>
        <w:t>Available abstract (not full text):</w:t>
      </w:r>
      <w:r>
        <w:t xml:space="preserve"> Managing the energy produced to support industries and various human activities is highly relevant nowadays. Companies in the electricity markets of each country analyze the generation, transmission, and distribution of energy to meet the energy needs of various sectors and industries. Electrical markets emerge to economically analyze everything related to energy generation, transmission, and distribution. The demand for electric energy is crucial in determining the amount of energy needed to meet the requirements of an individual or a group of consumers. But energy consumption often exhibits random behavior, making it challenging to develop accurate prediction models. The analysis and understanding of energy consumption are essential for energy generation. Developing models to forecast energy demand is necessary for improving generation and consumption management. Given the energy variable’s stochastic nature, this work’s main objective is to explore different configurations and parameters using specialized libraries in Python and Google Collaboratory. The aim is to develop a model for forecasting electric power demand using fuzzy logic. This study compares the proposed solution with previously developed machine learning systems to create a highly accurate forecast model for demand values. The data used in this work was collected by the European Network of Transmission System </w:t>
      </w:r>
    </w:p>
    <w:p>
      <w:pPr>
        <w:pStyle w:val="Heading2"/>
      </w:pPr>
      <w:r>
        <w:t>954.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2024:</w:t>
      </w:r>
      <w:r>
        <w:t xml:space="preserve"> The Impact of Home Environment Insecurity on Tourists’ Self-Protective Behavior in the Event of a Terrorist Attack — https://doi.org/10.1177/00472875241288852</w:t>
      </w:r>
    </w:p>
    <w:p>
      <w:pPr/>
      <w:r>
        <w:rPr>
          <w:b/>
        </w:rPr>
        <w:t>Shared claim-specific concepts:</w:t>
      </w:r>
      <w:r>
        <w:t xml:space="preserve"> terrorist, attacks, london, lack; EU scope not established. This is a provisional connection, not an outcome finding.</w:t>
      </w:r>
    </w:p>
    <w:p>
      <w:pPr>
        <w:pStyle w:val="SourceNote"/>
      </w:pPr>
      <w:r>
        <w:rPr>
          <w:b/>
        </w:rPr>
        <w:t>Available abstract (not full text):</w:t>
      </w:r>
      <w:r>
        <w:t xml:space="preserve"> Terrorist attacks have a profound and lasting impact on tourism destinations and tourists’ safety. By applying protection motivation theory as the theoretical lens and adopting the threat of a terrorist attack in London as the study context, this study examines the impact of home environment insecurity on tourists’ risk evaluation (i.e., threat and coping appraisals) and self-protective behavioral intentions amid a terrorism incident while traveling. Data were collected from 793 U.S.-based respondents in Amazon-Mturk. The results show that tourists’ home environment insecurity has a positive (vs. negative) impact on their threat (vs. coping) appraisal of the terrorism related risk. Notably, the lack of security in one’s home environment indirectly affects tourists’ tendency to adopt self-protective measures, through tourists’ coping appraisal in relation to their self-efficacy and response-efficacy. This study offers valuable theoretical and practical insights that may enhance tourist safety during a terrorism incident.</w:t>
      </w:r>
    </w:p>
    <w:p>
      <w:pPr/>
      <w:r>
        <w:rPr>
          <w:b/>
        </w:rPr>
        <w:t>POSSIBLE 2024:</w:t>
      </w:r>
      <w:r>
        <w:t xml:space="preserve"> Artificial Intelligence on Journalism: Algorithmic Power Targeting the Crack in Memory in the Example of ‘Religious Wave’ Terrorist Attacks — https://doi.org/10.47951/mediad.1523167</w:t>
      </w:r>
    </w:p>
    <w:p>
      <w:pPr/>
      <w:r>
        <w:rPr>
          <w:b/>
        </w:rPr>
        <w:t>Shared claim-specific concepts:</w:t>
      </w:r>
      <w:r>
        <w:t xml:space="preserve"> terrorist, attacks, practice, critical; EU scope not established. This is a provisional connection, not an outcome finding.</w:t>
      </w:r>
    </w:p>
    <w:p>
      <w:pPr>
        <w:pStyle w:val="SourceNote"/>
      </w:pPr>
      <w:r>
        <w:rPr>
          <w:b/>
        </w:rPr>
        <w:t>Available abstract (not full text):</w:t>
      </w:r>
      <w:r>
        <w:t xml:space="preserve"> The digital technology that governs this historical process is a partner in the creation of an ambiguous world with its image attached to everyday life forms. This picture the world is trapped in is becoming clearer in journalism practices. As the sector becomes acquainted with new forms of journalism, the responsibility of the news reader to be a truth reader increases. AI is visible in news production, from access to the source to the production. This study emerged from the necessity of considering the news-power-technology relationship and the memory distortion dynamics of global power structures together. In this study, which aims to point out the risks of AI news in the context of memory distortion, the ‘religious wave’ terrorist attacks are taken into consideration. Critical discourse analysis was used in this research conducted on a sample of the ChatGPT’s news regarding 9/11, 7/7, 2015 Paris and Christchurch attacks. The findings show that the discourse of global power is repeated in artificial intelligence news on religion-based terrorist attacks and that technology targeting social memory reproduces the ideology of power. Accordingly, an intensive reading practice can be recommended to the interlocutors of the news against the news emerging from AI algorithms.</w:t>
      </w:r>
    </w:p>
    <w:p>
      <w:pPr>
        <w:pStyle w:val="Heading2"/>
      </w:pPr>
      <w:r>
        <w:t>955.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Ammonia emission estimates using CrIS satellite observations over Europe — https://doi.org/10.5194/acp-24-10583-2024</w:t>
      </w:r>
    </w:p>
    <w:p>
      <w:pPr/>
      <w:r>
        <w:rPr>
          <w:b/>
        </w:rPr>
        <w:t>Shared claim-specific concepts:</w:t>
      </w:r>
      <w:r>
        <w:t xml:space="preserve"> total, nitrogen, due;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pStyle w:val="Heading2"/>
      </w:pPr>
      <w:r>
        <w:t>956.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pStyle w:val="Heading2"/>
      </w:pPr>
      <w:r>
        <w:t>957.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pStyle w:val="Heading2"/>
      </w:pPr>
      <w:r>
        <w:t>958.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959.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pStyle w:val="Heading2"/>
      </w:pPr>
      <w:r>
        <w:t>960.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r>
        <w:rPr>
          <w:b/>
        </w:rPr>
        <w:t>POSSIBLE 2018:</w:t>
      </w:r>
      <w:r>
        <w:t xml:space="preserve"> Immigrant Workers in Industrial France — https://doi.org/10.1353/book.59701</w:t>
      </w:r>
    </w:p>
    <w:p>
      <w:pPr/>
      <w:r>
        <w:rPr>
          <w:b/>
        </w:rPr>
        <w:t>Shared claim-specific concepts:</w:t>
      </w:r>
      <w:r>
        <w:t xml:space="preserve"> immigrants, alongside, demographic; EU scope visible. This is a provisional connection, not an outcome finding.</w:t>
      </w:r>
    </w:p>
    <w:p>
      <w:pPr>
        <w:pStyle w:val="SourceNote"/>
      </w:pPr>
      <w:r>
        <w:rPr>
          <w:b/>
        </w:rPr>
        <w:t>Available abstract (not full text):</w:t>
      </w:r>
      <w:r>
        <w:t xml:space="preserve"> The Making of a New Laboring Class.Gérard Noiriel's Le Creuset français: Histoire de l'im migration XIXe-XXe siècles, along with Yves Lequin's La Mosaïque France: Histoire des étrangers et de l'immigration en France, both published in 1988, were crucial founding texts for the field of immi gration history in France.But Cross blazed the trail with his earlier, finely wrought study at the crossroads of labor studies and immigration histor y.As my well-worn, copiously underlined, first edition attests, Cross inaugurated in-depth research into the ways in which France welcomed immigrants from the 1880s onward.He starts with the formative period before World War I, when employers' groups actively recruited foreign workers for their fields, factories, and mines, and then moves to the interwar period, the primary focus of his study.France's demographic woes have been long studied, from the declining birth rate of the second half of the nineteenth century -blamed variously on inheritance laws, taxes, military service, child labor laws, women, contraception, and/or an "esprit de calcul" -to the hecatomb of World War I.A ready yet reticent solution was immigrant labor.While Belgians and Germans had been coming to work in France since the nineteenth century (until, for the latter, their welcome wore out due to the Franco-Prussian War), Poles and Italians began to be hired heavily in the d</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961.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pStyle w:val="Heading2"/>
      </w:pPr>
      <w:r>
        <w:t>962.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Extreme precipitation events in the Mediterranean area: contrasting two different models for moisture source identification — https://doi.org/10.5194/hess-25-6465-2021</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Concern about heavy precipitation events has increasingly grown in the last years in Southern Europe, especially in the Mediterranean region. These occasional episodes can result in more than 200 mm of rainfall in less than 24 h, producing flash floods with very high social and economic losses. To the better understanding of this phenomena, a correct identification of the origin of the moisture must be found. However, the contribution of the different sources is very difficult to estimate from observational data, so numerical models are usually used to this end. Here, we present a comparison between two complex methodologies for the quantification of the moisture sources in two infamous events occurred during October and November 1982 in the Western Mediterranean area. In a previous study, using an Eulerian approach it was determined the contributions of moisture evaporated in: 1) Western Mediterranean; 2) Central Mediterranean; 3) North Atlantic ocean and 4) tropical and subtropical Atlantic and tropical Africa. Now, we use the Lagrangian model FLEXPART-WRF to quantify the role played by these sources. Considering the results provided by the Eulerian analysis as the virtual reality, we validated the performance of the Lagrangian model. Results show that the Lagrangian method has an acceptable performance in identifying local (Western Mediterranean) and medium-distanc</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different, plausible, data;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pStyle w:val="Heading2"/>
      </w:pPr>
      <w:r>
        <w:t>963.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pStyle w:val="Heading2"/>
      </w:pPr>
      <w:r>
        <w:t>964.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965.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pStyle w:val="Heading2"/>
      </w:pPr>
      <w:r>
        <w:t>966.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r>
        <w:rPr>
          <w:b/>
        </w:rPr>
        <w:t>POSSIBLE 2021:</w:t>
      </w:r>
      <w:r>
        <w:t xml:space="preserve"> (Eco)toxicological tests for assessing impacts of chemical stress to aquatic ecosystems: Facts, challenges, and future — https://doi.org/10.1016/j.scitotenv.2021.148776</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Monitoring of chemicals in the aquatic environment by chemical analysis alone cannot completely assess and predict the effects of chemicals on aquatic species and ecosystems. This is primarily because of the increasing number of (unknown) chemical stressors and mixture effects present in the environment. In addition, the ability of ecological indices to identify underlying stressors causing negative ecological effects is limited. Therefore, additional complementary methods are needed that can address the biological effects in a direct manner and provide a link to chemical exposure, i.e. (eco)toxicological tests. (Eco)toxicological tests are defined as test systems that expose biological components (cells, individuals, populations, communities) to (environmental mixtures of) chemicals to register biological effects. These tests measure responses at the sub-organismal (biomarkers and in vitro bioassays), whole-organismal, population, or community level. We performed a literature search to obtain a state-of-the-art overview of ecotoxicological tests available for assessing impacts of chemicals to aquatic biota and to reveal datagaps. In total, we included 509 biomarkers, 207 in vitro bioassays, 422 tests measuring biological effects at the whole-organismal level, and 78 tests at the population- community- and ecosystem-level. Tests at the whole-organismal level and biomarkers were</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2020:</w:t>
      </w:r>
      <w:r>
        <w:t xml:space="preserve"> Challenges and Opportunities to Enhance Flexibility in Design and Operation of Chemical Processes — https://doi.org/10.1002/cite.202000057</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Abstract Flexibility receives increased interest in chemical engineering and is discussed as one measure to deal with upcoming challenges for the chemical industry. In this paper, different types of flexibility are presented, and flexibility needs are illustrated. The focus is on the evaluation and classification of available solutions to enhance flexibility. Solutions and future challenges across all length scales of chemical engineering are discussed: from tailored catalyst properties to decoupling of processes by means of storage.</w:t>
      </w:r>
    </w:p>
    <w:p>
      <w:pPr>
        <w:pStyle w:val="Heading2"/>
      </w:pPr>
      <w:r>
        <w:t>967.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968.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r>
        <w:rPr>
          <w:b/>
        </w:rPr>
        <w:t>POSSIBLE 2024:</w:t>
      </w:r>
      <w:r>
        <w:t xml:space="preserve"> Invasive and native mosquitoes in Europe, including Poland, as vectors transmitting pathogens – implications for wellbeing of Armed Forces — https://doi.org/10.26444/aaem/193428</w:t>
      </w:r>
    </w:p>
    <w:p>
      <w:pPr/>
      <w:r>
        <w:rPr>
          <w:b/>
        </w:rPr>
        <w:t>Shared claim-specific concepts:</w:t>
      </w:r>
      <w:r>
        <w:t xml:space="preserve"> centre, poland, aim; EU scope visible. This is a provisional connection, not an outcome finding.</w:t>
      </w:r>
    </w:p>
    <w:p>
      <w:pPr>
        <w:pStyle w:val="SourceNote"/>
      </w:pPr>
      <w:r>
        <w:rPr>
          <w:b/>
        </w:rPr>
        <w:t>Available abstract (not full text):</w:t>
      </w:r>
      <w:r>
        <w:t xml:space="preserve"> INTRODUCTION AND OBJECTIVE: Mosquitoes play a crucial role as vectors transmitting various pathogens, including parasites and viruses, which cause serious diseases worldwide, such as malaria, dengua or West Nile virus. Both invasive and native species are capable of spreading tropical diseases, which endanger troops stationing in areas rich in mosquitos. The aim of the review is to analyze current knowledge about the distribution of mosquito species in Europe, including Poland, and the factors influencing their presence. REVIEW METHODS: A systematic literature review was conducted using databases such as PubMed and Google Scholar. The search included key words related to mosquitoes, vector-borne diseases, and climate change. Data were supplemented with information from the websites of the World Health Organization (WHO) and European Centre for Disease Prevention and Control (ECDC). BRIEF DESCRIPTION OF THE STATE OF KNOWLEDGE: Invasive mosquitoes, such as Aedes albopictus, have been spreading in Europe since the 1990s. Rising temperatures and global movement of people and goods are the main driving forces of this phenomenon. Even native European mosquito species, like Culex spp., are able to transmit tropical diseases. The European Mosquito Control Association is developing mosquito control programmes but they are not sufficiently implemented. SUMMARY: Mosquitoes transmit variou</w:t>
      </w:r>
    </w:p>
    <w:p>
      <w:pPr>
        <w:pStyle w:val="Heading2"/>
      </w:pPr>
      <w:r>
        <w:t>969.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pStyle w:val="Heading2"/>
      </w:pPr>
      <w:r>
        <w:t>970.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 estimates, gas, about;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Study on Potential Role and Benefits of Liquified Natural Gas Import Terminal in Latvia — https://doi.org/10.2478/lpts-2022-0010</w:t>
      </w:r>
    </w:p>
    <w:p>
      <w:pPr/>
      <w:r>
        <w:rPr>
          <w:b/>
        </w:rPr>
        <w:t>Shared claim-specific concepts:</w:t>
      </w:r>
      <w:r>
        <w:t xml:space="preserve"> current, import, gas, already, russian; EU scope visible. This is a provisional connection, not an outcome finding.</w:t>
      </w:r>
    </w:p>
    <w:p>
      <w:pPr>
        <w:pStyle w:val="SourceNote"/>
      </w:pPr>
      <w:r>
        <w:rPr>
          <w:b/>
        </w:rPr>
        <w:t>Available abstract (not full text):</w:t>
      </w:r>
      <w:r>
        <w:t xml:space="preserve"> Abstract Natural gas is relatively clean energy source, which emits less greenhouse gases (hereinafter – GHG), compared to other fossil fuels, such as hard and brown coal, and therefore it may be the most feasible resource to ensure smooth energy transition towards Europe’s climate neutrality by 2050. Traditional natural gas can be easily transported and used in liquefied (hereinafter – LNG) or compressed form. As for biomethane, in future it also can be used in liquefied (hereinafter – bioLNG) and compressed form, as well as transported by means of the current natural gas infrastructure. It can also significantly enhance regional and national energy security and independence, which has been challenging for the European Union (hereinafter – EU) over at least several decades. Issue on energy independence, security of supply, alternative natural gas sources has been in a hotspot of the Baltic energy policy makers as well. Now, considering Russia’s invasion in Ukraine, since late February 2022, a problem of the EU natural gas dependency on the Russian Federation has escalated again and with force never before experienced. The European natural gas prices also hit records, as the natural gas prices in the Netherlands Title Transfer Facility reached 345 euros per megawatt-hour (hereinafter – EUR/MWh) in March 2022. Therefore, LNG import terminal is the only viable option to reduce na</w:t>
      </w:r>
    </w:p>
    <w:p>
      <w:pPr>
        <w:pStyle w:val="Heading2"/>
      </w:pPr>
      <w:r>
        <w:t>971.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pStyle w:val="Heading2"/>
      </w:pPr>
      <w:r>
        <w:t>972.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2025:</w:t>
      </w:r>
      <w:r>
        <w:t xml:space="preserve"> Implementing the systems-based breeding approach: Lessons learned from the European Union LIVESEED project — https://doi.org/10.5304/jafscd.2025.144.004</w:t>
      </w:r>
    </w:p>
    <w:p>
      <w:pPr/>
      <w:r>
        <w:rPr>
          <w:b/>
        </w:rPr>
        <w:t>Shared claim-specific concepts:</w:t>
      </w:r>
      <w:r>
        <w:t xml:space="preserve"> approaches, focus, project, security; EU scope visible. This is a provisional connection, not an outcome finding.</w:t>
      </w:r>
    </w:p>
    <w:p>
      <w:pPr>
        <w:pStyle w:val="SourceNote"/>
      </w:pPr>
      <w:r>
        <w:rPr>
          <w:b/>
        </w:rPr>
        <w:t>Available abstract (not full text):</w:t>
      </w:r>
      <w:r>
        <w:t xml:space="preserve"> Organic breeders must meet many requirements when developing cultivars to satisfy demand for high yield, good quality, resource efficiency and climate robustness, cultural and ethical accepta­bil­ity, and the provision of ecosystem services. Given the current and future climatic, agronomic, eco­nomic, and socio-cultural challenges, resilience can only be efficiently achieved through concerted actions. The concept of systems-based breeding integrates the strengths of different breeding orientations and provides a perspective where breeders can initiate developments toward ecologi­cally and societally resilient crop production that address six sustainability targets, including (1) food security, safety and quality; (2) food and seed sov­ereignty; (3) social justice; (4) agrobiodiversity; (5) ecosystem services; and (6) climate robustness. In this paper we present five supportive pillars for implementing the concept of systems-based breed­ing, based on experiences obtained during the European Union (EU) project LIVESEED from 2017 to 2021, and including results from prior related projects and literature on innovation sys­tems and systems change. The five supportive pil­lars we have identified are (1) increasing social awareness and reflection, (2) developing alternative financing approaches, (3) promoting the develop­ment of appropriate breeding methodologies and methods, (4) apply</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pStyle w:val="Heading2"/>
      </w:pPr>
      <w:r>
        <w:t>973.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pStyle w:val="Heading2"/>
      </w:pPr>
      <w:r>
        <w:t>974.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2024:</w:t>
      </w:r>
      <w:r>
        <w:t xml:space="preserve"> Robust angle-based transfer learning in high dimensions — https://doi.org/10.1093/jrsssb/qkae111</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Transfer learning improves target model performance by leveraging data from related source populations, especially when target data are scarce. This study addresses the challenge of training high-dimensional regression models with limited target data in the presence of heterogeneous source populations. We focus on a practical setting where only parameter estimates of pretrained source models are available, rather than individual-level source data. For a single source model, we propose a novel angle-based transfer learning (angleTL) method that leverages concordance between source and target model parameters. AngleTL adapts to the signal strength of the target model, unifies several benchmark methods, and mitigates negative transfer when between-population heterogeneity is large. We extend angleTL to incorporate multiple source models, accounting for varying levels of relevance among them. Our high-dimensional asymptotic analysis provides insights into when a source model benefits the target model and demonstrates the superiority of angleTL over other methods. Extensive simulations validate these findings and highlight the feasibility of applying angleTL to transfer genetic risk prediction models across multiple biobanks.</w:t>
      </w:r>
    </w:p>
    <w:p>
      <w:pPr>
        <w:pStyle w:val="Heading2"/>
      </w:pPr>
      <w:r>
        <w:t>975.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pStyle w:val="Heading2"/>
      </w:pPr>
      <w:r>
        <w:t>976.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2021:</w:t>
      </w:r>
      <w:r>
        <w:t xml:space="preserve"> Climate risks and adaptation strategies of farmers in East Africa and South Asia — https://doi.org/10.1038/s41598-021-89391-1</w:t>
      </w:r>
    </w:p>
    <w:p>
      <w:pPr/>
      <w:r>
        <w:rPr>
          <w:b/>
        </w:rPr>
        <w:t>Shared claim-specific concepts:</w:t>
      </w:r>
      <w:r>
        <w:t xml:space="preserve"> therefore, likely, adaptation, between, compared, climate; EU scope not established. This is a provisional connection, not an outcome finding.</w:t>
      </w:r>
    </w:p>
    <w:p>
      <w:pPr>
        <w:pStyle w:val="SourceNote"/>
      </w:pPr>
      <w:r>
        <w:rPr>
          <w:b/>
        </w:rPr>
        <w:t>Available abstract (not full text):</w:t>
      </w:r>
      <w:r>
        <w:t xml:space="preserve"> Understanding major climate risks, adaptation strategies, and factors influencing the choice of those strategies is crucial to reduce farmers' vulnerability. Employing comprehensive data from 2822 farm households in Ethiopia and Kenya (East Africa; EA) and 1902 farm households in Bangladesh, India, and Nepal (South Asia; SA), this study investigates the main climate risks that farmers faced and the adaptation strategies they used. Among others, excessive rainfall and heightened crop pest/disease incidence are commonly observed climate-induced risks in all study areas, while cyclones and salinity are unique to Bangladesh. Drought is prevalent in Ethiopia, India, Kenya, and Nepal. Farmers in those countries responded with strategies that include change in farming practices, sustainable land management, reduce consumption, sell assets, use savings and borrowings, seek alternative employment and assistance from government or NGO. In general, farmers faced several multiple climate risks simultaneously and they responded with multiple adaptation strategies. Therefore, this study used a multivariate probit (MVP) approach to examine the factors influencing the adoption of adaptation strategies. Unlike other studies, we also tested and corrected for possible endogeneity in model estimation. All the countries mentioned have low adaptive capacity to address climate change, which is furthe</w:t>
      </w:r>
    </w:p>
    <w:p>
      <w:pPr/>
      <w:r>
        <w:rPr>
          <w:b/>
        </w:rPr>
        <w:t>POSSIBLE 2021:</w:t>
      </w:r>
      <w:r>
        <w:t xml:space="preserve"> Synergies and trade-offs between sanitation and the sustainable development goals — https://doi.org/10.14324/111.444/ucloe.000016</w:t>
      </w:r>
    </w:p>
    <w:p>
      <w:pPr/>
      <w:r>
        <w:rPr>
          <w:b/>
        </w:rPr>
        <w:t>Shared claim-specific concepts:</w:t>
      </w:r>
      <w:r>
        <w:t xml:space="preserve"> synergies, trade-offs, between, range, services; EU scope not established. This is a provisional connection, not an outcome finding.</w:t>
      </w:r>
    </w:p>
    <w:p>
      <w:pPr>
        <w:pStyle w:val="SourceNote"/>
      </w:pPr>
      <w:r>
        <w:rPr>
          <w:b/>
        </w:rPr>
        <w:t>Available abstract (not full text):</w:t>
      </w:r>
      <w:r>
        <w:t xml:space="preserve"> To better leverage opportunities arising out of sustainable and inclusive management of sanitation services there is a need for robust and comprehensive evidence of the wide-ranging benefits that sanitation can deliver. The Sustainable Development Goals (SDGs) provide a comprehensive framework for sustainable development broken down into 169 interconnected Targets which are articulated under 17 Goals. Based on a methodology developed at University College London (UCL), this study identifies linkages between sanitation and the 169 Targets corroborated by published evidence. We show that there are synergies between sanitation and all 17 Goals and 130 (77%) of the Targets, and trade-offs for 28 (17%) of the Targets. We identified 83 Targets (49%) that call for action in the sanitation sector. The results demonstrate the far-reaching benefits that can be unlocked from investment in sanitation, which extend beyond health and spread across sectors. The evidence base for the 17 Goals establishes links that can inform cross-sectoral action, collaborations and investment across governance levels for integrated sanitation solutions. The research provides different stakeholders with a framework that can be applied to context-specific cases and projects. We propose a range of recommendations to policy makers, practitioners and researchers who seek to take this study further to help achieve</w:t>
      </w:r>
    </w:p>
    <w:p>
      <w:pPr>
        <w:pStyle w:val="Heading2"/>
      </w:pPr>
      <w:r>
        <w:t>977.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2021:</w:t>
      </w:r>
      <w:r>
        <w:t xml:space="preserve"> Possibilities of the Development of Edible Insect-Based Foods in Europe — https://doi.org/10.3390/foods10040766</w:t>
      </w:r>
    </w:p>
    <w:p>
      <w:pPr/>
      <w:r>
        <w:rPr>
          <w:b/>
        </w:rPr>
        <w:t>Shared claim-specific concepts:</w:t>
      </w:r>
      <w:r>
        <w:t xml:space="preserve"> however, only;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pStyle w:val="Heading2"/>
      </w:pPr>
      <w:r>
        <w:t>978.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979.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pStyle w:val="Heading2"/>
      </w:pPr>
      <w:r>
        <w:t>980.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pStyle w:val="Heading2"/>
      </w:pPr>
      <w:r>
        <w:t>981.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2021:</w:t>
      </w:r>
      <w:r>
        <w:t xml:space="preserve"> Mobility and Social Change: Understanding the European Neolithic Period after the Archaeogenetic Revolution — https://doi.org/10.1007/s10814-020-09153-x</w:t>
      </w:r>
    </w:p>
    <w:p>
      <w:pPr/>
      <w:r>
        <w:rPr>
          <w:b/>
        </w:rPr>
        <w:t>Shared claim-specific concepts:</w:t>
      </w:r>
      <w:r>
        <w:t xml:space="preserve"> period, periods, larger; EU scope visible. This is a provisional connection, not an outcome finding.</w:t>
      </w:r>
    </w:p>
    <w:p>
      <w:pPr>
        <w:pStyle w:val="SourceNote"/>
      </w:pPr>
      <w:r>
        <w:rPr>
          <w:b/>
        </w:rPr>
        <w:t>Available abstract (not full text):</w:t>
      </w:r>
      <w:r>
        <w:t xml:space="preserve"> Abstract This paper discusses and synthesizes the consequences of the archaeogenetic revolution to our understanding of mobility and social change during the Neolithic period in Europe (6500–2000 BC). In spite of major obstacles to a productive integration of archaeological and anthropological knowledge with ancient DNA data, larger changes in the European gene pool are detected and taken as indications for large-scale migrations during two major periods: the Early Neolithic expansion into Europe (6500–4000 BC) and the third millennium BC “steppe migration.” Rather than massive migration events, I argue that both major genetic turnovers are better understood in terms of small-scale mobility and human movement in systems of population circulation, social fission and fusion of communities, and translocal interaction, which together add up to a large-scale signal. At the same time, I argue that both upticks in mobility are initiated by the two most consequential social transformations that took place in Eurasia, namely the emergence of farming, animal husbandry, and sedentary village life during the Neolithic revolution and the emergence of systems of centralized political organization during the process of urbanization and early state formation in southwest Asia.</w:t>
      </w:r>
    </w:p>
    <w:p>
      <w:pPr/>
      <w:r>
        <w:rPr>
          <w:b/>
        </w:rPr>
        <w:t>POSSIBLE 2021:</w:t>
      </w:r>
      <w:r>
        <w:t xml:space="preserve"> Extending temporal baseline increases understanding of biodiversity change in European boreal waterbird communities — https://doi.org/10.1016/j.biocon.2021.109139</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Setting relevant temporal baselines is critical to understanding biodiversity change and the full impact of various pressures on biodiversity. Current knowledge of biodiversity change in European boreal waterbird communities is based on monitoring and other data from the last 35 years. However, the impact of the presumed main drivers of changes in these communities, i.e., eutrophication and alien predators, started decades before this. We used data of 35 breeding waterbird communities, representing both oligotrophic and eutrophic lakes, in southern Finland from 1951–1970 and 1996–2015 to study changes in biodiversity against a baseline from a period when the presumed main drivers were not yet fully effective. We found that species richness increased from 1951–1970 to 1996–2015 at oligotrophic lakes but not at eutrophic lakes; total abundance in turn increased at the former lake type but decreased at the latter. Breeding numbers of many historically abundant species declined at the eutrophic lakes to such a degree that the increases of other species were not sufficient to compensate for the declines. Population increases prevailed at the oligotrophic lakes and the slight declines of some previously less abundant species, were compensated for. The species level results revealed that local abundances of different species likely are affected by different drivers, suggesting that we</w:t>
      </w:r>
    </w:p>
    <w:p>
      <w:pPr>
        <w:pStyle w:val="Heading2"/>
      </w:pPr>
      <w:r>
        <w:t>982.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r>
        <w:rPr>
          <w:b/>
        </w:rPr>
        <w:t>POSSIBLE 2024:</w:t>
      </w:r>
      <w:r>
        <w:t xml:space="preserve"> A Structural Equations Model Approach to Examining University Students' Acceptance of a Learning Management System — https://doi.org/10.18421/tem132-69</w:t>
      </w:r>
    </w:p>
    <w:p>
      <w:pPr/>
      <w:r>
        <w:rPr>
          <w:b/>
        </w:rPr>
        <w:t>Shared claim-specific concepts:</w:t>
      </w:r>
      <w:r>
        <w:t xml:space="preserve"> approach, technology; EU scope not established. This is a provisional connection, not an outcome finding.</w:t>
      </w:r>
    </w:p>
    <w:p>
      <w:pPr>
        <w:pStyle w:val="SourceNote"/>
      </w:pPr>
      <w:r>
        <w:rPr>
          <w:b/>
        </w:rPr>
        <w:t>Available abstract (not full text):</w:t>
      </w:r>
      <w:r>
        <w:t xml:space="preserve"> The study examined university students’ acceptance of a Learning Management System (LMS) during the emergency transition to online distance learning (ODL) brought on by the COVID-19 pandemic. The study involved 408 university students and employed a concurrent triangulation mixed methods design and Structural Equation Model (SEM) to investigate the Technology Acceptance Model (TAM) and several external variables, specifically social influence (SI), system characteristics (SC), individual differences (ID), facilitating conditions (FC), and academic performance. Results of SEM revealed that FC, SI, and SC are significant factors in LMS acceptance, with SC having the strongest influence on perceived ease of use (PEU) and perceived usefulness (PU). A significant path coefficient was also observed for actual use (AU) on academic performance. LMS analytics revealed the utility of discussion and assignment features of the LMS are greater over quizzes in ODL. Most students described LMS features as generally effective, particularly the use of modules, announcements, and assignments, and the provision of course materials as the best teaching practice. The quality of the Internet connectivity was determined as a major challenge affecting students’ ODL experience.</w:t>
      </w:r>
    </w:p>
    <w:p>
      <w:pPr/>
      <w:r>
        <w:rPr>
          <w:b/>
        </w:rPr>
        <w:t>POSSIBLE 2024:</w:t>
      </w:r>
      <w:r>
        <w:t xml:space="preserve"> Examining Student Acceptance and Attitudes Toward the Learning Management System Through the Lens of the Technology Acceptance Model and the Information System Success Model — https://doi.org/10.1109/icet64717.2024.10778473</w:t>
      </w:r>
    </w:p>
    <w:p>
      <w:pPr/>
      <w:r>
        <w:rPr>
          <w:b/>
        </w:rPr>
        <w:t>Shared claim-specific concepts:</w:t>
      </w:r>
      <w:r>
        <w:t xml:space="preserve"> does, not, technology; EU scope not established. This is a provisional connection, not an outcome finding.</w:t>
      </w:r>
    </w:p>
    <w:p>
      <w:pPr>
        <w:pStyle w:val="SourceNote"/>
      </w:pPr>
      <w:r>
        <w:rPr>
          <w:b/>
        </w:rPr>
        <w:t>Available abstract (not full text):</w:t>
      </w:r>
      <w:r>
        <w:t xml:space="preserve"> The era of digital transformation has an impact on all areas, including the field of education. Dian Harapan High School Cikarang is among the schools that have embraced digital transformation in education, integrating it into various aspects of both learning and assessment activities. This situation has led to the need for this study, which seeks to explore the attitudes and acceptance of students at Dian Harapan High School towards the digital learning management system that the school has been implementing. A questionnaire was distributed to all 224 students at Dian Harapan High School Cikarang. Out of those, 200 students completed it, and 192 valid responses were obtained. This study looks at the factors influencing students' attitudes and acceptance of the Learning Management System (LMS). To achieve this, the Technology Acceptance Model (TAM) was combined with the Information System Success Model (ISSM), and ten hypotheses were analyzed. The results showed that seven hypotheses were supported, while three-H1, H2, and H8-did not show a positive effect. Structural Equation Modeling (SEM) was used to examine the relationships. The findings revealed that Service Quality (SeQ) positively impacts Perceived Usefulness (PU), Information Quality (IQ) and System Quality (SyQ) positively influence Perceived Ease of Use (PEOU), Service Quality (SeQ) also has a positive effect on Perc</w:t>
      </w:r>
    </w:p>
    <w:p>
      <w:pPr/>
      <w:r>
        <w:rPr>
          <w:b/>
        </w:rPr>
        <w:t>POSSIBLE 2024:</w:t>
      </w:r>
      <w:r>
        <w:t xml:space="preserve"> Examining the Moderating Effect of a Novel Green Strategy Model on Innovation, Information Systems and Business Performance — https://doi.org/10.33168/jsms.2024.1218</w:t>
      </w:r>
    </w:p>
    <w:p>
      <w:pPr/>
      <w:r>
        <w:rPr>
          <w:b/>
        </w:rPr>
        <w:t>Shared claim-specific concepts:</w:t>
      </w:r>
      <w:r>
        <w:t xml:space="preserve"> examines, systems, but; EU scope not established. This is a provisional connection, not an outcome finding.</w:t>
      </w:r>
    </w:p>
    <w:p>
      <w:pPr>
        <w:pStyle w:val="SourceNote"/>
      </w:pPr>
      <w:r>
        <w:rPr>
          <w:b/>
        </w:rPr>
        <w:t>Available abstract (not full text):</w:t>
      </w:r>
      <w:r>
        <w:t xml:space="preserve"> This research examines the impact of green strategy, innovation, and information systems on the business performance of 545 Indonesian manufacturing and trading companies based on 2023 survey data.Results of structural equation modeling demonstrate that green innovation negatively affects performance, while green information systems have no significant impact.Additionally, the new green strategy model weakens the influence of innovation but strengthens the effect of information systems.The findings imply that Indonesian companies should optimize elements of the green strategy model that improve coordination and efficiency.</w:t>
      </w:r>
    </w:p>
    <w:p>
      <w:pPr>
        <w:pStyle w:val="Heading2"/>
      </w:pPr>
      <w:r>
        <w:t>983.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pStyle w:val="Heading2"/>
      </w:pPr>
      <w:r>
        <w:t>984.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pStyle w:val="Heading2"/>
      </w:pPr>
      <w:r>
        <w:t>985.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2023:</w:t>
      </w:r>
      <w:r>
        <w:t xml:space="preserve"> Towards risk-targeted seismic hazard models for Europe — https://doi.org/10.1038/s41598-023-36947-y</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Standards and Codes of Practice for designing new constructions and for assessing and strengthening existing ones are usually based on uniform hazard maps, where different Limit States (LSs) are associated with different hazard-exceedance probabilities. This approach yields non-homogeneous LS-exceedance probabilities across a territory, thus failing to achieve the goal of uniform risk throughout a territory. Such lack of uniformity stems from estimating the probability of failure using capacity and demand models. If the capacity of new constructions-or the capacity increase of strengthened existing constructions-are designed based on a prescribed hazard-exceedance probability, then the seismic risk depends on both the structure (depending on the design philosophy and corresponding design objectives), through the capacity model, and the location, through the hazard model. The aim of this study is threefold. First, it provides a seismic probability assessment formulation and a risk-targeted intensity measure based on a linear model in log-log coordinates of the hazard, under the assumption of log-normal capacity and demand. The proposed framework introduces a factor that multiplies the code hazard-based demand to account either for intentional (from design) over-capacity or for undesired (e.g., in existing constructions) under-capacity. Second, this paper shows an application to </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pStyle w:val="Heading2"/>
      </w:pPr>
      <w:r>
        <w:t>986.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987.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2024:</w:t>
      </w:r>
      <w:r>
        <w:t xml:space="preserve"> Low migratory connectivity and similar migratory strategies in a shorebird with contrasting wintering population trends in Europe and West Africa — https://doi.org/10.1038/s41598-024-55501-y</w:t>
      </w:r>
    </w:p>
    <w:p>
      <w:pPr/>
      <w:r>
        <w:rPr>
          <w:b/>
        </w:rPr>
        <w:t>Shared claim-specific concepts:</w:t>
      </w:r>
      <w:r>
        <w:t xml:space="preserve"> similar, trends; EU scope visible. This is a provisional connection, not an outcome finding.</w:t>
      </w:r>
    </w:p>
    <w:p>
      <w:pPr>
        <w:pStyle w:val="SourceNote"/>
      </w:pPr>
      <w:r>
        <w:rPr>
          <w:b/>
        </w:rPr>
        <w:t>Available abstract (not full text):</w:t>
      </w:r>
      <w:r>
        <w:t xml:space="preserve"> Migratory shorebird populations are declining worldwide, showing an apparent inability to respond to the interplaying challenges emerging along their flyways. Within the East Atlantic Flyway, non-breeding populations show moderate to strong declines in Sub-Saharan Africa, contrasting with stable or increasing trends in Europe. Local factors are insufficient to explain the opposite tendencies and, therefore, investigating migratory strategies and connectivity of these populations may help identifying the drivers of their demography. We followed the migratory journeys of 20 grey plovers (Pluvialis squatarola) from their wintering grounds in Guinea-Bissau (West Africa), Portugal and France (Europe) using tracking devices. Grey plovers wintering in Africa and Europe were found to share breeding grounds at European Russia and Western Siberia, revealing low migratory connectivity in the Eastern Atlantic population. All individuals followed a "skipping" migratory strategy, flying mostly mid-distance bouts, and using an unexpected large network of stopover sites to re-fuel usually for short periods. We identified 66 different stopover sites along the West African, European and Russian/Siberian coasts. All birds stopped at the Wadden Sea in both migratory periods, highlighting the importance of this region and the risk for a potential bottleneck. Low migratory connectivity and similar m</w:t>
      </w:r>
    </w:p>
    <w:p>
      <w:pPr/>
      <w:r>
        <w:rPr>
          <w:b/>
        </w:rPr>
        <w:t>POSSIBLE 2024:</w:t>
      </w:r>
      <w:r>
        <w:t xml:space="preserve"> Carbon and greenhouse gas budgets of Europe: trends, interannual and spatial variability, and their drivers — https://doi.org/10.22541/essoar.171320253.37867733/v1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In the framework of the RECCAP2 initiative, we present the greenhouse gas (GHG) and carbon (C) budget of Europe. For the decade of the 2010s, we present a bottom-up (BU) estimate of GHG net-emissions of 3.9 Pg CO2-eq. yr-1 (global warming potential on 100 year horizon), and are largely dominated by fossil fuel emissions. In this decade, terrestrial ecosystems are a net GHG sink of 0.9 Pg CO2-eq. yr-1, dominated by a CO2 sink. For CH4 and N2O, we find good agreement between BU and top-down (TD) estimates from atmospheric inversions. However, our BU land CO2 sink is significantly higher than TD estimates. We further show that decadal averages of GHG net-emissions have declined by 1.2 Pg CO2-eq. yr-1 since the 1990s, mainly due to a reduction in fossil fuel emissions. In addition, based on both data driven BU and TD estimates, we also find that the land CO2 sink has weakened over the past two decades. In particular, we identified a decreasing sink strength over Scandinavia, which can be attributed to an intensification of forest management. These are partly offset by increasing CO2 sinks in parts of Eastern Europe and Northern Spain, attributed in part to land use change. Extensive regions of high CH4 and N2O emissions are mainly attributed to agricultural activities and are found in Belgium, the Netherlands and the southern UK. We further analyzed interannual variability in the G</w:t>
      </w:r>
    </w:p>
    <w:p>
      <w:pPr>
        <w:pStyle w:val="Heading2"/>
      </w:pPr>
      <w:r>
        <w:t>988.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989.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2024:</w:t>
      </w:r>
      <w:r>
        <w:t xml:space="preserve"> Testing an integrated model of climate change anxiety — https://doi.org/10.1016/j.jenvp.2024.102368</w:t>
      </w:r>
    </w:p>
    <w:p>
      <w:pPr/>
      <w:r>
        <w:rPr>
          <w:b/>
        </w:rPr>
        <w:t>Shared claim-specific concepts:</w:t>
      </w:r>
      <w:r>
        <w:t xml:space="preserve"> integrated, observed, climate, about; EU scope not established. This is a provisional connection, not an outcome finding.</w:t>
      </w:r>
    </w:p>
    <w:p>
      <w:pPr>
        <w:pStyle w:val="SourceNote"/>
      </w:pPr>
      <w:r>
        <w:rPr>
          <w:b/>
        </w:rPr>
        <w:t>Available abstract (not full text):</w:t>
      </w:r>
      <w:r>
        <w:t xml:space="preserve"> Emerging studies have reported that people may experience anxiety when thinking about climate change. Although such an anxiety experience can be a rational response to climate change threats, it can still be a psychological burden to people's daily lives. In this research, we proposed an integrated model of climate change anxiety as a guiding framework to identify relevant psychological factors that predict climate change anxiety. According to this model, anxiety about climate change is related to experience, perception, and appraisal of climate change, processes that are underpinned by experiential, cognitive, and sociocultural factors. Furthermore, previous studies have operationalized climate change anxiety either by affect-based responses (i.e., anxiety-related feelings) or symptom-based responses (i.e., anxiety-related impairments), but it is unclear whether the two types of responses are conceptually and empirically similar or distinct. We thus examined how the three sets of factors relate to these responses and how they relate to outcome correlates simultaneously. We tested our framework in two pre-registered studies conducted in the US (Study 1) and China (Study 2). Both studies involved representative samples of US and Chinese adults regarding gender and age. Results of the partial least square-structural equation modeling revealed supporting evidence for the role of e</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2023:</w:t>
      </w:r>
      <w:r>
        <w:t xml:space="preserve"> A Shared Cluster-Based Stochastic Channel Model for Integrated Sensing and Communication Systems — https://doi.org/10.1109/tvt.2023.3337648</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Integrated Sensing And Communication (ISAC) has been recognized as a promising technology in the 6G communication. A realistic channel model is a prerequisite for designing ISAC systems. Most existing channel models independently generate the communication and sensing channels under the same framework. However, due to the multiplexing of hardware resources and the same environment, signals enabled for communication and sensing may experience shared propagation scatterers. This practical sharing feature necessities the joint generation of communication and sensing channels for realistic modeling, where the shared clusters (contributed by the shared scatterers) should be reconstructed. In this paper, we first conduct communication and sensing channel measurements for an indoor scenario at 28 GHz. The power-angular-delay profiles of multipath components are obtained, and the shared scatterers by communication and sensing channels are intuitively observed. Then, a stochastic ISAC channel model is proposed to capture the sharing feature, where shared and non-shared clusters by the two channels are defined and superimposed. To extract those clusters from measured ISAC channels, a KPowerMeans-based joint clustering algorithm is novelly introduced. Finally, stochastic channel characteristics are analyzed, and empirical simulations validate that the channel Sharing Degree (SD) increases</w:t>
      </w:r>
    </w:p>
    <w:p>
      <w:pPr>
        <w:pStyle w:val="Heading2"/>
      </w:pPr>
      <w:r>
        <w:t>990.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2023:</w:t>
      </w:r>
      <w:r>
        <w:t xml:space="preserve"> Moderate and Radical Transhumanism — https://doi.org/10.18384/2949-5148-2023-3-112-121</w:t>
      </w:r>
    </w:p>
    <w:p>
      <w:pPr/>
      <w:r>
        <w:rPr>
          <w:b/>
        </w:rPr>
        <w:t>Shared claim-specific concepts:</w:t>
      </w:r>
      <w:r>
        <w:t xml:space="preserve"> different, not, only, but, used; EU scope not established. This is a provisional connection, not an outcome finding.</w:t>
      </w:r>
    </w:p>
    <w:p>
      <w:pPr>
        <w:pStyle w:val="SourceNote"/>
      </w:pPr>
      <w:r>
        <w:rPr>
          <w:b/>
        </w:rPr>
        <w:t>Available abstract (not full text):</w:t>
      </w:r>
      <w:r>
        <w:t xml:space="preserve"> Aim. To present the authors’ solution to the problem of establishing the probable result of transhumanist transformations of a person. Methodology. The article provides a philosophical analysis of various concepts of transhumanism. Comparison methods are used, as well as abstraction, induction and deduction, analysis and synthesis and mental modeling. Results. Among the numerous concepts of transhumanism, the authors identified two groups: a group of moderate transhumanist teachings and a group of the radical ones. Moderate transhumanists believe that the result of the modification of human nature will be a neo-human who will preserve and develop the human essence while modifying its material carrier. According to radical transhumanists, the result of the application of NBICS-convergent technologies will be a hypothetical posthuman with the essence different from an unmodified human. The posthuman will share the worldview of radical transhumanism, which is fundamentally different from humanism. The authors show that only radical transhumanism is incompatible with humanism. This circumstance is not considered by bioconservatives who do not recognize the need for transformations in human nature. Hypothetical variants of the creature of the future are considered: a genetically modified and technically improved individual, a nanocyborgized individual and a virtual digital (incorpor</w:t>
      </w:r>
    </w:p>
    <w:p>
      <w:pPr/>
      <w:r>
        <w:rPr>
          <w:b/>
        </w:rPr>
        <w:t>POSSIBLE 2023:</w:t>
      </w:r>
      <w:r>
        <w:t xml:space="preserve"> Futurism in Occupied Fiume, 1919–1920 — https://doi.org/10.1515/9783110800920-005</w:t>
      </w:r>
    </w:p>
    <w:p>
      <w:pPr/>
      <w:r>
        <w:rPr>
          <w:b/>
        </w:rPr>
        <w:t>Shared claim-specific concepts:</w:t>
      </w:r>
      <w:r>
        <w:t xml:space="preserve"> futurists, only, also, political; EU scope visible. This is a provisional connection, not an outcome finding.</w:t>
      </w:r>
    </w:p>
    <w:p>
      <w:pPr>
        <w:pStyle w:val="SourceNote"/>
      </w:pPr>
      <w:r>
        <w:rPr>
          <w:b/>
        </w:rPr>
        <w:t>Available abstract (not full text):</w:t>
      </w:r>
      <w:r>
        <w:t xml:space="preserve"> This essay outlines the political framework and organizational structures of the Futurist activities in Fiume (Rijeka) during Gabriele D’Annunzio’s Fiume exploit, as well as in the years preceding and following it. It discusses the heterogeneous character of the Futurists and of Futurist-inclined groups, leaders and members, as well as their theoretical statements and artistic enterprises. Artists of diverse colours poured into Fiume in 1919-1920 and created an exceptional environment, where radical dreams and Utopian concepts were translated into a new life practice. The Futurists were at the forefront of these social experiments and achieved an ephemeral realization of their long-cherished aspiration “to destroy and to create” and “to fuse art with life”. The city of Fiume in 1919-1920 seemed to offer a model of how to build a new civilization on the ruins of the German, Austro-Hungarian, Russian and Ottoman empires. The Futurist activities in Fiume were largely directed by the Fascio futurista fiumanese, led by Mario Carli and Ferruccio Vecchi, and by the Yoga group founded by Guido Keller. They saw in the Fiume adventure a prelude to an Italian revolution in a Futurist mould, where creativity and imagination would take over the reins of power. Although Marinetti only stayed a fortnight in Fiume, he was part of at least two plots to extend the Impresa to other parts of Italy</w:t>
      </w:r>
    </w:p>
    <w:p>
      <w:pPr>
        <w:pStyle w:val="Heading2"/>
      </w:pPr>
      <w:r>
        <w:t>991.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992.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993.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r>
        <w:rPr>
          <w:b/>
        </w:rPr>
        <w:t>POSSIBLE 2023:</w:t>
      </w:r>
      <w:r>
        <w:t xml:space="preserve"> Cycle Tests on the Influence of Different Charging Currents—A Case Study on Different Commercial, Cylindrical Lithium Ion Cells — https://doi.org/10.3390/batteries9020083</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On the way to a Precise Battery, the generation of measurement results and findings based on them play an important role. Although cycle life tests are time-consuming and expensive, they can provide support and important information. Especially in the current topic of accelerating the charging process, it is important to know how different charging currents affect different cell types. The CC CV charging method is still the most common, widely used method. Therefore, long-term cycle tests are carried out in this work in order to clarify the influence of different charging currents, as recommended by the cell manufacturers. Common high-energy and high-power cylindrical lithium ion cells are investigated and compared. In addition to the influence of the charging protocol on the aging, charging time and heating, the effects on the dispersion of the cells as well as the effects on the constant current and the constant voltage part of the charging process are considered. From the results it can be seen how different the investigated cells behave in response to increased charging currents. Even supposedly similar cells show significant differences in aging behavior.</w:t>
      </w:r>
    </w:p>
    <w:p>
      <w:pPr>
        <w:pStyle w:val="Heading2"/>
      </w:pPr>
      <w:r>
        <w:t>994.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pStyle w:val="Heading2"/>
      </w:pPr>
      <w:r>
        <w:t>995.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2024:</w:t>
      </w:r>
      <w:r>
        <w:t xml:space="preserve"> Water Reuse: A Comprehensive Review — https://doi.org/10.3390/environments11040081</w:t>
      </w:r>
    </w:p>
    <w:p>
      <w:pPr/>
      <w:r>
        <w:rPr>
          <w:b/>
        </w:rPr>
        <w:t>Shared claim-specific concepts:</w:t>
      </w:r>
      <w:r>
        <w:t xml:space="preserve"> water, freshwater, resources; EU scope visible. This is a provisional connection, not an outcome finding.</w:t>
      </w:r>
    </w:p>
    <w:p>
      <w:pPr>
        <w:pStyle w:val="SourceNote"/>
      </w:pPr>
      <w:r>
        <w:rPr>
          <w:b/>
        </w:rPr>
        <w:t>Available abstract (not full text):</w:t>
      </w:r>
      <w:r>
        <w:t xml:space="preserve"> Water scarcity has emerged as a pressing global concern, driven by population growth, urbanization, and climate change. As freshwater resources dwindle, the imperative for water reuse becomes increasingly apparent. Reusing water presents a sustainable solution to mitigate scarcity, offering a way to maximize the efficiency of available resources. This review delves into the multifaceted landscape of water consumption and reuse, aiming to provide a comprehensive analysis and understanding of this critical issue. It explores the diverse implications of unregulated water consumption, spanning from its impacts on household routines to its profound influence on economic activities. Additionally, it scrutinizes the legislative framework surrounding water usage, shedding light on the policies and regulations in place. Furthermore, the review investigates the current status of water reuse practices in Europe, delving into various methods of water recovery. Finally, it examines public perceptions and attitudes toward recycled water, offering insights into the societal outlook on this increasingly vital aspect of water management.</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pStyle w:val="Heading2"/>
      </w:pPr>
      <w:r>
        <w:t>996.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2024:</w:t>
      </w:r>
      <w:r>
        <w:t xml:space="preserve"> Critical Questions Generation: Motivation and Challenges — https://doi.org/10.18653/v1/2024.conll-1.9</w:t>
      </w:r>
    </w:p>
    <w:p>
      <w:pPr/>
      <w:r>
        <w:rPr>
          <w:b/>
        </w:rPr>
        <w:t>Shared claim-specific concepts:</w:t>
      </w:r>
      <w:r>
        <w:t xml:space="preserve"> critical, question, use; EU scope not established. This is a provisional connection, not an outcome finding.</w:t>
      </w:r>
    </w:p>
    <w:p>
      <w:pPr>
        <w:pStyle w:val="SourceNote"/>
      </w:pPr>
      <w:r>
        <w:rPr>
          <w:b/>
        </w:rPr>
        <w:t>Available abstract (not full text):</w:t>
      </w:r>
      <w:r>
        <w:t xml:space="preserve"> The development of Large Language Models (LLMs) has brought impressive performances on mitigation strategies against misinformation, such as counterargument generation.However, LLMs are still seriously hindered by outdated knowledge and by their tendency to generate hallucinated content.In order to circumvent these issues, we propose a new task, namely, Critical Questions Generation, consisting of processing an argumentative text to generate the critical questions (CQs) raised by it.In argumentation theory CQs are tools designed to lay bare the blind spots of an argument by pointing at the information it could be missing.Thus, instead of trying to deploy LLMs to produce knowledgeable and relevant counterarguments, we use them to question arguments, without requiring any external knowledge.Research on CQs Generation using LLMs requires a reference dataset for large scale experimentation.Thus, in this work we investigate two complementary methods to create such a resource: (i) instantiating CQs templates as defined by Walton's argumentation theory and (ii), using LLMs as CQs generators.By doing so, we contribute with a procedure to establish what is a valid CQ and conclude that, while LLMs are reasonable CQ generators, they still have a wide margin for improvement in this task.(a) Scheme -Argument from Cause to Effect Premise: Generally, if people pour into the USA, then American</w:t>
      </w:r>
    </w:p>
    <w:p>
      <w:pPr/>
      <w:r>
        <w:rPr>
          <w:b/>
        </w:rPr>
        <w:t>POSSIBLE 2024:</w:t>
      </w:r>
      <w:r>
        <w:t xml:space="preserve"> Selecting Injected Viscosity in Polymer Flood Projects: A Controversial and Critical Question — https://doi.org/10.2118/222035-ms</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Abstract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to the cost of the polymer which can reach tens or hundreds of millions of dollars for large expansions. This paper will explain why the question still remains without a clear answer and will describe the arguments of both camps while outlining the pros and cons of each approach using case studies. The paper reviews the theoretical and practical arguments based on real field experience to help future project designers select the right viscosity for their polymer project. This is a critical issue as this can have an impact on injectivity and economics. The Gogarty method is a theoretical tool to select polymer viscosity, but it is extremely conservative and may lead to over-design. Reservoir simulations have also been used in several cases to justify extremely high polymer viscosities but in some cases field results do not bear out these exp</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pStyle w:val="Heading2"/>
      </w:pPr>
      <w:r>
        <w:t>997.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pStyle w:val="Heading2"/>
      </w:pPr>
      <w:r>
        <w:t>998.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Ascertaining the Knowledge of the General Public and Stakeholders in the Forestry Sector to Invasive Alien Species—A Pan-European Study — https://doi.org/10.3390/land12030642</w:t>
      </w:r>
    </w:p>
    <w:p>
      <w:pPr/>
      <w:r>
        <w:rPr>
          <w:b/>
        </w:rPr>
        <w:t>Shared claim-specific concepts:</w:t>
      </w:r>
      <w:r>
        <w:t xml:space="preserve"> recent, majority, negative; EU scope visible. This is a provisional connection, not an outcome finding.</w:t>
      </w:r>
    </w:p>
    <w:p>
      <w:pPr>
        <w:pStyle w:val="SourceNote"/>
      </w:pPr>
      <w:r>
        <w:rPr>
          <w:b/>
        </w:rPr>
        <w:t>Available abstract (not full text):</w:t>
      </w:r>
      <w:r>
        <w:t xml:space="preserve"> Against the background of the phenomenon of globalisation, which has increasingly intensified in recent decades, invasive alien species (IAS) have led to biological invasions that have resulted in multiple negative effects on economies, human health, and especially on the environment. In order to control invasive alien species, preventive actions are considered the most effective methods. In this context, society can actively participate in the process of early detection and preventing the spread of these organisms, but there is a need to raise public awareness. In order for this process to take place in the most efficient way, it is necessary to initially evaluate the knowledge of the general public to IAS. Through a questionnaire that was circulated in ten European countries and had over two thousand respondents, this study aimed to investigate the level of knowledge of some stakeholders in the forestry sector regarding IAS. The results showed that a vast majority of respondents who participated in the study had heard about IAS and provided a correct definition of these organisms. Most of the respondents in this study heard for the first time about IAS from school, the Internet, or journal articles. Data analysis also showed that stakeholders in the forestry sector (foresters, forest owners, and members of environmental NGOs) were more likely than the other respondents to be </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pStyle w:val="Heading2"/>
      </w:pPr>
      <w:r>
        <w:t>999.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1000.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pStyle w:val="Heading2"/>
      </w:pPr>
      <w:r>
        <w:t>1001.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2023:</w:t>
      </w:r>
      <w:r>
        <w:t xml:space="preserve"> The faunal Ponto-Caspianization of central and western European waterways — https://doi.org/10.1007/s10530-023-03060-0</w:t>
      </w:r>
    </w:p>
    <w:p>
      <w:pPr/>
      <w:r>
        <w:rPr>
          <w:b/>
        </w:rPr>
        <w:t>Shared claim-specific concepts:</w:t>
      </w:r>
      <w:r>
        <w:t xml:space="preserve"> over, western, countries, large; EU scope visible. This is a provisional connection, not an outcome finding.</w:t>
      </w:r>
    </w:p>
    <w:p>
      <w:pPr>
        <w:pStyle w:val="SourceNote"/>
      </w:pPr>
      <w:r>
        <w:rPr>
          <w:b/>
        </w:rPr>
        <w:t>Available abstract (not full text):</w:t>
      </w:r>
      <w:r>
        <w:t xml:space="preserve"> Abstract As alien invasive species are a key driver of biodiversity loss, understanding patterns of rapidly changing global species compositions depends upon knowledge of invasive species population dynamics and trends at large scales. Within this context, the Ponto-Caspian region is among the most notable donor regions for aquatic invasive species in Europe. Using macroinvertebrate time series collected over 52 years (1968–2020) at 265 sites across 11 central and western European countries, we examined the occurrences, invasion rates, and abundances of freshwater Ponto-Caspian fauna. We examined whether: (i) successive Ponto-Caspian invasions follow a consistent pattern of composition pioneered by the same species, and (ii) Ponto-Caspian invasion accelerates subsequent invasion rates. In our dataset, Ponto-Caspian macroinvertebrates increased from two species in 1972 to 29 species in 2012. This trend was parallelled by a non-significant increasing trend in the abundances of Ponto-Caspian taxa. Trends in Ponto-Caspian invader richness increased significantly over time. We found a relatively uniform distribution of Ponto-Caspian macroinvertebrates across Europe without any relation to the distance to their native region. The Ponto-Caspian species that arrived first were often bivalves (46.5% of cases), particularly Dreissena polymorpha, followed secondarily by amphipods (83.8%; </w:t>
      </w:r>
    </w:p>
    <w:p>
      <w:pPr>
        <w:pStyle w:val="Heading2"/>
      </w:pPr>
      <w:r>
        <w:t>1002.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r>
        <w:rPr>
          <w:b/>
        </w:rPr>
        <w:t>POSSIBLE 2025:</w:t>
      </w:r>
      <w:r>
        <w:t xml:space="preserve"> Picking Losers: Climate Change and Managed Decline in the European Union — https://doi.org/10.1111/rego.70004</w:t>
      </w:r>
    </w:p>
    <w:p>
      <w:pPr/>
      <w:r>
        <w:rPr>
          <w:b/>
        </w:rPr>
        <w:t>Shared claim-specific concepts:</w:t>
      </w:r>
      <w:r>
        <w:t xml:space="preserve"> decline, energy; EU scope visible. This is a provisional connection, not an outcome finding.</w:t>
      </w:r>
    </w:p>
    <w:p>
      <w:pPr>
        <w:pStyle w:val="SourceNote"/>
      </w:pPr>
      <w:r>
        <w:rPr>
          <w:b/>
        </w:rPr>
        <w:t>Available abstract (not full text):</w:t>
      </w:r>
      <w:r>
        <w:t xml:space="preserve"> ABSTRACT Decarbonization forces societies to cope with the restructuring and outright unwinding of assets, firms, workers, industries, and regions. We argue that this problem has created legitimacy for industrial policies managing the reallocation of resources. We illustrate this dynamic by documenting incremental state‐building in the European Union, an administration institutionally tilted toward regulatory statehood and the making of the Single Market in energy since the 1990s. European greening policies, we argue, have incrementally lessened the primacy of regulatory tools and have introduced a plethora of instruments to accelerate green restructuring and carbon unwinding. Best understood as a process of multi‐sited institutional layering, the European Union increasingly appears to complement financial and regulatory instruments to effect green energy transitions with the management of decline in targeted regions and sectors, based on targeted funds and targeted transition planning.</w:t>
      </w:r>
    </w:p>
    <w:p>
      <w:pPr>
        <w:pStyle w:val="Heading2"/>
      </w:pPr>
      <w:r>
        <w:t>1003.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2022:</w:t>
      </w:r>
      <w:r>
        <w:t xml:space="preserve"> Cereal Aphid Parasitoids in Europe (Hymenoptera: Braconidae: Aphidiinae): Taxonomy, Biodiversity, and Ecology — https://doi.org/10.3390/insects13121142</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Cereals are very common and widespread crops in Europe. Aphids are a diverse group of herbivorous pests on cereals and one of the most important limiting factors of cereal production. Here, we present an overview of knowledge about the taxonomy, biodiversity, and ecology of cereal aphid parasitoids in Europe, an important group of natural enemies contributing to cereal aphid control. We review the knowledge obtained from the integrative taxonomy of 26 cereal aphid primary parasitoid species, including two allochthonous species (Lysiphlebus testaceipes and Trioxys sunnysidensis) and two recently described species (Lipolexis labialis and Paralipsis brachycaudi). We further review 28 hyperparasitoid species belonging to three hymenopteran superfamilies and four families (Ceraphronoidea: Megaspillidae; Chalcidoidea: Pteromalidae, Encyrtidae; Cynipoidea: Figitidae). We also compile knowledge on the presence of secondary endosymbionts in cereal aphids, as these are expected to influence the community composition and biocontrol efficiency of cereal aphid parasitoids. To study aphid–parasitoid–hyperparasitoid food webs more effectively, we present two kinds of DNA-based approach: (i) diagnostic PCR (mainly multiplex PCR), and (ii) DNA sequence-based methods. Finally, we also review the effects of landscape complexity on the different trophic levels in the food webs of cereal aphids and</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pStyle w:val="Heading2"/>
      </w:pPr>
      <w:r>
        <w:t>1004.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pStyle w:val="Heading2"/>
      </w:pPr>
      <w:r>
        <w:t>1005.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2021:</w:t>
      </w:r>
      <w:r>
        <w:t xml:space="preserve"> Landscape Painting in the Research of Landscape Changes — https://doi.org/10.2478/jlecol-2021-0019</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Abstract The article analyses possibilities of using landscape paintings in the studies of land cover changes. It examines 112 paintings from 1728 till 1976 and compares them with existing topographic maps. It compares land cover depicted in the paintings with present landscape and it studies changes of landscape derived from topographic maps from several periods, ranging from 1764 till 2006. In order to make the analyses, all paintings had to be localised as precisely as possible. This was done with the help of present map and by field work. Field work was also necessary for identifying main land use/cover changes in comparison to landscape painting. A TopoLandUse database, consisting of land use vector data from five periods, based on vectorisation of topographical maps, was used for analysing land use/land cover changes, their rates and main trends. Comparison of landscape paintings with topographic maps showed overall agreement between both types of sources. Paintings often capture details that cannot be found in the maps, thus enriching gained data. They can also serve as a source for periods from which no maps and other cartographic sources exist. However, paintings are as reliable as the painter makes them. Comparison of landscape in the paintings with the present landscape showed general extensification and abandonment of the landscape, which manifested mainly in the in</w:t>
      </w:r>
    </w:p>
    <w:p>
      <w:pPr>
        <w:pStyle w:val="Heading2"/>
      </w:pPr>
      <w:r>
        <w:t>1006.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pStyle w:val="Heading2"/>
      </w:pPr>
      <w:r>
        <w:t>1007.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pStyle w:val="Heading2"/>
      </w:pPr>
      <w:r>
        <w:t>1008.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1009.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r>
        <w:rPr>
          <w:b/>
        </w:rPr>
        <w:t>POSSIBLE 2023:</w:t>
      </w:r>
      <w:r>
        <w:t xml:space="preserve"> Genome-wide association study identifies several loci for HEV seropositivity — https://doi.org/10.1016/j.isci.2023.107586</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Hepatitis E viral (HEV) infection imposes a heavy global health burden. The variability in the prevalence of serological markers of HEV infection between different ethnic groups proposes a host genetic influence. Here, we report genetic polymorphisms associated with anti-HEV antibody positivity and level using binary- and quantitative-trait genome-wide association studies (GWAS) on a population from Qatar (n = 5829). We identified a region in 12p11.1 (lead SNP: rs559856097, allele: A, p = 2.3 × 10 −10 ) significantly associated with anti-HEV antibodies level. This intergenic variant is located near SNORD112, a small nucleolar RNA (snoRNA). Additional gene-set and pathway enrichment analyses highlighted a strong correlation with anti-viral response-related pathways, including IFNs (alpha/beta) and interleukin-21 (IL-21) signaling. This is the first GWAS on the response to HEV infection. Further replication and functional experimentation are warranted to validate these findings.</w:t>
      </w:r>
    </w:p>
    <w:p>
      <w:pPr/>
      <w:r>
        <w:rPr>
          <w:b/>
        </w:rPr>
        <w:t>POSSIBLE 2023:</w:t>
      </w:r>
      <w:r>
        <w:t xml:space="preserve"> New approach methodologies in human regulatory toxicology – Not if, but how and when! — https://doi.org/10.1016/j.envint.2023.108082</w:t>
      </w:r>
    </w:p>
    <w:p>
      <w:pPr/>
      <w:r>
        <w:rPr>
          <w:b/>
        </w:rPr>
        <w:t>Shared claim-specific concepts:</w:t>
      </w:r>
      <w:r>
        <w:t xml:space="preserve"> findings, several, methodologies, here; EU scope not established. This is a provisional connection, not an outcome finding.</w:t>
      </w:r>
    </w:p>
    <w:p>
      <w:pPr>
        <w:pStyle w:val="SourceNote"/>
      </w:pPr>
      <w:r>
        <w:rPr>
          <w:b/>
        </w:rPr>
        <w:t>Available abstract (not full text):</w:t>
      </w:r>
      <w:r>
        <w:t xml:space="preserve"> The predominantly animal-centric approach of chemical safety assessment has increasingly come under pressure. Society is questioning overall performance, sustainability, continued relevance for human health risk assessment and ethics of this system, demanding a change of paradigm. At the same time, the scientific toolbox used for risk assessment is continuously enriched by the development of "New Approach Methodologies" (NAMs). While this term does not define the age or the state of readiness of the innovation, it covers a wide range of methods, including quantitative structure-activity relationship (QSAR) predictions, high-throughput screening (HTS) bioassays, omics applications, cell cultures, organoids, microphysiological systems (MPS), machine learning models and artificial intelligence (AI). In addition to promising faster and more efficient toxicity testing, NAMs have the potential to fundamentally transform today's regulatory work by allowing more human-relevant decision-making in terms of both hazard and exposure assessment. Yet, several obstacles hamper a broader application of NAMs in current regulatory risk assessment. Constraints in addressing repeated-dose toxicity, with particular reference to the chronic toxicity, and hesitance from relevant stakeholders, are major challenges for the implementation of NAMs in a broader context. Moreover, issues regarding predicti</w:t>
      </w:r>
    </w:p>
    <w:p>
      <w:pPr>
        <w:pStyle w:val="Heading2"/>
      </w:pPr>
      <w:r>
        <w:t>1010.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2017:</w:t>
      </w:r>
      <w:r>
        <w:t xml:space="preserve"> Scaling range sizes to threats for robust predictions of risks to biodiversity — https://doi.org/10.1111/cobi.12988</w:t>
      </w:r>
    </w:p>
    <w:p>
      <w:pPr/>
      <w:r>
        <w:rPr>
          <w:b/>
        </w:rPr>
        <w:t>Shared claim-specific concepts:</w:t>
      </w:r>
      <w:r>
        <w:t xml:space="preserve"> predictions, subject, range, simulation; EU scope not established. This is a provisional connection, not an outcome finding.</w:t>
      </w:r>
    </w:p>
    <w:p>
      <w:pPr>
        <w:pStyle w:val="SourceNote"/>
      </w:pPr>
      <w:r>
        <w:rPr>
          <w:b/>
        </w:rPr>
        <w:t>Available abstract (not full text):</w:t>
      </w:r>
      <w:r>
        <w:t xml:space="preserve"> Assessments of risk to biodiversity often rely on spatial distributions of species and ecosystems. Range-size metrics used extensively in these assessments, such as area of occupancy (AOO), are sensitive to measurement scale, prompting proposals to measure them at finer scales or at different scales based on the shape of the distribution or ecological characteristics of the biota. Despite its dominant role in red-list assessments for decades, appropriate spatial scales of AOO for predicting risks of species' extinction or ecosystem collapse remain untested and contentious. There are no quantitative evaluations of the scale-sensitivity of AOO as a predictor of risks, the relationship between optimal AOO scale and threat scale, or the effect of grid uncertainty. We used stochastic simulation models to explore risks to ecosystems and species with clustered, dispersed, and linear distribution patterns subject to regimes of threat events with different frequency and spatial extent. Area of occupancy was an accurate predictor of risk (0.81&lt;|r|&lt;0.98) and performed optimally when measured with grid cells 0.1-1.0 times the largest plausible area threatened by an event. Contrary to previous assertions, estimates of AOO at these relatively coarse scales were better predictors of risk than finer-scale estimates of AOO (e.g., when measurement cells are &lt;1% of the area of the largest threat)</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pStyle w:val="Heading2"/>
      </w:pPr>
      <w:r>
        <w:t>1011.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pStyle w:val="Heading2"/>
      </w:pPr>
      <w:r>
        <w:t>1012.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Climate Obstruction across Europe — https://doi.org/10.1093/oso/9780197762042.001.0001</w:t>
      </w:r>
    </w:p>
    <w:p>
      <w:pPr/>
      <w:r>
        <w:rPr>
          <w:b/>
        </w:rPr>
        <w:t>Shared claim-specific concepts:</w:t>
      </w:r>
      <w:r>
        <w:t xml:space="preserve"> climate, media, understand;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1013.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2024:</w:t>
      </w:r>
      <w:r>
        <w:t xml:space="preserve"> Progress in Wound-Healing Products Based on Natural Compounds, Stem Cells, and MicroRNA-Based Biopolymers in the European, USA, and Asian Markets: Opportunities, Barriers, and Regulatory Issues — https://doi.org/10.3390/polym16091280</w:t>
      </w:r>
    </w:p>
    <w:p>
      <w:pPr/>
      <w:r>
        <w:rPr>
          <w:b/>
        </w:rPr>
        <w:t>Shared claim-specific concepts:</w:t>
      </w:r>
      <w:r>
        <w:t xml:space="preserve"> regulatory, not, although; EU scope visible. This is a provisional connection, not an outcome finding.</w:t>
      </w:r>
    </w:p>
    <w:p>
      <w:pPr>
        <w:pStyle w:val="SourceNote"/>
      </w:pPr>
      <w:r>
        <w:rPr>
          <w:b/>
        </w:rPr>
        <w:t>Available abstract (not full text):</w:t>
      </w:r>
      <w:r>
        <w:t xml:space="preserve"> Wounds are breaks in the continuity of the skin and underlying tissues, resulting from external causes such as cuts, blows, impacts, or surgical interventions. Countless individuals suffer minor to severe injuries, with unfortunate cases even leading to death. In today's scenario, several commercial products are available to facilitate the healing process of wounds, although chronic wounds still present more challenges than acute wounds. Nevertheless, the huge demand for wound-care products within the healthcare sector has given rise to a rapidly growing market, fostering continuous research and development endeavors for innovative wound-healing solutions. Today, there are many commercially available products including those based on natural biopolymers, stem cells, and microRNAs that promote healing from wounds. This article explores the recent breakthroughs in wound-healing products that harness the potential of natural biopolymers, stem cells, and microRNAs. A comprehensive exploration is undertaken, covering not only commercially available products but also those still in the research phase. Additionally, we provide a thorough examination of the opportunities, obstacles, and regulatory considerations influencing the potential commercialization of wound-healing products across the diverse markets of Europe, America, and Asia.</w:t>
      </w:r>
    </w:p>
    <w:p>
      <w:pPr>
        <w:pStyle w:val="Heading2"/>
      </w:pPr>
      <w:r>
        <w:t>1014.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1015.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pStyle w:val="Heading2"/>
      </w:pPr>
      <w:r>
        <w:t>1016. Research update · 26 October 2026 — independently check before citing</w:t>
      </w:r>
    </w:p>
    <w:p>
      <w:pPr/>
      <w:r>
        <w:t>12 researched cases. External LLM checks are not editorial verification; these connections are not prediction scores.</w:t>
      </w:r>
    </w:p>
    <w:p>
      <w:pPr>
        <w:pStyle w:val="Heading2"/>
      </w:pPr>
      <w:r>
        <w:t>1017.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1018.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1019.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1020.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1021.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1022.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1023.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1024.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1025.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1026.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1027.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1028.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