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Eyebrow"/>
      </w:pPr>
      <w:r>
        <w:t>HISTORICAL EUROPEAN FUTURES, REVISITED</w:t>
      </w:r>
    </w:p>
    <w:p>
      <w:pPr>
        <w:pStyle w:val="Title"/>
      </w:pPr>
      <w:r>
        <w:t>Back then.</w:t>
        <w:br/>
        <w:t>And now?</w:t>
      </w:r>
    </w:p>
    <w:p>
      <w:r>
        <w:rPr>
          <w:color w:val="586B72"/>
          <w:sz w:val="28"/>
        </w:rPr>
        <w:t>What Europeans hoped, planned or expected — and what the evidence says happened next. Short stories, not 100 pages of audit logs.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97"/>
        <w:gridCol w:w="3197"/>
        <w:gridCol w:w="3197"/>
      </w:tblGrid>
      <w:tr>
        <w:tc>
          <w:tcPr>
            <w:tcW w:type="dxa" w:w="3197"/>
            <w:vAlign w:val="center"/>
            <w:shd w:fill="EAF3F0"/>
          </w:tcPr>
          <w:p>
            <w:pPr>
              <w:jc w:val="center"/>
            </w:pPr>
            <w:r>
              <w:rPr>
                <w:b/>
                <w:color w:val="156866"/>
                <w:sz w:val="42"/>
              </w:rPr>
              <w:t>0</w:t>
              <w:br/>
            </w:r>
            <w:r>
              <w:rPr>
                <w:color w:val="1B3440"/>
                <w:sz w:val="16"/>
              </w:rPr>
              <w:t>Real-world snapshots</w:t>
            </w:r>
          </w:p>
        </w:tc>
        <w:tc>
          <w:tcPr>
            <w:tcW w:type="dxa" w:w="3197"/>
            <w:vAlign w:val="center"/>
            <w:shd w:fill="EAF3F0"/>
          </w:tcPr>
          <w:p>
            <w:pPr>
              <w:jc w:val="center"/>
            </w:pPr>
            <w:r>
              <w:rPr>
                <w:b/>
                <w:color w:val="156866"/>
                <w:sz w:val="42"/>
              </w:rPr>
              <w:t>0</w:t>
              <w:br/>
            </w:r>
            <w:r>
              <w:rPr>
                <w:color w:val="1B3440"/>
                <w:sz w:val="16"/>
              </w:rPr>
              <w:t>Reviewed predictions</w:t>
            </w:r>
          </w:p>
        </w:tc>
        <w:tc>
          <w:tcPr>
            <w:tcW w:type="dxa" w:w="3197"/>
            <w:vAlign w:val="center"/>
            <w:shd w:fill="EAF3F0"/>
          </w:tcPr>
          <w:p>
            <w:pPr>
              <w:jc w:val="center"/>
            </w:pPr>
            <w:r>
              <w:rPr>
                <w:b/>
                <w:color w:val="156866"/>
                <w:sz w:val="42"/>
              </w:rPr>
              <w:t>398</w:t>
              <w:br/>
            </w:r>
            <w:r>
              <w:rPr>
                <w:color w:val="1B3440"/>
                <w:sz w:val="16"/>
              </w:rPr>
              <w:t>Research leads behind the scenes</w:t>
            </w:r>
          </w:p>
        </w:tc>
      </w:tr>
    </w:tbl>
    <w:p/>
    <w:p>
      <w:pPr>
        <w:pStyle w:val="Heading1"/>
      </w:pPr>
      <w:r>
        <w:t>The idea</w:t>
      </w:r>
    </w:p>
    <w:p>
      <w:r>
        <w:t>Each story has three simple beats: what was being said, what came afterward, and a short verdict. We do not pretend every scenario was a prediction, or that an academic paper proves something happened in the real world.</w:t>
      </w:r>
    </w:p>
    <w:p>
      <w:pPr>
        <w:pStyle w:val="Heading1"/>
      </w:pPr>
      <w:r>
        <w:t>About the numbers</w:t>
      </w:r>
    </w:p>
    <w:p>
      <w:r>
        <w:t>A score out of 100 can be useful — when it has earned its place. Hindsight grades require an editor to check the original prediction against later independent measurements. For a policy target, we can show a separate 1–100 target-level yardstick; it is not a score for how clever the original idea was.</w:t>
      </w:r>
    </w:p>
    <w:p>
      <w:r>
        <w:rPr>
          <w:i/>
        </w:rPr>
        <w:t>Only source-reviewed comparisons will be presented as outcomes. This is a research-stage edition until those comparisons are available.</w:t>
      </w:r>
    </w:p>
    <w:p>
      <w:pPr>
        <w:pStyle w:val="Heading1"/>
      </w:pPr>
      <w:r>
        <w:t>Research status: evidence still missing</w:t>
      </w:r>
    </w:p>
    <w:p>
      <w:r>
        <w:t>The accepted historical collection is ready, but no original has yet been paired with a source-reviewed, comparable later real-world development. We will not fill this gap with unrelated academic links or treat an imagined scenario as a forecast.</w:t>
      </w:r>
    </w:p>
    <w:p>
      <w:r>
        <w:t>The next tasks are to extract passages from curated EU institutional reports, follow the actual questions from accepted originals, and check later measurements and implementation against them.</w:t>
      </w:r>
    </w:p>
    <w:p>
      <w:pPr>
        <w:pStyle w:val="Heading1"/>
        <w:pageBreakBefore w:val="0"/>
      </w:pPr>
      <w:r>
        <w:t>How to read a hindsight score</w:t>
      </w:r>
    </w:p>
    <w:p>
      <w:r>
        <w:t>The future is messy. So should the judging be curious rather than overconfident.</w:t>
      </w:r>
    </w:p>
    <w:p>
      <w:pPr>
        <w:pStyle w:val="Eyebrow"/>
      </w:pPr>
      <w:r>
        <w:t>A SCORE IS EDITORIAL, NOT A PROBABILITY</w:t>
      </w:r>
    </w:p>
    <w:p>
      <w:r>
        <w:rPr>
          <w:b/>
        </w:rPr>
        <w:t xml:space="preserve">25%  Clarity   </w:t>
      </w:r>
      <w:r>
        <w:t>Could someone at the time tell what was expected, when, and for whom?</w:t>
      </w:r>
    </w:p>
    <w:p>
      <w:r>
        <w:rPr>
          <w:b/>
        </w:rPr>
        <w:t xml:space="preserve">50%  Anticipation   </w:t>
      </w:r>
      <w:r>
        <w:t>How closely did the expectation match later measured developments, including important misses?</w:t>
      </w:r>
    </w:p>
    <w:p>
      <w:r>
        <w:rPr>
          <w:b/>
        </w:rPr>
        <w:t xml:space="preserve">25%  Usefulness   </w:t>
      </w:r>
      <w:r>
        <w:t>Did it offer a concrete way to plan, prepare or make a decision?</w:t>
      </w:r>
    </w:p>
    <w:p>
      <w:pPr>
        <w:pStyle w:val="Heading2"/>
      </w:pPr>
      <w:r>
        <w:t>When there is no number</w:t>
      </w:r>
    </w:p>
    <w:p>
      <w:r>
        <w:t>That is usually a good thing: it means the original forecast has not yet been checked in its full source, the relevant date has not arrived, or the later evidence is about a different place, metric or modeled scenario. A missing score is not zero.</w:t>
      </w:r>
    </w:p>
    <w:p>
      <w:pPr>
        <w:pStyle w:val="Heading2"/>
      </w:pPr>
      <w:r>
        <w:t>For the curious</w:t>
      </w:r>
    </w:p>
    <w:p>
      <w:r>
        <w:t>There are 398 indexed research leads behind this short digest, and 0 reviewed, comparable forecast outcomes. They remain available in the project’s data files. This Word file is meant for reading, not for auditing the scanner.</w:t>
      </w:r>
    </w:p>
    <w:p>
      <w:r>
        <w:t>No prediction is graded just because a related academic abstract exists. The goal is an enjoyable, traceable retrospective — not an impressive-looking but unjustified accuracy table.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325" w:bottom="1080" w:left="1325" w:header="547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86B72"/>
        <w:sz w:val="16"/>
      </w:rPr>
      <w:t xml:space="preserve">Research digest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Eyebrow"/>
    </w:pPr>
    <w:r>
      <w:t>THE HINDSIGHT FILES  /  EUROPEAN FORESIGHT RADAR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8" w:lineRule="auto"/>
    </w:pPr>
    <w:rPr>
      <w:rFonts w:ascii="Aptos" w:hAnsi="Aptos"/>
      <w:color w:val="1B3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B344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B344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color w:val="1B3440"/>
      <w:spacing w:val="5"/>
      <w:kern w:val="28"/>
      <w:sz w:val="6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yebrow">
    <w:name w:val="Eyebrow"/>
    <w:pPr>
      <w:spacing w:after="100"/>
    </w:pPr>
    <w:rPr>
      <w:rFonts w:ascii="Aptos" w:hAnsi="Aptos"/>
      <w:b/>
      <w:color w:val="156866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