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40 ideas to revisit</w:t>
      </w:r>
    </w:p>
    <w:p>
      <w:r>
        <w:rPr>
          <w:b/>
        </w:rPr>
        <w:t>20 strongest research trails  /  20 research trails to recheck (maximum 20 each)</w:t>
      </w:r>
    </w:p>
    <w:p>
      <w:r>
        <w:t>Based on World Radar's living atlas (2026-10-21 18:45 UTC). 1,366 older and newer research entries available. This shortlist updates when Radar 2 publishes new data.</w:t>
      </w:r>
    </w:p>
    <w:p>
      <w:r>
        <w:t>IMPORTANT: "Strongest" means comparatively useful, traceable later evidence; it does NOT mean a prediction came true. "Weakest" means the saved follow-up trail is sparse, old, or potentially unrelated; it does NOT mean the original research was wrong or irrelevant. An unreviewed item is not given a fake 1–100 grade.</w:t>
      </w:r>
    </w:p>
    <w:p>
      <w:pPr>
        <w:pStyle w:val="Heading1"/>
      </w:pPr>
      <w:r>
        <w:t>The strongest research trails (20 selected; maximum 20)</w:t>
      </w:r>
    </w:p>
    <w:p>
      <w:r>
        <w:t>These are the strongest automatically screened later-research trails, not verified successes. Withdrawn, retracted and repeated publications are excluded from positive evidence.</w:t>
      </w:r>
    </w:p>
    <w:p>
      <w:pPr>
        <w:pStyle w:val="Heading2"/>
        <w:keepNext/>
      </w:pPr>
      <w:r>
        <w:t>01.  Mobility partnerships - the future of European migration policy?  (2012)</w:t>
      </w:r>
    </w:p>
    <w:p>
      <w:r>
        <w:rPr>
          <w:b/>
        </w:rPr>
        <w:t xml:space="preserve">NOW  </w:t>
      </w:r>
      <w:r>
        <w:t>Newer research (2026) discusses: This article applies a spatial approach to examine the transformation of German migration policy driven by contemporary megatrends such as demographic transition, decarbonization and digitalization.</w:t>
      </w:r>
    </w:p>
    <w:p>
      <w:r>
        <w:rPr>
          <w:b/>
        </w:rPr>
        <w:t xml:space="preserve">WHY HERE  </w:t>
      </w:r>
      <w:r>
        <w:t>This is a same-question research trail (4 linked publication(s)). It shows continuing work, not necessarily a measured outcome.</w:t>
      </w:r>
    </w:p>
    <w:p>
      <w:pPr>
        <w:spacing w:after="160"/>
      </w:pPr>
      <w:hyperlink r:id="rId11">
        <w:r>
          <w:rPr>
            <w:color w:val="000000"/>
            <w:u w:val="single"/>
          </w:rPr>
          <w:t>Original publication</w:t>
        </w:r>
      </w:hyperlink>
      <w:r>
        <w:t xml:space="preserve">   ·   </w:t>
      </w:r>
      <w:hyperlink r:id="rId12">
        <w:r>
          <w:rPr>
            <w:color w:val="000000"/>
            <w:u w:val="single"/>
          </w:rPr>
          <w:t>Later publication</w:t>
        </w:r>
      </w:hyperlink>
    </w:p>
    <w:p>
      <w:pPr>
        <w:pStyle w:val="Heading2"/>
        <w:keepNext/>
      </w:pPr>
      <w:r>
        <w:t>02.  The Future of Internationalization of Higher Education in Europe  (2015)</w:t>
      </w:r>
    </w:p>
    <w:p>
      <w:r>
        <w:rPr>
          <w:b/>
        </w:rPr>
        <w:t xml:space="preserve">NOW  </w:t>
      </w:r>
      <w:r>
        <w:t>A 2024 paper reports: Erasmus funding for internationalization activities has increased compared to the earlier versions of the program and the European Commission is proposing to double its funding for the next budget period ( European Commission, 2018 ).</w:t>
      </w:r>
    </w:p>
    <w:p>
      <w:r>
        <w:rPr>
          <w:b/>
        </w:rPr>
        <w:t xml:space="preserve">WHY HERE  </w:t>
      </w:r>
      <w:r>
        <w:t>This is a same-question research trail (9 linked publication(s)). It shows continuing work, not necessarily a measured outcome.</w:t>
      </w:r>
    </w:p>
    <w:p>
      <w:pPr>
        <w:spacing w:after="160"/>
      </w:pPr>
      <w:hyperlink r:id="rId13">
        <w:r>
          <w:rPr>
            <w:color w:val="000000"/>
            <w:u w:val="single"/>
          </w:rPr>
          <w:t>Original publication</w:t>
        </w:r>
      </w:hyperlink>
      <w:r>
        <w:t xml:space="preserve">   ·   </w:t>
      </w:r>
      <w:hyperlink r:id="rId14">
        <w:r>
          <w:rPr>
            <w:color w:val="000000"/>
            <w:u w:val="single"/>
          </w:rPr>
          <w:t>Later publication</w:t>
        </w:r>
      </w:hyperlink>
    </w:p>
    <w:p>
      <w:pPr>
        <w:pStyle w:val="Heading2"/>
        <w:keepNext/>
      </w:pPr>
      <w:r>
        <w:t>03.  Scenarios for population health inequalities in 2030 in Europe  (2020)</w:t>
      </w:r>
    </w:p>
    <w:p>
      <w:r>
        <w:rPr>
          <w:b/>
        </w:rPr>
        <w:t xml:space="preserve">NOW  </w:t>
      </w:r>
      <w:r>
        <w:t>A 2024 paper reports: This model combines individual-level data on demographics, health and mortality from linked administrative data for primary and secondary care with survey responses on individual-level risk factors and epidemiological evidence on the associations between risk factors an</w:t>
      </w:r>
    </w:p>
    <w:p>
      <w:r>
        <w:rPr>
          <w:b/>
        </w:rPr>
        <w:t xml:space="preserve">WHY HERE  </w:t>
      </w:r>
      <w:r>
        <w:t>This is a same-question research trail (3 linked publication(s)). It shows continuing work, not necessarily a measured outcome.</w:t>
      </w:r>
    </w:p>
    <w:p>
      <w:pPr>
        <w:spacing w:after="160"/>
      </w:pPr>
      <w:hyperlink r:id="rId15">
        <w:r>
          <w:rPr>
            <w:color w:val="000000"/>
            <w:u w:val="single"/>
          </w:rPr>
          <w:t>Original publication</w:t>
        </w:r>
      </w:hyperlink>
      <w:r>
        <w:t xml:space="preserve">   ·   </w:t>
      </w:r>
      <w:hyperlink r:id="rId16">
        <w:r>
          <w:rPr>
            <w:color w:val="000000"/>
            <w:u w:val="single"/>
          </w:rPr>
          <w:t>Later publication</w:t>
        </w:r>
      </w:hyperlink>
    </w:p>
    <w:p>
      <w:pPr>
        <w:pStyle w:val="Heading2"/>
        <w:keepNext/>
      </w:pPr>
      <w:r>
        <w:t>04.  What energy infrastructure will be needed by 2050 in the EU to support 1.5°C scenarios?  (2022)</w:t>
      </w:r>
    </w:p>
    <w:p>
      <w:r>
        <w:rPr>
          <w:b/>
        </w:rPr>
        <w:t xml:space="preserve">NOW  </w:t>
      </w:r>
      <w:r>
        <w:t>A 2026 paper reports: Analysis building on the “violent transitions” framework argues that the impacts of fossil fuel infrastructure construction are not only harms enacted by the fossil industry, but acts of violence by the state in service to fossil capital against already‐overburdened com</w:t>
      </w:r>
    </w:p>
    <w:p>
      <w:r>
        <w:rPr>
          <w:b/>
        </w:rPr>
        <w:t xml:space="preserve">WHY HERE  </w:t>
      </w:r>
      <w:r>
        <w:t>This is a same-question research trail (3 linked publication(s)). It shows continuing work, not necessarily a measured outcome.</w:t>
      </w:r>
    </w:p>
    <w:p>
      <w:pPr>
        <w:spacing w:after="160"/>
      </w:pPr>
      <w:hyperlink r:id="rId17">
        <w:r>
          <w:rPr>
            <w:color w:val="000000"/>
            <w:u w:val="single"/>
          </w:rPr>
          <w:t>Original publication</w:t>
        </w:r>
      </w:hyperlink>
      <w:r>
        <w:t xml:space="preserve">   ·   </w:t>
      </w:r>
      <w:hyperlink r:id="rId18">
        <w:r>
          <w:rPr>
            <w:color w:val="000000"/>
            <w:u w:val="single"/>
          </w:rPr>
          <w:t>Later publication</w:t>
        </w:r>
      </w:hyperlink>
    </w:p>
    <w:p>
      <w:pPr>
        <w:pStyle w:val="Heading2"/>
        <w:keepNext/>
      </w:pPr>
      <w:r>
        <w:t>05.  Use and perception of weather forecast information across Europe  (2022)</w:t>
      </w:r>
    </w:p>
    <w:p>
      <w:r>
        <w:rPr>
          <w:b/>
        </w:rPr>
        <w:t xml:space="preserve">NOW  </w:t>
      </w:r>
      <w:r>
        <w:t>Newer research (2026) discusses: However, the intermittency and nonlinearity of solar irradiance, especially under the abrupt weather conditions, poses significant challenges to PV power forecasting.</w:t>
      </w:r>
    </w:p>
    <w:p>
      <w:r>
        <w:rPr>
          <w:b/>
        </w:rPr>
        <w:t xml:space="preserve">WHY HERE  </w:t>
      </w:r>
      <w:r>
        <w:t>This is a same-question research trail (5 linked publication(s)). It shows continuing work, not necessarily a measured outcome.</w:t>
      </w:r>
    </w:p>
    <w:p>
      <w:pPr>
        <w:spacing w:after="160"/>
      </w:pPr>
      <w:hyperlink r:id="rId19">
        <w:r>
          <w:rPr>
            <w:color w:val="000000"/>
            <w:u w:val="single"/>
          </w:rPr>
          <w:t>Original publication</w:t>
        </w:r>
      </w:hyperlink>
      <w:r>
        <w:t xml:space="preserve">   ·   </w:t>
      </w:r>
      <w:hyperlink r:id="rId20">
        <w:r>
          <w:rPr>
            <w:color w:val="000000"/>
            <w:u w:val="single"/>
          </w:rPr>
          <w:t>Later publication</w:t>
        </w:r>
      </w:hyperlink>
    </w:p>
    <w:p>
      <w:pPr>
        <w:pStyle w:val="Heading2"/>
        <w:keepNext/>
      </w:pPr>
      <w:r>
        <w:t>06.  Urban energy futures: a comparative analysis  (2018)</w:t>
      </w:r>
    </w:p>
    <w:p>
      <w:r>
        <w:rPr>
          <w:b/>
        </w:rPr>
        <w:t xml:space="preserve">NOW  </w:t>
      </w:r>
      <w:r>
        <w:t>A 2025 paper reports: Results indicate that cities adopting renewable energy technologies experience substantial improvements in air quality, leading to better public health outcomes and increased urban livability.</w:t>
      </w:r>
    </w:p>
    <w:p>
      <w:r>
        <w:rPr>
          <w:b/>
        </w:rPr>
        <w:t xml:space="preserve">WHY HERE  </w:t>
      </w:r>
      <w:r>
        <w:t>This is a same-question research trail (8 linked publication(s)). It shows continuing work, not necessarily a measured outcome.</w:t>
      </w:r>
    </w:p>
    <w:p>
      <w:pPr>
        <w:spacing w:after="160"/>
      </w:pPr>
      <w:hyperlink r:id="rId21">
        <w:r>
          <w:rPr>
            <w:color w:val="000000"/>
            <w:u w:val="single"/>
          </w:rPr>
          <w:t>Original publication</w:t>
        </w:r>
      </w:hyperlink>
      <w:r>
        <w:t xml:space="preserve">   ·   </w:t>
      </w:r>
      <w:hyperlink r:id="rId22">
        <w:r>
          <w:rPr>
            <w:color w:val="000000"/>
            <w:u w:val="single"/>
          </w:rPr>
          <w:t>Later publication</w:t>
        </w:r>
      </w:hyperlink>
    </w:p>
    <w:p>
      <w:pPr>
        <w:pStyle w:val="Heading2"/>
        <w:keepNext/>
      </w:pPr>
      <w:r>
        <w:t>07.  Trends in the predictive performance of raw ensemble weather forecasts  (2014)</w:t>
      </w:r>
    </w:p>
    <w:p>
      <w:r>
        <w:rPr>
          <w:b/>
        </w:rPr>
        <w:t xml:space="preserve">NOW  </w:t>
      </w:r>
      <w:r>
        <w:t>Newer research (2026) discusses: This registration documents the methodology of a systematic review evaluating the use of Google Trends as a complementary digital surveillance source for dengue in Southeast Asia.</w:t>
      </w:r>
    </w:p>
    <w:p>
      <w:r>
        <w:rPr>
          <w:b/>
        </w:rPr>
        <w:t xml:space="preserve">WHY HERE  </w:t>
      </w:r>
      <w:r>
        <w:t>This is a same-question research trail (10 linked publication(s)). It shows continuing work, not necessarily a measured outcome.</w:t>
      </w:r>
    </w:p>
    <w:p>
      <w:pPr>
        <w:spacing w:after="160"/>
      </w:pPr>
      <w:hyperlink r:id="rId23">
        <w:r>
          <w:rPr>
            <w:color w:val="000000"/>
            <w:u w:val="single"/>
          </w:rPr>
          <w:t>Original publication</w:t>
        </w:r>
      </w:hyperlink>
      <w:r>
        <w:t xml:space="preserve">   ·   </w:t>
      </w:r>
      <w:hyperlink r:id="rId24">
        <w:r>
          <w:rPr>
            <w:color w:val="000000"/>
            <w:u w:val="single"/>
          </w:rPr>
          <w:t>Later publication</w:t>
        </w:r>
      </w:hyperlink>
    </w:p>
    <w:p>
      <w:pPr>
        <w:pStyle w:val="Heading2"/>
        <w:keepNext/>
      </w:pPr>
      <w:r>
        <w:t>08.  Transition pathways to sustainability in greater than 2 °C climate futures of Europe  (2019)</w:t>
      </w:r>
    </w:p>
    <w:p>
      <w:r>
        <w:rPr>
          <w:b/>
        </w:rPr>
        <w:t xml:space="preserve">NOW  </w:t>
      </w:r>
      <w:r>
        <w:t>Newer research (2022) discusses: More than half of the world’s population live in cities, and by 2050, it is expected that this proportion will reach almost 68%.</w:t>
      </w:r>
    </w:p>
    <w:p>
      <w:r>
        <w:rPr>
          <w:b/>
        </w:rPr>
        <w:t xml:space="preserve">WHY HERE  </w:t>
      </w:r>
      <w:r>
        <w:t>This is a same-question research trail (3 linked publication(s)). It shows continuing work, not necessarily a measured outcome.</w:t>
      </w:r>
    </w:p>
    <w:p>
      <w:pPr>
        <w:spacing w:after="160"/>
      </w:pPr>
      <w:hyperlink r:id="rId25">
        <w:r>
          <w:rPr>
            <w:color w:val="000000"/>
            <w:u w:val="single"/>
          </w:rPr>
          <w:t>Original publication</w:t>
        </w:r>
      </w:hyperlink>
      <w:r>
        <w:t xml:space="preserve">   ·   </w:t>
      </w:r>
      <w:hyperlink r:id="rId26">
        <w:r>
          <w:rPr>
            <w:color w:val="000000"/>
            <w:u w:val="single"/>
          </w:rPr>
          <w:t>Later publication</w:t>
        </w:r>
      </w:hyperlink>
    </w:p>
    <w:p>
      <w:pPr>
        <w:pStyle w:val="Heading2"/>
        <w:keepNext/>
      </w:pPr>
      <w:r>
        <w:t>09.  The vulnerabilities of agricultural land and food production to future water scarcity  (2019)</w:t>
      </w:r>
    </w:p>
    <w:p>
      <w:r>
        <w:rPr>
          <w:b/>
        </w:rPr>
        <w:t xml:space="preserve">NOW  </w:t>
      </w:r>
      <w:r>
        <w:t>A 2026 paper reports: Furthermore, with increased pressures placed on agriculture to meet food demand, protecting arable land resources in coastal regions from the rising threat of flooding is imperative.</w:t>
      </w:r>
    </w:p>
    <w:p>
      <w:r>
        <w:rPr>
          <w:b/>
        </w:rPr>
        <w:t xml:space="preserve">WHY HERE  </w:t>
      </w:r>
      <w:r>
        <w:t>This is a same-question research trail (12 linked publication(s)). It shows continuing work, not necessarily a measured outcome.</w:t>
      </w:r>
    </w:p>
    <w:p>
      <w:pPr>
        <w:spacing w:after="160"/>
      </w:pPr>
      <w:hyperlink r:id="rId27">
        <w:r>
          <w:rPr>
            <w:color w:val="000000"/>
            <w:u w:val="single"/>
          </w:rPr>
          <w:t>Original publication</w:t>
        </w:r>
      </w:hyperlink>
      <w:r>
        <w:t xml:space="preserve">   ·   </w:t>
      </w:r>
      <w:hyperlink r:id="rId28">
        <w:r>
          <w:rPr>
            <w:color w:val="000000"/>
            <w:u w:val="single"/>
          </w:rPr>
          <w:t>Later publication</w:t>
        </w:r>
      </w:hyperlink>
    </w:p>
    <w:p>
      <w:pPr>
        <w:pStyle w:val="Heading2"/>
        <w:keepNext/>
      </w:pPr>
      <w:r>
        <w:t>10.  The future of the drug phenomenon and drug monitoring in Europe until 2030  (2021)</w:t>
      </w:r>
    </w:p>
    <w:p>
      <w:r>
        <w:rPr>
          <w:b/>
        </w:rPr>
        <w:t xml:space="preserve">NOW  </w:t>
      </w:r>
      <w:r>
        <w:t>A 2026 paper reports: Monitoring the drug phenomenon is inherently complex and requires well-designed research methods that adequately capture its multidisciplinary nature, including supply-and-demand-related aspects.</w:t>
      </w:r>
    </w:p>
    <w:p>
      <w:r>
        <w:rPr>
          <w:b/>
        </w:rPr>
        <w:t xml:space="preserve">WHY HERE  </w:t>
      </w:r>
      <w:r>
        <w:t>This is a same-question research trail (6 linked publication(s)). It shows continuing work, not necessarily a measured outcome.</w:t>
      </w:r>
    </w:p>
    <w:p>
      <w:pPr>
        <w:spacing w:after="160"/>
      </w:pPr>
      <w:hyperlink r:id="rId29">
        <w:r>
          <w:rPr>
            <w:color w:val="000000"/>
            <w:u w:val="single"/>
          </w:rPr>
          <w:t>Original publication</w:t>
        </w:r>
      </w:hyperlink>
      <w:r>
        <w:t xml:space="preserve">   ·   </w:t>
      </w:r>
      <w:hyperlink r:id="rId30">
        <w:r>
          <w:rPr>
            <w:color w:val="000000"/>
            <w:u w:val="single"/>
          </w:rPr>
          <w:t>Later publication</w:t>
        </w:r>
      </w:hyperlink>
    </w:p>
    <w:p>
      <w:pPr>
        <w:pStyle w:val="Heading2"/>
        <w:keepNext/>
      </w:pPr>
      <w:r>
        <w:t>11.  The future of employment supply and demand in social Europe  (2012)</w:t>
      </w:r>
    </w:p>
    <w:p>
      <w:r>
        <w:rPr>
          <w:b/>
        </w:rPr>
        <w:t xml:space="preserve">NOW  </w:t>
      </w:r>
      <w:r>
        <w:t>A 2026 paper reports: The second assumes a degree of inflexibility of wages, but homogeneity of the sectors, so that aggregate demand or supply is observed and 'regime' estimation is possible.</w:t>
      </w:r>
    </w:p>
    <w:p>
      <w:r>
        <w:rPr>
          <w:b/>
        </w:rPr>
        <w:t xml:space="preserve">WHY HERE  </w:t>
      </w:r>
      <w:r>
        <w:t>This is a same-question research trail (7 linked publication(s)). It shows continuing work, not necessarily a measured outcome.</w:t>
      </w:r>
    </w:p>
    <w:p>
      <w:pPr>
        <w:spacing w:after="160"/>
      </w:pPr>
      <w:hyperlink r:id="rId31">
        <w:r>
          <w:rPr>
            <w:color w:val="000000"/>
            <w:u w:val="single"/>
          </w:rPr>
          <w:t>Original publication</w:t>
        </w:r>
      </w:hyperlink>
      <w:r>
        <w:t xml:space="preserve">   ·   </w:t>
      </w:r>
      <w:hyperlink r:id="rId32">
        <w:r>
          <w:rPr>
            <w:color w:val="000000"/>
            <w:u w:val="single"/>
          </w:rPr>
          <w:t>Later publication</w:t>
        </w:r>
      </w:hyperlink>
    </w:p>
    <w:p>
      <w:pPr>
        <w:pStyle w:val="Heading2"/>
        <w:keepNext/>
      </w:pPr>
      <w:r>
        <w:t>12.  THE EUROPEAN MIGRATION CRISIS – ECONOMIC AND POLITICAL FACTORS AND CHALLENGES FOR THE FUTURE  (2017)</w:t>
      </w:r>
    </w:p>
    <w:p>
      <w:r>
        <w:rPr>
          <w:b/>
        </w:rPr>
        <w:t xml:space="preserve">NOW  </w:t>
      </w:r>
      <w:r>
        <w:t>Newer research (2026) discusses: This article reconceptualises the “migration crisis” not as an exceptional event but as a political-ecological crisis regime that manufactures crisis, organises instability and legitimises violence at and beyond borders.</w:t>
      </w:r>
    </w:p>
    <w:p>
      <w:r>
        <w:rPr>
          <w:b/>
        </w:rPr>
        <w:t xml:space="preserve">WHY HERE  </w:t>
      </w:r>
      <w:r>
        <w:t>This is a same-question research trail (5 linked publication(s)). It shows continuing work, not necessarily a measured outcome.</w:t>
      </w:r>
    </w:p>
    <w:p>
      <w:pPr>
        <w:spacing w:after="160"/>
      </w:pPr>
      <w:hyperlink r:id="rId33">
        <w:r>
          <w:rPr>
            <w:color w:val="000000"/>
            <w:u w:val="single"/>
          </w:rPr>
          <w:t>Original publication</w:t>
        </w:r>
      </w:hyperlink>
      <w:r>
        <w:t xml:space="preserve">   ·   </w:t>
      </w:r>
      <w:hyperlink r:id="rId34">
        <w:r>
          <w:rPr>
            <w:color w:val="000000"/>
            <w:u w:val="single"/>
          </w:rPr>
          <w:t>Later publication</w:t>
        </w:r>
      </w:hyperlink>
    </w:p>
    <w:p>
      <w:pPr>
        <w:pStyle w:val="Heading2"/>
        <w:keepNext/>
      </w:pPr>
      <w:r>
        <w:t>13.  Sustainable fashion supply chain management: the European scenario  (2014)</w:t>
      </w:r>
    </w:p>
    <w:p>
      <w:r>
        <w:rPr>
          <w:b/>
        </w:rPr>
        <w:t xml:space="preserve">NOW  </w:t>
      </w:r>
      <w:r>
        <w:t>Newer research (2026) discusses: Fashion supply chains are under growing scrutiny for their environmental and social impacts, demanding a transition from linear to sustainable, circular models supported by digital innovation.</w:t>
      </w:r>
    </w:p>
    <w:p>
      <w:r>
        <w:rPr>
          <w:b/>
        </w:rPr>
        <w:t xml:space="preserve">WHY HERE  </w:t>
      </w:r>
      <w:r>
        <w:t>This is a same-question research trail (8 linked publication(s)). It shows continuing work, not necessarily a measured outcome.</w:t>
      </w:r>
    </w:p>
    <w:p>
      <w:pPr>
        <w:spacing w:after="160"/>
      </w:pPr>
      <w:hyperlink r:id="rId35">
        <w:r>
          <w:rPr>
            <w:color w:val="000000"/>
            <w:u w:val="single"/>
          </w:rPr>
          <w:t>Original publication</w:t>
        </w:r>
      </w:hyperlink>
      <w:r>
        <w:t xml:space="preserve">   ·   </w:t>
      </w:r>
      <w:hyperlink r:id="rId36">
        <w:r>
          <w:rPr>
            <w:color w:val="000000"/>
            <w:u w:val="single"/>
          </w:rPr>
          <w:t>Later publication</w:t>
        </w:r>
      </w:hyperlink>
    </w:p>
    <w:p>
      <w:pPr>
        <w:pStyle w:val="Heading2"/>
        <w:keepNext/>
      </w:pPr>
      <w:r>
        <w:t>14.  Scenario methodology for modelling of future landscape developments as basis for assessing ecosystem services  (2014)</w:t>
      </w:r>
    </w:p>
    <w:p>
      <w:r>
        <w:rPr>
          <w:b/>
        </w:rPr>
        <w:t xml:space="preserve">NOW  </w:t>
      </w:r>
      <w:r>
        <w:t>Newer research (2026) discusses: The article is devoted to the development of methodological foundations for the preparation of land management projects on a landscape basis using geoinformation technologies.</w:t>
      </w:r>
    </w:p>
    <w:p>
      <w:r>
        <w:rPr>
          <w:b/>
        </w:rPr>
        <w:t xml:space="preserve">WHY HERE  </w:t>
      </w:r>
      <w:r>
        <w:t>This is a same-question research trail (9 linked publication(s)). It shows continuing work, not necessarily a measured outcome.</w:t>
      </w:r>
    </w:p>
    <w:p>
      <w:pPr>
        <w:spacing w:after="160"/>
      </w:pPr>
      <w:hyperlink r:id="rId37">
        <w:r>
          <w:rPr>
            <w:color w:val="000000"/>
            <w:u w:val="single"/>
          </w:rPr>
          <w:t>Original publication</w:t>
        </w:r>
      </w:hyperlink>
      <w:r>
        <w:t xml:space="preserve">   ·   </w:t>
      </w:r>
      <w:hyperlink r:id="rId38">
        <w:r>
          <w:rPr>
            <w:color w:val="000000"/>
            <w:u w:val="single"/>
          </w:rPr>
          <w:t>Later publication</w:t>
        </w:r>
      </w:hyperlink>
    </w:p>
    <w:p>
      <w:pPr>
        <w:pStyle w:val="Heading2"/>
        <w:keepNext/>
      </w:pPr>
      <w:r>
        <w:t>15.  Renewable and Sustainable Energy Transitions for Countries with Different Climates and Renewable Energy Sources Potentials  (2018)</w:t>
      </w:r>
    </w:p>
    <w:p>
      <w:r>
        <w:rPr>
          <w:b/>
        </w:rPr>
        <w:t xml:space="preserve">NOW  </w:t>
      </w:r>
      <w:r>
        <w:t>Newer research (2026) discusses: Renewable energy transition management increasingly depends on the integration of digital technologies, organizational capabilities, and innovative forms of value creation.</w:t>
      </w:r>
    </w:p>
    <w:p>
      <w:r>
        <w:rPr>
          <w:b/>
        </w:rPr>
        <w:t xml:space="preserve">WHY HERE  </w:t>
      </w:r>
      <w:r>
        <w:t>This is a same-question research trail (4 linked publication(s)). It shows continuing work, not necessarily a measured outcome.</w:t>
      </w:r>
    </w:p>
    <w:p>
      <w:pPr>
        <w:spacing w:after="160"/>
      </w:pPr>
      <w:hyperlink r:id="rId39">
        <w:r>
          <w:rPr>
            <w:color w:val="000000"/>
            <w:u w:val="single"/>
          </w:rPr>
          <w:t>Original publication</w:t>
        </w:r>
      </w:hyperlink>
      <w:r>
        <w:t xml:space="preserve">   ·   </w:t>
      </w:r>
      <w:hyperlink r:id="rId40">
        <w:r>
          <w:rPr>
            <w:color w:val="000000"/>
            <w:u w:val="single"/>
          </w:rPr>
          <w:t>Later publication</w:t>
        </w:r>
      </w:hyperlink>
    </w:p>
    <w:p>
      <w:pPr>
        <w:pStyle w:val="Heading2"/>
        <w:keepNext/>
      </w:pPr>
      <w:r>
        <w:t>16.  Project FORESIGHT and Return on Investment: Forensic Science Laboratories and Public Health Laboratories  (2017)</w:t>
      </w:r>
    </w:p>
    <w:p>
      <w:r>
        <w:rPr>
          <w:b/>
        </w:rPr>
        <w:t xml:space="preserve">NOW  </w:t>
      </w:r>
      <w:r>
        <w:t>Newer research (2026) discusses: Conventional project investment appraisal focuses primarily on the cash flows, profitability and financial sustainability of the project entity.</w:t>
      </w:r>
    </w:p>
    <w:p>
      <w:r>
        <w:rPr>
          <w:b/>
        </w:rPr>
        <w:t xml:space="preserve">WHY HERE  </w:t>
      </w:r>
      <w:r>
        <w:t>This is a same-question research trail (8 linked publication(s)). It shows continuing work, not necessarily a measured outcome.</w:t>
      </w:r>
    </w:p>
    <w:p>
      <w:pPr>
        <w:spacing w:after="160"/>
      </w:pPr>
      <w:hyperlink r:id="rId41">
        <w:r>
          <w:rPr>
            <w:color w:val="000000"/>
            <w:u w:val="single"/>
          </w:rPr>
          <w:t>Original publication</w:t>
        </w:r>
      </w:hyperlink>
      <w:r>
        <w:t xml:space="preserve">   ·   </w:t>
      </w:r>
      <w:hyperlink r:id="rId42">
        <w:r>
          <w:rPr>
            <w:color w:val="000000"/>
            <w:u w:val="single"/>
          </w:rPr>
          <w:t>Later publication</w:t>
        </w:r>
      </w:hyperlink>
    </w:p>
    <w:p>
      <w:pPr>
        <w:pStyle w:val="Heading2"/>
        <w:keepNext/>
      </w:pPr>
      <w:r>
        <w:t>17.  Population Exposure Projections to Intensified Summer Heat  (2022)</w:t>
      </w:r>
    </w:p>
    <w:p>
      <w:r>
        <w:rPr>
          <w:b/>
        </w:rPr>
        <w:t xml:space="preserve">NOW  </w:t>
      </w:r>
      <w:r>
        <w:t>A 2025 paper reports: Abstract Population heat exposure has increased substantially, resulting in serious effects on human health.</w:t>
      </w:r>
    </w:p>
    <w:p>
      <w:r>
        <w:rPr>
          <w:b/>
        </w:rPr>
        <w:t xml:space="preserve">WHY HERE  </w:t>
      </w:r>
      <w:r>
        <w:t>This is a same-question research trail (4 linked publication(s)). It shows continuing work, not necessarily a measured outcome.</w:t>
      </w:r>
    </w:p>
    <w:p>
      <w:pPr>
        <w:spacing w:after="160"/>
      </w:pPr>
      <w:hyperlink r:id="rId43">
        <w:r>
          <w:rPr>
            <w:color w:val="000000"/>
            <w:u w:val="single"/>
          </w:rPr>
          <w:t>Original publication</w:t>
        </w:r>
      </w:hyperlink>
      <w:r>
        <w:t xml:space="preserve">   ·   </w:t>
      </w:r>
      <w:hyperlink r:id="rId44">
        <w:r>
          <w:rPr>
            <w:color w:val="000000"/>
            <w:u w:val="single"/>
          </w:rPr>
          <w:t>Later publication</w:t>
        </w:r>
      </w:hyperlink>
    </w:p>
    <w:p>
      <w:pPr>
        <w:pStyle w:val="Heading2"/>
        <w:keepNext/>
      </w:pPr>
      <w:r>
        <w:t>18.  INTRODUCTION OF THE GRAIN FUTURES MARKET IN THE BLACK SEA REGION  (2013)</w:t>
      </w:r>
    </w:p>
    <w:p>
      <w:r>
        <w:rPr>
          <w:b/>
        </w:rPr>
        <w:t xml:space="preserve">NOW  </w:t>
      </w:r>
      <w:r>
        <w:t xml:space="preserve">A 2026 paper reports: Agronomic and morphological traits included days to pollen shedding, plant height, ear height, grain moisture, and grain yield, while grain quality was evaluated through compositional traits (ash, fat, protein, cellulose, and starch) and mineral concentrations (Fe, Cu, </w:t>
      </w:r>
    </w:p>
    <w:p>
      <w:r>
        <w:rPr>
          <w:b/>
        </w:rPr>
        <w:t xml:space="preserve">WHY HERE  </w:t>
      </w:r>
      <w:r>
        <w:t>This is a same-question research trail (6 linked publication(s)). It shows continuing work, not necessarily a measured outcome.</w:t>
      </w:r>
    </w:p>
    <w:p>
      <w:pPr>
        <w:spacing w:after="160"/>
      </w:pPr>
      <w:hyperlink r:id="rId45">
        <w:r>
          <w:rPr>
            <w:color w:val="000000"/>
            <w:u w:val="single"/>
          </w:rPr>
          <w:t>Original publication</w:t>
        </w:r>
      </w:hyperlink>
      <w:r>
        <w:t xml:space="preserve">   ·   </w:t>
      </w:r>
      <w:hyperlink r:id="rId46">
        <w:r>
          <w:rPr>
            <w:color w:val="000000"/>
            <w:u w:val="single"/>
          </w:rPr>
          <w:t>Later publication</w:t>
        </w:r>
      </w:hyperlink>
    </w:p>
    <w:p>
      <w:pPr>
        <w:pStyle w:val="Heading2"/>
        <w:keepNext/>
      </w:pPr>
      <w:r>
        <w:t>19.  Hedging with commodity futures: evidence from the coffee market in Vietnam  (2020)</w:t>
      </w:r>
    </w:p>
    <w:p>
      <w:r>
        <w:rPr>
          <w:b/>
        </w:rPr>
        <w:t xml:space="preserve">NOW  </w:t>
      </w:r>
      <w:r>
        <w:t>Newer research (2026) discusses: Focus of this thesis is hedging behaviour in U.S. commodity markets.</w:t>
      </w:r>
    </w:p>
    <w:p>
      <w:r>
        <w:rPr>
          <w:b/>
        </w:rPr>
        <w:t xml:space="preserve">WHY HERE  </w:t>
      </w:r>
      <w:r>
        <w:t>This is a same-question research trail (5 linked publication(s)). It shows continuing work, not necessarily a measured outcome.</w:t>
      </w:r>
    </w:p>
    <w:p>
      <w:pPr>
        <w:spacing w:after="160"/>
      </w:pPr>
      <w:hyperlink r:id="rId47">
        <w:r>
          <w:rPr>
            <w:color w:val="000000"/>
            <w:u w:val="single"/>
          </w:rPr>
          <w:t>Original publication</w:t>
        </w:r>
      </w:hyperlink>
      <w:r>
        <w:t xml:space="preserve">   ·   </w:t>
      </w:r>
      <w:hyperlink r:id="rId48">
        <w:r>
          <w:rPr>
            <w:color w:val="000000"/>
            <w:u w:val="single"/>
          </w:rPr>
          <w:t>Later publication</w:t>
        </w:r>
      </w:hyperlink>
    </w:p>
    <w:p>
      <w:pPr>
        <w:pStyle w:val="Heading2"/>
        <w:keepNext/>
      </w:pPr>
      <w:r>
        <w:t>20.  Envisioning the future of health systems: Exploratory insights from European countries  (2020)</w:t>
      </w:r>
    </w:p>
    <w:p>
      <w:r>
        <w:rPr>
          <w:b/>
        </w:rPr>
        <w:t xml:space="preserve">NOW  </w:t>
      </w:r>
      <w:r>
        <w:t xml:space="preserve">Newer research (2025) discusses: Using a mixed-methods approach, including system mapping, participatory workshops, scenario development, surveys, and expert co-creation, the study identifies structural, economic, and institutional barriers and opportunities for </w:t>
      </w:r>
    </w:p>
    <w:p>
      <w:r>
        <w:rPr>
          <w:b/>
        </w:rPr>
        <w:t xml:space="preserve">WHY HERE  </w:t>
      </w:r>
      <w:r>
        <w:t>This is a same-question research trail (4 linked publication(s)). It shows continuing work, not necessarily a measured outcome.</w:t>
      </w:r>
    </w:p>
    <w:p>
      <w:pPr>
        <w:spacing w:after="160"/>
      </w:pPr>
      <w:hyperlink r:id="rId49">
        <w:r>
          <w:rPr>
            <w:color w:val="000000"/>
            <w:u w:val="single"/>
          </w:rPr>
          <w:t>Original publication</w:t>
        </w:r>
      </w:hyperlink>
      <w:r>
        <w:t xml:space="preserve">   ·   </w:t>
      </w:r>
      <w:hyperlink r:id="rId50">
        <w:r>
          <w:rPr>
            <w:color w:val="000000"/>
            <w:u w:val="single"/>
          </w:rPr>
          <w:t>Later publication</w:t>
        </w:r>
      </w:hyperlink>
    </w:p>
    <w:p>
      <w:pPr>
        <w:pStyle w:val="Heading1"/>
      </w:pPr>
      <w:r>
        <w:t>Weakest / possibly outdated trails (20 selected; maximum 20)</w:t>
      </w:r>
    </w:p>
    <w:p>
      <w:r>
        <w:t>These are search-quality or publication-status warnings. A missing or poor link does not mean the original idea is obsolete, false or irrelevant.</w:t>
      </w:r>
    </w:p>
    <w:p>
      <w:pPr>
        <w:pStyle w:val="Heading2"/>
        <w:keepNext/>
      </w:pPr>
      <w:r>
        <w:t>01.  Withdrawn: Fossil Futures in Europe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1">
        <w:r>
          <w:rPr>
            <w:color w:val="000000"/>
            <w:u w:val="single"/>
          </w:rPr>
          <w:t>Original publication</w:t>
        </w:r>
      </w:hyperlink>
    </w:p>
    <w:p>
      <w:pPr>
        <w:pStyle w:val="Heading2"/>
        <w:keepNext/>
      </w:pPr>
      <w:r>
        <w:t>02.  RETRACTED ARTICLE: Sustainable development economy and the development of green economy in the European Union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2">
        <w:r>
          <w:rPr>
            <w:color w:val="000000"/>
            <w:u w:val="single"/>
          </w:rPr>
          <w:t>Original publication</w:t>
        </w:r>
      </w:hyperlink>
      <w:r>
        <w:t xml:space="preserve">   ·   </w:t>
      </w:r>
      <w:hyperlink r:id="rId53">
        <w:r>
          <w:rPr>
            <w:color w:val="000000"/>
            <w:u w:val="single"/>
          </w:rPr>
          <w:t>Later publication (check status)</w:t>
        </w:r>
      </w:hyperlink>
    </w:p>
    <w:p>
      <w:pPr>
        <w:pStyle w:val="Heading2"/>
        <w:keepNext/>
      </w:pPr>
      <w:r>
        <w:t>03.  EU ACCESSION MIGRATION: NATIONAL INSURANCE NUMBER ALLOCATIONS AND THE GEOGRAPHIES OF POLISH LABOUR IMMIGRATION TO THE UK  (2011)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4">
        <w:r>
          <w:rPr>
            <w:color w:val="000000"/>
            <w:u w:val="single"/>
          </w:rPr>
          <w:t>Original publication</w:t>
        </w:r>
      </w:hyperlink>
      <w:r>
        <w:t xml:space="preserve">   ·   </w:t>
      </w:r>
      <w:hyperlink r:id="rId55">
        <w:r>
          <w:rPr>
            <w:color w:val="000000"/>
            <w:u w:val="single"/>
          </w:rPr>
          <w:t>Later publication (check status)</w:t>
        </w:r>
      </w:hyperlink>
    </w:p>
    <w:p>
      <w:pPr>
        <w:pStyle w:val="Heading2"/>
        <w:keepNext/>
      </w:pPr>
      <w:r>
        <w:t>04.  Benchmarking del programa colombiano de prospectiva ante prácticas en Europa y Sur América (título original: Benchmarking the coloIombian foresight programme against practices in Europe and South America)  (2011)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6">
        <w:r>
          <w:rPr>
            <w:color w:val="000000"/>
            <w:u w:val="single"/>
          </w:rPr>
          <w:t>Original publication</w:t>
        </w:r>
      </w:hyperlink>
      <w:r>
        <w:t xml:space="preserve">   ·   </w:t>
      </w:r>
      <w:hyperlink r:id="rId57">
        <w:r>
          <w:rPr>
            <w:color w:val="000000"/>
            <w:u w:val="single"/>
          </w:rPr>
          <w:t>Later publication (check status)</w:t>
        </w:r>
      </w:hyperlink>
    </w:p>
    <w:p>
      <w:pPr>
        <w:pStyle w:val="Heading2"/>
        <w:keepNext/>
      </w:pPr>
      <w:r>
        <w:t>05.  Strategic scenarios of global logistics: what lies ahead for Europe?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8">
        <w:r>
          <w:rPr>
            <w:color w:val="000000"/>
            <w:u w:val="single"/>
          </w:rPr>
          <w:t>Original publication</w:t>
        </w:r>
      </w:hyperlink>
      <w:r>
        <w:t xml:space="preserve">   ·   </w:t>
      </w:r>
      <w:hyperlink r:id="rId59">
        <w:r>
          <w:rPr>
            <w:color w:val="000000"/>
            <w:u w:val="single"/>
          </w:rPr>
          <w:t>Later publication (check status)</w:t>
        </w:r>
      </w:hyperlink>
    </w:p>
    <w:p>
      <w:pPr>
        <w:pStyle w:val="Heading2"/>
        <w:keepNext/>
      </w:pPr>
      <w:r>
        <w:t>06.  Review: Projections of Power: The United States and Europe in Colonial Southeast Asia, 1919–1941 , by Anne L. Foster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0">
        <w:r>
          <w:rPr>
            <w:color w:val="000000"/>
            <w:u w:val="single"/>
          </w:rPr>
          <w:t>Original publication</w:t>
        </w:r>
      </w:hyperlink>
      <w:r>
        <w:t xml:space="preserve">   ·   </w:t>
      </w:r>
      <w:hyperlink r:id="rId61">
        <w:r>
          <w:rPr>
            <w:color w:val="000000"/>
            <w:u w:val="single"/>
          </w:rPr>
          <w:t>Later publication (check status)</w:t>
        </w:r>
      </w:hyperlink>
    </w:p>
    <w:p>
      <w:pPr>
        <w:pStyle w:val="Heading2"/>
        <w:keepNext/>
      </w:pPr>
      <w:r>
        <w:t>07.  Projections of Power: The United States and Europe in Colonial Southeast Asia, 1919–1941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2">
        <w:r>
          <w:rPr>
            <w:color w:val="000000"/>
            <w:u w:val="single"/>
          </w:rPr>
          <w:t>Original publication</w:t>
        </w:r>
      </w:hyperlink>
      <w:r>
        <w:t xml:space="preserve">   ·   </w:t>
      </w:r>
      <w:hyperlink r:id="rId63">
        <w:r>
          <w:rPr>
            <w:color w:val="000000"/>
            <w:u w:val="single"/>
          </w:rPr>
          <w:t>Later publication (check status)</w:t>
        </w:r>
      </w:hyperlink>
    </w:p>
    <w:p>
      <w:pPr>
        <w:pStyle w:val="Heading2"/>
        <w:keepNext/>
      </w:pPr>
      <w:r>
        <w:t>08.  A Mitochondrial Phylogeny and Biogeographical Scenario for Asiatic Water Shrews of the Genus Chimarrogale: Implications for Taxonomy and Low-Latitude Migration Routes  (2013)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4">
        <w:r>
          <w:rPr>
            <w:color w:val="000000"/>
            <w:u w:val="single"/>
          </w:rPr>
          <w:t>Original publication</w:t>
        </w:r>
      </w:hyperlink>
      <w:r>
        <w:t xml:space="preserve">   ·   </w:t>
      </w:r>
      <w:hyperlink r:id="rId65">
        <w:r>
          <w:rPr>
            <w:color w:val="000000"/>
            <w:u w:val="single"/>
          </w:rPr>
          <w:t>Later publication (check status)</w:t>
        </w:r>
      </w:hyperlink>
    </w:p>
    <w:p>
      <w:pPr>
        <w:pStyle w:val="Heading2"/>
        <w:keepNext/>
      </w:pPr>
      <w:r>
        <w:t>09.  New forms of innovation: critical issues for future pathways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6">
        <w:r>
          <w:rPr>
            <w:color w:val="000000"/>
            <w:u w:val="single"/>
          </w:rPr>
          <w:t>Original publication</w:t>
        </w:r>
      </w:hyperlink>
      <w:r>
        <w:t xml:space="preserve">   ·   </w:t>
      </w:r>
      <w:hyperlink r:id="rId67">
        <w:r>
          <w:rPr>
            <w:color w:val="000000"/>
            <w:u w:val="single"/>
          </w:rPr>
          <w:t>Later publication (check status)</w:t>
        </w:r>
      </w:hyperlink>
    </w:p>
    <w:p>
      <w:pPr>
        <w:pStyle w:val="Heading2"/>
        <w:keepNext/>
      </w:pPr>
      <w:r>
        <w:t>10.  Energy system impacts and policy implications of the European Intended Nationally Determined Contribution and low-carbon pathway to 2050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8">
        <w:r>
          <w:rPr>
            <w:color w:val="000000"/>
            <w:u w:val="single"/>
          </w:rPr>
          <w:t>Original publication</w:t>
        </w:r>
      </w:hyperlink>
      <w:r>
        <w:t xml:space="preserve">   ·   </w:t>
      </w:r>
      <w:hyperlink r:id="rId69">
        <w:r>
          <w:rPr>
            <w:color w:val="000000"/>
            <w:u w:val="single"/>
          </w:rPr>
          <w:t>Later publication (check status)</w:t>
        </w:r>
      </w:hyperlink>
    </w:p>
    <w:p>
      <w:pPr>
        <w:pStyle w:val="Heading2"/>
        <w:keepNext/>
      </w:pPr>
      <w:r>
        <w:t>11.  Convenience Yields and Risk Premiums in the EU‐ETS—Evidence from the Kyoto Commitment Period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0">
        <w:r>
          <w:rPr>
            <w:color w:val="000000"/>
            <w:u w:val="single"/>
          </w:rPr>
          <w:t>Original publication</w:t>
        </w:r>
      </w:hyperlink>
      <w:r>
        <w:t xml:space="preserve">   ·   </w:t>
      </w:r>
      <w:hyperlink r:id="rId71">
        <w:r>
          <w:rPr>
            <w:color w:val="000000"/>
            <w:u w:val="single"/>
          </w:rPr>
          <w:t>Later publication (check status)</w:t>
        </w:r>
      </w:hyperlink>
    </w:p>
    <w:p>
      <w:pPr>
        <w:pStyle w:val="Heading2"/>
        <w:keepNext/>
      </w:pPr>
      <w:r>
        <w:t>12.  A comparison of oil supply risks in EU, US, Japan, China and India under different climate scenarios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2">
        <w:r>
          <w:rPr>
            <w:color w:val="000000"/>
            <w:u w:val="single"/>
          </w:rPr>
          <w:t>Original publication</w:t>
        </w:r>
      </w:hyperlink>
      <w:r>
        <w:t xml:space="preserve">   ·   </w:t>
      </w:r>
      <w:hyperlink r:id="rId73">
        <w:r>
          <w:rPr>
            <w:color w:val="000000"/>
            <w:u w:val="single"/>
          </w:rPr>
          <w:t>Later publication (check status)</w:t>
        </w:r>
      </w:hyperlink>
    </w:p>
    <w:p>
      <w:pPr>
        <w:pStyle w:val="Heading2"/>
        <w:keepNext/>
      </w:pPr>
      <w:r>
        <w:t>13.  Political and social trends in the future of global security. A meta-study on official perspectives in Europe and North America  (2017)</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4">
        <w:r>
          <w:rPr>
            <w:color w:val="000000"/>
            <w:u w:val="single"/>
          </w:rPr>
          <w:t>Original publication</w:t>
        </w:r>
      </w:hyperlink>
      <w:r>
        <w:t xml:space="preserve">   ·   </w:t>
      </w:r>
      <w:hyperlink r:id="rId75">
        <w:r>
          <w:rPr>
            <w:color w:val="000000"/>
            <w:u w:val="single"/>
          </w:rPr>
          <w:t>Later publication (check status)</w:t>
        </w:r>
      </w:hyperlink>
    </w:p>
    <w:p>
      <w:pPr>
        <w:pStyle w:val="Heading2"/>
        <w:keepNext/>
      </w:pPr>
      <w:r>
        <w:t>14.  European Security Architecture after the United Kingdom’s Withdrawal from the European Union: Future Scenarios  (2019)</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6">
        <w:r>
          <w:rPr>
            <w:color w:val="000000"/>
            <w:u w:val="single"/>
          </w:rPr>
          <w:t>Original publication</w:t>
        </w:r>
      </w:hyperlink>
      <w:r>
        <w:t xml:space="preserve">   ·   </w:t>
      </w:r>
      <w:hyperlink r:id="rId77">
        <w:r>
          <w:rPr>
            <w:color w:val="000000"/>
            <w:u w:val="single"/>
          </w:rPr>
          <w:t>Later publication (check status)</w:t>
        </w:r>
      </w:hyperlink>
    </w:p>
    <w:p>
      <w:pPr>
        <w:pStyle w:val="Heading2"/>
        <w:keepNext/>
      </w:pPr>
      <w:r>
        <w:t>15.  The Impact of Decarbonization Scenarios on Air Quality and Human Health in Poland—Analysis of Scenarios up to 2050  (2020)</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8">
        <w:r>
          <w:rPr>
            <w:color w:val="000000"/>
            <w:u w:val="single"/>
          </w:rPr>
          <w:t>Original publication</w:t>
        </w:r>
      </w:hyperlink>
      <w:r>
        <w:t xml:space="preserve">   ·   </w:t>
      </w:r>
      <w:hyperlink r:id="rId79">
        <w:r>
          <w:rPr>
            <w:color w:val="000000"/>
            <w:u w:val="single"/>
          </w:rPr>
          <w:t>Later publication (check status)</w:t>
        </w:r>
      </w:hyperlink>
    </w:p>
    <w:p>
      <w:pPr>
        <w:pStyle w:val="Heading2"/>
        <w:keepNext/>
      </w:pPr>
      <w:r>
        <w:t>16.  Disaggregation of official demographic projections in sub-groups by education level: the neglected “composition effect” in the future path of life expectancy  (2021)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0">
        <w:r>
          <w:rPr>
            <w:color w:val="000000"/>
            <w:u w:val="single"/>
          </w:rPr>
          <w:t>Original publication</w:t>
        </w:r>
      </w:hyperlink>
      <w:r>
        <w:t xml:space="preserve">   ·   </w:t>
      </w:r>
      <w:hyperlink r:id="rId81">
        <w:r>
          <w:rPr>
            <w:color w:val="000000"/>
            <w:u w:val="single"/>
          </w:rPr>
          <w:t>Later publication (check status)</w:t>
        </w:r>
      </w:hyperlink>
    </w:p>
    <w:p>
      <w:pPr>
        <w:pStyle w:val="Heading2"/>
        <w:keepNext/>
      </w:pPr>
      <w:r>
        <w:t>17.  Ensuring sustainable agriculture by analyzing the European Union and Romanian legislation on soil resources protection  (2022)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2">
        <w:r>
          <w:rPr>
            <w:color w:val="000000"/>
            <w:u w:val="single"/>
          </w:rPr>
          <w:t>Original publication</w:t>
        </w:r>
      </w:hyperlink>
      <w:r>
        <w:t xml:space="preserve">   ·   </w:t>
      </w:r>
      <w:hyperlink r:id="rId83">
        <w:r>
          <w:rPr>
            <w:color w:val="000000"/>
            <w:u w:val="single"/>
          </w:rPr>
          <w:t>Later publication (check status)</w:t>
        </w:r>
      </w:hyperlink>
    </w:p>
    <w:p>
      <w:pPr>
        <w:pStyle w:val="Heading2"/>
        <w:keepNext/>
      </w:pPr>
      <w:r>
        <w:t>18.  Thematic Issue Presentation: Perspectives on innovation governance - challenges and dilemmas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4">
        <w:r>
          <w:rPr>
            <w:color w:val="000000"/>
            <w:u w:val="single"/>
          </w:rPr>
          <w:t>Original publication</w:t>
        </w:r>
      </w:hyperlink>
      <w:r>
        <w:t xml:space="preserve">   ·   </w:t>
      </w:r>
      <w:hyperlink r:id="rId85">
        <w:r>
          <w:rPr>
            <w:color w:val="000000"/>
            <w:u w:val="single"/>
          </w:rPr>
          <w:t>Later publication (check status)</w:t>
        </w:r>
      </w:hyperlink>
    </w:p>
    <w:p>
      <w:pPr>
        <w:pStyle w:val="Heading2"/>
        <w:keepNext/>
      </w:pPr>
      <w:r>
        <w:t>19.  Strategic routes for wastewater treatment plant upgrades to reduce micropollutants in European surface water bodies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6">
        <w:r>
          <w:rPr>
            <w:color w:val="000000"/>
            <w:u w:val="single"/>
          </w:rPr>
          <w:t>Original publication</w:t>
        </w:r>
      </w:hyperlink>
      <w:r>
        <w:t xml:space="preserve">   ·   </w:t>
      </w:r>
      <w:hyperlink r:id="rId87">
        <w:r>
          <w:rPr>
            <w:color w:val="000000"/>
            <w:u w:val="single"/>
          </w:rPr>
          <w:t>Later publication (check status)</w:t>
        </w:r>
      </w:hyperlink>
    </w:p>
    <w:p>
      <w:pPr>
        <w:pStyle w:val="Heading2"/>
        <w:keepNext/>
      </w:pPr>
      <w:r>
        <w:t>20.  Experts’ assessments of migration scenarios between the Middle East &amp; North Africa and Europe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8">
        <w:r>
          <w:rPr>
            <w:color w:val="000000"/>
            <w:u w:val="single"/>
          </w:rPr>
          <w:t>Original publication</w:t>
        </w:r>
      </w:hyperlink>
      <w:r>
        <w:t xml:space="preserve">   ·   </w:t>
      </w:r>
      <w:hyperlink r:id="rId89">
        <w:r>
          <w:rPr>
            <w:color w:val="000000"/>
            <w:u w:val="single"/>
          </w:rPr>
          <w:t>Later publication (check status)</w:t>
        </w:r>
      </w:hyperlink>
    </w:p>
    <w:p>
      <w:pPr>
        <w:pStyle w:val="Heading1"/>
      </w:pPr>
      <w:r>
        <w:t>How this list updates</w:t>
      </w:r>
    </w:p>
    <w:p>
      <w:r>
        <w:t>Each successful Radar 2 run refreshes living-atlas.json. The companion Word workflow then builds this file again from those saved entries. It selects candidates by source-linked review, same-question follow-ups, freshness and diversity of subjects. It does not perform an extra paid research scan.</w:t>
      </w:r>
    </w:p>
    <w:p>
      <w:r>
        <w:t>A proper best/worst judgement requires reading the original claim and checking independent later observations. Where that review is missing, the shortlist is a research triage list rather than a verdict.</w:t>
      </w:r>
    </w:p>
    <w:sectPr w:rsidR="00FC693F" w:rsidRPr="0006063C" w:rsidSect="00034616">
      <w:headerReference w:type="default" r:id="rId9"/>
      <w:footerReference w:type="default" r:id="rId10"/>
      <w:pgSz w:w="12240" w:h="15840"/>
      <w:pgMar w:top="936" w:right="1109" w:bottom="950"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World Radar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5"/>
      </w:rPr>
      <w:t>WORLD RADAR   /   SHORT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00" w:line="240" w:lineRule="auto" w:before="20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080/21632324.2012.740851" TargetMode="External"/><Relationship Id="rId12" Type="http://schemas.openxmlformats.org/officeDocument/2006/relationships/hyperlink" Target="https://doi.org/10.7868/s3034599526020177" TargetMode="External"/><Relationship Id="rId13" Type="http://schemas.openxmlformats.org/officeDocument/2006/relationships/hyperlink" Target="https://doi.org/10.6017/ihe.2015.83.9073" TargetMode="External"/><Relationship Id="rId14" Type="http://schemas.openxmlformats.org/officeDocument/2006/relationships/hyperlink" Target="https://doi.org/10.4324/9781003505365-3" TargetMode="External"/><Relationship Id="rId15" Type="http://schemas.openxmlformats.org/officeDocument/2006/relationships/hyperlink" Target="https://doi.org/10.1093/eurpub/ckaa165.1288" TargetMode="External"/><Relationship Id="rId16" Type="http://schemas.openxmlformats.org/officeDocument/2006/relationships/hyperlink" Target="https://doi.org/10.1093/eurpub/ckae144.628" TargetMode="External"/><Relationship Id="rId17" Type="http://schemas.openxmlformats.org/officeDocument/2006/relationships/hyperlink" Target="https://doi.org/10.12688/f1000research.109399.1" TargetMode="External"/><Relationship Id="rId18" Type="http://schemas.openxmlformats.org/officeDocument/2006/relationships/hyperlink" Target="https://doi.org/10.1111/anti.70147" TargetMode="External"/><Relationship Id="rId19" Type="http://schemas.openxmlformats.org/officeDocument/2006/relationships/hyperlink" Target="https://doi.org/10.1002/met.2053" TargetMode="External"/><Relationship Id="rId20" Type="http://schemas.openxmlformats.org/officeDocument/2006/relationships/hyperlink" Target="https://doi.org/10.1088/1361-6501/ae962e" TargetMode="External"/><Relationship Id="rId21" Type="http://schemas.openxmlformats.org/officeDocument/2006/relationships/hyperlink" Target="https://doi.org/10.1186/s40309-018-0146-8" TargetMode="External"/><Relationship Id="rId22" Type="http://schemas.openxmlformats.org/officeDocument/2006/relationships/hyperlink" Target="https://doi.org/10.63665/jsa.v1i1.04" TargetMode="External"/><Relationship Id="rId23" Type="http://schemas.openxmlformats.org/officeDocument/2006/relationships/hyperlink" Target="https://doi.org/10.1002/2014gl062472" TargetMode="External"/><Relationship Id="rId24" Type="http://schemas.openxmlformats.org/officeDocument/2006/relationships/hyperlink" Target="https://doi.org/10.17605/osf.io/t7hq6" TargetMode="External"/><Relationship Id="rId25" Type="http://schemas.openxmlformats.org/officeDocument/2006/relationships/hyperlink" Target="https://doi.org/10.1007/s10113-019-01475-x" TargetMode="External"/><Relationship Id="rId26" Type="http://schemas.openxmlformats.org/officeDocument/2006/relationships/hyperlink" Target="https://doi.org/10.3390/en15103760" TargetMode="External"/><Relationship Id="rId27" Type="http://schemas.openxmlformats.org/officeDocument/2006/relationships/hyperlink" Target="https://doi.org/10.1016/j.gloenvcha.2019.101944" TargetMode="External"/><Relationship Id="rId28" Type="http://schemas.openxmlformats.org/officeDocument/2006/relationships/hyperlink" Target="https://doi.org/10.24382/q173-m906" TargetMode="External"/><Relationship Id="rId29" Type="http://schemas.openxmlformats.org/officeDocument/2006/relationships/hyperlink" Target="https://doi.org/10.1093/eurpub/ckab165.648" TargetMode="External"/><Relationship Id="rId30" Type="http://schemas.openxmlformats.org/officeDocument/2006/relationships/hyperlink" Target="https://doi.org/10.1186/s13690-026-02053-4" TargetMode="External"/><Relationship Id="rId31" Type="http://schemas.openxmlformats.org/officeDocument/2006/relationships/hyperlink" Target="https://doi.org/10.1016/j.futures.2012.04.006" TargetMode="External"/><Relationship Id="rId32" Type="http://schemas.openxmlformats.org/officeDocument/2006/relationships/hyperlink" Target="https://doi.org/10.82444/warw.33493072" TargetMode="External"/><Relationship Id="rId33" Type="http://schemas.openxmlformats.org/officeDocument/2006/relationships/hyperlink" Target="https://doi.org/10.5755/j01.eis.0.11.18958" TargetMode="External"/><Relationship Id="rId34" Type="http://schemas.openxmlformats.org/officeDocument/2006/relationships/hyperlink" Target="https://doi.org/10.14422/mig.23582.004" TargetMode="External"/><Relationship Id="rId35" Type="http://schemas.openxmlformats.org/officeDocument/2006/relationships/hyperlink" Target="https://doi.org/10.1016/j.emj.2014.05.003" TargetMode="External"/><Relationship Id="rId36" Type="http://schemas.openxmlformats.org/officeDocument/2006/relationships/hyperlink" Target="https://doi.org/10.1080/16258312.2026.2677455" TargetMode="External"/><Relationship Id="rId37" Type="http://schemas.openxmlformats.org/officeDocument/2006/relationships/hyperlink" Target="https://doi.org/10.3097/lo.201433" TargetMode="External"/><Relationship Id="rId38" Type="http://schemas.openxmlformats.org/officeDocument/2006/relationships/hyperlink" Target="https://doi.org/10.36871/26189976.2026.07.015" TargetMode="External"/><Relationship Id="rId39" Type="http://schemas.openxmlformats.org/officeDocument/2006/relationships/hyperlink" Target="https://doi.org/10.3390/en11123523" TargetMode="External"/><Relationship Id="rId40" Type="http://schemas.openxmlformats.org/officeDocument/2006/relationships/hyperlink" Target="https://doi.org/10.3390/en19184417" TargetMode="External"/><Relationship Id="rId41" Type="http://schemas.openxmlformats.org/officeDocument/2006/relationships/hyperlink" Target="https://doi.org/10.1080/19409044.2017.1280099" TargetMode="External"/><Relationship Id="rId42" Type="http://schemas.openxmlformats.org/officeDocument/2006/relationships/hyperlink" Target="https://doi.org/10.5281/zenodo.22892857" TargetMode="External"/><Relationship Id="rId43" Type="http://schemas.openxmlformats.org/officeDocument/2006/relationships/hyperlink" Target="https://doi.org/10.1029/2021ef002602" TargetMode="External"/><Relationship Id="rId44" Type="http://schemas.openxmlformats.org/officeDocument/2006/relationships/hyperlink" Target="https://doi.org/10.1088/1748-9326/ae27e8" TargetMode="External"/><Relationship Id="rId45" Type="http://schemas.openxmlformats.org/officeDocument/2006/relationships/hyperlink" Target="https://doi.org/10.22004/ag.econ.162027" TargetMode="External"/><Relationship Id="rId46" Type="http://schemas.openxmlformats.org/officeDocument/2006/relationships/hyperlink" Target="https://doi.org/10.3389/fpls.2026.1880606" TargetMode="External"/><Relationship Id="rId47" Type="http://schemas.openxmlformats.org/officeDocument/2006/relationships/hyperlink" Target="https://doi.org/10.21511/imfi.17(4).2020.06" TargetMode="External"/><Relationship Id="rId48" Type="http://schemas.openxmlformats.org/officeDocument/2006/relationships/hyperlink" Target="https://openalex.org/W7198187971" TargetMode="External"/><Relationship Id="rId49" Type="http://schemas.openxmlformats.org/officeDocument/2006/relationships/hyperlink" Target="https://doi.org/10.1016/j.futures.2020.102585" TargetMode="External"/><Relationship Id="rId50" Type="http://schemas.openxmlformats.org/officeDocument/2006/relationships/hyperlink" Target="https://doi.org/10.2760/7198444" TargetMode="External"/><Relationship Id="rId51" Type="http://schemas.openxmlformats.org/officeDocument/2006/relationships/hyperlink" Target="https://doi.org/10.1111/an.1610" TargetMode="External"/><Relationship Id="rId52" Type="http://schemas.openxmlformats.org/officeDocument/2006/relationships/hyperlink" Target="https://doi.org/10.1186/s13705-023-00410-7" TargetMode="External"/><Relationship Id="rId53" Type="http://schemas.openxmlformats.org/officeDocument/2006/relationships/hyperlink" Target="https://doi.org/10.1016/b978-0-443-41575-3.00018-6" TargetMode="External"/><Relationship Id="rId54" Type="http://schemas.openxmlformats.org/officeDocument/2006/relationships/hyperlink" Target="https://doi.org/10.1111/j.1467-9663.2011.00682.x" TargetMode="External"/><Relationship Id="rId55" Type="http://schemas.openxmlformats.org/officeDocument/2006/relationships/hyperlink" Target="https://openalex.org/W965442345" TargetMode="External"/><Relationship Id="rId56" Type="http://schemas.openxmlformats.org/officeDocument/2006/relationships/hyperlink" Target="https://doi.org/10.25100/cdea.v24i40.400" TargetMode="External"/><Relationship Id="rId57" Type="http://schemas.openxmlformats.org/officeDocument/2006/relationships/hyperlink" Target="https://doi.org/10.1596/1813-9450-8783" TargetMode="External"/><Relationship Id="rId58" Type="http://schemas.openxmlformats.org/officeDocument/2006/relationships/hyperlink" Target="https://doi.org/10.1007/s12544-011-0069-y" TargetMode="External"/><Relationship Id="rId59" Type="http://schemas.openxmlformats.org/officeDocument/2006/relationships/hyperlink" Target="https://doi.org/10.2307/jj.8306141.21" TargetMode="External"/><Relationship Id="rId60" Type="http://schemas.openxmlformats.org/officeDocument/2006/relationships/hyperlink" Target="https://doi.org/10.1525/phr.2012.81.1.133" TargetMode="External"/><Relationship Id="rId61" Type="http://schemas.openxmlformats.org/officeDocument/2006/relationships/hyperlink" Target="https://doi.org/10.1163/2468-1733_shafr_sim120120187" TargetMode="External"/><Relationship Id="rId62" Type="http://schemas.openxmlformats.org/officeDocument/2006/relationships/hyperlink" Target="https://doi.org/10.1080/07075332.2012.697330" TargetMode="External"/><Relationship Id="rId63" Type="http://schemas.openxmlformats.org/officeDocument/2006/relationships/hyperlink" Target="https://doi.org/10.1088/1748-9326/aabe9d" TargetMode="External"/><Relationship Id="rId64" Type="http://schemas.openxmlformats.org/officeDocument/2006/relationships/hyperlink" Target="https://doi.org/10.1371/journal.pone.0077156" TargetMode="External"/><Relationship Id="rId65" Type="http://schemas.openxmlformats.org/officeDocument/2006/relationships/hyperlink" Target="https://doi.org/10.1038/s41598-021-04052-7" TargetMode="External"/><Relationship Id="rId66" Type="http://schemas.openxmlformats.org/officeDocument/2006/relationships/hyperlink" Target="https://doi.org/10.1108/fs-07-2014-0050" TargetMode="External"/><Relationship Id="rId67" Type="http://schemas.openxmlformats.org/officeDocument/2006/relationships/hyperlink" Target="https://openalex.org/W7222377215" TargetMode="External"/><Relationship Id="rId68" Type="http://schemas.openxmlformats.org/officeDocument/2006/relationships/hyperlink" Target="https://doi.org/10.1016/j.enpol.2016.10.023" TargetMode="External"/><Relationship Id="rId69" Type="http://schemas.openxmlformats.org/officeDocument/2006/relationships/hyperlink" Target="https://doi.org/10.1051/978-2-7598-2250-8.c009" TargetMode="External"/><Relationship Id="rId70" Type="http://schemas.openxmlformats.org/officeDocument/2006/relationships/hyperlink" Target="https://doi.org/10.1002/fut.21780" TargetMode="External"/><Relationship Id="rId71" Type="http://schemas.openxmlformats.org/officeDocument/2006/relationships/hyperlink" Target="https://openalex.org/W2952497623" TargetMode="External"/><Relationship Id="rId72" Type="http://schemas.openxmlformats.org/officeDocument/2006/relationships/hyperlink" Target="https://doi.org/10.1016/j.enpol.2015.10.015" TargetMode="External"/><Relationship Id="rId73" Type="http://schemas.openxmlformats.org/officeDocument/2006/relationships/hyperlink" Target="https://doi.org/10.25052/kscm.2026.05.26.1.59" TargetMode="External"/><Relationship Id="rId74" Type="http://schemas.openxmlformats.org/officeDocument/2006/relationships/hyperlink" Target="https://doi.org/10.1007/s40309-017-0120-x" TargetMode="External"/><Relationship Id="rId75" Type="http://schemas.openxmlformats.org/officeDocument/2006/relationships/hyperlink" Target="https://doi.org/10.24198/jwp.v11i2.71217" TargetMode="External"/><Relationship Id="rId76" Type="http://schemas.openxmlformats.org/officeDocument/2006/relationships/hyperlink" Target="https://doi.org/10.2478/lasr-2019-0007" TargetMode="External"/><Relationship Id="rId77" Type="http://schemas.openxmlformats.org/officeDocument/2006/relationships/hyperlink" Target="https://doi.org/10.5281/zenodo.20591282" TargetMode="External"/><Relationship Id="rId78" Type="http://schemas.openxmlformats.org/officeDocument/2006/relationships/hyperlink" Target="https://doi.org/10.3390/atmos11111222" TargetMode="External"/><Relationship Id="rId79" Type="http://schemas.openxmlformats.org/officeDocument/2006/relationships/hyperlink" Target="https://doi.org/10.31648/9788381003858" TargetMode="External"/><Relationship Id="rId80" Type="http://schemas.openxmlformats.org/officeDocument/2006/relationships/hyperlink" Target="https://doi.org/10.1186/s41118-020-00113-3" TargetMode="External"/><Relationship Id="rId81" Type="http://schemas.openxmlformats.org/officeDocument/2006/relationships/hyperlink" Target="https://doi.org/10.1007/s11135-023-01818-1" TargetMode="External"/><Relationship Id="rId82" Type="http://schemas.openxmlformats.org/officeDocument/2006/relationships/hyperlink" Target="https://doi.org/10.46676/ij-fanres.v3i2.65" TargetMode="External"/><Relationship Id="rId83" Type="http://schemas.openxmlformats.org/officeDocument/2006/relationships/hyperlink" Target="https://doi.org/10.32628/ijsrst26131155" TargetMode="External"/><Relationship Id="rId84" Type="http://schemas.openxmlformats.org/officeDocument/2006/relationships/hyperlink" Target="https://doi.org/10.5380/nocsi.v0i5.93600" TargetMode="External"/><Relationship Id="rId85" Type="http://schemas.openxmlformats.org/officeDocument/2006/relationships/hyperlink" Target="https://doi.org/10.24857/rgsa.v18n2-194" TargetMode="External"/><Relationship Id="rId86" Type="http://schemas.openxmlformats.org/officeDocument/2006/relationships/hyperlink" Target="https://doi.org/10.1016/j.jclepro.2023.137867" TargetMode="External"/><Relationship Id="rId87" Type="http://schemas.openxmlformats.org/officeDocument/2006/relationships/hyperlink" Target="https://doi.org/10.5281/zenodo.21288877" TargetMode="External"/><Relationship Id="rId88" Type="http://schemas.openxmlformats.org/officeDocument/2006/relationships/hyperlink" Target="https://doi.org/10.1038/s41597-023-02532-1" TargetMode="External"/><Relationship Id="rId89" Type="http://schemas.openxmlformats.org/officeDocument/2006/relationships/hyperlink" Target="https://doi.org/10.5281/zenodo.229019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