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 reviewed accounts</w:t>
      </w:r>
    </w:p>
    <w:p>
      <w:r>
        <w:t>58 LLM-assisted interpretations supplied 23 October 2026. These are editorial research drafts. Original claims, later source alignment and cited web references have not all been independently verified.</w:t>
      </w:r>
    </w:p>
    <w:p>
      <w:r>
        <w:t>63 research accounts · Not a prediction-accuracy scoreboard</w:t>
      </w:r>
    </w:p>
    <w:p>
      <w:pPr/>
      <w:r>
        <w:rPr>
          <w:b/>
          <w:color w:val="974620"/>
        </w:rPr>
        <w:t>EDITORIAL UPDATE · 28 OCTOBER 2026: The original 63 accounts below are retained as historical drafts. Their individual conclusions are not necessarily verified. A new source-specific correction register and 32 retrospective case comparisons appear at the end of this document. Please consult the newer register before quoting an older outcome assertion.</w:t>
      </w:r>
    </w:p>
    <w:p>
      <w:pPr>
        <w:pStyle w:val="Heading1"/>
      </w:pPr>
      <w:r>
        <w:t>01.  Strategic energy technology policy to 2050 (2013)</w:t>
      </w:r>
    </w:p>
    <w:p>
      <w:pPr/>
      <w:r>
        <w:t>Held. The shift toward supply security it planned for happened: the JRC’s 2023 sustainability framework for EU energy technologies ranks energy security first.</w:t>
      </w:r>
    </w:p>
    <w:p>
      <w:r>
        <w:rPr>
          <w:sz w:val="16"/>
        </w:rPr>
        <w:t>Original publication: A strategic energy technology policy towards 2050: no-regret strategies for European technology push — https://doi.org/10.1504/ijetp.2013.058143</w:t>
      </w:r>
    </w:p>
    <w:p>
      <w:r>
        <w:rPr>
          <w:sz w:val="16"/>
        </w:rPr>
        <w:t>Later source: Proposal for a sustainability framework for energy technologies (2023) — https://doi.org/10.2760/11063</w:t>
      </w:r>
    </w:p>
    <w:p>
      <w:r>
        <w:rPr>
          <w:i/>
          <w:sz w:val="16"/>
        </w:rPr>
        <w:t>STATUS  ·  LLM-reviewed; awaiting source verification</w:t>
      </w:r>
    </w:p>
    <w:p>
      <w:pPr>
        <w:pStyle w:val="Heading1"/>
      </w:pPr>
      <w:r>
        <w:t>02.  EU as a global security actor (FOCUS, 2013)</w:t>
      </w:r>
    </w:p>
    <w:p>
      <w:pP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sz w:val="16"/>
        </w:rPr>
        <w:t>Original publication: Analytical support to foresighting EU roles as a Global Security Actor — https://doi.org/10.11610/isij.2902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i/>
          <w:sz w:val="16"/>
        </w:rPr>
        <w:t>STATUS  ·  LLM-reviewed; awaiting source verification</w:t>
      </w:r>
    </w:p>
    <w:p>
      <w:pPr>
        <w:pStyle w:val="Heading1"/>
      </w:pPr>
      <w:r>
        <w:t>03.  Animal health and parasites in a warming Europe (2013)</w:t>
      </w:r>
    </w:p>
    <w:p>
      <w:pPr/>
      <w:r>
        <w:t>Held. Climatic suitability for liver fluke rose through the 2000s in central and north-western Europe, matching a rise in livestock infections (2015). Climate change has also been a key driver of West Nile virus spread in Europe (2024).</w:t>
      </w:r>
    </w:p>
    <w:p>
      <w:r>
        <w:rPr>
          <w:sz w:val="16"/>
        </w:rPr>
        <w:t>Original publication: Animal health aspects of adaptation to climate change: beating the heat and parasites in a warming Europe — https://doi.org/10.1017/s175173111300075x</w:t>
      </w:r>
    </w:p>
    <w:p>
      <w:r>
        <w:rPr>
          <w:sz w:val="16"/>
        </w:rPr>
        <w:t>Later source: Modelling recent and future climatic suitability for fasciolosis in Europe (2015) — https://doi.org/10.4081/gh.2015.352</w:t>
      </w:r>
    </w:p>
    <w:p>
      <w:r>
        <w:rPr>
          <w:sz w:val="16"/>
        </w:rPr>
        <w:t>Later source: Contribution of climate change to the spatial expansion of West Nile virus in Europe (2024) — https://doi.org/10.1038/s41467-024-45290-3</w:t>
      </w:r>
    </w:p>
    <w:p>
      <w:r>
        <w:rPr>
          <w:i/>
          <w:sz w:val="16"/>
        </w:rPr>
        <w:t>STATUS  ·  LLM-reviewed; awaiting source verification</w:t>
      </w:r>
    </w:p>
    <w:p>
      <w:pPr>
        <w:pStyle w:val="Heading1"/>
      </w:pPr>
      <w:r>
        <w:t>04.  Climate, air pollution and respiratory health (2013)</w:t>
      </w:r>
    </w:p>
    <w:p>
      <w:pPr/>
      <w:r>
        <w:t>Partly. Pollution patterns did change, but mostly for the better through regulation. It still caused about 300,000 premature EU deaths in 2020 (2023), and observed 2000–2019 declines track emission cuts (2024).</w:t>
      </w:r>
    </w:p>
    <w:p>
      <w:r>
        <w:rPr>
          <w:sz w:val="16"/>
        </w:rPr>
        <w:t>Original publication: Climate change, extreme weather events, air pollution and respiratory health in Europe — https://doi.org/10.1183/09031936.00074712</w:t>
      </w:r>
    </w:p>
    <w:p>
      <w:r>
        <w:rPr>
          <w:sz w:val="16"/>
        </w:rPr>
        <w:t>Later source: Clean air in Europe for all (2023) — https://doi.org/10.1097/ee9.0000000000000245</w:t>
      </w:r>
    </w:p>
    <w:p>
      <w:r>
        <w:rPr>
          <w:sz w:val="16"/>
        </w:rPr>
        <w:t>Later source: Trends in Air Pollution in Europe, 2000–2019 (2024) — https://doi.org/10.4209/aaqr.230237</w:t>
      </w:r>
    </w:p>
    <w:p>
      <w:r>
        <w:rPr>
          <w:i/>
          <w:sz w:val="16"/>
        </w:rPr>
        <w:t>STATUS  ·  LLM-reviewed; awaiting source verification</w:t>
      </w:r>
    </w:p>
    <w:p>
      <w:pPr>
        <w:pStyle w:val="Heading1"/>
      </w:pPr>
      <w:r>
        <w:t>05.  ExxonMobil long-term energy outlook (2013)</w:t>
      </w:r>
    </w:p>
    <w:p>
      <w:pPr/>
      <w:r>
        <w:t>Held so far. Global energy demand rose 2% to a record in 2024, with China and India behind almost half the growth, and it rose another 1.7% in 2025 with every major source at a record high.</w:t>
      </w:r>
    </w:p>
    <w:p>
      <w:r>
        <w:rPr>
          <w:sz w:val="16"/>
        </w:rPr>
        <w:t>Original publication: Comments: The Long-Term Outlook — https://doi.org/10.2118/0113-0018-jpt</w:t>
      </w:r>
    </w:p>
    <w:p>
      <w:r>
        <w:rPr>
          <w:sz w:val="16"/>
        </w:rPr>
        <w:t>Additional references (as supplied; links may be missing): api; downtoearth</w:t>
      </w:r>
    </w:p>
    <w:p>
      <w:r>
        <w:rPr>
          <w:i/>
          <w:sz w:val="16"/>
        </w:rPr>
        <w:t>STATUS  ·  LLM-reviewed; awaiting source verification</w:t>
      </w:r>
    </w:p>
    <w:p>
      <w:pPr>
        <w:pStyle w:val="Heading1"/>
      </w:pPr>
      <w:r>
        <w:t>06.  Resilient futures, UK (2013)</w:t>
      </w:r>
    </w:p>
    <w:p>
      <w:pPr/>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r>
        <w:rPr>
          <w:sz w:val="16"/>
        </w:rPr>
        <w:t>Original publication: Constructing Resilient Futures: Integrating UK multi-stakeholder transport and energy resilience for 2050 — https://doi.org/10.1016/j.futures.2013.04.003</w:t>
      </w:r>
    </w:p>
    <w:p>
      <w:r>
        <w:rPr>
          <w:sz w:val="16"/>
        </w:rPr>
        <w:t>Additional references (as supplied; links may be missing): Chair’s Statement – Module 1 Report: Resilience and preparedness of the United Kingdom; and 2 more</w:t>
      </w:r>
    </w:p>
    <w:p>
      <w:r>
        <w:rPr>
          <w:i/>
          <w:sz w:val="16"/>
        </w:rPr>
        <w:t>STATUS  ·  LLM-reviewed; awaiting source verification</w:t>
      </w:r>
    </w:p>
    <w:p>
      <w:pPr>
        <w:pStyle w:val="Heading1"/>
      </w:pPr>
      <w:r>
        <w:t>07.  European atmosphere in 2050 (2013)</w:t>
      </w:r>
    </w:p>
    <w:p>
      <w:pP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sz w:val="16"/>
        </w:rPr>
        <w:t>Original publication: European atmosphere in 2050, a regional air quality and climate perspective under CMIP5 scenarios — https://doi.org/10.5194/acp-13-7451-2013</w:t>
      </w:r>
    </w:p>
    <w:p>
      <w:r>
        <w:rPr>
          <w:sz w:val="16"/>
        </w:rPr>
        <w:t>Later source: Trends in Air Pollution in Europe, 2000–2019 (2024) — https://doi.org/10.4209/aaqr.230237</w:t>
      </w:r>
    </w:p>
    <w:p>
      <w:r>
        <w:rPr>
          <w:i/>
          <w:sz w:val="16"/>
        </w:rPr>
        <w:t>STATUS  ·  LLM-reviewed; awaiting source verification</w:t>
      </w:r>
    </w:p>
    <w:p>
      <w:pPr>
        <w:pStyle w:val="Heading1"/>
      </w:pPr>
      <w:r>
        <w:t>08.  Foresight and grand challenges, Ireland (2013)</w:t>
      </w:r>
    </w:p>
    <w:p>
      <w:pPr/>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r>
        <w:rPr>
          <w:sz w:val="16"/>
        </w:rPr>
        <w:t>Original publication: Foresight and “grand challenges” within research and innovation policies — https://doi.org/10.1108/14636681311310123</w:t>
      </w:r>
    </w:p>
    <w:p>
      <w:r>
        <w:rPr>
          <w:sz w:val="16"/>
        </w:rPr>
        <w:t>Additional references (as supplied; links may be missing): Research Priority Areas 2018 to 2023; and 2 more</w:t>
      </w:r>
    </w:p>
    <w:p>
      <w:r>
        <w:rPr>
          <w:i/>
          <w:sz w:val="16"/>
        </w:rPr>
        <w:t>STATUS  ·  LLM-reviewed; awaiting source verification</w:t>
      </w:r>
    </w:p>
    <w:p>
      <w:pPr>
        <w:pStyle w:val="Heading1"/>
      </w:pPr>
      <w:r>
        <w:t>09.  Foresight Future Flooding, UK (2013)</w:t>
      </w:r>
    </w:p>
    <w:p>
      <w:pPr/>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r>
        <w:rPr>
          <w:sz w:val="16"/>
        </w:rPr>
        <w:t>Original publication: From flood science to flood policy: the Foresight Future Flooding project seven years on — https://doi.org/10.1108/fs-06-2012-0046</w:t>
      </w:r>
    </w:p>
    <w:p>
      <w:r>
        <w:rPr>
          <w:sz w:val="16"/>
        </w:rPr>
        <w:t>Additional references (as supplied; links may be missing): hellorayo</w:t>
      </w:r>
    </w:p>
    <w:p>
      <w:r>
        <w:rPr>
          <w:i/>
          <w:sz w:val="16"/>
        </w:rPr>
        <w:t>STATUS  ·  LLM-reviewed; awaiting source verification</w:t>
      </w:r>
    </w:p>
    <w:p>
      <w:pPr>
        <w:pStyle w:val="Heading1"/>
      </w:pPr>
      <w:r>
        <w:t>10.  European eel larvae models (2013)</w:t>
      </w:r>
    </w:p>
    <w:p>
      <w:pPr/>
      <w:r>
        <w:t>Partly. A later Kiel ocean-model study simulated 45 years of larval drift and reproduced the recruitment swings seen in Europe, tying them to Sargasso Sea currents, though larval fate remains hard to predict.</w:t>
      </w:r>
    </w:p>
    <w:p>
      <w:r>
        <w:rPr>
          <w:sz w:val="16"/>
        </w:rPr>
        <w:t>Original publication: Integrating field data into individual-based models of the migration of European eel larvae — https://doi.org/10.3354/meps10368</w:t>
      </w:r>
    </w:p>
    <w:p>
      <w:r>
        <w:rPr>
          <w:sz w:val="16"/>
        </w:rPr>
        <w:t>Additional references (as supplied; links may be missing): trebuchet-magazine</w:t>
      </w:r>
    </w:p>
    <w:p>
      <w:r>
        <w:rPr>
          <w:i/>
          <w:sz w:val="16"/>
        </w:rPr>
        <w:t>STATUS  ·  LLM-reviewed; awaiting source verification</w:t>
      </w:r>
    </w:p>
    <w:p>
      <w:pPr>
        <w:pStyle w:val="Heading1"/>
      </w:pPr>
      <w:r>
        <w:t>11.  Woody biomass, EU (2013)</w:t>
      </w:r>
    </w:p>
    <w:p>
      <w:pP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sz w:val="16"/>
        </w:rPr>
        <w:t>Original publication: Potential stocks and increments of woody biomass in the European Union under different management and climate scenarios — https://doi.org/10.1186/1750-0680-8-2</w:t>
      </w:r>
    </w:p>
    <w:p>
      <w:r>
        <w:rPr>
          <w:sz w:val="16"/>
        </w:rPr>
        <w:t>Later source: Accelerating biomass loss from forest disturbances across Europe (2026) — https://doi.org/10.1038/s41561-026-02032-y</w:t>
      </w:r>
    </w:p>
    <w:p>
      <w:r>
        <w:rPr>
          <w:sz w:val="16"/>
        </w:rPr>
        <w:t>Later source: Global increase in biomass carbon stock dominated by growth of northern young forests over past decade (2023) — https://doi.org/10.1038/s41561-023-01274-4</w:t>
      </w:r>
    </w:p>
    <w:p>
      <w:r>
        <w:rPr>
          <w:i/>
          <w:sz w:val="16"/>
        </w:rPr>
        <w:t>STATUS  ·  LLM-reviewed; awaiting source verification</w:t>
      </w:r>
    </w:p>
    <w:p>
      <w:pPr>
        <w:pStyle w:val="Heading1"/>
      </w:pPr>
      <w:r>
        <w:t>12.  Blue Growth maritime scenarios (2013)</w:t>
      </w:r>
    </w:p>
    <w:p>
      <w:pPr/>
      <w:r>
        <w:t>Open. Sectors grew unevenly: there were 447 algae producers, with macroalgae still mostly wild-harvested (2021), and critics say blue growth still leans on offshore oil, gas and big aquaculture (2020). No one has evaluated the scenarios themselves.</w:t>
      </w:r>
    </w:p>
    <w:p>
      <w:r>
        <w:rPr>
          <w:sz w:val="16"/>
        </w:rPr>
        <w:t>Original publication: Scenarios for selected maritime economic functions — https://doi.org/10.1007/s40309-013-0011-8</w:t>
      </w:r>
    </w:p>
    <w:p>
      <w:r>
        <w:rPr>
          <w:sz w:val="16"/>
        </w:rPr>
        <w:t>Later source: Current Status of the Algae Production Industry in Europe: An Emerging Sector of the Blue Bioeconomy (2021) — https://doi.org/10.3389/fmars.2020.626389</w:t>
      </w:r>
    </w:p>
    <w:p>
      <w:r>
        <w:rPr>
          <w:sz w:val="16"/>
        </w:rPr>
        <w:t>Later source: The Blue Fix: What's driving blue growth? (2020) — https://doi.org/10.1007/s11625-019-00777-7</w:t>
      </w:r>
    </w:p>
    <w:p>
      <w:r>
        <w:rPr>
          <w:i/>
          <w:sz w:val="16"/>
        </w:rPr>
        <w:t>STATUS  ·  LLM-reviewed; awaiting source verification</w:t>
      </w:r>
    </w:p>
    <w:p>
      <w:pPr>
        <w:pStyle w:val="Heading1"/>
      </w:pPr>
      <w:r>
        <w:t>13.  Superconductivity and the environment (2013)</w:t>
      </w:r>
    </w:p>
    <w:p>
      <w:pP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sz w:val="16"/>
        </w:rPr>
        <w:t>Original publication: Superconductivity and the environment: a Roadmap — https://doi.org/10.1088/0953-2048/26/11/113001</w:t>
      </w:r>
    </w:p>
    <w:p>
      <w:r>
        <w:rPr>
          <w:sz w:val="16"/>
        </w:rPr>
        <w:t>Additional references (as supplied; links may be missing): dieselnet; ucsd</w:t>
      </w:r>
    </w:p>
    <w:p>
      <w:r>
        <w:rPr>
          <w:i/>
          <w:sz w:val="16"/>
        </w:rPr>
        <w:t>STATUS  ·  LLM-reviewed; awaiting source verification</w:t>
      </w:r>
    </w:p>
    <w:p>
      <w:pPr>
        <w:pStyle w:val="Heading1"/>
      </w:pPr>
      <w:r>
        <w:t>14.  EU Decarbonisation Roadmap 2050 (2013)</w:t>
      </w:r>
    </w:p>
    <w:p>
      <w:pPr/>
      <w:r>
        <w:t>Partly. Net EU emissions were about 37% below 1990 in 2024, and adopted plus planned measures only reach 78% below by 2050. Member states expect 54% by 2030, just under the 55% target. The CDM route stayed marginal, with few, uneven projects in Eastern Europe (2022).</w:t>
      </w:r>
    </w:p>
    <w:p>
      <w:r>
        <w:rPr>
          <w:sz w:val="16"/>
        </w:rPr>
        <w:t>Original publication: The EU Decarbonisation Roadmap 2050—What way to walk? — https://doi.org/10.1016/j.enpol.2012.11.054</w:t>
      </w:r>
    </w:p>
    <w:p>
      <w:r>
        <w:rPr>
          <w:sz w:val="16"/>
        </w:rPr>
        <w:t>Later source: The clean development mechanism in Eastern Europe: an in-depth exploration (2022) — https://doi.org/10.1007/s11356-022-20988-3</w:t>
      </w:r>
    </w:p>
    <w:p>
      <w:r>
        <w:rPr>
          <w:sz w:val="16"/>
        </w:rPr>
        <w:t>Additional references (as supplied; links may be missing): europa; recycling-magazine</w:t>
      </w:r>
    </w:p>
    <w:p>
      <w:r>
        <w:rPr>
          <w:i/>
          <w:sz w:val="16"/>
        </w:rPr>
        <w:t>STATUS  ·  LLM-reviewed; awaiting source verification</w:t>
      </w:r>
    </w:p>
    <w:p>
      <w:pPr>
        <w:pStyle w:val="Heading1"/>
      </w:pPr>
      <w:r>
        <w:t>15.  NT for Podlaskie 2020 (2013)</w:t>
      </w:r>
    </w:p>
    <w:p>
      <w:pPr/>
      <w:r>
        <w:t>Open. The project lived on in methods work: a wild-card method built on it (2015) and Podlaskie tourism foresight (2016). Nothing shows whether its nanotech priorities were funded.</w:t>
      </w:r>
    </w:p>
    <w:p>
      <w:r>
        <w:rPr>
          <w:sz w:val="16"/>
        </w:rPr>
        <w:t>Original publication: Toward Identification of the Priority Lines of Research in Nanotechnology on the Basis of the Technology Foresight NT for Podlaskie 2020 — https://doi.org/10.7763/ijiet.2013.v3.293</w:t>
      </w:r>
    </w:p>
    <w:p>
      <w:r>
        <w:rPr>
          <w:sz w:val="16"/>
        </w:rPr>
        <w:t>Later source: Wild Cards in Polish Foresight Practice (2015) — https://doi.org/10.1016/j.sbspro.2015.11.510</w:t>
      </w:r>
    </w:p>
    <w:p>
      <w:r>
        <w:rPr>
          <w:sz w:val="16"/>
        </w:rPr>
        <w:t>Later source: NCRR - New Foresight Research Method (2016) — https://openalex.org/W2555381373</w:t>
      </w:r>
    </w:p>
    <w:p>
      <w:r>
        <w:rPr>
          <w:i/>
          <w:sz w:val="16"/>
        </w:rPr>
        <w:t>STATUS  ·  LLM-reviewed; awaiting source verification</w:t>
      </w:r>
    </w:p>
    <w:p>
      <w:pPr>
        <w:pStyle w:val="Heading1"/>
      </w:pPr>
      <w:r>
        <w:t>16.  Towards Europe 2035 (FOCUS, 2013)</w:t>
      </w:r>
    </w:p>
    <w:p>
      <w:pP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sz w:val="16"/>
        </w:rPr>
        <w:t>Original publication: Towards Europe 2035 - In Search of the Archimedean Screw: FOCUS in Perspective — https://doi.org/10.11610/isij.2912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sz w:val="16"/>
        </w:rPr>
        <w:t>Later source: European Strategic Culture at a Crossroads (2026) — https://doi.org/10.4324/9781032636566</w:t>
      </w:r>
    </w:p>
    <w:p>
      <w:r>
        <w:rPr>
          <w:i/>
          <w:sz w:val="16"/>
        </w:rPr>
        <w:t>STATUS  ·  LLM-reviewed; awaiting source verification</w:t>
      </w:r>
    </w:p>
    <w:p>
      <w:pPr>
        <w:pStyle w:val="Heading1"/>
      </w:pPr>
      <w:r>
        <w:t>17.  Warming and wetland plants (2013)</w:t>
      </w:r>
    </w:p>
    <w:p>
      <w:pPr/>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r>
        <w:rPr>
          <w:sz w:val="16"/>
        </w:rPr>
        <w:t>Original publication: Warming increases plant biomass and reduces diversity across continents, latitudes, and species migration scenarios in experimental wetland communities — https://doi.org/10.1111/gcb.12378</w:t>
      </w:r>
    </w:p>
    <w:p>
      <w:r>
        <w:rPr>
          <w:sz w:val="16"/>
        </w:rPr>
        <w:t>Additional references (as supplied; links may be missing): 3 sources, names not preserved</w:t>
      </w:r>
    </w:p>
    <w:p>
      <w:r>
        <w:rPr>
          <w:i/>
          <w:sz w:val="16"/>
        </w:rPr>
        <w:t>STATUS  ·  LLM-reviewed; awaiting source verification</w:t>
      </w:r>
    </w:p>
    <w:p>
      <w:pPr>
        <w:pStyle w:val="Heading1"/>
      </w:pPr>
      <w:r>
        <w:t>18.  History of futures, Dutch water scenarios (2012)</w:t>
      </w:r>
    </w:p>
    <w:p>
      <w:pPr/>
      <w:r>
        <w:t>Partly. A 2016 review still found scenarios, robustness and adaptive strategies mostly handled separately, so “not yet fully exploited” still applied then.</w:t>
      </w:r>
    </w:p>
    <w:p>
      <w:r>
        <w:rPr>
          <w:sz w:val="16"/>
        </w:rPr>
        <w:t>Original publication: A history of futures: A review of scenario use in water policy studies in the Netherlands — https://doi.org/10.1016/j.envsci.2012.03.002</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19.  After-crisis scenarios for European regions (2012)</w:t>
      </w:r>
    </w:p>
    <w:p>
      <w:pPr/>
      <w:r>
        <w:t>The reference scenario held. Regions diverged, and policies stopped spreading prosperity effectively (2018).</w:t>
      </w:r>
    </w:p>
    <w:p>
      <w:r>
        <w:rPr>
          <w:sz w:val="16"/>
        </w:rPr>
        <w:t>Original publication: After-crisis Scenarios for the European Regions — https://doi.org/10.2457/srs.42.3</w:t>
      </w:r>
    </w:p>
    <w:p>
      <w:r>
        <w:rPr>
          <w:sz w:val="16"/>
        </w:rPr>
        <w:t>Later source: Regional inequality in Europe: evidence, theory and policy implications (2018) — https://doi.org/10.1093/jeg/lby021</w:t>
      </w:r>
    </w:p>
    <w:p>
      <w:r>
        <w:rPr>
          <w:i/>
          <w:sz w:val="16"/>
        </w:rPr>
        <w:t>STATUS  ·  LLM-reviewed; awaiting source verification</w:t>
      </w:r>
    </w:p>
    <w:p>
      <w:pPr>
        <w:pStyle w:val="Heading1"/>
      </w:pPr>
      <w:r>
        <w:t>20.  Flood adaptation and ecosystem services (2012)</w:t>
      </w:r>
    </w:p>
    <w:p>
      <w:pPr/>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r>
        <w:rPr>
          <w:sz w:val="16"/>
        </w:rPr>
        <w:t>Original publication: An assessment of the impact of climate adaptation measures to reduce flood risk on ecosystem services — https://doi.org/10.1007/s10980-012-9715-6</w:t>
      </w:r>
    </w:p>
    <w:p>
      <w:r>
        <w:rPr>
          <w:sz w:val="16"/>
        </w:rPr>
        <w:t>Additional references (as supplied; links may be missing): umontpellier; doaj</w:t>
      </w:r>
    </w:p>
    <w:p>
      <w:r>
        <w:rPr>
          <w:i/>
          <w:sz w:val="16"/>
        </w:rPr>
        <w:t>STATUS  ·  LLM-reviewed; awaiting source verification</w:t>
      </w:r>
    </w:p>
    <w:p>
      <w:pPr>
        <w:pStyle w:val="Heading1"/>
      </w:pPr>
      <w:r>
        <w:t>21.  Finland 2050 backcasting (2012)</w:t>
      </w:r>
    </w:p>
    <w:p>
      <w:pP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sz w:val="16"/>
        </w:rPr>
        <w:t>Original publication: Backcasting scenarios for Finland 2050 of low emissions — https://doi.org/10.1108/14636681211256099</w:t>
      </w:r>
    </w:p>
    <w:p>
      <w:r>
        <w:rPr>
          <w:sz w:val="16"/>
        </w:rPr>
        <w:t>Additional references (as supplied; links may be missing): treasuryfinland; valtioneuvosto</w:t>
      </w:r>
    </w:p>
    <w:p>
      <w:r>
        <w:rPr>
          <w:i/>
          <w:sz w:val="16"/>
        </w:rPr>
        <w:t>STATUS  ·  LLM-reviewed; awaiting source verification</w:t>
      </w:r>
    </w:p>
    <w:p>
      <w:pPr>
        <w:pStyle w:val="Heading1"/>
      </w:pPr>
      <w:r>
        <w:t>22.  Vegetation in European Russia (2012)</w:t>
      </w:r>
    </w:p>
    <w:p>
      <w:pPr/>
      <w:r>
        <w:t>Held, early signs. Spruce’s share in a study region on the East European Plain fell from about 50% to 35%, with climate-linked bark-beetle damage (2022).</w:t>
      </w:r>
    </w:p>
    <w:p>
      <w:r>
        <w:rPr>
          <w:sz w:val="16"/>
        </w:rPr>
        <w:t>Original publication: FORECASTED TRENDS IN CHANGES OF VEGETATION IN THE EUROPEAN PART OF RUSSIA IN CONNECTION WITH GLOBAL WARMING — https://doi.org/10.24057/2071-9388-2012-5-4-4-16</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23.  Horizon scanning and sense-making (BEPA, 2012)</w:t>
      </w:r>
    </w:p>
    <w:p>
      <w:pPr/>
      <w:r>
        <w:t>Held. EU agencies now scan jointly with WHO and the JRC (2022). A check of a 2013 scan found 12 of its top 20 invasive species arrived within ten years (2025). Scanning and sense-making were still often confused in 2019.</w:t>
      </w:r>
    </w:p>
    <w:p>
      <w:r>
        <w:rPr>
          <w:sz w:val="16"/>
        </w:rPr>
        <w:t>Original publication: Facing the future: Scanning, synthesizing and sense-making in horizon scanning — https://doi.org/10.1093/scipol/scs021</w:t>
      </w:r>
    </w:p>
    <w:p>
      <w:r>
        <w:rPr>
          <w:sz w:val="16"/>
        </w:rPr>
        <w:t>Later source: Health horizons: Future trends and technologies from the European Medicines Agency’s horizon scanning collaborations (2022) — https://doi.org/10.3389/fmed.2022.1064003</w:t>
      </w:r>
    </w:p>
    <w:p>
      <w:r>
        <w:rPr>
          <w:sz w:val="16"/>
        </w:rPr>
        <w:t>Later source: Assessing the success of a horizon scanning approach in predicting invasive non‐native species arrival (2025) — https://doi.org/10.1111/1365-2664.70217</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24.  Future ozone exposure (2012)</w:t>
      </w:r>
    </w:p>
    <w:p>
      <w:pP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sz w:val="16"/>
        </w:rPr>
        <w:t>Original publication: Future air quality in Europe: a multi-model assessment of projected exposure to ozone — https://doi.org/10.5194/acp-12-10613-2012</w:t>
      </w:r>
    </w:p>
    <w:p>
      <w:r>
        <w:rPr>
          <w:sz w:val="16"/>
        </w:rPr>
        <w:t>Later source: Trends in Air Pollution in Europe, 2000–2019 (2024) — https://doi.org/10.4209/aaqr.230237</w:t>
      </w:r>
    </w:p>
    <w:p>
      <w:r>
        <w:rPr>
          <w:sz w:val="16"/>
        </w:rPr>
        <w:t>Later source: Geographic sources of ozone air pollution and mortality burden in Europe (2024) — https://doi.org/10.1038/s41591-024-02976-x</w:t>
      </w:r>
    </w:p>
    <w:p>
      <w:r>
        <w:rPr>
          <w:i/>
          <w:sz w:val="16"/>
        </w:rPr>
        <w:t>STATUS  ·  LLM-reviewed; awaiting source verification</w:t>
      </w:r>
    </w:p>
    <w:p>
      <w:pPr>
        <w:pStyle w:val="Heading1"/>
      </w:pPr>
      <w:r>
        <w:t>25.  Climate change and ozone mortality (2012)</w:t>
      </w:r>
    </w:p>
    <w:p>
      <w:pP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sz w:val="16"/>
        </w:rPr>
        <w:t>Original publication: Impact of climate change on ozone-related mortality and morbidity in Europe — https://doi.org/10.1183/09031936.00210411</w:t>
      </w:r>
    </w:p>
    <w:p>
      <w:r>
        <w:rPr>
          <w:sz w:val="16"/>
        </w:rPr>
        <w:t>Later source: Trends in Air Pollution in Europe, 2000–2019 (2024) — https://doi.org/10.4209/aaqr.230237</w:t>
      </w:r>
    </w:p>
    <w:p>
      <w:r>
        <w:rPr>
          <w:sz w:val="16"/>
        </w:rPr>
        <w:t>Later source: Quantifying the Climate Penalty on Air Quality in Europe – Insights from INSPEnCaT Project (2025) — https://doi.org/10.5194/egusphere-egu25-17230</w:t>
      </w:r>
    </w:p>
    <w:p>
      <w:r>
        <w:rPr>
          <w:i/>
          <w:sz w:val="16"/>
        </w:rPr>
        <w:t>STATUS  ·  LLM-reviewed; awaiting source verification</w:t>
      </w:r>
    </w:p>
    <w:p>
      <w:pPr>
        <w:pStyle w:val="Heading1"/>
      </w:pPr>
      <w:r>
        <w:t>26.  UK bioenergy sustainability constraints (2012)</w:t>
      </w:r>
    </w:p>
    <w:p>
      <w:pPr/>
      <w:r>
        <w:t>Held. The UK’s 2023 Biomass Strategy reviewed sustainability rules and set out ways to tighten them while keeping bioenergy central (11% of electricity in 2022) and prioritising BECCS long-term. Precaution added rules rather than changing the mix.</w:t>
      </w:r>
    </w:p>
    <w:p>
      <w:r>
        <w:rPr>
          <w:sz w:val="16"/>
        </w:rPr>
        <w:t>Original publication: Implications of sustainability constraints on UK bioenergy development: Assessing optimistic and precautionary approaches with UK MARKAL — https://doi.org/10.1016/j.enpol.2012.05.015</w:t>
      </w:r>
    </w:p>
    <w:p>
      <w:r>
        <w:rPr>
          <w:sz w:val="16"/>
        </w:rPr>
        <w:t>Additional references (as supplied; links may be missing): biodieselmagazine; pellet</w:t>
      </w:r>
    </w:p>
    <w:p>
      <w:r>
        <w:rPr>
          <w:i/>
          <w:sz w:val="16"/>
        </w:rPr>
        <w:t>STATUS  ·  LLM-reviewed; awaiting source verification</w:t>
      </w:r>
    </w:p>
    <w:p>
      <w:pPr>
        <w:pStyle w:val="Heading1"/>
      </w:pPr>
      <w:r>
        <w:t>27.  Farmers’ markets, Alberta and BC (2012)</w:t>
      </w:r>
    </w:p>
    <w:p>
      <w:pPr/>
      <w:r>
        <w:t>Partly developed along the envisioned pathway in British Columbia: markets expanded and kept a community-oriented, direct-sales role. The specific question the Delphi posed — the linkage with the social economy and the scale–authenticity tension — remains open. The record lies outside the observatory’s European scope and could serve at most as a non-European comparator.</w:t>
      </w:r>
    </w:p>
    <w:p>
      <w:r>
        <w:rPr>
          <w:sz w:val="16"/>
        </w:rPr>
        <w:t>Original publication: Linking Local Food Systems and the Social Economy? Future Roles for Farmers' Markets in Alberta and British Columbia* — https://doi.org/10.1111/j.1549-0831.2011.00068.x</w:t>
      </w:r>
    </w:p>
    <w:p>
      <w:r>
        <w:rPr>
          <w:sz w:val="16"/>
        </w:rPr>
        <w:t>Additional references (as supplied; links may be missing): straight</w:t>
      </w:r>
    </w:p>
    <w:p>
      <w:r>
        <w:rPr>
          <w:i/>
          <w:sz w:val="16"/>
        </w:rPr>
        <w:t>STATUS  ·  LLM-reviewed; awaiting source verification</w:t>
      </w:r>
    </w:p>
    <w:p>
      <w:pPr>
        <w:pStyle w:val="Heading1"/>
      </w:pPr>
      <w:r>
        <w:t>28.  New emerging issues and wild cards (2012)</w:t>
      </w:r>
    </w:p>
    <w:p>
      <w:pPr/>
      <w:r>
        <w:t>Partly. Wild-card methods were taken up in Polish regional foresight (2015), but the scanning-to-policy link was still muddled in 2019.</w:t>
      </w:r>
    </w:p>
    <w:p>
      <w:r>
        <w:rPr>
          <w:sz w:val="16"/>
        </w:rPr>
        <w:t>Original publication: New Emerging Issues and Wild Cards as Future Shakers and Shapers — https://doi.org/10.17323/1995-459x.2012.1.60.73</w:t>
      </w:r>
    </w:p>
    <w:p>
      <w:r>
        <w:rPr>
          <w:sz w:val="16"/>
        </w:rPr>
        <w:t>Later source: Wild Cards in Polish Foresight Practice (2015) — https://doi.org/10.1016/j.sbspro.2015.11.510</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29.  REMIND-D, Germany (2012)</w:t>
      </w:r>
    </w:p>
    <w:p>
      <w:pPr/>
      <w:r>
        <w:t>Partly. Germany’s emissions fell 48% between 1990 and 2025 but barely moved in 2025. The Federal Environment Agency (UBA) projects only about 83% by 2045 under current policies, short of neutrality.</w:t>
      </w:r>
    </w:p>
    <w:p>
      <w:r>
        <w:rPr>
          <w:sz w:val="16"/>
        </w:rPr>
        <w:t>Original publication: REMIND-D: A Hybrid Energy-Economy Model of Germany — https://doi.org/10.22004/ag.econ.121911</w:t>
      </w:r>
    </w:p>
    <w:p>
      <w:r>
        <w:rPr>
          <w:sz w:val="16"/>
        </w:rPr>
        <w:t>Additional references (as supplied; links may be missing): umweltbundesamt; climatescorecard</w:t>
      </w:r>
    </w:p>
    <w:p>
      <w:r>
        <w:rPr>
          <w:i/>
          <w:sz w:val="16"/>
        </w:rPr>
        <w:t>STATUS  ·  LLM-reviewed; awaiting source verification</w:t>
      </w:r>
    </w:p>
    <w:p>
      <w:pPr>
        <w:pStyle w:val="Heading1"/>
      </w:pPr>
      <w:r>
        <w:t>30.  Organic food market scenarios (2012)</w:t>
      </w:r>
    </w:p>
    <w:p>
      <w:pPr/>
      <w:r>
        <w:t>Held. European organic sales hit a record €58.7bn in 2024, up 4.1%, though farmland stayed flat at 19.6 million hectares.</w:t>
      </w:r>
    </w:p>
    <w:p>
      <w:r>
        <w:rPr>
          <w:sz w:val="16"/>
        </w:rPr>
        <w:t>Original publication: Scenarios of the organic food market in Europe — https://doi.org/10.1016/j.foodpol.2011.10.003</w:t>
      </w:r>
    </w:p>
    <w:p>
      <w:r>
        <w:rPr>
          <w:sz w:val="16"/>
        </w:rPr>
        <w:t>Additional references (as supplied; links may be missing): fibl</w:t>
      </w:r>
    </w:p>
    <w:p>
      <w:r>
        <w:rPr>
          <w:i/>
          <w:sz w:val="16"/>
        </w:rPr>
        <w:t>STATUS  ·  LLM-reviewed; awaiting source verification</w:t>
      </w:r>
    </w:p>
    <w:p>
      <w:pPr>
        <w:pStyle w:val="Heading1"/>
      </w:pPr>
      <w:r>
        <w:t>31.  Aedes albopictus suitability (2012)</w:t>
      </w:r>
    </w:p>
    <w:p>
      <w:pP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sz w:val="16"/>
        </w:rPr>
        <w:t>Original publication: Suitability of European climate for the Asian tiger mosquito Aedes albopictus : recent trends and future scenarios — https://doi.org/10.1098/rsif.2012.0138</w:t>
      </w:r>
    </w:p>
    <w:p>
      <w:r>
        <w:rPr>
          <w:sz w:val="16"/>
        </w:rPr>
        <w:t>Additional references (as supplied; links may be missing): europa (2 pages)</w:t>
      </w:r>
    </w:p>
    <w:p>
      <w:r>
        <w:rPr>
          <w:i/>
          <w:sz w:val="16"/>
        </w:rPr>
        <w:t>STATUS  ·  LLM-reviewed; awaiting source verification</w:t>
      </w:r>
    </w:p>
    <w:p>
      <w:pPr>
        <w:pStyle w:val="Heading1"/>
      </w:pPr>
      <w:r>
        <w:t>32.  Dutch GP workforce planning (2012)</w:t>
      </w:r>
    </w:p>
    <w:p>
      <w:pPr/>
      <w:r>
        <w:t>No. About 60% of GP practices stopped accepting new patients in 2024, and the shortage is expected to grow, mainly because of ageing. The planning body itself estimated an 8% shortfall in 2022.</w:t>
      </w:r>
    </w:p>
    <w:p>
      <w:r>
        <w:rPr>
          <w:sz w:val="16"/>
        </w:rPr>
        <w:t>Original publication: Ten years of health workforce planning in the Netherlands: a tentative evaluation of GP planning as an example — https://doi.org/10.1186/1478-4491-10-21</w:t>
      </w:r>
    </w:p>
    <w:p>
      <w:r>
        <w:rPr>
          <w:sz w:val="16"/>
        </w:rPr>
        <w:t>Additional references (as supplied; links may be missing): rekenkamer (2 pages)</w:t>
      </w:r>
    </w:p>
    <w:p>
      <w:r>
        <w:rPr>
          <w:i/>
          <w:sz w:val="16"/>
        </w:rPr>
        <w:t>STATUS  ·  LLM-reviewed; awaiting source verification</w:t>
      </w:r>
    </w:p>
    <w:p>
      <w:pPr>
        <w:pStyle w:val="Heading1"/>
      </w:pPr>
      <w:r>
        <w:t>33.  CIRCE Mediterranean projections (2012)</w:t>
      </w:r>
    </w:p>
    <w:p>
      <w:pPr/>
      <w:r>
        <w:t>Held so far. In the 2022 drought, central and southern Europe had their largest water deficit since 2002, with warming adding over 30% (2024).</w:t>
      </w:r>
    </w:p>
    <w:p>
      <w:r>
        <w:rPr>
          <w:sz w:val="16"/>
        </w:rPr>
        <w:t>Original publication: The CIRCE Simulations: Regional Climate Change Projections with Realistic Representation of the Mediterranean Sea — https://doi.org/10.1175/bams-d-11-00136.1</w:t>
      </w:r>
    </w:p>
    <w:p>
      <w:r>
        <w:rPr>
          <w:sz w:val="16"/>
        </w:rPr>
        <w:t>Later source: Direct and lagged climate change effects intensified the 2022 European drought (2024) — https://doi.org/10.1038/s41561-024-01559-2</w:t>
      </w:r>
    </w:p>
    <w:p>
      <w:r>
        <w:rPr>
          <w:i/>
          <w:sz w:val="16"/>
        </w:rPr>
        <w:t>STATUS  ·  LLM-reviewed; awaiting source verification</w:t>
      </w:r>
    </w:p>
    <w:p>
      <w:pPr>
        <w:pStyle w:val="Heading1"/>
      </w:pPr>
      <w:r>
        <w:t>34.  The Great Future Debate (2012)</w:t>
      </w:r>
    </w:p>
    <w:p>
      <w:pPr/>
      <w:r>
        <w:t>Held. The FUTUREPOL project led to Andersson’s 2018 Oxford book. It shows futurists split between a closed, probability-bound science and an open future, with rival claims about how far the future could be known and controlled.</w:t>
      </w:r>
    </w:p>
    <w:p>
      <w:r>
        <w:rPr>
          <w:sz w:val="16"/>
        </w:rPr>
        <w:t>Original publication: The Great Future Debate and the Struggle for the World — https://doi.org/10.1093/ahr/117.5.1411</w:t>
      </w:r>
    </w:p>
    <w:p>
      <w:r>
        <w:rPr>
          <w:sz w:val="16"/>
        </w:rPr>
        <w:t>Additional references (as supplied; links may be missing): ku; akademika</w:t>
      </w:r>
    </w:p>
    <w:p>
      <w:r>
        <w:rPr>
          <w:i/>
          <w:sz w:val="16"/>
        </w:rPr>
        <w:t>STATUS  ·  LLM-reviewed; awaiting source verification</w:t>
      </w:r>
    </w:p>
    <w:p>
      <w:pPr>
        <w:pStyle w:val="Heading1"/>
      </w:pPr>
      <w:r>
        <w:t>35.  EU direct payments (2012)</w:t>
      </w:r>
    </w:p>
    <w:p>
      <w:pPr/>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r>
        <w:rPr>
          <w:sz w:val="16"/>
        </w:rPr>
        <w:t>Original publication: The future of direct payments system in the EU agriculture; European Commission scenarios — https://doi.org/10.22630/prs.2012.12.3.38</w:t>
      </w:r>
    </w:p>
    <w:p>
      <w:r>
        <w:rPr>
          <w:sz w:val="16"/>
        </w:rPr>
        <w:t>Additional references (as supplied; links may be missing): arc2020.eu; and 2 more</w:t>
      </w:r>
    </w:p>
    <w:p>
      <w:r>
        <w:rPr>
          <w:i/>
          <w:sz w:val="16"/>
        </w:rPr>
        <w:t>STATUS  ·  LLM-reviewed; awaiting source verification</w:t>
      </w:r>
    </w:p>
    <w:p>
      <w:pPr>
        <w:pStyle w:val="Heading1"/>
      </w:pPr>
      <w:r>
        <w:t>36.  UK water adaptation with weather generators (2012)</w:t>
      </w:r>
    </w:p>
    <w:p>
      <w:pPr/>
      <w:r>
        <w:t>Partly. The same 2016 review as in 18 shows robust, adaptive planning was still being joined up.</w:t>
      </w:r>
    </w:p>
    <w:p>
      <w:r>
        <w:rPr>
          <w:sz w:val="16"/>
        </w:rPr>
        <w:t>Original publication: The use of probabilistic weather generator information for climate change adaptation in the UK water sector — https://doi.org/10.1002/met.1335</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37.  NHS nursing supply (2012)</w:t>
      </w:r>
    </w:p>
    <w:p>
      <w:pP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sz w:val="16"/>
        </w:rPr>
        <w:t>Original publication: Using scenarios to assess the future supply of NHS nursing staff in England — https://doi.org/10.1186/1478-4491-10-16</w:t>
      </w:r>
    </w:p>
    <w:p>
      <w:r>
        <w:rPr>
          <w:sz w:val="16"/>
        </w:rPr>
        <w:t>Additional references (as supplied; links may be missing): nhs waiting list growing four times faster than the nurse workforce; and 2 more</w:t>
      </w:r>
    </w:p>
    <w:p>
      <w:r>
        <w:rPr>
          <w:i/>
          <w:sz w:val="16"/>
        </w:rPr>
        <w:t>STATUS  ·  LLM-reviewed; awaiting source verification</w:t>
      </w:r>
    </w:p>
    <w:p>
      <w:pPr>
        <w:pStyle w:val="Heading1"/>
      </w:pPr>
      <w:r>
        <w:t>38.  Eurozone scenarios (2012)</w:t>
      </w:r>
    </w:p>
    <w:p>
      <w:pPr/>
      <w:r>
        <w:t>Partly. The euro held through successive reforms, but analysts still argue a real economic government is missing (2018, 2017).</w:t>
      </w:r>
    </w:p>
    <w:p>
      <w:r>
        <w:rPr>
          <w:sz w:val="16"/>
        </w:rPr>
        <w:t>Original publication: What We Hope, What We Fear, What We Expect: Possible Scenarios for the Future of the Eurozone — https://doi.org/10.1007/s12290-012-0210-x</w:t>
      </w:r>
    </w:p>
    <w:p>
      <w:r>
        <w:rPr>
          <w:sz w:val="16"/>
        </w:rPr>
        <w:t>Later source: The Crisis of Functionalism and the Reform of European Economic Governance (2018) — https://doi.org/10.12797/politeja.12.2015.37.15</w:t>
      </w:r>
    </w:p>
    <w:p>
      <w:r>
        <w:rPr>
          <w:sz w:val="16"/>
        </w:rPr>
        <w:t>Later source: The reform of the European economic governance: critical aspects (2017) — https://openalex.org/W2786315619</w:t>
      </w:r>
    </w:p>
    <w:p>
      <w:r>
        <w:rPr>
          <w:i/>
          <w:sz w:val="16"/>
        </w:rPr>
        <w:t>STATUS  ·  LLM-reviewed; awaiting source verification</w:t>
      </w:r>
    </w:p>
    <w:p>
      <w:pPr>
        <w:pStyle w:val="Heading1"/>
      </w:pPr>
      <w:r>
        <w:t>39.  Climate change and power-sector water use (2012)</w:t>
      </w:r>
    </w:p>
    <w:p>
      <w:pPr/>
      <w:r>
        <w:t>Tracking the low scenarios. Cooling-water abstraction for electricity fell about 30% between the 2000s and 2020–2023. It was the only sector to fall since 2010, though 65% of Europe’s electricity still relies on water cooling.</w:t>
      </w:r>
    </w:p>
    <w:p>
      <w:r>
        <w:rPr>
          <w:sz w:val="16"/>
        </w:rPr>
        <w:t>Original publication: Will climate change affect the electricity production sector? A European study — https://doi.org/10.2166/wcc.2012.066</w:t>
      </w:r>
    </w:p>
    <w:p>
      <w:r>
        <w:rPr>
          <w:sz w:val="16"/>
        </w:rPr>
        <w:t>Additional references (as supplied; links may be missing): europa (2 pages)</w:t>
      </w:r>
    </w:p>
    <w:p>
      <w:r>
        <w:rPr>
          <w:i/>
          <w:sz w:val="16"/>
        </w:rPr>
        <w:t>STATUS  ·  LLM-reviewed; awaiting source verification</w:t>
      </w:r>
    </w:p>
    <w:p>
      <w:pPr>
        <w:pStyle w:val="Heading1"/>
      </w:pPr>
      <w:r>
        <w:t>40.  Energy landscapes (2012)</w:t>
      </w:r>
    </w:p>
    <w:p>
      <w:pPr/>
      <w:r>
        <w:t>Held. A 37-country review (2019) shows “energy landscapes” became an established research field.</w:t>
      </w:r>
    </w:p>
    <w:p>
      <w:r>
        <w:rPr>
          <w:sz w:val="16"/>
        </w:rPr>
        <w:t>Original publication: ‘Energy landscapes’: Meeting energy demands and human aspirations — https://doi.org/10.1016/j.biombioe.2012.11.022</w:t>
      </w:r>
    </w:p>
    <w:p>
      <w:r>
        <w:rPr>
          <w:sz w:val="16"/>
        </w:rPr>
        <w:t>Later source: Effects of renewable energy on landscape in Europe: Comparison of hydro, wind, solar, bio-, geothermal and infrastructure energy landscapes (2019) — https://doi.org/10.15201/hungeobull.68.4.1</w:t>
      </w:r>
    </w:p>
    <w:p>
      <w:r>
        <w:rPr>
          <w:i/>
          <w:sz w:val="16"/>
        </w:rPr>
        <w:t>STATUS  ·  LLM-reviewed; awaiting source verification</w:t>
      </w:r>
    </w:p>
    <w:p>
      <w:pPr>
        <w:pStyle w:val="Heading1"/>
      </w:pPr>
      <w:r>
        <w:t>41.  Organic food demand (2011)</w:t>
      </w:r>
    </w:p>
    <w:p>
      <w:pPr/>
      <w:r>
        <w:t>Held. Growth continued (see 30), apart from a 2.2% drop in 2022.</w:t>
      </w:r>
    </w:p>
    <w:p>
      <w:r>
        <w:rPr>
          <w:sz w:val="16"/>
        </w:rPr>
        <w:t>Original publication: Actual and potential development of consumer demand on the organic food market in Europe — https://doi.org/10.1016/j.njas.2011.01.005</w:t>
      </w:r>
    </w:p>
    <w:p>
      <w:r>
        <w:rPr>
          <w:sz w:val="16"/>
        </w:rPr>
        <w:t>Additional references (as supplied; links may be missing): fibl</w:t>
      </w:r>
    </w:p>
    <w:p>
      <w:r>
        <w:rPr>
          <w:i/>
          <w:sz w:val="16"/>
        </w:rPr>
        <w:t>STATUS  ·  LLM-reviewed; awaiting source verification</w:t>
      </w:r>
    </w:p>
    <w:p>
      <w:pPr>
        <w:pStyle w:val="Heading1"/>
      </w:pPr>
      <w:r>
        <w:t>42.  Ageing and productivity, Bulgaria (2011)</w:t>
      </w:r>
    </w:p>
    <w:p>
      <w:pPr/>
      <w:r>
        <w:t>Open. Eastern Europe’s population decline deepened into a major problem (2020), but there’s no productivity evidence.</w:t>
      </w:r>
    </w:p>
    <w:p>
      <w:r>
        <w:rPr>
          <w:sz w:val="16"/>
        </w:rPr>
        <w:t>Original publication: Ageing population and labour productivity in Bulgaria — https://doi.org/10.5771/1435-2869-2011-4-521</w:t>
      </w:r>
    </w:p>
    <w:p>
      <w:r>
        <w:rPr>
          <w:sz w:val="16"/>
        </w:rPr>
        <w:t>Later source: The demographic challenge of Eastern Europe and potential policy options (2020) — https://doi.org/10.4337/9781839109508.00028</w:t>
      </w:r>
    </w:p>
    <w:p>
      <w:r>
        <w:rPr>
          <w:i/>
          <w:sz w:val="16"/>
        </w:rPr>
        <w:t>STATUS  ·  LLM-reviewed; awaiting source verification</w:t>
      </w:r>
    </w:p>
    <w:p>
      <w:pPr>
        <w:pStyle w:val="Heading1"/>
      </w:pPr>
      <w:r>
        <w:t>43.  European trees’ future ranges (2011)</w:t>
      </w:r>
    </w:p>
    <w:p>
      <w:pPr/>
      <w:r>
        <w:t>Open. There are only newer projections (boreal forests could lose up to 75% of their potential area, 2023) and early local losses (spruce, 2022).</w:t>
      </w:r>
    </w:p>
    <w:p>
      <w:r>
        <w:rPr>
          <w:sz w:val="16"/>
        </w:rPr>
        <w:t>Original publication: Climate, competition and connectivity affect future migration and ranges of European trees — https://doi.org/10.1111/j.1466-8238.2011.00669.x</w:t>
      </w:r>
    </w:p>
    <w:p>
      <w:r>
        <w:rPr>
          <w:sz w:val="16"/>
        </w:rPr>
        <w:t>Later source: Climate-Adapted Potential Vegetation—A European Multiclass Model Estimating the Future Potential of Natural Vegetation (2023) — https://doi.org/10.3390/f14020239</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44.  BPM research issues (2011)</w:t>
      </w:r>
    </w:p>
    <w:p>
      <w:pPr/>
      <w:r>
        <w:t>Held. The culture–performance link the workshop flagged was studied and confirmed (2022).</w:t>
      </w:r>
    </w:p>
    <w:p>
      <w:r>
        <w:rPr>
          <w:sz w:val="16"/>
        </w:rPr>
        <w:t>Original publication: Current and Future Issues in BPM Research: A European Perspective from the ERCIS Meeting 2010 — https://doi.org/10.17705/1cais.02825</w:t>
      </w:r>
    </w:p>
    <w:p>
      <w:r>
        <w:rPr>
          <w:sz w:val="16"/>
        </w:rPr>
        <w:t>Later source: The influence of BPM-supportive culture and individual process orientation on process conformance (2022) — https://doi.org/10.1108/bpmj-08-2020-0363</w:t>
      </w:r>
    </w:p>
    <w:p>
      <w:r>
        <w:rPr>
          <w:i/>
          <w:sz w:val="16"/>
        </w:rPr>
        <w:t>STATUS  ·  LLM-reviewed; awaiting source verification</w:t>
      </w:r>
    </w:p>
    <w:p>
      <w:pPr>
        <w:pStyle w:val="Heading1"/>
      </w:pPr>
      <w:r>
        <w:t>45.  Pharmaceutical consumption, Netherlands (2011)</w:t>
      </w:r>
    </w:p>
    <w:p>
      <w:pPr/>
      <w:r>
        <w:t>Held. RIVM expects ageing to raise emissions and estimates at least 140 tonnes of drugs reach Dutch surface water each year. In 2017–2018, 19 substances exceeded risk limits, and a national chain approach was set up to cut residues.</w:t>
      </w:r>
    </w:p>
    <w:p>
      <w:r>
        <w:rPr>
          <w:sz w:val="16"/>
        </w:rPr>
        <w:t>Original publication: Demographic projections of future pharmaceutical consumption in the Netherlands — https://doi.org/10.2166/wst.2011.120</w:t>
      </w:r>
    </w:p>
    <w:p>
      <w:r>
        <w:rPr>
          <w:sz w:val="16"/>
        </w:rPr>
        <w:t>Additional references (as supplied; links may be missing): rivm (2 pages)</w:t>
      </w:r>
    </w:p>
    <w:p>
      <w:r>
        <w:rPr>
          <w:i/>
          <w:sz w:val="16"/>
        </w:rPr>
        <w:t>STATUS  ·  LLM-reviewed; awaiting source verification</w:t>
      </w:r>
    </w:p>
    <w:p>
      <w:pPr>
        <w:pStyle w:val="Heading1"/>
      </w:pPr>
      <w:r>
        <w:t>46.  EU transport energy to 2030 (2011)</w:t>
      </w:r>
    </w:p>
    <w:p>
      <w:pPr/>
      <w:r>
        <w:t>No, off track so far. The European Environment Agency says transport emissions have only trended weakly down since 2005 and rose 0.7% in 2024, with national projections only getting back to 1990 levels by 2030.</w:t>
      </w:r>
    </w:p>
    <w:p>
      <w:r>
        <w:rPr>
          <w:sz w:val="16"/>
        </w:rPr>
        <w:t>Original publication: Developments in Energy use for Transport in 27 European Union Countries through 2030 — https://doi.org/10.3141/2252-05</w:t>
      </w:r>
    </w:p>
    <w:p>
      <w:r>
        <w:rPr>
          <w:sz w:val="16"/>
        </w:rPr>
        <w:t>Additional references (as supplied; links may be missing): europa</w:t>
      </w:r>
    </w:p>
    <w:p>
      <w:r>
        <w:rPr>
          <w:i/>
          <w:sz w:val="16"/>
        </w:rPr>
        <w:t>STATUS  ·  LLM-reviewed; awaiting source verification</w:t>
      </w:r>
    </w:p>
    <w:p>
      <w:pPr>
        <w:pStyle w:val="Heading1"/>
      </w:pPr>
      <w:r>
        <w:t>47.  Finland–Russia rail deregulation (2011)</w:t>
      </w:r>
    </w:p>
    <w:p>
      <w:pP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sz w:val="16"/>
        </w:rPr>
        <w:t>Original publication: Finland-Russia rail transport deregulation: future scenarios of market development — https://doi.org/10.1504/ijstl.2011.039377</w:t>
      </w:r>
    </w:p>
    <w:p>
      <w:r>
        <w:rPr>
          <w:sz w:val="16"/>
        </w:rPr>
        <w:t>Additional references (as supplied; links may be missing): VR Group; and 3 more</w:t>
      </w:r>
    </w:p>
    <w:p>
      <w:r>
        <w:rPr>
          <w:i/>
          <w:sz w:val="16"/>
        </w:rPr>
        <w:t>STATUS  ·  LLM-reviewed; awaiting source verification</w:t>
      </w:r>
    </w:p>
    <w:p>
      <w:pPr>
        <w:pStyle w:val="Heading1"/>
      </w:pPr>
      <w:r>
        <w:t>48.  Fiscal sustainability and forecast accuracy (2011)</w:t>
      </w:r>
    </w:p>
    <w:p>
      <w:pP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sz w:val="16"/>
        </w:rPr>
        <w:t>Original publication: Fiscal sustainability and the accuracy of macroeconomic forecasts: Do supranational forecasts rather than government forecasts make a difference? — https://doi.org/10.1504/ijse.2011.039440</w:t>
      </w:r>
    </w:p>
    <w:p>
      <w:r>
        <w:rPr>
          <w:sz w:val="16"/>
        </w:rPr>
        <w:t>Additional references (as supplied; links may be missing): 3 sources, names not preserved</w:t>
      </w:r>
    </w:p>
    <w:p>
      <w:r>
        <w:rPr>
          <w:i/>
          <w:sz w:val="16"/>
        </w:rPr>
        <w:t>STATUS  ·  LLM-reviewed; awaiting source verification</w:t>
      </w:r>
    </w:p>
    <w:p>
      <w:pPr>
        <w:pStyle w:val="Heading1"/>
      </w:pPr>
      <w:r>
        <w:t>49.  UK food futures (2011)</w:t>
      </w:r>
    </w:p>
    <w:p>
      <w:pPr/>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r>
        <w:rPr>
          <w:sz w:val="16"/>
        </w:rPr>
        <w:t>Original publication: Food futures: system transitions towards UK food security — https://doi.org/10.4337/jhre.2011.02.04</w:t>
      </w:r>
    </w:p>
    <w:p>
      <w:r>
        <w:rPr>
          <w:sz w:val="16"/>
        </w:rPr>
        <w:t>Additional references (as supplied; links may be missing): Warnings in food security report as food chain vulnerabilities revealed; and 2 more</w:t>
      </w:r>
    </w:p>
    <w:p>
      <w:r>
        <w:rPr>
          <w:i/>
          <w:sz w:val="16"/>
        </w:rPr>
        <w:t>STATUS  ·  LLM-reviewed; awaiting source verification</w:t>
      </w:r>
    </w:p>
    <w:p>
      <w:pPr>
        <w:pStyle w:val="Heading1"/>
      </w:pPr>
      <w:r>
        <w:t>50.  Metrology research foresight (2011)</w:t>
      </w:r>
    </w:p>
    <w:p>
      <w:pPr/>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r>
        <w:rPr>
          <w:sz w:val="16"/>
        </w:rPr>
        <w:t>Original publication: Foresight on the future of public research metrology in Europe — https://doi.org/10.1108/14636681111109660</w:t>
      </w:r>
    </w:p>
    <w:p>
      <w:r>
        <w:rPr>
          <w:sz w:val="16"/>
        </w:rPr>
        <w:t>Additional references (as supplied; links may be missing): lne; europa</w:t>
      </w:r>
    </w:p>
    <w:p>
      <w:r>
        <w:rPr>
          <w:i/>
          <w:sz w:val="16"/>
        </w:rPr>
        <w:t>STATUS  ·  LLM-reviewed; awaiting source verification</w:t>
      </w:r>
    </w:p>
    <w:p>
      <w:pPr>
        <w:pStyle w:val="Heading1"/>
      </w:pPr>
      <w:r>
        <w:t>51.  Depressed English region and education (2011)</w:t>
      </w:r>
    </w:p>
    <w:p>
      <w:pPr/>
      <w:r>
        <w:t>Partly. England raised the participation age to 17 in 2013 and 18 in 2015, but a University of Bath evaluation found only small, short-lived participation gains and rising dropout.</w:t>
      </w:r>
    </w:p>
    <w:p>
      <w:r>
        <w:rPr>
          <w:sz w:val="16"/>
        </w:rPr>
        <w:t>Original publication: Future scenarios for a depressed region of England: the role of education in creating alternative futures — https://doi.org/10.1108/14636681111179564</w:t>
      </w:r>
    </w:p>
    <w:p>
      <w:r>
        <w:rPr>
          <w:sz w:val="16"/>
        </w:rPr>
        <w:t>Additional references (as supplied; links may be missing): schoolsweek; bath</w:t>
      </w:r>
    </w:p>
    <w:p>
      <w:r>
        <w:rPr>
          <w:i/>
          <w:sz w:val="16"/>
        </w:rPr>
        <w:t>STATUS  ·  LLM-reviewed; awaiting source verification</w:t>
      </w:r>
    </w:p>
    <w:p>
      <w:pPr>
        <w:pStyle w:val="Heading1"/>
      </w:pPr>
      <w:r>
        <w:t>52.  Waste facility health impacts (2011)</w:t>
      </w:r>
    </w:p>
    <w:p>
      <w:pP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sz w:val="16"/>
        </w:rPr>
        <w:t>Original publication: Health impact assessment of waste management facilities in three European countries — https://doi.org/10.1186/1476-069x-10-53</w:t>
      </w:r>
    </w:p>
    <w:p>
      <w:r>
        <w:rPr>
          <w:sz w:val="16"/>
        </w:rPr>
        <w:t>Later source: Cancer mortality in towns in the vicinity of incinerators and installations for the recovery or disposal of hazardous waste (2012) — https://doi.org/10.1016/j.envint.2012.10.003</w:t>
      </w:r>
    </w:p>
    <w:p>
      <w:r>
        <w:rPr>
          <w:sz w:val="16"/>
        </w:rPr>
        <w:t>Later source: Polychlorinated dibenzo-p-dioxins (PCDDs) and dibenzofurans (PCDFs) soil contamination in Lausanne, Switzerland: Combining pollution mapping and human exposure assessment for targeted risk management (2022) — https://doi.org/10.1016/j.envpol.2022.120441</w:t>
      </w:r>
    </w:p>
    <w:p>
      <w:r>
        <w:rPr>
          <w:i/>
          <w:sz w:val="16"/>
        </w:rPr>
        <w:t>STATUS  ·  LLM-reviewed; awaiting source verification</w:t>
      </w:r>
    </w:p>
    <w:p>
      <w:pPr>
        <w:pStyle w:val="Heading1"/>
      </w:pPr>
      <w:r>
        <w:t>53.  Integrating foresight into government (2011)</w:t>
      </w:r>
    </w:p>
    <w:p>
      <w:pPr/>
      <w:r>
        <w:t>Partly. It’s spreading sector by sector; for example, six countries ran national drug-policy foresight with policymaker dialogues (2024). See also 8 and 23.</w:t>
      </w:r>
    </w:p>
    <w:p>
      <w:r>
        <w:rPr>
          <w:sz w:val="16"/>
        </w:rPr>
        <w:t>Original publication: Integrating foresight into government. Is it possible? Is it likely? — https://doi.org/10.1108/14636681111126229</w:t>
      </w:r>
    </w:p>
    <w:p>
      <w:r>
        <w:rPr>
          <w:sz w:val="16"/>
        </w:rPr>
        <w:t>Later source: Applying foresight methods at the national level in the field of substance use: Experience from the DRUG-PREP project (2024) — https://doi.org/10.1093/eurpub/ckae144.540</w:t>
      </w:r>
    </w:p>
    <w:p>
      <w:r>
        <w:rPr>
          <w:i/>
          <w:sz w:val="16"/>
        </w:rPr>
        <w:t>STATUS  ·  LLM-reviewed; awaiting source verification</w:t>
      </w:r>
    </w:p>
    <w:p>
      <w:pPr>
        <w:pStyle w:val="Heading1"/>
      </w:pPr>
      <w:r>
        <w:t>54.  Foresight tackling obesities (2011)</w:t>
      </w:r>
    </w:p>
    <w:p>
      <w:pP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sz w:val="16"/>
        </w:rPr>
        <w:t>Original publication: O4-2.1 Foresight tackling obesities: future choices — https://doi.org/10.1136/jech.2011.142976b.14</w:t>
      </w:r>
    </w:p>
    <w:p>
      <w:r>
        <w:rPr>
          <w:sz w:val="16"/>
        </w:rPr>
        <w:t>Additional references (as supplied; links may be missing): nih; openprescribing</w:t>
      </w:r>
    </w:p>
    <w:p>
      <w:r>
        <w:rPr>
          <w:i/>
          <w:sz w:val="16"/>
        </w:rPr>
        <w:t>STATUS  ·  LLM-reviewed; awaiting source verification</w:t>
      </w:r>
    </w:p>
    <w:p>
      <w:pPr>
        <w:pStyle w:val="Heading1"/>
      </w:pPr>
      <w:r>
        <w:t>55.  Operational earthquake forecasting (2011)</w:t>
      </w:r>
    </w:p>
    <w:p>
      <w:pPr/>
      <w:r>
        <w:t>Held. Italy built OEF-Italy following the international commission’s (ICEF) guidelines. It runs around the clock issuing weekly forecasts, though it isn’t yet public, and it was validated after its first 10 years in 2023.</w:t>
      </w:r>
    </w:p>
    <w:p>
      <w:r>
        <w:rPr>
          <w:sz w:val="16"/>
        </w:rPr>
        <w:t>Original publication: OPERATIONAL EARTHQUAKE FORECASTING. State of Knowledge and Guidelines for Utilization — https://doi.org/10.4401/ag-5350</w:t>
      </w:r>
    </w:p>
    <w:p>
      <w:r>
        <w:rPr>
          <w:sz w:val="16"/>
        </w:rPr>
        <w:t>Additional references (as supplied; links may be missing): EGU2017 19030; and 2 more</w:t>
      </w:r>
    </w:p>
    <w:p>
      <w:r>
        <w:rPr>
          <w:i/>
          <w:sz w:val="16"/>
        </w:rPr>
        <w:t>STATUS  ·  LLM-reviewed; awaiting source verification</w:t>
      </w:r>
    </w:p>
    <w:p>
      <w:pPr>
        <w:pStyle w:val="Heading1"/>
      </w:pPr>
      <w:r>
        <w:t>56.  POPs under climate change (2011)</w:t>
      </w:r>
    </w:p>
    <w:p>
      <w:pPr/>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r>
        <w:rPr>
          <w:sz w:val="16"/>
        </w:rPr>
        <w:t>Original publication: Potential implications of future climate and land‐cover changes for the fate and distribution of persistent organic pollutants in Europe — https://doi.org/10.1111/j.1466-8238.2010.00547.x</w:t>
      </w:r>
    </w:p>
    <w:p>
      <w:r>
        <w:rPr>
          <w:sz w:val="16"/>
        </w:rPr>
        <w:t>Additional references (as supplied; links may be missing): rsc; au</w:t>
      </w:r>
    </w:p>
    <w:p>
      <w:r>
        <w:rPr>
          <w:i/>
          <w:sz w:val="16"/>
        </w:rPr>
        <w:t>STATUS  ·  LLM-reviewed; awaiting source verification</w:t>
      </w:r>
    </w:p>
    <w:p>
      <w:pPr>
        <w:pStyle w:val="Heading1"/>
      </w:pPr>
      <w:r>
        <w:t>57.  Constructivist forecasting, EU as a military power (2011)</w:t>
      </w:r>
    </w:p>
    <w:p>
      <w:pP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sz w:val="16"/>
        </w:rPr>
        <w:t>Original publication: The Purpose and Pitfalls of Constructivist Forecasting: Insights from Strategic Culture Research for the European Union’s Evolution as a Military Power1 — https://doi.org/10.1111/j.1468-2478.2011.00648.x</w:t>
      </w:r>
    </w:p>
    <w:p>
      <w:r>
        <w:rPr>
          <w:sz w:val="16"/>
        </w:rPr>
        <w:t>Later source: European Strategic Culture at a Crossroads (2026) — https://doi.org/10.4324/9781032636566</w:t>
      </w:r>
    </w:p>
    <w:p>
      <w:r>
        <w:rPr>
          <w:sz w:val="16"/>
        </w:rPr>
        <w:t>Later source: From Reaction to Foresight: EUPHA’s vision for health security in Europe (2025) — https://doi.org/10.1093/eurpub/ckaf071</w:t>
      </w:r>
    </w:p>
    <w:p>
      <w:r>
        <w:rPr>
          <w:sz w:val="16"/>
        </w:rPr>
        <w:t>Later source: European strategic antinomy (2026) — https://doi.org/10.1016/j.polgeo.2026.103616</w:t>
      </w:r>
    </w:p>
    <w:p>
      <w:r>
        <w:rPr>
          <w:i/>
          <w:sz w:val="16"/>
        </w:rPr>
        <w:t>STATUS  ·  LLM-reviewed; awaiting source verification</w:t>
      </w:r>
    </w:p>
    <w:p>
      <w:pPr>
        <w:pStyle w:val="Heading1"/>
      </w:pPr>
      <w:r>
        <w:t>58.  Swedish forest products (2011)</w:t>
      </w:r>
    </w:p>
    <w:p>
      <w:pPr/>
      <w:r>
        <w:t>Partly. Wood building materials are gaining strong interest as a way to decarbonise buildings (2026), but there’s no Swedish market data.</w:t>
      </w:r>
    </w:p>
    <w:p>
      <w:r>
        <w:rPr>
          <w:sz w:val="16"/>
        </w:rPr>
        <w:t>Original publication: Trends and Possible Future Developments in Global Forest-Product Markets—Implications for the Swedish Forest Sector — https://doi.org/10.3390/f2010147</w:t>
      </w:r>
    </w:p>
    <w:p>
      <w:r>
        <w:rPr>
          <w:sz w:val="16"/>
        </w:rPr>
        <w:t>Later source: The New European Bauhaus Academy: a novel skills, knowledge and innovation platform to boost sustainable construction within the built environment (2026) — https://doi.org/10.5281/zenodo.20586709</w:t>
      </w:r>
    </w:p>
    <w:p>
      <w:r>
        <w:rPr>
          <w:i/>
          <w:sz w:val="16"/>
        </w:rPr>
        <w:t>STATUS  ·  LLM-reviewed; awaiting source verification</w:t>
      </w:r>
    </w:p>
    <w:p>
      <w:pPr>
        <w:pStyle w:val="Heading1"/>
      </w:pPr>
      <w:r>
        <w:t>59.  EU gas supply options and the Southern Gas Corridor (2013)</w:t>
      </w:r>
    </w:p>
    <w:p>
      <w:pP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sz w:val="16"/>
        </w:rPr>
        <w:t>Original publication: Fernandes, Jeverson &amp; Ermida, Graça (2013). The European Union’s Strategic Gas Supply Options and the Prevalence of the Southern Corridor. European Foreign Affairs Review 18, 547–561 (Kluwer Law International; issue designation given inconsistently as no. 4 or special issue). https://doi.org/10.54648/eerr2013040 (paywalled; abstract and publisher landing page used).</w:t>
      </w:r>
    </w:p>
    <w:p>
      <w:r>
        <w:rPr>
          <w:sz w:val="16"/>
        </w:rPr>
        <w:t>Later source: Eurostat (dataset updated 16 July 2026). Energy imports dependency (nrg_ind_id), natural gas, EU27_2020, 1990–2024. Eurostat database, https://ec.europa.eu/eurostat/web/main/data/database — 68.3% (2013), 80.2% (2017), 97.6% (2022), 85.0% (2024). Dataset; direct evidence.</w:t>
      </w:r>
    </w:p>
    <w:p>
      <w:r>
        <w:rPr>
          <w:sz w:val="16"/>
        </w:rPr>
        <w:t>Later source: Eurostat (dataset updated 9 October 2026). Supply, transformation and consumption of gas (nrg_cb_gas) and Imports of natural gas by partner country (nrg_ti_gas), EU27_2020. Eurostat database (as above) — inland consumption about 393 bcm (2013) and 336 bcm (2024); production 135 bcm (2013) and 37 bcm (2024); imports from Azerbaijan about 12 bcm a year in 2022–2024; partner shares calculated by the reviewer. Dataset; direct evidence.</w:t>
      </w:r>
    </w:p>
    <w:p>
      <w:r>
        <w:rPr>
          <w:sz w:val="16"/>
        </w:rPr>
        <w:t>Later source: Pirani, S. (2018). Let’s not exaggerate – Southern Gas Corridor prospects to 2030. Oxford Institute for Energy Studies, Paper NG 135. https://doi.org/10.26889/9781784671167 — about 10 bcm a year expected for Europe, no more than about 2% of demand, far below Commission assumptions of around 2011. Full text read; explanatory evidence and pre-2022 later foresight.</w:t>
      </w:r>
    </w:p>
    <w:p>
      <w:r>
        <w:rPr>
          <w:sz w:val="16"/>
        </w:rPr>
        <w:t>Later source: Siddi, M. (2017). The Southern Gas Corridor: Challenges to a geopolitical approach in the EU’s external energy policy. FIIA Briefing Paper 216. https://fiia.fi/wp-content/uploads/2017/04/bp216_the_southern_gas_corridor.pdf — corridor capacity of 16 bcm a year with 10 bcm for the EU, against the 31 bcm once planned for Nabucco; the corridor would not significantly diversify EU imports. Full text read; explanatory evidence.</w:t>
      </w:r>
    </w:p>
    <w:p>
      <w:r>
        <w:rPr>
          <w:sz w:val="16"/>
        </w:rPr>
        <w:t>Later source: Trans Adriatic Pipeline AG (10 July 2026). One flow, two milestones: 60 bcm delivered to Europe, 50 bcm to Italy. https://www.tap-ag.com/news/news-stories/one-flow-two-milestones-60-bcm-delivered-to-europe-50-bcm-to-italy — more than 60 bcm delivered since start of operations; first expansion phase adds 1.2 bcm a year from early 2026. Company web page; direct evidence on volumes.</w:t>
      </w:r>
    </w:p>
    <w:p>
      <w:r>
        <w:rPr>
          <w:sz w:val="16"/>
        </w:rPr>
        <w:t>Later source: European Commission (2022). REPowerEU Plan, COM(2022) 230 final, 18 May 2022. https://eur-lex.europa.eu/legal-content/EN/TXT/?uri=CELEX:52022DC0230 — diversification through LNG, joint purchasing, demand reduction and renewables; support for expanding the corridor to 20 bcm a year. Full text read; reframing evidence.</w:t>
      </w:r>
    </w:p>
    <w:p>
      <w:r>
        <w:rPr>
          <w:sz w:val="16"/>
        </w:rPr>
        <w:t>Later source: Regulation (EU) 2026/261 of 26 January 2026 on phasing out Russian natural gas imports. Official Journal L, 2 February 2026. https://eur-lex.europa.eu/eli/reg/2026/261/oj — prohibition of Russian pipeline gas and LNG with transition periods to late 2027. Full text read; direct and reframing evidence.</w:t>
      </w:r>
    </w:p>
    <w:p>
      <w:r>
        <w:rPr>
          <w:i/>
          <w:sz w:val="16"/>
        </w:rPr>
        <w:t>STATUS  ·  LLM-reviewed; awaiting source verification</w:t>
      </w:r>
    </w:p>
    <w:p>
      <w:pPr>
        <w:pStyle w:val="Heading1"/>
      </w:pPr>
      <w:r>
        <w:t>60.  Renewable electricity from North Africa for Europe, 2050 (2014)</w:t>
      </w:r>
    </w:p>
    <w:p>
      <w:pP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sz w:val="16"/>
        </w:rPr>
        <w:t>Original publication: Boie, Inga, Pudlik, Martin, Ragwitz, Mario, Sensfuß, Frank (Fraunhofer ISI), Bohn, Sven, Agsten, Michael, Bretschneider, Peter &amp; Westermann, Dirk (Fraunhofer IOSB-AST) (2014). Scenarios for renewable energy deployment in North African countries and electricity exchange with Europe – A model-based analysis for 2050. International Journal of Smart Grid and Clean Energy 3(3), 299–306. https://doi.org/10.12720/sgce.3.3.299-306 (the open-access PDF could not be retrieved; abstract read, scenario figures taken from the same team’s 2016 Fraunhofer report).</w:t>
      </w:r>
    </w:p>
    <w:p>
      <w:r>
        <w:rPr>
          <w:sz w:val="16"/>
        </w:rPr>
        <w:t>Later source: Ember, yearly electricity data, accessed via Our World in Data (last updated 30 June 2026). Share of electricity generation from renewables and Electricity production by source. https://ourworldindata.org/grapher/share-electricity-renewables — 2024 renewable shares: Morocco 24.4%, Egypt 11.2%, Tunisia 4.4%, Algeria 1.1%, Libya about 0%; five-country aggregate about 9.0% (2024) versus 6.5% (2013), reviewer’s calculation. Dataset; direct evidence.</w:t>
      </w:r>
    </w:p>
    <w:p>
      <w:r>
        <w:rPr>
          <w:sz w:val="16"/>
        </w:rPr>
        <w:t>Later source: Eurostat (datasets updated 22 October 2026). Imports and exports of electricity by partner country (nrg_ti_eh, nrg_te_eh). Eurostat database, https://ec.europa.eu/eurostat/web/main/data/database — Spain exported 2,896 GWh to and imported 356 GWh from Morocco in 2024; no recorded flows between other EU states and Algeria, Tunisia, Libya or Egypt. Dataset; direct evidence.</w:t>
      </w:r>
    </w:p>
    <w:p>
      <w:r>
        <w:rPr>
          <w:sz w:val="16"/>
        </w:rPr>
        <w:t>Later source: Platzer, W. et al. (2016). Supergrid – Approach for the integration of renewable energy in Europe and North Africa. Fraunhofer study report, 12 March 2016. https://www.ise.fraunhofer.de/content/dam/ise/en/documents/press-releases/2016/Study_Supergrid_final_160412_.pdf — Chapter 3 restates the four 2014 scenarios (renewable shares 83–98% in 2050; exports of 191–347 TWh in the export scenarios). Full text read; companion source used for the original scenario figures.</w:t>
      </w:r>
    </w:p>
    <w:p>
      <w:r>
        <w:rPr>
          <w:sz w:val="16"/>
        </w:rPr>
        <w:t>Later source: Boie, I. et al. (2016). Opportunities and challenges of high renewable energy deployment and electricity exchange for North Africa and Europe. Renewable Energy 87, 130–144. https://doi.org/10.1016/j.renene.2015.10.008 — same team reiterates near-100% renewables by 2050 and exports gaining importance after 2030. Abstract only; later foresight.</w:t>
      </w:r>
    </w:p>
    <w:p>
      <w:r>
        <w:rPr>
          <w:sz w:val="16"/>
        </w:rPr>
        <w:t>Later source: European Commission (2022). REPowerEU Plan, COM(2022) 230 final. https://eur-lex.europa.eu/legal-content/EN/TXT/?uri=CELEX:52022DC0230 — 10 million tonnes of renewable hydrogen imports by 2030 and a Mediterranean hydrogen corridor. Full text read; reframing evidence.</w:t>
      </w:r>
    </w:p>
    <w:p>
      <w:r>
        <w:rPr>
          <w:sz w:val="16"/>
        </w:rPr>
        <w:t>Later source: van der Zwaan, B., Lamboo, S. &amp; Dalla Longa, F. (2021). Timmermans’ dream: An electricity and hydrogen partnership between Europe and North Africa. Energy Policy 159, 112613. https://doi.org/10.1016/j.enpol.2021.112613 — models a combined electricity–hydrogen partnership to 2050. Abstract only; reframing and later foresight.</w:t>
      </w:r>
    </w:p>
    <w:p>
      <w:r>
        <w:rPr>
          <w:i/>
          <w:sz w:val="16"/>
        </w:rPr>
        <w:t>STATUS  ·  LLM-reviewed; awaiting source verification</w:t>
      </w:r>
    </w:p>
    <w:p>
      <w:pPr>
        <w:pStyle w:val="Heading1"/>
      </w:pPr>
      <w:r>
        <w:t>61.  A Europe-wide CO₂ transport network for carbon capture and storage (2014)</w:t>
      </w:r>
    </w:p>
    <w:p>
      <w:pP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sz w:val="16"/>
        </w:rPr>
        <w:t>Original publication: Stewart, R. Jamie, Scott, Vivian, Haszeldine, R. Stuart (University of Edinburgh), Ainger, Dominic &amp; Argent, Steve (Arup) (2014). The feasibility of a European-wide integrated CO₂ transport network. Greenhouse Gases: Science and Technology 4(4), 481–494. https://doi.org/10.1002/ghg.1410 (accepted author manuscript read in full via the University of Edinburgh repository).</w:t>
      </w:r>
    </w:p>
    <w:p>
      <w:r>
        <w:rPr>
          <w:sz w:val="16"/>
        </w:rPr>
        <w:t>Later source: Regulation (EU) 2024/1735 (Net-Zero Industry Act), 13 June 2024, Article 20. https://eur-lex.europa.eu/eli/reg/2024/1735/oj — Union objective of at least 50 Mt a year of CO₂ injection capacity by 2030; Commission estimates that up to 550 Mt a year may need to be captured by 2050. Full text read; direct and reframing evidence (target).</w:t>
      </w:r>
    </w:p>
    <w:p>
      <w:r>
        <w:rPr>
          <w:sz w:val="16"/>
        </w:rPr>
        <w:t>Later source: European Commission (2024). Towards an ambitious Industrial Carbon Management for the EU, COM(2024) 62 final, 6 February 2024. https://eur-lex.europa.eu/legal-content/EN/TXT/?uri=CELEX:52024DC0062 — limited operational projects; early transport largely by shipping from clusters; up to 7,300 km of pipelines and shipping routes by 2030 and about 19,000 km by 2040; about 280 Mt captured in 2040 and 450 Mt in 2050. Full text read; direct, explanatory and later-foresight evidence.</w:t>
      </w:r>
    </w:p>
    <w:p>
      <w:r>
        <w:rPr>
          <w:sz w:val="16"/>
        </w:rPr>
        <w:t>Later source: Pipe Line &amp; Gas Journal (25 August 2025). Norway’s Northern Lights CCS project starts operations with first CO₂ injected. https://pgjonline.com/news/2025/august/norways-northern-lights-ccs-project-starts-operations-with-first-co2-injected — operations begun with CO₂ from the Brevik cement plant; phase 1 capacity 1.5 Mt a year; phase 2 at least 5 Mt a year. Trade-press web page; direct evidence on first operation.</w:t>
      </w:r>
    </w:p>
    <w:p>
      <w:r>
        <w:rPr>
          <w:sz w:val="16"/>
        </w:rPr>
        <w:t>Later source: Hofmann, F., Tries, C., Neumann, F., Zeyen, E. &amp; Brown, T. (2024). H2 and CO2 network strategies for the European energy system. arXiv:2402.19042 (later published in Nature Energy, 2025). https://arxiv.org/abs/2402.19042 — in a carbon-neutral European model a CO₂ network lowers system costs by 3.1%, a combined hydrogen and CO₂ network by 5.2%. Full text read (preprint); later foresight.</w:t>
      </w:r>
    </w:p>
    <w:p>
      <w:r>
        <w:rPr>
          <w:sz w:val="16"/>
        </w:rPr>
        <w:t>Later source: Anvari, M. et al. (2026). From carbon management strategies to implementation: Modeling and physical simulation of CO₂ pipeline infrastructure – a case study for Germany. arXiv:2601.15090. https://arxiv.org/abs/2601.15090 — designs a German network of about 7,000 km and states that actual roll-out of CO₂ pipelines had not yet begun. Full text read (preprint); later foresight with status statements.</w:t>
      </w:r>
    </w:p>
    <w:p>
      <w:r>
        <w:rPr>
          <w:i/>
          <w:sz w:val="16"/>
        </w:rPr>
        <w:t>STATUS  ·  LLM-reviewed; awaiting source verification</w:t>
      </w:r>
    </w:p>
    <w:p>
      <w:pPr>
        <w:pStyle w:val="Heading1"/>
      </w:pPr>
      <w:r>
        <w:t>62.  Projected obesity and its costs in Ireland to 2030 (2013)</w:t>
      </w:r>
    </w:p>
    <w:p>
      <w:pP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sz w:val="16"/>
        </w:rPr>
        <w:t>Original publication: Keaver, Laura, Webber, Laura, Dee, Anne, Shiely, Frances, Marsh, Tim, Balanda, Kevin P. &amp; Perry, Ivan J. (2013). Application of the UK Foresight Obesity Model in Ireland: The Health and Economic Consequences of Projected Obesity Trends in Ireland. PLoS ONE 8(11), e79827. https://doi.org/10.1371/journal.pone.0079827 (open access; full text read).</w:t>
      </w:r>
    </w:p>
    <w:p>
      <w:r>
        <w:rPr>
          <w:sz w:val="16"/>
        </w:rPr>
        <w:t>Later source: NCD Risk Factor Collaboration estimates via WHO Global Health Observatory (indicators NCD_BMI_30C and NCD_BMI_25C, record date 27 May 2026); method in NCD-RisC (2026), Nature 653, 510–518, https://doi.org/10.1038/s41586-026-10383-0 — Ireland crude adult obesity 25.1% (2010), 30.6% (2024; men 31.9%, women 29.4%). Dataset; direct (model-based) evidence.</w:t>
      </w:r>
    </w:p>
    <w:p>
      <w:r>
        <w:rPr>
          <w:sz w:val="16"/>
        </w:rPr>
        <w:t>Later source: Central Statistics Office Ireland. Irish Health Survey tables IH465 (2024) and IHS17 (2025); Department of Health indicator HSPAA51 (Healthy Ireland Survey). https://data.cso.ie — adult obesity 23.8% (2024); overweight or obese aged 15+: 60.7% (2015), 56.6% (2024). Datasets; direct evidence (measurement mode not verified).</w:t>
      </w:r>
    </w:p>
    <w:p>
      <w:r>
        <w:rPr>
          <w:sz w:val="16"/>
        </w:rPr>
        <w:t>Later source: Department of Health Ireland, table KTA24 (WHO Childhood Obesity Surveillance Initiative, Ireland; updated 5 June 2026). https://data.cso.ie — overweight including obesity at age 7–8: 21.6% (2008), 15.8% (2018), 17.1% (2022). Dataset; explanatory evidence.</w:t>
      </w:r>
    </w:p>
    <w:p>
      <w:r>
        <w:rPr>
          <w:sz w:val="16"/>
        </w:rPr>
        <w:t>Later source: Pineda, E. et al. (2018). Forecasting future trends in obesity across Europe: the value of improving surveillance. Obesity Facts 11(5), 360–371. https://doi.org/10.1159/000492115 — Ireland projected at 43% obesity by 2025 with particularly wide intervals. Full text read; later foresight.</w:t>
      </w:r>
    </w:p>
    <w:p>
      <w:r>
        <w:rPr>
          <w:sz w:val="16"/>
        </w:rPr>
        <w:t>Later source: Cobiac, L. J. &amp; Scarborough, P. (2021). Modelling future trajectories of obesity and body mass index in England. PLOS ONE 16(6), e0252072. https://doi.org/10.1371/journal.pone.0252072 — Foresight-type projections are highly sensitive to the fitting period. Full text read; explanatory evidence.</w:t>
      </w:r>
    </w:p>
    <w:p>
      <w:r>
        <w:rPr>
          <w:i/>
          <w:sz w:val="16"/>
        </w:rPr>
        <w:t>STATUS  ·  LLM-reviewed; awaiting source verification</w:t>
      </w:r>
    </w:p>
    <w:p>
      <w:pPr>
        <w:pStyle w:val="Heading1"/>
      </w:pPr>
      <w:r>
        <w:t>63.  Immigration and integration scenarios for Europe to 2050 (2013)</w:t>
      </w:r>
    </w:p>
    <w:p>
      <w:pP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sz w:val="16"/>
        </w:rPr>
        <w:t>Original publication: Avramov, Dragana (2013). Immigration and integration scenarios in global Europe: Forward-looking up to 2050. Sociologija 55(2), 169–186. Population and Social Policy Consultants, Brussels. https://doi.org/10.2298/SOC1302169A (diamond open access; the full text could not be opened during this review, so the abstract was used).</w:t>
      </w:r>
    </w:p>
    <w:p>
      <w:r>
        <w:rPr>
          <w:sz w:val="16"/>
        </w:rPr>
        <w:t>Later source: Eurostat (dataset updated 30 September 2026). Population change – demographic balance and crude rates at national level (demo_gind), EU27_2020, 2012–2025. Eurostat database, dataset code demo_gind, https://ec.europa.eu/eurostat/web/main/data/database — negative natural change every year since 2012; population 441.7 million (2013) to 452.0 million (2026); net migration about 3.16 million in 2022. Dataset; values partly provisional.</w:t>
      </w:r>
    </w:p>
    <w:p>
      <w:r>
        <w:rPr>
          <w:sz w:val="16"/>
        </w:rPr>
        <w:t>Later source: Eurostat (2023; dataset updated 2026). EUROPOP2023 population projections (proj_23np), EU27_2020. Eurostat database, dataset code proj_23np, https://ec.europa.eu/eurostat/web/main/data/database — baseline peak in 2026 (about 453.3 million) and 447.9 million in 2050; no-migration variant 408.5 million in 2050; old-age dependency ratio 50.4 (baseline) versus 56.2 (no migration) in 2050. Later foresight.</w:t>
      </w:r>
    </w:p>
    <w:p>
      <w:r>
        <w:rPr>
          <w:sz w:val="16"/>
        </w:rPr>
        <w:t>Later source: Eurostat (2019). EUROPOP2019 population projections (proj_19np). Eurostat database, dataset code proj_19np, https://ec.europa.eu/eurostat/web/main/data/database — baseline also peaking in 2026; no-migration variant about 401 million in 2050. Later foresight.</w:t>
      </w:r>
    </w:p>
    <w:p>
      <w:r>
        <w:rPr>
          <w:sz w:val="16"/>
        </w:rPr>
        <w:t>Later source: Eurostat (datasets updated September–October 2026). Asylum applicants (migr_asyappctza) and Beneficiaries of temporary protection (migr_asytpsm). Eurostat database, dataset code migr_asyappctza, https://ec.europa.eu/eurostat/web/main/data/database — about 1.22 million first-time applicants in 2015; 4.35 million temporary-protection beneficiaries in December 2025. Explanatory evidence.</w:t>
      </w:r>
    </w:p>
    <w:p>
      <w:r>
        <w:rPr>
          <w:sz w:val="16"/>
        </w:rPr>
        <w:t>Later source: Eurostat. First permits by reason (migr_resfirst) and Employment rates by country of birth (lfsa_ergacob). Eurostat database, dataset code lfsa_ergacob, https://ec.europa.eu/eurostat/web/main/data/database — employment permits about 0.43 million (2013) and 1.30 million (2025); employment rate of non-EU-born aged 20–64: 57.0% (2013), 68.6% (2025). Direct evidence on integration outcomes.</w:t>
      </w:r>
    </w:p>
    <w:p>
      <w:r>
        <w:rPr>
          <w:sz w:val="16"/>
        </w:rPr>
        <w:t>Later source: Marois, G. &amp; Potančoková, M. (2020). Scenarios of labour force participation and employment integration of immigrants in the EU: demographic perspective. JRC Technical Report EUR 30146 EN. https://doi.org/10.2760/021884 — at equal immigration volumes, high integration roughly halves the projected decline of the employed population while low integration almost doubles it. Full text read; later foresight that operationalises the original recommendation.</w:t>
      </w:r>
    </w:p>
    <w:p>
      <w:r>
        <w:rPr>
          <w:sz w:val="16"/>
        </w:rPr>
        <w:t>Later source: Lutz, W. et al. (2019). Demographic Scenarios for the EU: Migration, Population and Education. JRC/IIASA. https://doi.org/10.2760/590301 — higher immigration enlarges the labour force but barely changes the ratio of dependants to workers; raising participation is the most effective lever. Executive summary read; later foresight.</w:t>
      </w:r>
    </w:p>
    <w:p>
      <w:r>
        <w:rPr>
          <w:i/>
          <w:sz w:val="16"/>
        </w:rPr>
        <w:t>STATUS  ·  LLM-reviewed; awaiting source verification</w:t>
      </w:r>
    </w:p>
    <w:p>
      <w:r>
        <w:br w:type="page"/>
      </w:r>
    </w:p>
    <w:p>
      <w:pPr>
        <w:pStyle w:val="Heading1"/>
      </w:pPr>
      <w:r>
        <w:t>New research accounts — 26 October 2026</w:t>
      </w:r>
    </w:p>
    <w:p>
      <w:r>
        <w:t>Twelve additional research accounts, developed from external LLM source investigations. These are reviewed research syntheses, not judgments of whether future scenarios came true. Sources were checked to varying depths; some original papers were accessible only as abstracts. Unresolved questions are part of the findings.</w:t>
      </w:r>
    </w:p>
    <w:p>
      <w:pPr>
        <w:pStyle w:val="Heading1"/>
      </w:pPr>
      <w:r>
        <w:t>NEW 01.  lead-726d2d4ffd64aca7</w:t>
      </w:r>
    </w:p>
    <w:p>
      <w:r>
        <w:rPr>
          <w:b/>
        </w:rPr>
        <w:t xml:space="preserve">What continues: </w:t>
      </w:r>
      <w:r>
        <w:t>The 2015 JRC-EU-TIMES paper treats hydrogen as a plausible decarbonisation technology where sustained carbon policy changes long-run incentives. Operational electrolysers and a developing final-investment-decision pipeline show that an industry is materialising.</w:t>
      </w:r>
    </w:p>
    <w:p>
      <w:r>
        <w:rPr>
          <w:b/>
        </w:rPr>
        <w:t xml:space="preserve">What changed or surprised: </w:t>
      </w:r>
      <w:r>
        <w:t>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r>
        <w:rPr>
          <w:b/>
        </w:rPr>
        <w:t xml:space="preserve">Open questions: </w:t>
      </w:r>
      <w:r>
        <w:t>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r>
        <w:rPr>
          <w:b/>
        </w:rPr>
        <w:t xml:space="preserve">Original study and scope: </w:t>
      </w:r>
      <w:r>
        <w:t>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r>
        <w:t>Original study: https://publications.jrc.ec.europa.eu/repository/handle/JRC96734</w:t>
      </w:r>
    </w:p>
    <w:p>
      <w:r>
        <w:rPr>
          <w:b/>
        </w:rPr>
        <w:t xml:space="preserve">Later evidence — </w:t>
      </w:r>
      <w:r>
        <w:t>State of the clean Hydrogen Valleys sector 2026 (2026-07-06)</w:t>
      </w:r>
    </w:p>
    <w:p>
      <w:r>
        <w:t>https://op.europa.eu/en/publication-detail/-/publication/201cde95-79aa-11f1-bf5e-01aa75ed71a1/</w:t>
      </w:r>
    </w:p>
    <w:p>
      <w:r>
        <w:t>Reported: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r>
        <w:t>Relevance: Adds a newer, observed European deployment measure beyond the existing 2024 ACER EU capacity figure, while separating built plant from financing decisions.</w:t>
      </w:r>
    </w:p>
    <w:p>
      <w:r>
        <w:t>Limit: “Europe” may include non-EU jurisdictions and project scopes differ from ACER’s EU measurement. Neither installed electrolysis MW nor FID directly verifies the 2015 EU system-model threshold for viability or hydrogen use in industry and transport.</w:t>
      </w:r>
    </w:p>
    <w:p>
      <w:r>
        <w:rPr>
          <w:b/>
        </w:rPr>
        <w:t xml:space="preserve">Later evidence — </w:t>
      </w:r>
      <w:r>
        <w:t>Global Hydrogen Review 2026: executive summary (2026-06-18)</w:t>
      </w:r>
    </w:p>
    <w:p>
      <w:r>
        <w:t>https://www.iea.org/reports/global-hydrogen-review-2026/executive-summary</w:t>
      </w:r>
    </w:p>
    <w:p>
      <w:r>
        <w:t>Reported: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r>
        <w:t>Relevance: Provides real end-use and cost-constraint evidence, complementing MW-of-electrolyser metrics and underscoring how early the transition remains relative to the conditional 2030 model pathway.</w:t>
      </w:r>
    </w:p>
    <w:p>
      <w:r>
        <w:t>Limit: Global hydrogen shares cannot be presented as EU shares, and 2025 market behaviour does not causally test the 2015 CAP scenario or establish 2030 outcomes.</w:t>
      </w:r>
    </w:p>
    <w:p>
      <w:r>
        <w:t>Research correction or caveat: Label 308 MW as observed EU operational capacity and 6 GW as the separate 2024 policy ambition, noting that the audit questioned how electrolyser-capacity targets were defined. Do not use the ratio to grade the older 2015 carbon-cap model.</w:t>
      </w:r>
    </w:p>
    <w:p>
      <w:r>
        <w:t>Research correction or caveat: Keep its explicit projection label and show the 2026 Clean Hydrogen JU observed Europe-wide &gt;600 MW separately, noting geography and accounting differences.</w:t>
      </w:r>
    </w:p>
    <w:p>
      <w:r>
        <w:rPr>
          <w:i/>
          <w:sz w:val="16"/>
        </w:rPr>
        <w:t>RESEARCH STATUS  ·  LLM-researched account, source-check limitations retained</w:t>
      </w:r>
    </w:p>
    <w:p>
      <w:pPr>
        <w:pStyle w:val="Heading1"/>
      </w:pPr>
      <w:r>
        <w:t>NEW 02.  lead-9363d7d494bf528e</w:t>
      </w:r>
    </w:p>
    <w:p>
      <w:r>
        <w:rPr>
          <w:b/>
        </w:rPr>
        <w:t xml:space="preserve">What continues: </w:t>
      </w:r>
      <w:r>
        <w:t>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r>
        <w:rPr>
          <w:b/>
        </w:rPr>
        <w:t xml:space="preserve">What changed or surprised: </w:t>
      </w:r>
      <w:r>
        <w:t>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r>
        <w:rPr>
          <w:b/>
        </w:rPr>
        <w:t xml:space="preserve">Open questions: </w:t>
      </w:r>
      <w:r>
        <w:t>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r>
        <w:rPr>
          <w:b/>
        </w:rPr>
        <w:t xml:space="preserve">Original study and scope: </w:t>
      </w:r>
      <w:r>
        <w:t>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r>
        <w:t>Original study: https://researchprofiles.ku.dk/en/publications/actual-and-potential-development-of-consumer-demand-on-the-organi/</w:t>
      </w:r>
    </w:p>
    <w:p>
      <w:r>
        <w:rPr>
          <w:b/>
        </w:rPr>
        <w:t xml:space="preserve">Later evidence — </w:t>
      </w:r>
      <w:r>
        <w:t>Stigning i økologisk detailsalg [Increase in organic retail sales, 2024] (2025-04-22)</w:t>
      </w:r>
    </w:p>
    <w:p>
      <w:r>
        <w:t>https://www.dst.dk/da/Statistik/udgivelser/NytHtml?cid=51107</w:t>
      </w:r>
    </w:p>
    <w:p>
      <w:r>
        <w:t>Reported: 2024 organic grocery retail sales reached DKK 16.0 billion (+3% nominal; +2% by quantity). Organic food’s share of total food purchases fell slightly to an estimated 11.6% from 11.8% in 2023; coverage excludes farm-gate and specialist shops.</w:t>
      </w:r>
    </w:p>
    <w:p>
      <w:r>
        <w:t>Relevance: Reports both monetary and volume demand in Denmark, an original study country, and demonstrates expansion can coexist with a slipping market share.</w:t>
      </w:r>
    </w:p>
    <w:p>
      <w:r>
        <w:t>Limit: Food-retail aggregates do not show the household-panel reasons for choosing or dropping organic food; prices, channels and coverage are not directly the same as the 2011 sample.</w:t>
      </w:r>
    </w:p>
    <w:p>
      <w:r>
        <w:rPr>
          <w:b/>
        </w:rPr>
        <w:t xml:space="preserve">Later evidence — </w:t>
      </w:r>
      <w:r>
        <w:t>Biologico: nel 2025 gli acquisti delle famiglie volano a 4,4 miliardi di euro (2026-05-18)</w:t>
      </w:r>
    </w:p>
    <w:p>
      <w:r>
        <w:t>https://www.ismeamercati.it/flex/cm/pages/ServeBLOB.php/L/IT/IDPagina/13861</w:t>
      </w:r>
    </w:p>
    <w:p>
      <w:r>
        <w:t>Reported: Italian household purchases of organic foods for home use reached €4.4 billion in 2025, +9.2% in value and +7.2% in quantities versus 2024; organic reached 4% of home food expenditure (+0.4 percentage points). These are household retail purchases rather than food-service turnover.</w:t>
      </w:r>
    </w:p>
    <w:p>
      <w:r>
        <w:t>Relevance: Adds a geographically on-target volume observation in another original study country, supporting real demand improvement beyond sales-price inflation.</w:t>
      </w:r>
    </w:p>
    <w:p>
      <w:r>
        <w:t>Limit: Year-on-year changes do not establish uninterrupted growth since 2011 or identify distribution, trust and price mechanisms from the older qualitative research.</w:t>
      </w:r>
    </w:p>
    <w:p>
      <w:r>
        <w:rPr>
          <w:b/>
        </w:rPr>
        <w:t xml:space="preserve">Later evidence — </w:t>
      </w:r>
      <w:r>
        <w:t>Organic Market Report 2026 (2026-03-04)</w:t>
      </w:r>
    </w:p>
    <w:p>
      <w:r>
        <w:t>https://www.soilassociation.org/for-business/soil-association-certification/business-support/organic-market-report/</w:t>
      </w:r>
    </w:p>
    <w:p>
      <w:r>
        <w:t>Reported: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r>
        <w:t>Relevance: Completes a recent Denmark–Italy–UK three-country comparison, while highlighting supply-chain/distribution constraints alongside demand.</w:t>
      </w:r>
    </w:p>
    <w:p>
      <w:r>
        <w:t>Limit: The association’s market measure is not a matched, inflation-adjusted household panel and may include UK retail channels different from Statistics Denmark or ISMEA; the launch date is corroborated by the Organic Research Centre’s 4 March 2026 launch-webinar listing.</w:t>
      </w:r>
    </w:p>
    <w:p>
      <w:r>
        <w:t>Research correction or caveat: Explicitly name the original three markets and 2015 horizon and treat post-2015 observations as an extension of the question, not a precise forecast horizon or geographic validation.</w:t>
      </w:r>
    </w:p>
    <w:p>
      <w:r>
        <w:t>Research correction or caveat: Keep the nominal wider-Europe comparison as context only. Use national volume changes where available and note FiBL’s data methodology, including its practice of carrying forward last available national observations for missing reporting years.</w:t>
      </w:r>
    </w:p>
    <w:p>
      <w:r>
        <w:rPr>
          <w:i/>
          <w:sz w:val="16"/>
        </w:rPr>
        <w:t>RESEARCH STATUS  ·  LLM-researched account, source-check limitations retained</w:t>
      </w:r>
    </w:p>
    <w:p>
      <w:pPr>
        <w:pStyle w:val="Heading1"/>
      </w:pPr>
      <w:r>
        <w:t>NEW 03.  report-3eff29ec207eb208</w:t>
      </w:r>
    </w:p>
    <w:p>
      <w:r>
        <w:rPr>
          <w:b/>
        </w:rPr>
        <w:t xml:space="preserve">What continues: </w:t>
      </w:r>
      <w:r>
        <w:t>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r>
        <w:rPr>
          <w:b/>
        </w:rPr>
        <w:t xml:space="preserve">What changed or surprised: </w:t>
      </w:r>
      <w:r>
        <w:t>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r>
        <w:rPr>
          <w:b/>
        </w:rPr>
        <w:t xml:space="preserve">Open questions: </w:t>
      </w:r>
      <w:r>
        <w:t>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r>
        <w:rPr>
          <w:b/>
        </w:rPr>
        <w:t xml:space="preserve">Original study and scope: </w:t>
      </w:r>
      <w:r>
        <w:t>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r>
        <w:t>Original study: https://commission.europa.eu/strategy-and-policy/strategic-foresight/2022-strategic-foresight-report_en</w:t>
      </w:r>
    </w:p>
    <w:p>
      <w:r>
        <w:rPr>
          <w:b/>
        </w:rPr>
        <w:t xml:space="preserve">Later evidence — </w:t>
      </w:r>
      <w:r>
        <w:t>EU trade in rare earth elements increased in 2025 (2026-06-29)</w:t>
      </w:r>
    </w:p>
    <w:p>
      <w:r>
        <w:t>https://ec.europa.eu/eurostat/en/web/products-eurostat-news/w/ddn-20260629-1</w:t>
      </w:r>
    </w:p>
    <w:p>
      <w:r>
        <w:t>Reported: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r>
        <w:t>Relevance: Quantifies current dependence on concentrated external suppliers in one set of strategically important inputs despite the CRMA and strategic-project announcements already logged in the case.</w:t>
      </w:r>
    </w:p>
    <w:p>
      <w:r>
        <w:t>Limit: Partner shares of import tonnage cannot be assumed to equal EU total consumption, concentration by material or the CRMA single-country benchmark; they do not prove causal effects of any legislation.</w:t>
      </w:r>
    </w:p>
    <w:p>
      <w:r>
        <w:rPr>
          <w:b/>
        </w:rPr>
        <w:t xml:space="preserve">Later evidence — </w:t>
      </w:r>
      <w:r>
        <w:t>Global Critical Minerals Outlook 2026: executive summary (2026-07-16)</w:t>
      </w:r>
    </w:p>
    <w:p>
      <w:r>
        <w:t>https://www.iea.org/reports/global-critical-minerals-outlook-2026/executive-summary</w:t>
      </w:r>
    </w:p>
    <w:p>
      <w:r>
        <w:t>Reported: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r>
        <w:t>Relevance: Supplies a realised supply-chain stress episode, with limited positive diversification, that sharpens the 2022 foresight warning about a new dependency trap.</w:t>
      </w:r>
    </w:p>
    <w:p>
      <w:r>
        <w:t>Limit: The IEA is describing global supply networks and price markets, not isolating EU-only throughput or the effects of the foresight publication; controls and industrial responses do not establish attribution to EU policy.</w:t>
      </w:r>
    </w:p>
    <w:p>
      <w:r>
        <w:t>Research correction or caveat: When using the new 46.8% China import share, add “selected REE traded categories, by gross weight” and retain the separate interpretation of CRMA project designations as policy steps, not measured diversification outcomes.</w:t>
      </w:r>
    </w:p>
    <w:p>
      <w:r>
        <w:rPr>
          <w:i/>
          <w:sz w:val="16"/>
        </w:rPr>
        <w:t>RESEARCH STATUS  ·  LLM-researched account, source-check limitations retained</w:t>
      </w:r>
    </w:p>
    <w:p>
      <w:pPr>
        <w:pStyle w:val="Heading1"/>
      </w:pPr>
      <w:r>
        <w:t>NEW 04.  lead-6be39a26704bb7e6</w:t>
      </w:r>
    </w:p>
    <w:p>
      <w:r>
        <w:rPr>
          <w:b/>
        </w:rPr>
        <w:t xml:space="preserve">What continues: </w:t>
      </w:r>
      <w:r>
        <w:t>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r>
        <w:rPr>
          <w:b/>
        </w:rPr>
        <w:t xml:space="preserve">What changed or surprised: </w:t>
      </w:r>
      <w:r>
        <w:t>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r>
        <w:rPr>
          <w:b/>
        </w:rPr>
        <w:t xml:space="preserve">Open questions: </w:t>
      </w:r>
      <w:r>
        <w:t>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r>
        <w:rPr>
          <w:b/>
        </w:rPr>
        <w:t xml:space="preserve">Original study and scope: </w:t>
      </w:r>
      <w:r>
        <w:t>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r>
        <w:t>Original study: https://livrepository.liverpool.ac.uk/3000269/</w:t>
      </w:r>
    </w:p>
    <w:p>
      <w:r>
        <w:rPr>
          <w:b/>
        </w:rPr>
        <w:t xml:space="preserve">Later evidence — </w:t>
      </w:r>
      <w:r>
        <w:t>Non-native mosquito species profiles: Aedes albopictus (2026-04-01)</w:t>
      </w:r>
    </w:p>
    <w:p>
      <w:r>
        <w:t>https://www.gov.uk/guidance/non-native-mosquito-species-profiles</w:t>
      </w:r>
    </w:p>
    <w:p>
      <w:r>
        <w:t>Reported: UKHSA states the Asian tiger mosquito has not established a self-sustaining population in the UK despite eggs having been detected in southeast England through invasive-mosquito surveillance since 2016.</w:t>
      </w:r>
    </w:p>
    <w:p>
      <w:r>
        <w:t>Relevance: A direct northern/western European counterpoint: possible climatic suitability and repeated introduction do not by themselves yield verified establishment.</w:t>
      </w:r>
    </w:p>
    <w:p>
      <w:r>
        <w:t>Limit: UK non-establishment cannot be explained by temperature alone; surveillance effort, introduction frequency, local habitat and vector control may all matter.</w:t>
      </w:r>
    </w:p>
    <w:p>
      <w:r>
        <w:rPr>
          <w:b/>
        </w:rPr>
        <w:t xml:space="preserve">Later evidence — </w:t>
      </w:r>
      <w:r>
        <w:t>Seasonal surveillance of chikungunya virus disease – 2026 (weekly), 11 September update (2026-09-11)</w:t>
      </w:r>
    </w:p>
    <w:p>
      <w:r>
        <w:t>https://www.ecdc.europa.eu/en/public-health-events/2026-evd-00016/2026-09-11</w:t>
      </w:r>
    </w:p>
    <w:p>
      <w:r>
        <w:t>Reported: The 11 September 2026 ECDC snapshot, covering notifications as of 9 September, identifies 57 locally acquired chikungunya cases in France across 11 clusters and one case in Italy (Rome).</w:t>
      </w:r>
    </w:p>
    <w:p>
      <w:r>
        <w:t>Relevance: Shows that vector-borne-disease transmission occurred again in continental Europe, adding a distinct outcome dimension to distribution maps, though the original 2012 study modelled mosquito climatic suitability.</w:t>
      </w:r>
    </w:p>
    <w:p>
      <w:r>
        <w:t>Limit: Local human cases are not a direct measure of Aedes albopictus climatic suitability or unambiguous evidence that climate change drove a given outbreak; human travel, virus importation, local surveillance and vector control contribute.</w:t>
      </w:r>
    </w:p>
    <w:p>
      <w:r>
        <w:t>Research correction or caveat: Quote the 384 total and ECDC’s independently stated “14 expansion units” separately rather than equating 14 to the total net change; flag the +15-versus-14 reconciliation for dataset-level checking (e.g., revised geography or previously counted units).</w:t>
      </w:r>
    </w:p>
    <w:p>
      <w:r>
        <w:rPr>
          <w:i/>
          <w:sz w:val="16"/>
        </w:rPr>
        <w:t>RESEARCH STATUS  ·  LLM-researched account, source-check limitations retained</w:t>
      </w:r>
    </w:p>
    <w:p>
      <w:pPr>
        <w:pStyle w:val="Heading1"/>
      </w:pPr>
      <w:r>
        <w:t>NEW 05.  lead-1e5bc406a360f64e</w:t>
      </w:r>
    </w:p>
    <w:p>
      <w:r>
        <w:rPr>
          <w:b/>
        </w:rPr>
        <w:t xml:space="preserve">What continues: </w:t>
      </w:r>
      <w:r>
        <w:t>The original model emphasised the scale of institutional and infrastructure change required for major rail growth, not an inevitable doubling. Both recent activity data and an institutional audit confirm that those prerequisites remain pivotal.</w:t>
      </w:r>
    </w:p>
    <w:p>
      <w:r>
        <w:rPr>
          <w:b/>
        </w:rPr>
        <w:t xml:space="preserve">What changed or surprised: </w:t>
      </w:r>
      <w:r>
        <w:t>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r>
        <w:rPr>
          <w:b/>
        </w:rPr>
        <w:t xml:space="preserve">Open questions: </w:t>
      </w:r>
      <w:r>
        <w:t>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r>
        <w:rPr>
          <w:b/>
        </w:rPr>
        <w:t xml:space="preserve">Original study and scope: </w:t>
      </w:r>
      <w:r>
        <w:t>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r>
        <w:t>Original study: https://link.springer.com/article/10.1007/s12544-015-0171-7</w:t>
      </w:r>
    </w:p>
    <w:p>
      <w:r>
        <w:rPr>
          <w:b/>
        </w:rPr>
        <w:t xml:space="preserve">Later evidence — </w:t>
      </w:r>
      <w:r>
        <w:t>Rail freight transport dropped by 1.8% in 2025 (2026-09-14)</w:t>
      </w:r>
    </w:p>
    <w:p>
      <w:r>
        <w:t>https://ec.europa.eu/eurostat/web/products-eurostat-news/w/ddn-20260914-2</w:t>
      </w:r>
    </w:p>
    <w:p>
      <w:r>
        <w:t>Reported: Eurostat’s main-railway-undertakings series (rail_go_typepas) reports 368.2 billion EU tonne-kilometres in 2025, down 1.8% from 375.1 billion in 2024; this marks a fourth consecutive yearly fall in the series. Reporting thresholds exclude smaller railway undertakings.</w:t>
      </w:r>
    </w:p>
    <w:p>
      <w:r>
        <w:t>Relevance: Adds the newest observed rail work figure after the existing 2023/2024 assessments, a direction not indicative of imminent implementation of an ambitious rail-growth scenario.</w:t>
      </w:r>
    </w:p>
    <w:p>
      <w:r>
        <w:t>Limit: EU27 activity from main operators cannot be compared mechanically with the EEA all-freight estimate or a model-generated 2050 EU27 difference between counterfactual scenarios.</w:t>
      </w:r>
    </w:p>
    <w:p>
      <w:r>
        <w:rPr>
          <w:b/>
        </w:rPr>
        <w:t xml:space="preserve">Later evidence — </w:t>
      </w:r>
      <w:r>
        <w:t>EU road freight transport up by 0.9% in 2025 (2026-07-31)</w:t>
      </w:r>
    </w:p>
    <w:p>
      <w:r>
        <w:t>https://ec.europa.eu/eurostat/web/products-eurostat-news/w/ddn-20260731-2</w:t>
      </w:r>
    </w:p>
    <w:p>
      <w:r>
        <w:t>Reported: Road freight work performed by EU-registered vehicles reached 1,886 billion tonne-kilometres in 2025, +0.9% from 2024 (dataset road_go_ta_tott). Its road-registration data basis differs from rail national-operator data and route-specific road-to-rail modal-shift measures.</w:t>
      </w:r>
    </w:p>
    <w:p>
      <w:r>
        <w:t>Relevance: The concurrent road-growth / rail-decline contrast reinforces the existing broad modal-shift concern without assuming that total road and rail tonne-km form a comparable single modal-share denominator.</w:t>
      </w:r>
    </w:p>
    <w:p>
      <w:r>
        <w:t>Limit: National registration, international/cabotage activity, freight-distance classes and railway reporting thresholds differ; this is not a direct measurement of White Paper freight over 300 km.</w:t>
      </w:r>
    </w:p>
    <w:p>
      <w:r>
        <w:rPr>
          <w:b/>
        </w:rPr>
        <w:t xml:space="preserve">Later evidence — </w:t>
      </w:r>
      <w:r>
        <w:t>Intermodal freight transport: EU still far from getting freight off the road, Special Report 08/2023 (2023-03-27)</w:t>
      </w:r>
    </w:p>
    <w:p>
      <w:r>
        <w:t>https://op.europa.eu/webpub/eca/special-reports/intermodal-freight-transport-08-2023/en/</w:t>
      </w:r>
    </w:p>
    <w:p>
      <w:r>
        <w:t>Reported: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r>
        <w:t>Relevance: Independently evaluates whether prerequisites of the modelled High scenario were implemented, an explanatory layer more useful than a direct comparison between mismatched aggregate modal-share indicators.</w:t>
      </w:r>
    </w:p>
    <w:p>
      <w:r>
        <w:t>Limit: The 2023 audit covers support and sampled intermodal projects, not all EU rail traffic and not the TRANS-TOOLS model itself; it cannot directly estimate the High-versus-Reference rail-demand outcome.</w:t>
      </w:r>
    </w:p>
    <w:p>
      <w:r>
        <w:t>Research correction or caveat: Display the two percentages with their distinct mode coverage and years, and assess change only within a harmonised single series; neither evaluates the &gt;300 km modal-shift promise.</w:t>
      </w:r>
    </w:p>
    <w:p>
      <w:r>
        <w:t>Research correction or caveat: Use 19 June 2015 as verified online publication date, preserving 18 June only if a distinct traceable indexing/acceptance event is found.</w:t>
      </w:r>
    </w:p>
    <w:p>
      <w:r>
        <w:rPr>
          <w:i/>
          <w:sz w:val="16"/>
        </w:rPr>
        <w:t>RESEARCH STATUS  ·  LLM-researched account, source-check limitations retained</w:t>
      </w:r>
    </w:p>
    <w:p>
      <w:pPr>
        <w:pStyle w:val="Heading1"/>
      </w:pPr>
      <w:r>
        <w:t>NEW 06.  lead-c58a6b59f8f84186</w:t>
      </w:r>
    </w:p>
    <w:p>
      <w:r>
        <w:rPr>
          <w:b/>
        </w:rPr>
        <w:t xml:space="preserve">What continues: </w:t>
      </w:r>
      <w:r>
        <w:t>The original 2015 assessment connected ocean-energy potential to technology maturity, market support, financing and grid conditions. EU monitoring and industry reporting continue to identify noncommercial costs and public revenue support as central to progress.</w:t>
      </w:r>
    </w:p>
    <w:p>
      <w:r>
        <w:rPr>
          <w:b/>
        </w:rPr>
        <w:t xml:space="preserve">What changed or surprised: </w:t>
      </w:r>
      <w:r>
        <w:t>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r>
        <w:rPr>
          <w:b/>
        </w:rPr>
        <w:t xml:space="preserve">Open questions: </w:t>
      </w:r>
      <w:r>
        <w:t>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r>
        <w:rPr>
          <w:b/>
        </w:rPr>
        <w:t xml:space="preserve">Original study and scope: </w:t>
      </w:r>
      <w:r>
        <w:t>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r>
        <w:t>Original study: https://publications.jrc.ec.europa.eu/repository/handle/JRC95212</w:t>
      </w:r>
    </w:p>
    <w:p>
      <w:r>
        <w:rPr>
          <w:b/>
        </w:rPr>
        <w:t xml:space="preserve">Later evidence — </w:t>
      </w:r>
      <w:r>
        <w:t>Marine Renewable Energy: Ocean Energy, Blue Economy Observatory (2026 update) (2026-05-21)</w:t>
      </w:r>
    </w:p>
    <w:p>
      <w:r>
        <w:t>https://blue-economy-observatory.ec.europa.eu/eu-blue-economy-sectors/marine-renewable-energy_en</w:t>
      </w:r>
    </w:p>
    <w:p>
      <w:r>
        <w:t>Reported: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r>
        <w:t>Relevance: Supplies later operational and electricity-generation evidence rather than a future pipeline, reinforcing the gap between 2015 high-level ambition and modest contemporary wave/tidal contribution.</w:t>
      </w:r>
    </w:p>
    <w:p>
      <w:r>
        <w:t>Limit: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r>
        <w:rPr>
          <w:b/>
        </w:rPr>
        <w:t xml:space="preserve">Later evidence — </w:t>
      </w:r>
      <w:r>
        <w:t>Europe’s ocean energy pipeline reaches 200 devices and 200 MW as public funding leverages private investment (2026-09-14)</w:t>
      </w:r>
    </w:p>
    <w:p>
      <w:r>
        <w:t>https://www.oceanenergy-europe.eu/europes-ocean-energy-pipeline-reaches-200-devices-and-200-mw-as-public-funding-leverages-private-investment/</w:t>
      </w:r>
    </w:p>
    <w:p>
      <w:r>
        <w:t>Reported: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r>
        <w:t>Relevance: Updates the investment and near-term project pipeline beyond the existing 2025 reported 165 MW European pipeline, while showing that announced pre-commercial clusters remain orders of magnitude below the historical 100 GW ambition.</w:t>
      </w:r>
    </w:p>
    <w:p>
      <w:r>
        <w:t>Limit: The European industry pipeline includes the UK and has scope/date differences from the earlier 165 MW set. It is developer/association reporting of intentions and subsidies, not evidence of generation, completed capacity, commercially viable tariffs or EU-only deployment.</w:t>
      </w:r>
    </w:p>
    <w:p>
      <w:r>
        <w:t>Research correction or caveat: Present the 2.82 MW (end-2024) and 2.2 MW (end-2025, excluding pilots) side by side with source-specific exclusions; avoid claiming net decommissioning or a rate of scale-up until project-level capacity classifications are reconciled.</w:t>
      </w:r>
    </w:p>
    <w:p>
      <w:r>
        <w:t>Research correction or caveat: Label industry forecasts as Europe-wide including the UK; do not compare the full 165 MW or newer 196 MW directly with EU-only installed/operational figures or implicitly treat UK projects as EU capacity.</w:t>
      </w:r>
    </w:p>
    <w:p>
      <w:r>
        <w:rPr>
          <w:i/>
          <w:sz w:val="16"/>
        </w:rPr>
        <w:t>RESEARCH STATUS  ·  LLM-researched account, source-check limitations retained</w:t>
      </w:r>
    </w:p>
    <w:p>
      <w:pPr>
        <w:pStyle w:val="Heading1"/>
      </w:pPr>
      <w:r>
        <w:t>NEW 07.  doi:10.3141/2252-05</w:t>
      </w:r>
    </w:p>
    <w:p>
      <w:r>
        <w:rPr>
          <w:b/>
        </w:rPr>
        <w:t xml:space="preserve">What continues: </w:t>
      </w:r>
      <w:r>
        <w:t>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r>
        <w:rPr>
          <w:b/>
        </w:rPr>
        <w:t xml:space="preserve">What changed or surprised: </w:t>
      </w:r>
      <w:r>
        <w:t>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r>
        <w:rPr>
          <w:b/>
        </w:rPr>
        <w:t xml:space="preserve">Open questions: </w:t>
      </w:r>
      <w:r>
        <w:t>The 2030 horizon has not arrived; current Member State projections (EEA 2025) point to a deeper cut than -12%, but these are projections. A numeric comparison needs the iTREN emission scope and the EU-27 (with UK) geography reconciled with EU27_2020 inventory categories.</w:t>
      </w:r>
    </w:p>
    <w:p>
      <w:r>
        <w:rPr>
          <w:b/>
        </w:rPr>
        <w:t xml:space="preserve">Original study and scope: </w:t>
      </w:r>
      <w:r>
        <w:t>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r>
        <w:t>Original study: https://doi.org/10.3141/2252-05</w:t>
      </w:r>
    </w:p>
    <w:p>
      <w:r>
        <w:rPr>
          <w:b/>
        </w:rPr>
        <w:t xml:space="preserve">Later evidence — </w:t>
      </w:r>
      <w:r>
        <w:t>Greenhouse gas emissions by source sector (env_air_gge): EU27_2020, CRF 1.A.3 'Fuel combustion in transport' and memo items (2026-06-02)</w:t>
      </w:r>
    </w:p>
    <w:p>
      <w:r>
        <w:t>https://ec.europa.eu/eurostat/databrowser/view/env_air_gge/default/table?lang=en</w:t>
      </w:r>
    </w:p>
    <w:p>
      <w:r>
        <w:t>Reported: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r>
        <w:t>Relevance: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r>
        <w:t>Limit: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r>
        <w:rPr>
          <w:b/>
        </w:rPr>
        <w:t xml:space="preserve">Later evidence — </w:t>
      </w:r>
      <w:r>
        <w:t>Share of energy from renewable sources in transport (nrg_ind_ren, REN_TRA): EU27_2020 (2026-09-15)</w:t>
      </w:r>
    </w:p>
    <w:p>
      <w:r>
        <w:t>https://ec.europa.eu/eurostat/databrowser/view/nrg_ind_ren/default/table?lang=en</w:t>
      </w:r>
    </w:p>
    <w:p>
      <w:r>
        <w:t>Reported: Renewable energy share in transport (RES-T): 1.8% (2005), 5.5% (2010), 10.3% (2020), 9.6% (2022), 11.0% (2023), 11.2% (2024). Extracted via the Eurostat API on 2026-10-26.</w:t>
      </w:r>
    </w:p>
    <w:p>
      <w:r>
        <w:t>Relevance: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r>
        <w:t>Limit: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r>
        <w:rPr>
          <w:b/>
        </w:rPr>
        <w:t xml:space="preserve">Later evidence — </w:t>
      </w:r>
      <w:r>
        <w:t>Greenhouse gas emissions from transport in Europe (EEA indicator) (2025-11-06)</w:t>
      </w:r>
    </w:p>
    <w:p>
      <w:r>
        <w:t>https://www.eea.europa.eu/en/analysis/indicators/greenhouse-gas-emissions-from-transport</w:t>
      </w:r>
    </w:p>
    <w:p>
      <w:r>
        <w:t>Reported: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r>
        <w:t>Relevance: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r>
        <w:t>Limit: Compares one projection with another; the page mixes 'domestic' wording with a methodology that sums 1.A.3 plus international aviation and maritime, so the scope of the 2030 projection is ambiguous. Member State projections may not materialise.</w:t>
      </w:r>
    </w:p>
    <w:p>
      <w:r>
        <w:t>Research correction or caveat: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w:t>
      </w:r>
    </w:p>
    <w:p>
      <w:r>
        <w:rPr>
          <w:i/>
          <w:sz w:val="16"/>
        </w:rPr>
        <w:t>RESEARCH STATUS  ·  LLM-researched account, source-check limitations retained</w:t>
      </w:r>
    </w:p>
    <w:p>
      <w:pPr>
        <w:pStyle w:val="Heading1"/>
      </w:pPr>
      <w:r>
        <w:t>NEW 08.  doi:10.3390/f2010147</w:t>
      </w:r>
    </w:p>
    <w:p>
      <w:r>
        <w:rPr>
          <w:b/>
        </w:rPr>
        <w:t xml:space="preserve">What continues: </w:t>
      </w:r>
      <w:r>
        <w:t>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r>
        <w:rPr>
          <w:b/>
        </w:rPr>
        <w:t xml:space="preserve">What changed or surprised: </w:t>
      </w:r>
      <w:r>
        <w:t>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r>
        <w:rPr>
          <w:b/>
        </w:rPr>
        <w:t xml:space="preserve">Open questions: </w:t>
      </w:r>
      <w:r>
        <w:t>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r>
        <w:rPr>
          <w:b/>
        </w:rPr>
        <w:t xml:space="preserve">Original study and scope: </w:t>
      </w:r>
      <w:r>
        <w:t>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r>
        <w:t>Original study: https://doi.org/10.3390/f2010147</w:t>
      </w:r>
    </w:p>
    <w:p>
      <w:r>
        <w:rPr>
          <w:b/>
        </w:rPr>
        <w:t xml:space="preserve">Later evidence — </w:t>
      </w:r>
      <w:r>
        <w:t>FAOSTAT Forestry Production and Trade: world production of newsprint, graphic papers and other paper and paperboard (2026-04-01)</w:t>
      </w:r>
    </w:p>
    <w:p>
      <w:r>
        <w:t>https://www.fao.org/faostat/en/#data/FO</w:t>
      </w:r>
    </w:p>
    <w:p>
      <w:r>
        <w:t>Reported: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r>
        <w:t>Relevance: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r>
        <w:t>Limit: The decline was already under way in 2011, so this continues a trend more than it confirms a forecast. Several drivers besides ICT are involved (e-commerce, Asian demand, recycling), and FAOSTAT mixes official and estimated values (flags A/E/X).</w:t>
      </w:r>
    </w:p>
    <w:p>
      <w:r>
        <w:rPr>
          <w:b/>
        </w:rPr>
        <w:t xml:space="preserve">Later evidence — </w:t>
      </w:r>
      <w:r>
        <w:t>FAOSTAT Forestry Production and Trade: Sweden, production of paper grades, sawnwood and wood pellets (2026-04-01)</w:t>
      </w:r>
    </w:p>
    <w:p>
      <w:r>
        <w:t>https://www.fao.org/faostat/en/#data/FO</w:t>
      </w:r>
    </w:p>
    <w:p>
      <w:r>
        <w:t>Reported: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r>
        <w:t>Relevance: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r>
        <w:t>Limit: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r>
        <w:rPr>
          <w:b/>
        </w:rPr>
        <w:t xml:space="preserve">Later evidence — </w:t>
      </w:r>
      <w:r>
        <w:t>TMF i siffror - Statistik om den svenska trä- och möbelindustrin, nr 1, April 2026 (2026-04 (day not stated; PDF created 2026-04-29))</w:t>
      </w:r>
    </w:p>
    <w:p>
      <w:r>
        <w:t>https://via.tt.se/files/3236590/4357795/325348/sv</w:t>
      </w:r>
    </w:p>
    <w:p>
      <w:r>
        <w:t>Reported: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r>
        <w:t>Relevance: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r>
        <w:t>Limit: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r>
        <w:rPr>
          <w:i/>
          <w:sz w:val="16"/>
        </w:rPr>
        <w:t>RESEARCH STATUS  ·  LLM-researched account, source-check limitations retained</w:t>
      </w:r>
    </w:p>
    <w:p>
      <w:pPr>
        <w:pStyle w:val="Heading1"/>
      </w:pPr>
      <w:r>
        <w:t>NEW 09.  doi:10.2166/wst.2011.120</w:t>
      </w:r>
    </w:p>
    <w:p>
      <w:r>
        <w:rPr>
          <w:b/>
        </w:rPr>
        <w:t xml:space="preserve">What continues: </w:t>
      </w:r>
      <w:r>
        <w:t>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r>
        <w:rPr>
          <w:b/>
        </w:rPr>
        <w:t xml:space="preserve">What changed or surprised: </w:t>
      </w:r>
      <w:r>
        <w:t>Soon after publication, actual DDD growth fell below the purely demographic expectation (2013: +1.1% vs +1.9%). More recent growth is partly driven by non-demographic trends such as ADHD medication in young adults, which a fixed-rate projection omits.</w:t>
      </w:r>
    </w:p>
    <w:p>
      <w:r>
        <w:rPr>
          <w:b/>
        </w:rPr>
        <w:t xml:space="preserve">Open questions: </w:t>
      </w:r>
      <w:r>
        <w:t>Whether 2020 consumption in tonnes of active substance reached the projected level has not been established: available statistics use DDD, not mass. The abstract's internal numeric inconsistency needs full-text resolution. The 2050 horizon has not arrived.</w:t>
      </w:r>
    </w:p>
    <w:p>
      <w:r>
        <w:rPr>
          <w:b/>
        </w:rPr>
        <w:t xml:space="preserve">Original study and scope: </w:t>
      </w:r>
      <w:r>
        <w:t>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r>
        <w:t>Original study: https://doi.org/10.2166/wst.2011.120</w:t>
      </w:r>
    </w:p>
    <w:p>
      <w:r>
        <w:rPr>
          <w:b/>
        </w:rPr>
        <w:t xml:space="preserve">Later evidence — </w:t>
      </w:r>
      <w:r>
        <w:t>Data en feiten 2014 - Het jaar 2013 in cijfers (2014 (exact date unknown; PDF created 2014-08-13))</w:t>
      </w:r>
    </w:p>
    <w:p>
      <w:r>
        <w:t>https://sfk.nl/sites/sfk-nl/files/2025-01/Data_en_feiten_2014.pdf</w:t>
      </w:r>
    </w:p>
    <w:p>
      <w:r>
        <w:t>Reported: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r>
        <w:t>Relevance: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r>
        <w:t>Limit: Single-year comparison. Measured in DDD of reimbursed medicines, not tonnes of active substance; the +1.9% expectation is SFK's own calculation, not the paper's. SFK's explanations are offered as possibilities, not tested.</w:t>
      </w:r>
    </w:p>
    <w:p>
      <w:r>
        <w:rPr>
          <w:b/>
        </w:rPr>
        <w:t xml:space="preserve">Later evidence — </w:t>
      </w:r>
      <w:r>
        <w:t>Data en feiten 2025 - Het jaar 2024 in cijfers (2025-09 (month from file path; exact day unknown))</w:t>
      </w:r>
    </w:p>
    <w:p>
      <w:r>
        <w:t>https://sfk.nl/sites/sfk-nl/files/2025-09/Data%20en%20feiten%202025%20%281MB%29.pdf</w:t>
      </w:r>
    </w:p>
    <w:p>
      <w:r>
        <w:t>Reported: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r>
        <w:t>Relevance: Confirms the steep age gradient underlying the projection: 75+ use about three times the average. It also shows that recent growth comes partly from non-demographic prescribing trends in younger adults, which a fixed-rate demographic projection cannot capture.</w:t>
      </w:r>
    </w:p>
    <w:p>
      <w:r>
        <w:t>Limit: DDD volume, not mass of active substance (the paper's unit), and reimbursed community-pharmacy medicines only. A single year, so it cannot be compared with the paper's 2020 tonnage projection without conversion.</w:t>
      </w:r>
    </w:p>
    <w:p>
      <w:r>
        <w:rPr>
          <w:b/>
        </w:rPr>
        <w:t xml:space="preserve">Later evidence — </w:t>
      </w:r>
      <w:r>
        <w:t>Directive (EU) 2024/3019 of the European Parliament and of the Council of 27 November 2024 concerning urban wastewater treatment (recast) (2024-11-27)</w:t>
      </w:r>
    </w:p>
    <w:p>
      <w:r>
        <w:t>https://eur-lex.europa.eu/eli/dir/2024/3019/oj</w:t>
      </w:r>
    </w:p>
    <w:p>
      <w:r>
        <w:t>Reported: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r>
        <w:t>Relevance: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r>
        <w:t>Limit: No documented influence of this paper on the Directive. It is EU-wide, not Dutch-specific, implementation lies in the future, and cost-sharing remains politically contested.</w:t>
      </w:r>
    </w:p>
    <w:p>
      <w:r>
        <w:t>Research correction or caveat: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w:t>
      </w:r>
    </w:p>
    <w:p>
      <w:r>
        <w:t>Research correction or caveat: Do not reuse the percentages or tonnages until a maintainer checks the full text (tables). Flag the record for human review.</w:t>
      </w:r>
    </w:p>
    <w:p>
      <w:r>
        <w:rPr>
          <w:i/>
          <w:sz w:val="16"/>
        </w:rPr>
        <w:t>RESEARCH STATUS  ·  Research account with outstanding source/numeric review</w:t>
      </w:r>
    </w:p>
    <w:p>
      <w:pPr>
        <w:pStyle w:val="Heading1"/>
      </w:pPr>
      <w:r>
        <w:t>NEW 10.  doi:10.1108/14636681111109660</w:t>
      </w:r>
    </w:p>
    <w:p>
      <w:r>
        <w:rPr>
          <w:b/>
        </w:rPr>
        <w:t xml:space="preserve">What continues: </w:t>
      </w:r>
      <w:r>
        <w:t>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r>
        <w:rPr>
          <w:b/>
        </w:rPr>
        <w:t xml:space="preserve">What changed or surprised: </w:t>
      </w:r>
      <w:r>
        <w:t>Networks were formalised as thematic EMNs tied to EU regulation and Horizon Europe clusters rather than through broader institute reform. EURAMET itself reports uneven maturity across the networks.</w:t>
      </w:r>
    </w:p>
    <w:p>
      <w:r>
        <w:rPr>
          <w:b/>
        </w:rPr>
        <w:t xml:space="preserve">Open questions: </w:t>
      </w:r>
      <w:r>
        <w:t>The paper's actual scenarios and their horizon are in paywalled full text and the 2009 EC report, which were not accessed, so no scenario-by-scenario comparison is possible. No independent evaluation (e.g., the 2017 EMPIR interim evaluation) was retrieved.</w:t>
      </w:r>
    </w:p>
    <w:p>
      <w:r>
        <w:rPr>
          <w:b/>
        </w:rPr>
        <w:t xml:space="preserve">Original study and scope: </w:t>
      </w:r>
      <w:r>
        <w:t>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r>
        <w:t>Original study: https://doi.org/10.1108/14636681111109660</w:t>
      </w:r>
    </w:p>
    <w:p>
      <w:r>
        <w:rPr>
          <w:b/>
        </w:rPr>
        <w:t xml:space="preserve">Later evidence — </w:t>
      </w:r>
      <w:r>
        <w:t>Decision No 555/2014/EU on the participation of the Union in a European Metrology Programme for Innovation and Research (EMPIR) jointly undertaken by several Member States (2014-05-15)</w:t>
      </w:r>
    </w:p>
    <w:p>
      <w:r>
        <w:t>https://www.legislation.gov.uk/eudn/2014/555/introduction</w:t>
      </w:r>
    </w:p>
    <w:p>
      <w:r>
        <w:t>Reported: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r>
        <w:t>Relevance: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r>
        <w:t>Limit: No documented influence of the paper or its workshops. The trend predates it (EURAMET founded 2007; EMRP from 2009), so this is a continuation as much as a new development.</w:t>
      </w:r>
    </w:p>
    <w:p>
      <w:r>
        <w:rPr>
          <w:b/>
        </w:rPr>
        <w:t xml:space="preserve">Later evidence — </w:t>
      </w:r>
      <w:r>
        <w:t>Decision (EU) 2021/2084 on the participation of the Union in the European Partnership on Metrology jointly undertaken by several Member States (CELEX 32021D2084) (2021-11-24)</w:t>
      </w:r>
    </w:p>
    <w:p>
      <w:r>
        <w:t>https://lawplayer.com/eu/act/32021D2084</w:t>
      </w:r>
    </w:p>
    <w:p>
      <w:r>
        <w:t>Reported: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r>
        <w:t>Relevance: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r>
        <w:t>Limit: No documented link to the paper. Text read from a third-party reproduction of the Decision (LawPlayer, stated current to 4 July 2026) and the EP Legislative Observatory proposal summary, not the EUR-Lex rendering.</w:t>
      </w:r>
    </w:p>
    <w:p>
      <w:r>
        <w:rPr>
          <w:b/>
        </w:rPr>
        <w:t xml:space="preserve">Later evidence — </w:t>
      </w:r>
      <w:r>
        <w:t>European Metrology Networks Report 2019 - 2024 (2024-07-18)</w:t>
      </w:r>
    </w:p>
    <w:p>
      <w:r>
        <w:t>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r>
        <w:t>Reported: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r>
        <w:t>Relevance: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r>
        <w:t>Limit: Self-assessment by the implementing body, not an independent evaluation, with no connection to the 2009-2011 foresight workshops documented. The signed download URL may expire (token expiry around 2027); the PDF is dated by its file metadata.</w:t>
      </w:r>
    </w:p>
    <w:p>
      <w:r>
        <w:t>Research correction or caveat: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w:t>
      </w:r>
    </w:p>
    <w:p>
      <w:r>
        <w:rPr>
          <w:i/>
          <w:sz w:val="16"/>
        </w:rPr>
        <w:t>RESEARCH STATUS  ·  Research account with outstanding source/numeric review</w:t>
      </w:r>
    </w:p>
    <w:p>
      <w:pPr>
        <w:pStyle w:val="Heading1"/>
      </w:pPr>
      <w:r>
        <w:t>NEW 11.  doi:10.1111/j.1466-8238.2011.00669.x</w:t>
      </w:r>
    </w:p>
    <w:p>
      <w:r>
        <w:rPr>
          <w:b/>
        </w:rPr>
        <w:t xml:space="preserve">What continues: </w:t>
      </w:r>
      <w:r>
        <w:t>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r>
        <w:rPr>
          <w:b/>
        </w:rPr>
        <w:t xml:space="preserve">What changed or surprised: </w:t>
      </w:r>
      <w:r>
        <w:t>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r>
        <w:rPr>
          <w:b/>
        </w:rPr>
        <w:t xml:space="preserve">Open questions: </w:t>
      </w:r>
      <w:r>
        <w:t>The projection horizon (21st century) is far off, and no study was found that directly evaluates the predicted migration rates for the same 14 species. Distinguishing slow migration from non-climatic causes in observed distributions remains methodologically hard.</w:t>
      </w:r>
    </w:p>
    <w:p>
      <w:r>
        <w:rPr>
          <w:b/>
        </w:rPr>
        <w:t xml:space="preserve">Original study and scope: </w:t>
      </w:r>
      <w:r>
        <w:t>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r>
        <w:t>Original study: https://doi.org/10.1111/j.1466-8238.2011.00669.x</w:t>
      </w:r>
    </w:p>
    <w:p>
      <w:r>
        <w:rPr>
          <w:b/>
        </w:rPr>
        <w:t xml:space="preserve">Later evidence — </w:t>
      </w:r>
      <w:r>
        <w:t>Disparity in elevational shifts of European trees in response to recent climate warming (2013-05-14)</w:t>
      </w:r>
    </w:p>
    <w:p>
      <w:r>
        <w:t>https://doi.org/10.1111/gcb.12220</w:t>
      </w:r>
    </w:p>
    <w:p>
      <w:r>
        <w:t>Reported: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r>
        <w:t>Relevance: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r>
        <w:t>Limit: Elevational juvenile-adult comparison, not latitudinal range-front migration. Limited transects and species, whose overlap with Meier et al.'s 14 species was not verified. Abstract-level check.</w:t>
      </w:r>
    </w:p>
    <w:p>
      <w:r>
        <w:rPr>
          <w:b/>
        </w:rPr>
        <w:t xml:space="preserve">Later evidence — </w:t>
      </w:r>
      <w:r>
        <w:t>Species better track climate warming in the oceans than on land (2020-05-25)</w:t>
      </w:r>
    </w:p>
    <w:p>
      <w:r>
        <w:t>https://archimer.ifremer.fr/doc/00632/74377/</w:t>
      </w:r>
    </w:p>
    <w:p>
      <w:r>
        <w:t>Reported: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r>
        <w:t>Relevance: Broad empirical support for the paper's premise that species may not keep pace with climate change, and for the importance of landscape and human constraints (cf. its habitat-connectivity and land-use variables) in slowing range shifts on land.</w:t>
      </w:r>
    </w:p>
    <w:p>
      <w:r>
        <w:t>Limit: Global, multi-taxa synthesis; no tree- or Europe-specific estimate was checked. Heterogeneous underlying studies, and it does not test the TreeMig-derived rates.</w:t>
      </w:r>
    </w:p>
    <w:p>
      <w:r>
        <w:rPr>
          <w:b/>
        </w:rPr>
        <w:t xml:space="preserve">Later evidence — </w:t>
      </w:r>
      <w:r>
        <w:t>Excess forest mortality is consistently linked to drought across Europe (2020-12-03)</w:t>
      </w:r>
    </w:p>
    <w:p>
      <w:r>
        <w:t>https://doi.org/10.1038/s41467-020-19924-1</w:t>
      </w:r>
    </w:p>
    <w:p>
      <w:r>
        <w:t>Reported: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r>
        <w:t>Relevance: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r>
        <w:t>Limit: Mortality is not resolved by species in this analysis and does not test Meier et al.'s projections. The study period ends in 2016, before the 2018-2020 central European drought years.</w:t>
      </w:r>
    </w:p>
    <w:p>
      <w:r>
        <w:t>Research correction or caveat: Append the Main conclusions: "Early-successional species track climate change almost instantaneously while mid- to late-successional species were predicted to migrate very slowly", with the Results' migration rates (~157-164 vs ~15-16 m/yr) and scenario labels A1fi/GRAS and B1/SEDG.</w:t>
      </w:r>
    </w:p>
    <w:p>
      <w:r>
        <w:t>Research correction or caveat: Keep 2011-05-05 as the first-publication date and add the citation: Global Ecology and Biogeography 21(2):164-178 (Feb 2012); authors Meier, Lischke, Schmatz, Zimmermann.</w:t>
      </w:r>
    </w:p>
    <w:p>
      <w:r>
        <w:rPr>
          <w:i/>
          <w:sz w:val="16"/>
        </w:rPr>
        <w:t>RESEARCH STATUS  ·  LLM-researched account, source-check limitations retained</w:t>
      </w:r>
    </w:p>
    <w:p>
      <w:pPr>
        <w:pStyle w:val="Heading1"/>
      </w:pPr>
      <w:r>
        <w:t>NEW 12.  doi:10.5771/1435-2869-2011-4-521</w:t>
      </w:r>
    </w:p>
    <w:p>
      <w:r>
        <w:rPr>
          <w:b/>
        </w:rPr>
        <w:t xml:space="preserve">What continues: </w:t>
      </w:r>
      <w:r>
        <w:t>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r>
        <w:rPr>
          <w:b/>
        </w:rPr>
        <w:t xml:space="preserve">What changed or surprised: </w:t>
      </w:r>
      <w:r>
        <w:t>Observed real labour productivity rose about 32% (2011-2024), more than four times the EU average, despite ageing. The lead author later described the modelled negative ageing effect on productivity as small and 'unconvincing'.</w:t>
      </w:r>
    </w:p>
    <w:p>
      <w:r>
        <w:rPr>
          <w:b/>
        </w:rPr>
        <w:t xml:space="preserve">Open questions: </w:t>
      </w:r>
      <w:r>
        <w:t>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r>
        <w:rPr>
          <w:b/>
        </w:rPr>
        <w:t xml:space="preserve">Original study and scope: </w:t>
      </w:r>
      <w:r>
        <w:t>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r>
        <w:t>Original study: https://doi.org/10.5771/1435-2869-2011-4-521</w:t>
      </w:r>
    </w:p>
    <w:p>
      <w:r>
        <w:rPr>
          <w:b/>
        </w:rPr>
        <w:t xml:space="preserve">Later evidence — </w:t>
      </w:r>
      <w:r>
        <w:t>Population on 1 January (demo_pjan) and population structure indicators (demo_pjanind): Bulgaria (2026-09-25)</w:t>
      </w:r>
    </w:p>
    <w:p>
      <w:r>
        <w:t>https://ec.europa.eu/eurostat/databrowser/view/demo_pjanind/default/table?lang=en</w:t>
      </w:r>
    </w:p>
    <w:p>
      <w:r>
        <w:t>Reported: Bulgaria's population was 7,369,431 (2011), 6,532,117 (2021) and 6,437,360 (2025), -12.6% over 2011-2025. The 65+ share rose from 18.5% to 23.0% to 24.0%, the old-age dependency ratio from 27.0 to 36.7 to 38.7, and the median age from 42.5 (2011) to 47.3 (2025). Extracted via the Eurostat API on 2026-10-26.</w:t>
      </w:r>
    </w:p>
    <w:p>
      <w:r>
        <w:t>Relevance: Confirms that the study's demographic premise, a shrinking and rapidly ageing population, materialised strongly in the interim period.</w:t>
      </w:r>
    </w:p>
    <w:p>
      <w:r>
        <w:t>Limit: Demographic outcomes do not validate the productivity link. The series may be affected by census-based revisions (2021 census), and the paper's life-expectancy variants were not compared with outturns.</w:t>
      </w:r>
    </w:p>
    <w:p>
      <w:r>
        <w:rPr>
          <w:b/>
        </w:rPr>
        <w:t xml:space="preserve">Later evidence — </w:t>
      </w:r>
      <w:r>
        <w:t>Labour productivity and unit labour costs (nama_10_lp_ulc): real labour productivity, Bulgaria and EU27_2020 (2026-10-22)</w:t>
      </w:r>
    </w:p>
    <w:p>
      <w:r>
        <w:t>https://ec.europa.eu/eurostat/databrowser/view/nama_10_lp_ulc/default/table?lang=en</w:t>
      </w:r>
    </w:p>
    <w:p>
      <w:r>
        <w:t>Reported: Real labour productivity per person (index 2015=100): Bulgaria 93.5 (2011), 111.4 (2019), 123.7 (2024), i.e. +32% over 2011-2024; EU27 98.0 to 104.7 (+7%). Per hour worked: Bulgaria 93.5 to 125.1 (+34%); EU27 96.4 to 106.0 (+10%). Extracted via the Eurostat API on 2026-10-26.</w:t>
      </w:r>
    </w:p>
    <w:p>
      <w:r>
        <w:t>Relevance: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r>
        <w:t>Limit: Per-person productivity can rise through composition effects (exit or emigration of lower-productivity workers, sectoral shifts). With no counterfactual this neither tests nor contradicts the ILO-model sensitivity result.</w:t>
      </w:r>
    </w:p>
    <w:p>
      <w:r>
        <w:rPr>
          <w:b/>
        </w:rPr>
        <w:t xml:space="preserve">Later evidence — </w:t>
      </w:r>
      <w:r>
        <w:t>Economic Aspects of Demographic Changes in the European Union and in Bulgaria (2019 (issue 5; exact date unknown))</w:t>
      </w:r>
    </w:p>
    <w:p>
      <w:r>
        <w:t>https://www.iki.bas.bg/Journals/EconomicStudies/2019/2019-5/3_Rangelova-1_f-f.pdf</w:t>
      </w:r>
    </w:p>
    <w:p>
      <w:r>
        <w:t>Reported: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r>
        <w:t>Relevance: The same lead author's later characterisation of the same type of ILO-model exercise substantially qualifies the 2011 abstract's 'the overall direction of the trend is clear': the scenario differences are very small and the effect is described as unconvincing.</w:t>
      </w:r>
    </w:p>
    <w:p>
      <w:r>
        <w:t>Limit: Author self-assessment, not independent. It cites a 2013 publication; whether that is identical to or an update of the 2011 SEER analysis was not verified.</w:t>
      </w:r>
    </w:p>
    <w:p>
      <w:r>
        <w:t>Research correction or caveat: Restore a single space after each sentence-ending full stop; the wording is otherwise consistent with the abstract.</w:t>
      </w:r>
    </w:p>
    <w:p>
      <w:r>
        <w:t>Research correction or caveat: Store year-level precision (2011, SEER 14(4):521-544) and do not infer 1 January; optionally note the publisher's online issue date 2012-06-21.</w:t>
      </w:r>
    </w:p>
    <w:p>
      <w:r>
        <w:rPr>
          <w:i/>
          <w:sz w:val="16"/>
        </w:rPr>
        <w:t>RESEARCH STATUS  ·  LLM-researched account, source-check limitations retained</w:t>
      </w:r>
    </w:p>
    <w:p>
      <w:r>
        <w:br w:type="page"/>
      </w:r>
    </w:p>
    <w:p>
      <w:pPr>
        <w:pStyle w:val="Heading1"/>
      </w:pPr>
      <w:r>
        <w:t>28 October 2026 — editorial research correction register</w:t>
      </w:r>
    </w:p>
    <w:p>
      <w:r>
        <w:t>Preserves all 63 original research accounts while identifying which readings need caution or replacement. This is an analytical review, not independent source certification of all original and later documents. More complete source information is in the accompanying updated Excel workbooks.</w:t>
      </w:r>
    </w:p>
    <w:p>
      <w:pPr>
        <w:pStyle w:val="Heading2"/>
      </w:pPr>
      <w:r>
        <w:t>01. Strategic energy technology policy to 2050 (2013)</w:t>
      </w:r>
    </w:p>
    <w:p>
      <w:r>
        <w:rPr>
          <w:b/>
        </w:rPr>
        <w:t xml:space="preserve">Disposition: </w:t>
      </w:r>
      <w:r>
        <w:t>Substantive revision</w:t>
      </w:r>
    </w:p>
    <w:p>
      <w:r>
        <w:rPr>
          <w:b/>
        </w:rPr>
        <w:t xml:space="preserve">Reason: </w:t>
      </w:r>
      <w:r>
        <w:t>JRC 2023 research framing is not a test of whether the original 2050 technology strategy occurred.</w:t>
      </w:r>
    </w:p>
    <w:p>
      <w:r>
        <w:rPr>
          <w:b/>
        </w:rPr>
        <w:t xml:space="preserve">Proposed revised interpretation: </w:t>
      </w:r>
      <w:r>
        <w:t>The 2013 article argued for no-regret strategic energy technology policy to 2050. The JRC 2023 framework demonstrates renewed policy attention to energy security, not that the 2013 scenario was fulfilled; implementation and outcome measures remain to be identified.</w:t>
      </w:r>
    </w:p>
    <w:p>
      <w:r>
        <w:rPr>
          <w:b/>
        </w:rPr>
        <w:t xml:space="preserve">Source checking: </w:t>
      </w:r>
      <w:r>
        <w:t>Account metadata and internal consistency screen only; Yes (selected independent data)</w:t>
      </w:r>
    </w:p>
    <w:p>
      <w:pPr>
        <w:pStyle w:val="Heading2"/>
      </w:pPr>
      <w:r>
        <w:t>02. EU as a global security actor (FOCUS, 2013)</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rPr>
        <w:t xml:space="preserve">Source checking: </w:t>
      </w:r>
      <w:r>
        <w:t>Source-verified, with the caveats stated.; No (repository review only)</w:t>
      </w:r>
    </w:p>
    <w:p>
      <w:r>
        <w:rPr>
          <w:b/>
        </w:rPr>
        <w:t xml:space="preserve">Related evidence case: </w:t>
      </w:r>
      <w:r>
        <w:t>R24-04</w:t>
      </w:r>
    </w:p>
    <w:p>
      <w:pPr>
        <w:pStyle w:val="Heading2"/>
      </w:pPr>
      <w:r>
        <w:t>03. Animal health and parasites in a warming Europe (2013)</w:t>
      </w:r>
    </w:p>
    <w:p>
      <w:r>
        <w:rPr>
          <w:b/>
        </w:rPr>
        <w:t xml:space="preserve">Disposition: </w:t>
      </w:r>
      <w:r>
        <w:t>Substantive revision</w:t>
      </w:r>
    </w:p>
    <w:p>
      <w:r>
        <w:rPr>
          <w:b/>
        </w:rPr>
        <w:t xml:space="preserve">Reason: </w:t>
      </w:r>
      <w:r>
        <w:t>Later climate-sensitive disease study does not verify causal infection trend in the original target area.</w:t>
      </w:r>
    </w:p>
    <w:p>
      <w:r>
        <w:rPr>
          <w:b/>
        </w:rPr>
        <w:t xml:space="preserve">Proposed revised interpretation: </w:t>
      </w:r>
      <w:r>
        <w:t>The earlier verdict for ‘Animal health and parasites in a warming Europe (2013)’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04. Climate, air pollution and respiratory health (2013)</w:t>
      </w:r>
    </w:p>
    <w:p>
      <w:r>
        <w:rPr>
          <w:b/>
        </w:rPr>
        <w:t xml:space="preserve">Disposition: </w:t>
      </w:r>
      <w:r>
        <w:t>Substantive revision</w:t>
      </w:r>
    </w:p>
    <w:p>
      <w:r>
        <w:rPr>
          <w:b/>
        </w:rPr>
        <w:t xml:space="preserve">Reason: </w:t>
      </w:r>
      <w:r>
        <w:t>Observed exposure improvement and residual disease burden are different indicators; premise and forecast not isolated.</w:t>
      </w:r>
    </w:p>
    <w:p>
      <w:r>
        <w:rPr>
          <w:b/>
        </w:rPr>
        <w:t xml:space="preserve">Proposed revised interpretation: </w:t>
      </w:r>
      <w:r>
        <w:t>The earlier verdict for ‘Climate, air pollution and respiratory health (2013)’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05. ExxonMobil long-term energy outlook (2013)</w:t>
      </w:r>
    </w:p>
    <w:p>
      <w:r>
        <w:rPr>
          <w:b/>
        </w:rPr>
        <w:t xml:space="preserve">Disposition: </w:t>
      </w:r>
      <w:r>
        <w:t>Not present as verified finding</w:t>
      </w:r>
    </w:p>
    <w:p>
      <w:r>
        <w:rPr>
          <w:b/>
        </w:rPr>
        <w:t xml:space="preserve">Reason: </w:t>
      </w:r>
      <w:r>
        <w:t>A corporate energy outlook about global demand is not European foresight; future trajectory cannot be established from 2024–25 data alone.</w:t>
      </w:r>
    </w:p>
    <w:p>
      <w:r>
        <w:rPr>
          <w:b/>
        </w:rPr>
        <w:t xml:space="preserve">Proposed revised interpretation: </w:t>
      </w:r>
      <w:r>
        <w:t>This global industry energy outlook is not sufficiently linked to a specifically European research hypothesis for a European foresight outcome verdict. Re-scope or move to contextual bibliography.</w:t>
      </w:r>
    </w:p>
    <w:p>
      <w:r>
        <w:rPr>
          <w:b/>
        </w:rPr>
        <w:t xml:space="preserve">Source checking: </w:t>
      </w:r>
      <w:r>
        <w:t>Account metadata and internal consistency screen only; No (repository review only)</w:t>
      </w:r>
    </w:p>
    <w:p>
      <w:pPr>
        <w:pStyle w:val="Heading2"/>
      </w:pPr>
      <w:r>
        <w:t>06. Resilient futures, UK (2013)</w:t>
      </w:r>
    </w:p>
    <w:p>
      <w:r>
        <w:rPr>
          <w:b/>
        </w:rPr>
        <w:t xml:space="preserve">Disposition: </w:t>
      </w:r>
      <w:r>
        <w:t>Not present as verified finding</w:t>
      </w:r>
    </w:p>
    <w:p>
      <w:r>
        <w:rPr>
          <w:b/>
        </w:rPr>
        <w:t xml:space="preserve">Reason: </w:t>
      </w:r>
      <w:r>
        <w:t>COVID Inquiry cannot test a 2050 UK energy/transport resilience scenario without matched system outputs.</w:t>
      </w:r>
    </w:p>
    <w:p>
      <w:r>
        <w:rPr>
          <w:b/>
        </w:rPr>
        <w:t xml:space="preserve">Proposed revised interpretation: </w:t>
      </w:r>
      <w:r>
        <w:t>The COVID-19 inquiry provides an important demonstration of UK institutional fragility, but the original 2013 study concerned transport/energy resilience in 2050. The comparison is thematic and the 2050 question remains open.</w:t>
      </w:r>
    </w:p>
    <w:p>
      <w:r>
        <w:rPr>
          <w:b/>
        </w:rPr>
        <w:t xml:space="preserve">Source checking: </w:t>
      </w:r>
      <w:r>
        <w:t>Account metadata and internal consistency screen only; No (repository review only)</w:t>
      </w:r>
    </w:p>
    <w:p>
      <w:pPr>
        <w:pStyle w:val="Heading2"/>
      </w:pPr>
      <w:r>
        <w:t>07. European atmosphere in 2050 (2013)</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rPr>
        <w:t xml:space="preserve">Source checking: </w:t>
      </w:r>
      <w:r>
        <w:t>Provisional interpretation. The original and the key later evidence were read in full; horizon not reached.; No (repository review only)</w:t>
      </w:r>
    </w:p>
    <w:p>
      <w:r>
        <w:rPr>
          <w:b/>
        </w:rPr>
        <w:t xml:space="preserve">Related evidence case: </w:t>
      </w:r>
      <w:r>
        <w:t>R24-07</w:t>
      </w:r>
    </w:p>
    <w:p>
      <w:pPr>
        <w:pStyle w:val="Heading2"/>
      </w:pPr>
      <w:r>
        <w:t>08. Foresight and grand challenges, Ireland (2013)</w:t>
      </w:r>
    </w:p>
    <w:p>
      <w:r>
        <w:rPr>
          <w:b/>
        </w:rPr>
        <w:t xml:space="preserve">Disposition: </w:t>
      </w:r>
      <w:r>
        <w:t>Verify before publication</w:t>
      </w:r>
    </w:p>
    <w:p>
      <w:r>
        <w:rPr>
          <w:b/>
        </w:rPr>
        <w:t xml:space="preserve">Reason: </w:t>
      </w:r>
      <w:r>
        <w:t>Implementation of subsequent prioritisation strategy does not establish the original paper predicted or caused it.</w:t>
      </w:r>
    </w:p>
    <w:p>
      <w:r>
        <w:rPr>
          <w:b/>
        </w:rPr>
        <w:t xml:space="preserve">Source checking: </w:t>
      </w:r>
      <w:r>
        <w:t>Account metadata and internal consistency screen only; No (repository review only)</w:t>
      </w:r>
    </w:p>
    <w:p>
      <w:pPr>
        <w:pStyle w:val="Heading2"/>
      </w:pPr>
      <w:r>
        <w:t>09. Foresight Future Flooding, UK (2013)</w:t>
      </w:r>
    </w:p>
    <w:p>
      <w:r>
        <w:rPr>
          <w:b/>
        </w:rPr>
        <w:t xml:space="preserve">Disposition: </w:t>
      </w:r>
      <w:r>
        <w:t>Substantive revision</w:t>
      </w:r>
    </w:p>
    <w:p>
      <w:r>
        <w:rPr>
          <w:b/>
        </w:rPr>
        <w:t xml:space="preserve">Reason: </w:t>
      </w:r>
      <w:r>
        <w:t>New flood-risk map improved exposure assessment; change in measured risk is not all realised growth.</w:t>
      </w:r>
    </w:p>
    <w:p>
      <w:r>
        <w:rPr>
          <w:b/>
        </w:rPr>
        <w:t xml:space="preserve">Proposed revised interpretation: </w:t>
      </w:r>
      <w:r>
        <w:t>The earlier verdict for ‘Foresight Future Flooding, UK (2013)’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10. European eel larvae models (2013)</w:t>
      </w:r>
    </w:p>
    <w:p>
      <w:r>
        <w:rPr>
          <w:b/>
        </w:rPr>
        <w:t xml:space="preserve">Disposition: </w:t>
      </w:r>
      <w:r>
        <w:t>Retain, with explicit qualification / verification</w:t>
      </w:r>
    </w:p>
    <w:p>
      <w:r>
        <w:rPr>
          <w:b/>
        </w:rPr>
        <w:t xml:space="preserve">Reason: </w:t>
      </w:r>
      <w:r>
        <w:t>Subsequent ocean-model reproduction does not prove an explicit larval migration forecast.</w:t>
      </w:r>
    </w:p>
    <w:p>
      <w:r>
        <w:rPr>
          <w:b/>
        </w:rPr>
        <w:t xml:space="preserve">Source checking: </w:t>
      </w:r>
      <w:r>
        <w:t>Account metadata and internal consistency screen only; No (repository review only)</w:t>
      </w:r>
    </w:p>
    <w:p>
      <w:pPr>
        <w:pStyle w:val="Heading2"/>
      </w:pPr>
      <w:r>
        <w:t>11. Woody biomass, EU (2013)</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rPr>
        <w:t xml:space="preserve">Source checking: </w:t>
      </w:r>
      <w:r>
        <w:t>Provisional interpretation. The original and three key later studies were read in full; the 2026 study in abstract.; No (repository review only)</w:t>
      </w:r>
    </w:p>
    <w:p>
      <w:r>
        <w:rPr>
          <w:b/>
        </w:rPr>
        <w:t xml:space="preserve">Related evidence case: </w:t>
      </w:r>
      <w:r>
        <w:t>R24-11</w:t>
      </w:r>
    </w:p>
    <w:p>
      <w:pPr>
        <w:pStyle w:val="Heading2"/>
      </w:pPr>
      <w:r>
        <w:t>12. Blue Growth maritime scenarios (2013)</w:t>
      </w:r>
    </w:p>
    <w:p>
      <w:r>
        <w:rPr>
          <w:b/>
        </w:rPr>
        <w:t xml:space="preserve">Disposition: </w:t>
      </w:r>
      <w:r>
        <w:t>Retain, with explicit qualification / verification</w:t>
      </w:r>
    </w:p>
    <w:p>
      <w:r>
        <w:rPr>
          <w:b/>
        </w:rPr>
        <w:t xml:space="preserve">Reason: </w:t>
      </w:r>
      <w:r>
        <w:t>Blue growth scenario outcomes cannot be inferred from a few later studies of particular sectors.</w:t>
      </w:r>
    </w:p>
    <w:p>
      <w:r>
        <w:rPr>
          <w:b/>
        </w:rPr>
        <w:t xml:space="preserve">Source checking: </w:t>
      </w:r>
      <w:r>
        <w:t>Account metadata and internal consistency screen only; No (repository review only)</w:t>
      </w:r>
    </w:p>
    <w:p>
      <w:pPr>
        <w:pStyle w:val="Heading2"/>
      </w:pPr>
      <w:r>
        <w:t>13. Superconductivity and the environment (2013)</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rPr>
        <w:t xml:space="preserve">Source checking: </w:t>
      </w:r>
      <w:r>
        <w:t>Insufficient evidence. Earlier account to be corrected; claim flagged as of marginal European scope.; No (repository review only)</w:t>
      </w:r>
    </w:p>
    <w:p>
      <w:r>
        <w:rPr>
          <w:b/>
        </w:rPr>
        <w:t xml:space="preserve">Related evidence case: </w:t>
      </w:r>
      <w:r>
        <w:t>R24-19</w:t>
      </w:r>
    </w:p>
    <w:p>
      <w:pPr>
        <w:pStyle w:val="Heading2"/>
      </w:pPr>
      <w:r>
        <w:t>14. EU Decarbonisation Roadmap 2050 (2013)</w:t>
      </w:r>
    </w:p>
    <w:p>
      <w:r>
        <w:rPr>
          <w:b/>
        </w:rPr>
        <w:t xml:space="preserve">Disposition: </w:t>
      </w:r>
      <w:r>
        <w:t>Retain, with explicit qualification / verification</w:t>
      </w:r>
    </w:p>
    <w:p>
      <w:r>
        <w:rPr>
          <w:b/>
        </w:rPr>
        <w:t xml:space="preserve">Reason: </w:t>
      </w:r>
      <w:r>
        <w:t>Compare 2050 net emissions with conditional roadmap not current-policy projection; 2050 premature.</w:t>
      </w:r>
    </w:p>
    <w:p>
      <w:r>
        <w:rPr>
          <w:b/>
        </w:rPr>
        <w:t xml:space="preserve">Source checking: </w:t>
      </w:r>
      <w:r>
        <w:t>Account metadata and internal consistency screen only; Yes (selected independent data)</w:t>
      </w:r>
    </w:p>
    <w:p>
      <w:pPr>
        <w:pStyle w:val="Heading2"/>
      </w:pPr>
      <w:r>
        <w:t>15. NT for Podlaskie 2020 (2013)</w:t>
      </w:r>
    </w:p>
    <w:p>
      <w:r>
        <w:rPr>
          <w:b/>
        </w:rPr>
        <w:t xml:space="preserve">Disposition: </w:t>
      </w:r>
      <w:r>
        <w:t>Verify before publication</w:t>
      </w:r>
    </w:p>
    <w:p>
      <w:r>
        <w:rPr>
          <w:b/>
        </w:rPr>
        <w:t xml:space="preserve">Reason: </w:t>
      </w:r>
      <w:r>
        <w:t>Related publications alone do not confirm an implemented regional nanotechnology programme.</w:t>
      </w:r>
    </w:p>
    <w:p>
      <w:r>
        <w:rPr>
          <w:b/>
        </w:rPr>
        <w:t xml:space="preserve">Source checking: </w:t>
      </w:r>
      <w:r>
        <w:t>Account metadata and internal consistency screen only; No (repository review only)</w:t>
      </w:r>
    </w:p>
    <w:p>
      <w:pPr>
        <w:pStyle w:val="Heading2"/>
      </w:pPr>
      <w:r>
        <w:t>16. Towards Europe 2035 (FOCUS, 2013)</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rPr>
        <w:t xml:space="preserve">Source checking: </w:t>
      </w:r>
      <w:r>
        <w:t>Provisional interpretation. Key passages of the original and the official data were read; strategic-culture and transatlantic evidence rests partly on abstracts.; No (repository review only)</w:t>
      </w:r>
    </w:p>
    <w:p>
      <w:r>
        <w:rPr>
          <w:b/>
        </w:rPr>
        <w:t xml:space="preserve">Related evidence case: </w:t>
      </w:r>
      <w:r>
        <w:t>R24-05</w:t>
      </w:r>
    </w:p>
    <w:p>
      <w:pPr>
        <w:pStyle w:val="Heading2"/>
      </w:pPr>
      <w:r>
        <w:t>17. Warming and wetland plants (2013)</w:t>
      </w:r>
    </w:p>
    <w:p>
      <w:r>
        <w:rPr>
          <w:b/>
        </w:rPr>
        <w:t xml:space="preserve">Disposition: </w:t>
      </w:r>
      <w:r>
        <w:t>Not present as verified finding</w:t>
      </w:r>
    </w:p>
    <w:p>
      <w:r>
        <w:rPr>
          <w:b/>
        </w:rPr>
        <w:t xml:space="preserve">Reason: </w:t>
      </w:r>
      <w:r>
        <w:t>An Alaskan wetland experiment cannot validate a European wetland-plant expectation.</w:t>
      </w:r>
    </w:p>
    <w:p>
      <w:r>
        <w:rPr>
          <w:b/>
        </w:rPr>
        <w:t xml:space="preserve">Proposed revised interpretation: </w:t>
      </w:r>
      <w:r>
        <w:t>The cited Alaskan wetland warming experiment cannot directly validate expectations for European wetlands. Identify Europe-specific comparable habitat experiments or classify as unassessed.</w:t>
      </w:r>
    </w:p>
    <w:p>
      <w:r>
        <w:rPr>
          <w:b/>
        </w:rPr>
        <w:t xml:space="preserve">Source checking: </w:t>
      </w:r>
      <w:r>
        <w:t>Account metadata and internal consistency screen only; No (repository review only)</w:t>
      </w:r>
    </w:p>
    <w:p>
      <w:pPr>
        <w:pStyle w:val="Heading2"/>
      </w:pPr>
      <w:r>
        <w:t>18. History of futures, Dutch water scenarios (2012)</w:t>
      </w:r>
    </w:p>
    <w:p>
      <w:r>
        <w:rPr>
          <w:b/>
        </w:rPr>
        <w:t xml:space="preserve">Disposition: </w:t>
      </w:r>
      <w:r>
        <w:t>Retain, with explicit qualification / verification</w:t>
      </w:r>
    </w:p>
    <w:p>
      <w:r>
        <w:rPr>
          <w:b/>
        </w:rPr>
        <w:t xml:space="preserve">Reason: </w:t>
      </w:r>
      <w:r>
        <w:t>Later methodological review is evidence about scholarly practice, not a scenario outcome.</w:t>
      </w:r>
    </w:p>
    <w:p>
      <w:r>
        <w:rPr>
          <w:b/>
        </w:rPr>
        <w:t xml:space="preserve">Source checking: </w:t>
      </w:r>
      <w:r>
        <w:t>Account metadata and internal consistency screen only; No (repository review only)</w:t>
      </w:r>
    </w:p>
    <w:p>
      <w:pPr>
        <w:pStyle w:val="Heading2"/>
      </w:pPr>
      <w:r>
        <w:t>19. After-crisis scenarios for European regions (2012)</w:t>
      </w:r>
    </w:p>
    <w:p>
      <w:r>
        <w:rPr>
          <w:b/>
        </w:rPr>
        <w:t xml:space="preserve">Disposition: </w:t>
      </w:r>
      <w:r>
        <w:t>Substantive revision</w:t>
      </w:r>
    </w:p>
    <w:p>
      <w:r>
        <w:rPr>
          <w:b/>
        </w:rPr>
        <w:t xml:space="preserve">Reason: </w:t>
      </w:r>
      <w:r>
        <w:t>General European regional divergence cannot identify which distinct regional scenario happened.</w:t>
      </w:r>
    </w:p>
    <w:p>
      <w:r>
        <w:rPr>
          <w:b/>
        </w:rPr>
        <w:t xml:space="preserve">Proposed revised interpretation: </w:t>
      </w:r>
      <w:r>
        <w:t>The earlier verdict for ‘After-crisis scenarios for European regions (2012)’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20. Flood adaptation and ecosystem services (2012)</w:t>
      </w:r>
    </w:p>
    <w:p>
      <w:r>
        <w:rPr>
          <w:b/>
        </w:rPr>
        <w:t xml:space="preserve">Disposition: </w:t>
      </w:r>
      <w:r>
        <w:t>Retain, with explicit qualification / verification</w:t>
      </w:r>
    </w:p>
    <w:p>
      <w:r>
        <w:rPr>
          <w:b/>
        </w:rPr>
        <w:t xml:space="preserve">Reason: </w:t>
      </w:r>
      <w:r>
        <w:t>Case-study comparison documents options, not observed efficacy across all flood-adaptation settings.</w:t>
      </w:r>
    </w:p>
    <w:p>
      <w:r>
        <w:rPr>
          <w:b/>
        </w:rPr>
        <w:t xml:space="preserve">Source checking: </w:t>
      </w:r>
      <w:r>
        <w:t>Account metadata and internal consistency screen only; No (repository review only)</w:t>
      </w:r>
    </w:p>
    <w:p>
      <w:pPr>
        <w:pStyle w:val="Heading2"/>
      </w:pPr>
      <w:r>
        <w:t>21. Finland 2050 backcasting (2012)</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rPr>
        <w:t xml:space="preserve">Source checking: </w:t>
      </w:r>
      <w:r>
        <w:t>Abstract-only assessment. Later statistical and official evidence verified.; No (repository review only)</w:t>
      </w:r>
    </w:p>
    <w:p>
      <w:r>
        <w:rPr>
          <w:b/>
        </w:rPr>
        <w:t xml:space="preserve">Related evidence case: </w:t>
      </w:r>
      <w:r>
        <w:t>R24-13</w:t>
      </w:r>
    </w:p>
    <w:p>
      <w:pPr>
        <w:pStyle w:val="Heading2"/>
      </w:pPr>
      <w:r>
        <w:t>22. Vegetation in European Russia (2012)</w:t>
      </w:r>
    </w:p>
    <w:p>
      <w:r>
        <w:rPr>
          <w:b/>
        </w:rPr>
        <w:t xml:space="preserve">Disposition: </w:t>
      </w:r>
      <w:r>
        <w:t>Substantive revision</w:t>
      </w:r>
    </w:p>
    <w:p>
      <w:r>
        <w:rPr>
          <w:b/>
        </w:rPr>
        <w:t xml:space="preserve">Reason: </w:t>
      </w:r>
      <w:r>
        <w:t>Local spruce shares do not establish a continent-wide vegetation projection.</w:t>
      </w:r>
    </w:p>
    <w:p>
      <w:r>
        <w:rPr>
          <w:b/>
        </w:rPr>
        <w:t xml:space="preserve">Proposed revised interpretation: </w:t>
      </w:r>
      <w:r>
        <w:t>The earlier verdict for ‘Vegetation in European Russia (2012)’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23. Horizon scanning and sense-making (BEPA, 2012)</w:t>
      </w:r>
    </w:p>
    <w:p>
      <w:r>
        <w:rPr>
          <w:b/>
        </w:rPr>
        <w:t xml:space="preserve">Disposition: </w:t>
      </w:r>
      <w:r>
        <w:t>Verify before publication</w:t>
      </w:r>
    </w:p>
    <w:p>
      <w:r>
        <w:rPr>
          <w:b/>
        </w:rPr>
        <w:t xml:space="preserve">Reason: </w:t>
      </w:r>
      <w:r>
        <w:t>Methods diffusion is not proof that systematic scanning delivered particular foresight insight.</w:t>
      </w:r>
    </w:p>
    <w:p>
      <w:r>
        <w:rPr>
          <w:b/>
        </w:rPr>
        <w:t xml:space="preserve">Source checking: </w:t>
      </w:r>
      <w:r>
        <w:t>Account metadata and internal consistency screen only; No (repository review only)</w:t>
      </w:r>
    </w:p>
    <w:p>
      <w:pPr>
        <w:pStyle w:val="Heading2"/>
      </w:pPr>
      <w:r>
        <w:t>24. Future ozone exposure (2012)</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rPr>
        <w:t xml:space="preserve">Source checking: </w:t>
      </w:r>
      <w:r>
        <w:t>Provisional interpretation. The original and the key later evidence were read in full; horizon not reached.; No (repository review only)</w:t>
      </w:r>
    </w:p>
    <w:p>
      <w:r>
        <w:rPr>
          <w:b/>
        </w:rPr>
        <w:t xml:space="preserve">Related evidence case: </w:t>
      </w:r>
      <w:r>
        <w:t>R24-08</w:t>
      </w:r>
    </w:p>
    <w:p>
      <w:pPr>
        <w:pStyle w:val="Heading2"/>
      </w:pPr>
      <w:r>
        <w:t>25. Climate change and ozone mortality (2012)</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rPr>
        <w:t xml:space="preserve">Source checking: </w:t>
      </w:r>
      <w:r>
        <w:t>Abstract-only assessment (original); later evidence read in full or in abstract as stated.; No (repository review only)</w:t>
      </w:r>
    </w:p>
    <w:p>
      <w:r>
        <w:rPr>
          <w:b/>
        </w:rPr>
        <w:t xml:space="preserve">Related evidence case: </w:t>
      </w:r>
      <w:r>
        <w:t>R24-09</w:t>
      </w:r>
    </w:p>
    <w:p>
      <w:pPr>
        <w:pStyle w:val="Heading2"/>
      </w:pPr>
      <w:r>
        <w:t>26. UK bioenergy sustainability constraints (2012)</w:t>
      </w:r>
    </w:p>
    <w:p>
      <w:r>
        <w:rPr>
          <w:b/>
        </w:rPr>
        <w:t xml:space="preserve">Disposition: </w:t>
      </w:r>
      <w:r>
        <w:t>Verify before publication</w:t>
      </w:r>
    </w:p>
    <w:p>
      <w:r>
        <w:rPr>
          <w:b/>
        </w:rPr>
        <w:t xml:space="preserve">Reason: </w:t>
      </w:r>
      <w:r>
        <w:t>UK bioenergy strategy adoption is a policy response, not validation of optimistic energy-system scenario.</w:t>
      </w:r>
    </w:p>
    <w:p>
      <w:r>
        <w:rPr>
          <w:b/>
        </w:rPr>
        <w:t xml:space="preserve">Source checking: </w:t>
      </w:r>
      <w:r>
        <w:t>Account metadata and internal consistency screen only; No (repository review only)</w:t>
      </w:r>
    </w:p>
    <w:p>
      <w:pPr>
        <w:pStyle w:val="Heading2"/>
      </w:pPr>
      <w:r>
        <w:t>27. Farmers’ markets, Alberta and BC (2012)</w:t>
      </w:r>
    </w:p>
    <w:p>
      <w:r>
        <w:rPr>
          <w:b/>
        </w:rPr>
        <w:t xml:space="preserve">Disposition: </w:t>
      </w:r>
      <w:r>
        <w:t>Not present as verified finding</w:t>
      </w:r>
    </w:p>
    <w:p>
      <w:r>
        <w:rPr>
          <w:b/>
        </w:rPr>
        <w:t xml:space="preserve">Reason: </w:t>
      </w:r>
      <w:r>
        <w:t>Read as an editorial draft: original claim, later outcome and historical time horizon have not been jointly verified.</w:t>
      </w:r>
    </w:p>
    <w:p>
      <w:r>
        <w:rPr>
          <w:b/>
        </w:rPr>
        <w:t xml:space="preserve">Proposed revised interpretation: </w:t>
      </w:r>
      <w:r>
        <w:t>This study concerns farmers’ markets in Alberta and British Columbia. Remove from European historical-outcome corpus or hold in a labelled non-European comparative appendix.</w:t>
      </w:r>
    </w:p>
    <w:p>
      <w:r>
        <w:rPr>
          <w:b/>
        </w:rPr>
        <w:t xml:space="preserve">Source checking: </w:t>
      </w:r>
      <w:r>
        <w:t>Account metadata and internal consistency screen only; No (repository review only)</w:t>
      </w:r>
    </w:p>
    <w:p>
      <w:pPr>
        <w:pStyle w:val="Heading2"/>
      </w:pPr>
      <w:r>
        <w:t>28. New emerging issues and wild cards (2012)</w:t>
      </w:r>
    </w:p>
    <w:p>
      <w:r>
        <w:rPr>
          <w:b/>
        </w:rPr>
        <w:t xml:space="preserve">Disposition: </w:t>
      </w:r>
      <w:r>
        <w:t>Verify before publication</w:t>
      </w:r>
    </w:p>
    <w:p>
      <w:r>
        <w:rPr>
          <w:b/>
        </w:rPr>
        <w:t xml:space="preserve">Reason: </w:t>
      </w:r>
      <w:r>
        <w:t>Application of scanning methods in Poland is not a test of predicted wild-card events.</w:t>
      </w:r>
    </w:p>
    <w:p>
      <w:r>
        <w:rPr>
          <w:b/>
        </w:rPr>
        <w:t xml:space="preserve">Source checking: </w:t>
      </w:r>
      <w:r>
        <w:t>Account metadata and internal consistency screen only; No (repository review only)</w:t>
      </w:r>
    </w:p>
    <w:p>
      <w:pPr>
        <w:pStyle w:val="Heading2"/>
      </w:pPr>
      <w:r>
        <w:t>29. REMIND-D, Germany (2012)</w:t>
      </w:r>
    </w:p>
    <w:p>
      <w:r>
        <w:rPr>
          <w:b/>
        </w:rPr>
        <w:t xml:space="preserve">Disposition: </w:t>
      </w:r>
      <w:r>
        <w:t>Retain, with explicit qualification / verification</w:t>
      </w:r>
    </w:p>
    <w:p>
      <w:r>
        <w:rPr>
          <w:b/>
        </w:rPr>
        <w:t xml:space="preserve">Reason: </w:t>
      </w:r>
      <w:r>
        <w:t>Observed German emissions and modeled 2045 path must not be treated as a completed 2050 scenario.</w:t>
      </w:r>
    </w:p>
    <w:p>
      <w:r>
        <w:rPr>
          <w:b/>
        </w:rPr>
        <w:t xml:space="preserve">Source checking: </w:t>
      </w:r>
      <w:r>
        <w:t>Account metadata and internal consistency screen only; No (repository review only)</w:t>
      </w:r>
    </w:p>
    <w:p>
      <w:pPr>
        <w:pStyle w:val="Heading2"/>
      </w:pPr>
      <w:r>
        <w:t>30. Organic food market scenarios (2012)</w:t>
      </w:r>
    </w:p>
    <w:p>
      <w:r>
        <w:rPr>
          <w:b/>
        </w:rPr>
        <w:t xml:space="preserve">Disposition: </w:t>
      </w:r>
      <w:r>
        <w:t>Substantive revision</w:t>
      </w:r>
    </w:p>
    <w:p>
      <w:r>
        <w:rPr>
          <w:b/>
        </w:rPr>
        <w:t xml:space="preserve">Reason: </w:t>
      </w:r>
      <w:r>
        <w:t>Organic nominal revenue growth does not show an uninterrupted expansion of real demand or direct test of modeled assumptions.</w:t>
      </w:r>
    </w:p>
    <w:p>
      <w:r>
        <w:rPr>
          <w:b/>
        </w:rPr>
        <w:t xml:space="preserve">Proposed revised interpretation: </w:t>
      </w:r>
      <w:r>
        <w:t>European organic sales reached €58.7 billion in 2024, but nominal turnover growth is not equivalent to continuous real demand growth. After a 2022 market decline, treat the original scenarios as conditional and verify their stated market/time scope.</w:t>
      </w:r>
    </w:p>
    <w:p>
      <w:r>
        <w:rPr>
          <w:b/>
        </w:rPr>
        <w:t xml:space="preserve">Source checking: </w:t>
      </w:r>
      <w:r>
        <w:t>Account metadata and internal consistency screen only; Yes (selected independent data)</w:t>
      </w:r>
    </w:p>
    <w:p>
      <w:pPr>
        <w:pStyle w:val="Heading2"/>
      </w:pPr>
      <w:r>
        <w:t>31. Aedes albopictus suitability (2012)</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rPr>
        <w:t xml:space="preserve">Source checking: </w:t>
      </w:r>
      <w:r>
        <w:t>Source-verified. The original was read in full, and the ECDC pages and key later studies were read directly.; No (repository review only)</w:t>
      </w:r>
    </w:p>
    <w:p>
      <w:r>
        <w:rPr>
          <w:b/>
        </w:rPr>
        <w:t xml:space="preserve">Related evidence case: </w:t>
      </w:r>
      <w:r>
        <w:t>R24-10</w:t>
      </w:r>
    </w:p>
    <w:p>
      <w:pPr>
        <w:pStyle w:val="Heading2"/>
      </w:pPr>
      <w:r>
        <w:t>32. Dutch GP workforce planning (2012)</w:t>
      </w:r>
    </w:p>
    <w:p>
      <w:r>
        <w:rPr>
          <w:b/>
        </w:rPr>
        <w:t xml:space="preserve">Disposition: </w:t>
      </w:r>
      <w:r>
        <w:t>Substantive revision</w:t>
      </w:r>
    </w:p>
    <w:p>
      <w:r>
        <w:rPr>
          <w:b/>
        </w:rPr>
        <w:t xml:space="preserve">Reason: </w:t>
      </w:r>
      <w:r>
        <w:t>Practice closures measure access; original health-workforce planning evaluation is not itself a shortage-free prediction.</w:t>
      </w:r>
    </w:p>
    <w:p>
      <w:r>
        <w:rPr>
          <w:b/>
        </w:rPr>
        <w:t xml:space="preserve">Proposed revised interpretation: </w:t>
      </w:r>
      <w:r>
        <w:t>The earlier verdict for ‘Dutch GP workforce planning (2012)’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33. CIRCE Mediterranean projections (2012)</w:t>
      </w:r>
    </w:p>
    <w:p>
      <w:r>
        <w:rPr>
          <w:b/>
        </w:rPr>
        <w:t xml:space="preserve">Disposition: </w:t>
      </w:r>
      <w:r>
        <w:t>Retain, with explicit qualification / verification</w:t>
      </w:r>
    </w:p>
    <w:p>
      <w:r>
        <w:rPr>
          <w:b/>
        </w:rPr>
        <w:t xml:space="preserve">Reason: </w:t>
      </w:r>
      <w:r>
        <w:t>One drought episode cannot validate 2050 regional-climate-model output.</w:t>
      </w:r>
    </w:p>
    <w:p>
      <w:r>
        <w:rPr>
          <w:b/>
        </w:rPr>
        <w:t xml:space="preserve">Source checking: </w:t>
      </w:r>
      <w:r>
        <w:t>Account metadata and internal consistency screen only; No (repository review only)</w:t>
      </w:r>
    </w:p>
    <w:p>
      <w:pPr>
        <w:pStyle w:val="Heading2"/>
      </w:pPr>
      <w:r>
        <w:t>34. The Great Future Debate (2012)</w:t>
      </w:r>
    </w:p>
    <w:p>
      <w:r>
        <w:rPr>
          <w:b/>
        </w:rPr>
        <w:t xml:space="preserve">Disposition: </w:t>
      </w:r>
      <w:r>
        <w:t>Not present as verified finding</w:t>
      </w:r>
    </w:p>
    <w:p>
      <w:r>
        <w:rPr>
          <w:b/>
        </w:rPr>
        <w:t xml:space="preserve">Reason: </w:t>
      </w:r>
      <w:r>
        <w:t>Historiography of futures is not a future-facing forecast; later academic work is not a realisation test.</w:t>
      </w:r>
    </w:p>
    <w:p>
      <w:r>
        <w:rPr>
          <w:b/>
        </w:rPr>
        <w:t xml:space="preserve">Proposed revised interpretation: </w:t>
      </w:r>
      <w:r>
        <w:t>The historical “Great Future Debate” article analyzes intellectual traditions of futures thinking. It does not set a specified future event whose occurrence can be scored; retain as methodological history.</w:t>
      </w:r>
    </w:p>
    <w:p>
      <w:r>
        <w:rPr>
          <w:b/>
        </w:rPr>
        <w:t xml:space="preserve">Source checking: </w:t>
      </w:r>
      <w:r>
        <w:t>Account metadata and internal consistency screen only; No (repository review only)</w:t>
      </w:r>
    </w:p>
    <w:p>
      <w:pPr>
        <w:pStyle w:val="Heading2"/>
      </w:pPr>
      <w:r>
        <w:t>35. EU direct payments (2012)</w:t>
      </w:r>
    </w:p>
    <w:p>
      <w:r>
        <w:rPr>
          <w:b/>
        </w:rPr>
        <w:t xml:space="preserve">Disposition: </w:t>
      </w:r>
      <w:r>
        <w:t>Retain, with explicit qualification / verification</w:t>
      </w:r>
    </w:p>
    <w:p>
      <w:r>
        <w:rPr>
          <w:b/>
        </w:rPr>
        <w:t xml:space="preserve">Reason: </w:t>
      </w:r>
      <w:r>
        <w:t>CAP reform adoption is a policy decision; comparison requires matching the original alternatives.</w:t>
      </w:r>
    </w:p>
    <w:p>
      <w:r>
        <w:rPr>
          <w:b/>
        </w:rPr>
        <w:t xml:space="preserve">Source checking: </w:t>
      </w:r>
      <w:r>
        <w:t>Account metadata and internal consistency screen only; No (repository review only)</w:t>
      </w:r>
    </w:p>
    <w:p>
      <w:pPr>
        <w:pStyle w:val="Heading2"/>
      </w:pPr>
      <w:r>
        <w:t>36. UK water adaptation with weather generators (2012)</w:t>
      </w:r>
    </w:p>
    <w:p>
      <w:r>
        <w:rPr>
          <w:b/>
        </w:rPr>
        <w:t xml:space="preserve">Disposition: </w:t>
      </w:r>
      <w:r>
        <w:t>Retain, with explicit qualification / verification</w:t>
      </w:r>
    </w:p>
    <w:p>
      <w:r>
        <w:rPr>
          <w:b/>
        </w:rPr>
        <w:t xml:space="preserve">Reason: </w:t>
      </w:r>
      <w:r>
        <w:t>Methods remained in scholarly use; that does not independently verify water-adaptation scenario outcome.</w:t>
      </w:r>
    </w:p>
    <w:p>
      <w:r>
        <w:rPr>
          <w:b/>
        </w:rPr>
        <w:t xml:space="preserve">Source checking: </w:t>
      </w:r>
      <w:r>
        <w:t>Account metadata and internal consistency screen only; No (repository review only)</w:t>
      </w:r>
    </w:p>
    <w:p>
      <w:pPr>
        <w:pStyle w:val="Heading2"/>
      </w:pPr>
      <w:r>
        <w:t>37. NHS nursing supply (2012)</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rPr>
        <w:t xml:space="preserve">Source checking: </w:t>
      </w:r>
      <w:r>
        <w:t>Source-verified, with comparability caveats.; Yes (selected independent data)</w:t>
      </w:r>
    </w:p>
    <w:p>
      <w:r>
        <w:rPr>
          <w:b/>
        </w:rPr>
        <w:t xml:space="preserve">Related evidence case: </w:t>
      </w:r>
      <w:r>
        <w:t>R24-16</w:t>
      </w:r>
    </w:p>
    <w:p>
      <w:pPr>
        <w:pStyle w:val="Heading2"/>
      </w:pPr>
      <w:r>
        <w:t>38. Eurozone scenarios (2012)</w:t>
      </w:r>
    </w:p>
    <w:p>
      <w:r>
        <w:rPr>
          <w:b/>
        </w:rPr>
        <w:t xml:space="preserve">Disposition: </w:t>
      </w:r>
      <w:r>
        <w:t>Retain, with explicit qualification / verification</w:t>
      </w:r>
    </w:p>
    <w:p>
      <w:r>
        <w:rPr>
          <w:b/>
        </w:rPr>
        <w:t xml:space="preserve">Reason: </w:t>
      </w:r>
      <w:r>
        <w:t>Euro-zone pathways were alternatives, not a binary bet that the currency would collapse.</w:t>
      </w:r>
    </w:p>
    <w:p>
      <w:r>
        <w:rPr>
          <w:b/>
        </w:rPr>
        <w:t xml:space="preserve">Source checking: </w:t>
      </w:r>
      <w:r>
        <w:t>Account metadata and internal consistency screen only; No (repository review only)</w:t>
      </w:r>
    </w:p>
    <w:p>
      <w:pPr>
        <w:pStyle w:val="Heading2"/>
      </w:pPr>
      <w:r>
        <w:t>39. Climate change and power-sector water use (2012)</w:t>
      </w:r>
    </w:p>
    <w:p>
      <w:r>
        <w:rPr>
          <w:b/>
        </w:rPr>
        <w:t xml:space="preserve">Disposition: </w:t>
      </w:r>
      <w:r>
        <w:t>Retain, with explicit qualification / verification</w:t>
      </w:r>
    </w:p>
    <w:p>
      <w:r>
        <w:rPr>
          <w:b/>
        </w:rPr>
        <w:t xml:space="preserve">Reason: </w:t>
      </w:r>
      <w:r>
        <w:t>Reported cooling-water abstraction depends on policy, demand and thermal mix as well as climate.</w:t>
      </w:r>
    </w:p>
    <w:p>
      <w:r>
        <w:rPr>
          <w:b/>
        </w:rPr>
        <w:t xml:space="preserve">Source checking: </w:t>
      </w:r>
      <w:r>
        <w:t>Account metadata and internal consistency screen only; No (repository review only)</w:t>
      </w:r>
    </w:p>
    <w:p>
      <w:pPr>
        <w:pStyle w:val="Heading2"/>
      </w:pPr>
      <w:r>
        <w:t>40. Energy landscapes (2012)</w:t>
      </w:r>
    </w:p>
    <w:p>
      <w:r>
        <w:rPr>
          <w:b/>
        </w:rPr>
        <w:t xml:space="preserve">Disposition: </w:t>
      </w:r>
      <w:r>
        <w:t>Not present as verified finding</w:t>
      </w:r>
    </w:p>
    <w:p>
      <w:r>
        <w:rPr>
          <w:b/>
        </w:rPr>
        <w:t xml:space="preserve">Reason: </w:t>
      </w:r>
      <w:r>
        <w:t>Growth of research literature on energy landscapes is not evidence the envisaged social transition happened.</w:t>
      </w:r>
    </w:p>
    <w:p>
      <w:r>
        <w:rPr>
          <w:b/>
        </w:rPr>
        <w:t xml:space="preserve">Proposed revised interpretation: </w:t>
      </w:r>
      <w:r>
        <w:t>The subsequent growth of “energy landscapes” scholarship supports research-field influence, not deployment of the envisioned infrastructure or a successful forecast. Mark as intellectual-development evidence only.</w:t>
      </w:r>
    </w:p>
    <w:p>
      <w:r>
        <w:rPr>
          <w:b/>
        </w:rPr>
        <w:t xml:space="preserve">Source checking: </w:t>
      </w:r>
      <w:r>
        <w:t>Account metadata and internal consistency screen only; No (repository review only)</w:t>
      </w:r>
    </w:p>
    <w:p>
      <w:pPr>
        <w:pStyle w:val="Heading2"/>
      </w:pPr>
      <w:r>
        <w:t>41. Organic food demand (2011)</w:t>
      </w:r>
    </w:p>
    <w:p>
      <w:r>
        <w:rPr>
          <w:b/>
        </w:rPr>
        <w:t xml:space="preserve">Disposition: </w:t>
      </w:r>
      <w:r>
        <w:t>Substantive revision</w:t>
      </w:r>
    </w:p>
    <w:p>
      <w:r>
        <w:rPr>
          <w:b/>
        </w:rPr>
        <w:t xml:space="preserve">Reason: </w:t>
      </w:r>
      <w:r>
        <w:t>Organic demand data need quantities and matched geography, not Europe-wide nominal figures alone.</w:t>
      </w:r>
    </w:p>
    <w:p>
      <w:r>
        <w:rPr>
          <w:b/>
        </w:rPr>
        <w:t xml:space="preserve">Proposed revised interpretation: </w:t>
      </w:r>
      <w:r>
        <w:t>The earlier verdict for ‘Organic food demand (2011)’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42. Ageing and productivity, Bulgaria (2011)</w:t>
      </w:r>
    </w:p>
    <w:p>
      <w:r>
        <w:rPr>
          <w:b/>
        </w:rPr>
        <w:t xml:space="preserve">Disposition: </w:t>
      </w:r>
      <w:r>
        <w:t>Substantive revision</w:t>
      </w:r>
    </w:p>
    <w:p>
      <w:r>
        <w:rPr>
          <w:b/>
        </w:rPr>
        <w:t xml:space="preserve">Reason: </w:t>
      </w:r>
      <w:r>
        <w:t>Later Eurostat productivity series directly contradict any inference that ageing requires falling measured productivity.</w:t>
      </w:r>
    </w:p>
    <w:p>
      <w:r>
        <w:rPr>
          <w:b/>
        </w:rPr>
        <w:t xml:space="preserve">Proposed revised interpretation: </w:t>
      </w:r>
      <w:r>
        <w:t>Bulgaria aged and lost population, while Eurostat reports real labour productivity increased from 2011 to 2024. A long-run demographic sensitivity analysis cannot be graded from the sign of observed productivity; separate demographic drag from productivity determinants.</w:t>
      </w:r>
    </w:p>
    <w:p>
      <w:r>
        <w:rPr>
          <w:b/>
        </w:rPr>
        <w:t xml:space="preserve">Source checking: </w:t>
      </w:r>
      <w:r>
        <w:t>Account metadata and internal consistency screen only; Yes (selected independent data)</w:t>
      </w:r>
    </w:p>
    <w:p>
      <w:pPr>
        <w:pStyle w:val="Heading2"/>
      </w:pPr>
      <w:r>
        <w:t>43. European trees’ future ranges (2011)</w:t>
      </w:r>
    </w:p>
    <w:p>
      <w:r>
        <w:rPr>
          <w:b/>
        </w:rPr>
        <w:t xml:space="preserve">Disposition: </w:t>
      </w:r>
      <w:r>
        <w:t>Substantive revision</w:t>
      </w:r>
    </w:p>
    <w:p>
      <w:r>
        <w:rPr>
          <w:b/>
        </w:rPr>
        <w:t xml:space="preserve">Reason: </w:t>
      </w:r>
      <w:r>
        <w:t>Independent field data on migration constraints now exist; earlier “only newer projections” claim needs revision.</w:t>
      </w:r>
    </w:p>
    <w:p>
      <w:r>
        <w:rPr>
          <w:b/>
        </w:rPr>
        <w:t xml:space="preserve">Proposed revised interpretation: </w:t>
      </w:r>
      <w:r>
        <w:t>European field observations of tree-elevation response and drought-linked mortality now exist. They provide partial, species-specific tests of migration constraints, not a full validation of 2050 distribution maps.</w:t>
      </w:r>
    </w:p>
    <w:p>
      <w:r>
        <w:rPr>
          <w:b/>
        </w:rPr>
        <w:t xml:space="preserve">Source checking: </w:t>
      </w:r>
      <w:r>
        <w:t>Account metadata and internal consistency screen only; No (repository review only)</w:t>
      </w:r>
    </w:p>
    <w:p>
      <w:pPr>
        <w:pStyle w:val="Heading2"/>
      </w:pPr>
      <w:r>
        <w:t>44. BPM research issues (2011)</w:t>
      </w:r>
    </w:p>
    <w:p>
      <w:r>
        <w:rPr>
          <w:b/>
        </w:rPr>
        <w:t xml:space="preserve">Disposition: </w:t>
      </w:r>
      <w:r>
        <w:t>Not present as verified finding</w:t>
      </w:r>
    </w:p>
    <w:p>
      <w:r>
        <w:rPr>
          <w:b/>
        </w:rPr>
        <w:t xml:space="preserve">Reason: </w:t>
      </w:r>
      <w:r>
        <w:t>A later study on organizational BPM culture is thematic continuity, not proof of future research prediction.</w:t>
      </w:r>
    </w:p>
    <w:p>
      <w:r>
        <w:rPr>
          <w:b/>
        </w:rPr>
        <w:t xml:space="preserve">Proposed revised interpretation: </w:t>
      </w:r>
      <w:r>
        <w:t>A 2022 BPM culture-performance study addresses a related topic; without a specific empirical outcome predicted in 2011, describe research-agenda continuity rather than “confirmed” foresight.</w:t>
      </w:r>
    </w:p>
    <w:p>
      <w:r>
        <w:rPr>
          <w:b/>
        </w:rPr>
        <w:t xml:space="preserve">Source checking: </w:t>
      </w:r>
      <w:r>
        <w:t>Account metadata and internal consistency screen only; No (repository review only)</w:t>
      </w:r>
    </w:p>
    <w:p>
      <w:pPr>
        <w:pStyle w:val="Heading2"/>
      </w:pPr>
      <w:r>
        <w:t>45. Pharmaceutical consumption, Netherlands (2011)</w:t>
      </w:r>
    </w:p>
    <w:p>
      <w:r>
        <w:rPr>
          <w:b/>
        </w:rPr>
        <w:t xml:space="preserve">Disposition: </w:t>
      </w:r>
      <w:r>
        <w:t>Substantive revision</w:t>
      </w:r>
    </w:p>
    <w:p>
      <w:r>
        <w:rPr>
          <w:b/>
        </w:rPr>
        <w:t xml:space="preserve">Reason: </w:t>
      </w:r>
      <w:r>
        <w:t>Pharmaceutical residues and age structure confirm relevance, not the paper’s predicted tonnes by compound.</w:t>
      </w:r>
    </w:p>
    <w:p>
      <w:r>
        <w:rPr>
          <w:b/>
        </w:rPr>
        <w:t xml:space="preserve">Proposed revised interpretation: </w:t>
      </w:r>
      <w:r>
        <w:t>The Netherlands aged and pharmacy dispensing changed, but the 2011 study estimated the demographic contribution to compound-specific drug mass and effluent. Obtain matched prescribed-mass and residues series before claiming the projection held.</w:t>
      </w:r>
    </w:p>
    <w:p>
      <w:r>
        <w:rPr>
          <w:b/>
        </w:rPr>
        <w:t xml:space="preserve">Source checking: </w:t>
      </w:r>
      <w:r>
        <w:t>Account metadata and internal consistency screen only; No (repository review only)</w:t>
      </w:r>
    </w:p>
    <w:p>
      <w:pPr>
        <w:pStyle w:val="Heading2"/>
      </w:pPr>
      <w:r>
        <w:t>46. EU transport energy to 2030 (2011)</w:t>
      </w:r>
    </w:p>
    <w:p>
      <w:r>
        <w:rPr>
          <w:b/>
        </w:rPr>
        <w:t xml:space="preserve">Disposition: </w:t>
      </w:r>
      <w:r>
        <w:t>Substantive revision</w:t>
      </w:r>
    </w:p>
    <w:p>
      <w:r>
        <w:rPr>
          <w:b/>
        </w:rPr>
        <w:t xml:space="preserve">Reason: </w:t>
      </w:r>
      <w:r>
        <w:t>The paper contains two policy-conditional transport scenarios; assessing against one unconditional emission direction is wrong.</w:t>
      </w:r>
    </w:p>
    <w:p>
      <w:r>
        <w:rPr>
          <w:b/>
        </w:rPr>
        <w:t xml:space="preserve">Proposed revised interpretation: </w:t>
      </w:r>
      <w:r>
        <w:t>The 2011 EU transport analysis contrasted a 2030 reference pathway with a policy-conditional integrated pathway (-12% emissions vs 2005); neither is an unconditional prediction. Compare harmonized transport inventory definitions and keep 2030 as premature.</w:t>
      </w:r>
    </w:p>
    <w:p>
      <w:r>
        <w:rPr>
          <w:b/>
        </w:rPr>
        <w:t xml:space="preserve">Source checking: </w:t>
      </w:r>
      <w:r>
        <w:t>Account metadata and internal consistency screen only; Yes (selected independent data)</w:t>
      </w:r>
    </w:p>
    <w:p>
      <w:pPr>
        <w:pStyle w:val="Heading2"/>
      </w:pPr>
      <w:r>
        <w:t>47. Finland–Russia rail deregulation (2011)</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rPr>
        <w:t xml:space="preserve">Source checking: </w:t>
      </w:r>
      <w:r>
        <w:t>Abstract-only assessment. Post-2023 border arrangements provisional.; No (repository review only)</w:t>
      </w:r>
    </w:p>
    <w:p>
      <w:r>
        <w:rPr>
          <w:b/>
        </w:rPr>
        <w:t xml:space="preserve">Related evidence case: </w:t>
      </w:r>
      <w:r>
        <w:t>R24-12</w:t>
      </w:r>
    </w:p>
    <w:p>
      <w:pPr>
        <w:pStyle w:val="Heading2"/>
      </w:pPr>
      <w:r>
        <w:t>48. Fiscal sustainability and forecast accuracy (2011)</w:t>
      </w:r>
    </w:p>
    <w:p>
      <w:r>
        <w:rPr>
          <w:b/>
        </w:rPr>
        <w:t xml:space="preserve">Disposition: </w:t>
      </w:r>
      <w:r>
        <w:t>Substantive revision</w:t>
      </w:r>
    </w:p>
    <w:p>
      <w:r>
        <w:rPr>
          <w:b/>
        </w:rPr>
        <w:t xml:space="preserve">Reason: </w:t>
      </w:r>
      <w:r>
        <w:t>Legislative requirement for comparing forecasts is a response to forecast bias, not proof the bias was eliminated.</w:t>
      </w:r>
    </w:p>
    <w:p>
      <w:r>
        <w:rPr>
          <w:b/>
        </w:rPr>
        <w:t xml:space="preserve">Proposed revised interpretation: </w:t>
      </w:r>
      <w:r>
        <w:t>EU fiscal rules now mandate independent forecast evaluation and comparison with Commission projections. This is a policy response consistent with a 2011 recommendation, not proof that optimistic bias was removed.</w:t>
      </w:r>
    </w:p>
    <w:p>
      <w:r>
        <w:rPr>
          <w:b/>
        </w:rPr>
        <w:t xml:space="preserve">Source checking: </w:t>
      </w:r>
      <w:r>
        <w:t>Account metadata and internal consistency screen only; Yes (selected independent data)</w:t>
      </w:r>
    </w:p>
    <w:p>
      <w:pPr>
        <w:pStyle w:val="Heading2"/>
      </w:pPr>
      <w:r>
        <w:t>49. UK food futures (2011)</w:t>
      </w:r>
    </w:p>
    <w:p>
      <w:r>
        <w:rPr>
          <w:b/>
        </w:rPr>
        <w:t xml:space="preserve">Disposition: </w:t>
      </w:r>
      <w:r>
        <w:t>Substantive revision</w:t>
      </w:r>
    </w:p>
    <w:p>
      <w:r>
        <w:rPr>
          <w:b/>
        </w:rPr>
        <w:t xml:space="preserve">Reason: </w:t>
      </w:r>
      <w:r>
        <w:t>Food price spike and supply-chain resilience are distinct from the transition scenarios in the original.</w:t>
      </w:r>
    </w:p>
    <w:p>
      <w:r>
        <w:rPr>
          <w:b/>
        </w:rPr>
        <w:t xml:space="preserve">Proposed revised interpretation: </w:t>
      </w:r>
      <w:r>
        <w:t>The earlier verdict for ‘UK food futures (2011)’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50. Metrology research foresight (2011)</w:t>
      </w:r>
    </w:p>
    <w:p>
      <w:r>
        <w:rPr>
          <w:b/>
        </w:rPr>
        <w:t xml:space="preserve">Disposition: </w:t>
      </w:r>
      <w:r>
        <w:t>Substantive revision</w:t>
      </w:r>
    </w:p>
    <w:p>
      <w:r>
        <w:rPr>
          <w:b/>
        </w:rPr>
        <w:t xml:space="preserve">Reason: </w:t>
      </w:r>
      <w:r>
        <w:t>Research funding programme delivery does not prove foresight was causally successful.</w:t>
      </w:r>
    </w:p>
    <w:p>
      <w:r>
        <w:rPr>
          <w:b/>
        </w:rPr>
        <w:t xml:space="preserve">Proposed revised interpretation: </w:t>
      </w:r>
      <w:r>
        <w:t>The earlier verdict for ‘Metrology research foresight (2011)’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51. Depressed English region and education (2011)</w:t>
      </w:r>
    </w:p>
    <w:p>
      <w:r>
        <w:rPr>
          <w:b/>
        </w:rPr>
        <w:t xml:space="preserve">Disposition: </w:t>
      </w:r>
      <w:r>
        <w:t>Substantive revision</w:t>
      </w:r>
    </w:p>
    <w:p>
      <w:r>
        <w:rPr>
          <w:b/>
        </w:rPr>
        <w:t xml:space="preserve">Reason: </w:t>
      </w:r>
      <w:r>
        <w:t>Education participation policy implemented, but causal effects and region must match the forecast.</w:t>
      </w:r>
    </w:p>
    <w:p>
      <w:r>
        <w:rPr>
          <w:b/>
        </w:rPr>
        <w:t xml:space="preserve">Proposed revised interpretation: </w:t>
      </w:r>
      <w:r>
        <w:t>The earlier verdict for ‘Depressed English region and education (2011)’ should be withheld. The original proposition and later observations have not yet been compared on a matched outcome, geography, definition and horizon; the cited material establishes at most a related development.</w:t>
      </w:r>
    </w:p>
    <w:p>
      <w:r>
        <w:rPr>
          <w:b/>
        </w:rPr>
        <w:t xml:space="preserve">Source checking: </w:t>
      </w:r>
      <w:r>
        <w:t>Account metadata and internal consistency screen only; No (repository review only)</w:t>
      </w:r>
    </w:p>
    <w:p>
      <w:pPr>
        <w:pStyle w:val="Heading2"/>
      </w:pPr>
      <w:r>
        <w:t>52. Waste facility health impacts (2011)</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rPr>
        <w:t xml:space="preserve">Source checking: </w:t>
      </w:r>
      <w:r>
        <w:t>Provisional interpretation. The original and the waste statistics were verified; the later epidemiology is abstract-only.; No (repository review only)</w:t>
      </w:r>
    </w:p>
    <w:p>
      <w:r>
        <w:rPr>
          <w:b/>
        </w:rPr>
        <w:t xml:space="preserve">Related evidence case: </w:t>
      </w:r>
      <w:r>
        <w:t>R24-17</w:t>
      </w:r>
    </w:p>
    <w:p>
      <w:pPr>
        <w:pStyle w:val="Heading2"/>
      </w:pPr>
      <w:r>
        <w:t>53. Integrating foresight into government (2011)</w:t>
      </w:r>
    </w:p>
    <w:p>
      <w:r>
        <w:rPr>
          <w:b/>
        </w:rPr>
        <w:t xml:space="preserve">Disposition: </w:t>
      </w:r>
      <w:r>
        <w:t>Retain, with explicit qualification / verification</w:t>
      </w:r>
    </w:p>
    <w:p>
      <w:r>
        <w:rPr>
          <w:b/>
        </w:rPr>
        <w:t xml:space="preserve">Reason: </w:t>
      </w:r>
      <w:r>
        <w:t>Evidence of national foresight exercises shows institutional uptake, not overall government integration.</w:t>
      </w:r>
    </w:p>
    <w:p>
      <w:r>
        <w:rPr>
          <w:b/>
        </w:rPr>
        <w:t xml:space="preserve">Source checking: </w:t>
      </w:r>
      <w:r>
        <w:t>Account metadata and internal consistency screen only; No (repository review only)</w:t>
      </w:r>
    </w:p>
    <w:p>
      <w:pPr>
        <w:pStyle w:val="Heading2"/>
      </w:pPr>
      <w:r>
        <w:t>54. Foresight tackling obesities (2011)</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rPr>
        <w:t xml:space="preserve">Source checking: </w:t>
      </w:r>
      <w:r>
        <w:t>Source-verified (the abstract was read in full; the projections it summarises and the key outcome sources were read in full).; Yes (selected independent data)</w:t>
      </w:r>
    </w:p>
    <w:p>
      <w:r>
        <w:rPr>
          <w:b/>
        </w:rPr>
        <w:t xml:space="preserve">Related evidence case: </w:t>
      </w:r>
      <w:r>
        <w:t>R24-14</w:t>
      </w:r>
    </w:p>
    <w:p>
      <w:pPr>
        <w:pStyle w:val="Heading2"/>
      </w:pPr>
      <w:r>
        <w:t>55. Operational earthquake forecasting (2011)</w:t>
      </w:r>
    </w:p>
    <w:p>
      <w:r>
        <w:rPr>
          <w:b/>
        </w:rPr>
        <w:t xml:space="preserve">Disposition: </w:t>
      </w:r>
      <w:r>
        <w:t>Retain, with explicit qualification / verification</w:t>
      </w:r>
    </w:p>
    <w:p>
      <w:r>
        <w:rPr>
          <w:b/>
        </w:rPr>
        <w:t xml:space="preserve">Reason: </w:t>
      </w:r>
      <w:r>
        <w:t>Operational earthquake forecast systems do not directly demonstrate improved earthquake occurrence prediction.</w:t>
      </w:r>
    </w:p>
    <w:p>
      <w:r>
        <w:rPr>
          <w:b/>
        </w:rPr>
        <w:t xml:space="preserve">Source checking: </w:t>
      </w:r>
      <w:r>
        <w:t>Account metadata and internal consistency screen only; No (repository review only)</w:t>
      </w:r>
    </w:p>
    <w:p>
      <w:pPr>
        <w:pStyle w:val="Heading2"/>
      </w:pPr>
      <w:r>
        <w:t>56. POPs under climate change (2011)</w:t>
      </w:r>
    </w:p>
    <w:p>
      <w:r>
        <w:rPr>
          <w:b/>
        </w:rPr>
        <w:t xml:space="preserve">Disposition: </w:t>
      </w:r>
      <w:r>
        <w:t>Verify before publication</w:t>
      </w:r>
    </w:p>
    <w:p>
      <w:r>
        <w:rPr>
          <w:b/>
        </w:rPr>
        <w:t xml:space="preserve">Reason: </w:t>
      </w:r>
      <w:r>
        <w:t>Arctic contaminant trends differ geographically from source European model outputs.</w:t>
      </w:r>
    </w:p>
    <w:p>
      <w:r>
        <w:rPr>
          <w:b/>
        </w:rPr>
        <w:t xml:space="preserve">Source checking: </w:t>
      </w:r>
      <w:r>
        <w:t>Account metadata and internal consistency screen only; No (repository review only)</w:t>
      </w:r>
    </w:p>
    <w:p>
      <w:pPr>
        <w:pStyle w:val="Heading2"/>
      </w:pPr>
      <w:r>
        <w:t>57. Constructivist forecasting, EU as a military power (2011)</w:t>
      </w:r>
    </w:p>
    <w:p>
      <w:r>
        <w:rPr>
          <w:b/>
        </w:rPr>
        <w:t xml:space="preserve">Disposition: </w:t>
      </w:r>
      <w:r>
        <w:t>Substantive revision</w:t>
      </w:r>
    </w:p>
    <w:p>
      <w:r>
        <w:rPr>
          <w:b/>
        </w:rPr>
        <w:t xml:space="preserve">Reason: </w:t>
      </w:r>
      <w:r>
        <w:t>October 2026 review proposes a source-specific interpretation but horizon and verification limitations must remain attached.</w:t>
      </w:r>
    </w:p>
    <w:p>
      <w:r>
        <w:rPr>
          <w:b/>
        </w:rPr>
        <w:t xml:space="preserve">Proposed revised interpretation: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rPr>
        <w:t xml:space="preserve">Source checking: </w:t>
      </w:r>
      <w:r>
        <w:t>Abstract-only assessment. Flagged for source verification of the original’s substantive trajectories.; No (repository review only)</w:t>
      </w:r>
    </w:p>
    <w:p>
      <w:r>
        <w:rPr>
          <w:b/>
        </w:rPr>
        <w:t xml:space="preserve">Related evidence case: </w:t>
      </w:r>
      <w:r>
        <w:t>R24-06</w:t>
      </w:r>
    </w:p>
    <w:p>
      <w:pPr>
        <w:pStyle w:val="Heading2"/>
      </w:pPr>
      <w:r>
        <w:t>58. Swedish forest products (2011)</w:t>
      </w:r>
    </w:p>
    <w:p>
      <w:r>
        <w:rPr>
          <w:b/>
        </w:rPr>
        <w:t xml:space="preserve">Disposition: </w:t>
      </w:r>
      <w:r>
        <w:t>Substantive revision</w:t>
      </w:r>
    </w:p>
    <w:p>
      <w:r>
        <w:rPr>
          <w:b/>
        </w:rPr>
        <w:t xml:space="preserve">Reason: </w:t>
      </w:r>
      <w:r>
        <w:t>Swedish sector-level FAOSTAT evidence is available; the account incorrectly says it lacks Swedish market data.</w:t>
      </w:r>
    </w:p>
    <w:p>
      <w:r>
        <w:rPr>
          <w:b/>
        </w:rPr>
        <w:t xml:space="preserve">Proposed revised interpretation: </w:t>
      </w:r>
      <w:r>
        <w:t>FAOSTAT shows Swedish graphic-paper production fell markedly between 2010 and 2024; the original 2011 scenario anticipated ICT-driven demand substitution. Add the actual Swedish series, distinguish packaging from printing grades, and keep 2050 contingent.</w:t>
      </w:r>
    </w:p>
    <w:p>
      <w:r>
        <w:rPr>
          <w:b/>
        </w:rPr>
        <w:t xml:space="preserve">Source checking: </w:t>
      </w:r>
      <w:r>
        <w:t>Account metadata and internal consistency screen only; Yes (selected independent data)</w:t>
      </w:r>
    </w:p>
    <w:p>
      <w:pPr>
        <w:pStyle w:val="Heading2"/>
      </w:pPr>
      <w:r>
        <w:t>59. EU gas supply options and the Southern Gas Corridor (2013)</w:t>
      </w:r>
    </w:p>
    <w:p>
      <w:r>
        <w:rPr>
          <w:b/>
        </w:rPr>
        <w:t xml:space="preserve">Disposition: </w:t>
      </w:r>
      <w:r>
        <w:t>Substantive revision</w:t>
      </w:r>
    </w:p>
    <w:p>
      <w:r>
        <w:rPr>
          <w:b/>
        </w:rPr>
        <w:t xml:space="preserve">Reason: </w:t>
      </w:r>
      <w:r>
        <w:t>Abstract-only original source: the 80% gas-import estimate and corridor comparison are not full-text checked.</w:t>
      </w:r>
    </w:p>
    <w:p>
      <w:r>
        <w:rPr>
          <w:b/>
        </w:rPr>
        <w:t xml:space="preserve">Proposed revised interpretation: </w:t>
      </w:r>
      <w:r>
        <w:t>The 2013 gas-supply paper correctly identified a dependence vulnerability, but consumption did not keep growing as expected. The Southern Corridor opened at modest scale; the 2022 gas shock redirected diversification to demand cuts, LNG and accelerated phase-out regulation.</w:t>
      </w:r>
    </w:p>
    <w:p>
      <w:r>
        <w:rPr>
          <w:b/>
        </w:rPr>
        <w:t xml:space="preserve">Source checking: </w:t>
      </w:r>
      <w:r>
        <w:t>Abstract-only assessment. Later statistical and legal evidence was read in full.; Yes (selected independent data)</w:t>
      </w:r>
    </w:p>
    <w:p>
      <w:r>
        <w:rPr>
          <w:b/>
        </w:rPr>
        <w:t xml:space="preserve">Related evidence case: </w:t>
      </w:r>
      <w:r>
        <w:t>R24-01</w:t>
      </w:r>
    </w:p>
    <w:p>
      <w:pPr>
        <w:pStyle w:val="Heading2"/>
      </w:pPr>
      <w:r>
        <w:t>60. Renewable electricity from North Africa for Europe, 2050 (2014)</w:t>
      </w:r>
    </w:p>
    <w:p>
      <w:r>
        <w:rPr>
          <w:b/>
        </w:rPr>
        <w:t xml:space="preserve">Disposition: </w:t>
      </w:r>
      <w:r>
        <w:t>Substantive revision</w:t>
      </w:r>
    </w:p>
    <w:p>
      <w:r>
        <w:rPr>
          <w:b/>
        </w:rPr>
        <w:t xml:space="preserve">Reason: </w:t>
      </w:r>
      <w:r>
        <w:t>2050 North Africa scenario must not be described as failed before horizon, and hydrogen exports differ from HVDC power trade.</w:t>
      </w:r>
    </w:p>
    <w:p>
      <w:r>
        <w:rPr>
          <w:b/>
        </w:rPr>
        <w:t xml:space="preserve">Proposed revised interpretation: </w:t>
      </w:r>
      <w:r>
        <w:t>Large North Africa-to-Europe renewable-electricity exports have not yet emerged at the envisaged scale, but the scenario reaches to 2050. Account for the region’s own power-system needs and the shift from HVDC electricity corridors to proposals for hydrogen and derivatives.</w:t>
      </w:r>
    </w:p>
    <w:p>
      <w:r>
        <w:rPr>
          <w:b/>
        </w:rPr>
        <w:t xml:space="preserve">Source checking: </w:t>
      </w:r>
      <w:r>
        <w:t>Abstract-only assessment (original); later statistical evidence read directly.; No (repository review only)</w:t>
      </w:r>
    </w:p>
    <w:p>
      <w:r>
        <w:rPr>
          <w:b/>
        </w:rPr>
        <w:t xml:space="preserve">Related evidence case: </w:t>
      </w:r>
      <w:r>
        <w:t>R24-02</w:t>
      </w:r>
    </w:p>
    <w:p>
      <w:pPr>
        <w:pStyle w:val="Heading2"/>
      </w:pPr>
      <w:r>
        <w:t>61. A Europe-wide CO₂ transport network for carbon capture and storage (2014)</w:t>
      </w:r>
    </w:p>
    <w:p>
      <w:r>
        <w:rPr>
          <w:b/>
        </w:rPr>
        <w:t xml:space="preserve">Disposition: </w:t>
      </w:r>
      <w:r>
        <w:t>Substantive revision</w:t>
      </w:r>
    </w:p>
    <w:p>
      <w:r>
        <w:rPr>
          <w:b/>
        </w:rPr>
        <w:t xml:space="preserve">Reason: </w:t>
      </w:r>
      <w:r>
        <w:t>Fuller original paper verification exists; 2030 CO2-injection target is a policy objective, not network buildout.</w:t>
      </w:r>
    </w:p>
    <w:p>
      <w:r>
        <w:rPr>
          <w:b/>
        </w:rPr>
        <w:t xml:space="preserve">Proposed revised interpretation: </w:t>
      </w:r>
      <w:r>
        <w:t>A cross-border CO2 transport network has been recognised as essential for large-scale CCS, and EU law now sets a 50 Mt/year injection-capacity objective for 2030. This is an objective, not deployed capacity; check actual pipelines, vessels, injection and storage rates.</w:t>
      </w:r>
    </w:p>
    <w:p>
      <w:r>
        <w:rPr>
          <w:b/>
        </w:rPr>
        <w:t xml:space="preserve">Source checking: </w:t>
      </w:r>
      <w:r>
        <w:t>Source-verified for the original paper and the EU policy documents; project-level status beyond Northern Lights not verified.; Yes (selected independent data)</w:t>
      </w:r>
    </w:p>
    <w:p>
      <w:r>
        <w:rPr>
          <w:b/>
        </w:rPr>
        <w:t xml:space="preserve">Related evidence case: </w:t>
      </w:r>
      <w:r>
        <w:t>R24-03</w:t>
      </w:r>
    </w:p>
    <w:p>
      <w:pPr>
        <w:pStyle w:val="Heading2"/>
      </w:pPr>
      <w:r>
        <w:t>62. Projected obesity and its costs in Ireland to 2030 (2013)</w:t>
      </w:r>
    </w:p>
    <w:p>
      <w:r>
        <w:rPr>
          <w:b/>
        </w:rPr>
        <w:t xml:space="preserve">Disposition: </w:t>
      </w:r>
      <w:r>
        <w:t>Substantive revision</w:t>
      </w:r>
    </w:p>
    <w:p>
      <w:r>
        <w:rPr>
          <w:b/>
        </w:rPr>
        <w:t xml:space="preserve">Reason: </w:t>
      </w:r>
      <w:r>
        <w:t>Irish survey and NCD-RisC modeled prevalence are differently measured; horizon 2030 remains ahead.</w:t>
      </w:r>
    </w:p>
    <w:p>
      <w:r>
        <w:rPr>
          <w:b/>
        </w:rPr>
        <w:t xml:space="preserve">Proposed revised interpretation: </w:t>
      </w:r>
      <w:r>
        <w:t>Ireland’s adult obesity prevalence remains high, but measured and modelled 2020s estimates fall below the 2013 extrapolations toward 2030. Keep the horizon open and use comparable measurement methods before evaluating costs.</w:t>
      </w:r>
    </w:p>
    <w:p>
      <w:r>
        <w:rPr>
          <w:b/>
        </w:rPr>
        <w:t xml:space="preserve">Source checking: </w:t>
      </w:r>
      <w:r>
        <w:t>Provisional interpretation. The original and the prevalence evidence were read; the cost side and the Irish policy context remain unverified.; No (repository review only)</w:t>
      </w:r>
    </w:p>
    <w:p>
      <w:r>
        <w:rPr>
          <w:b/>
        </w:rPr>
        <w:t xml:space="preserve">Related evidence case: </w:t>
      </w:r>
      <w:r>
        <w:t>R24-15</w:t>
      </w:r>
    </w:p>
    <w:p>
      <w:pPr>
        <w:pStyle w:val="Heading2"/>
      </w:pPr>
      <w:r>
        <w:t>63. Immigration and integration scenarios for Europe to 2050 (2013)</w:t>
      </w:r>
    </w:p>
    <w:p>
      <w:r>
        <w:rPr>
          <w:b/>
        </w:rPr>
        <w:t xml:space="preserve">Disposition: </w:t>
      </w:r>
      <w:r>
        <w:t>Substantive revision</w:t>
      </w:r>
    </w:p>
    <w:p>
      <w:r>
        <w:rPr>
          <w:b/>
        </w:rPr>
        <w:t xml:space="preserve">Reason: </w:t>
      </w:r>
      <w:r>
        <w:t>Zero-immigration is a counterfactual shock scenario; actual migration does not grade it as a failed forecast.</w:t>
      </w:r>
    </w:p>
    <w:p>
      <w:r>
        <w:rPr>
          <w:b/>
        </w:rPr>
        <w:t xml:space="preserve">Proposed revised interpretation: </w:t>
      </w:r>
      <w:r>
        <w:t>The 2013 article explored business-as-usual, replacement, recruitment, and zero-immigration counterfactuals. Eurostat records net migration offsetting the EU’s natural population decrease; the zero-immigration storyline was an analytical stress test, not a failed prediction.</w:t>
      </w:r>
    </w:p>
    <w:p>
      <w:r>
        <w:rPr>
          <w:b/>
        </w:rPr>
        <w:t xml:space="preserve">Source checking: </w:t>
      </w:r>
      <w:r>
        <w:t>Abstract-only assessment. The original was read as an abstract; the Eurostat datasets and the two JRC reports were opened directly.; Yes (selected independent data)</w:t>
      </w:r>
    </w:p>
    <w:p>
      <w:r>
        <w:rPr>
          <w:b/>
        </w:rPr>
        <w:t xml:space="preserve">Related evidence case: </w:t>
      </w:r>
      <w:r>
        <w:t>R24-18</w:t>
      </w:r>
    </w:p>
    <w:p>
      <w:pPr>
        <w:pStyle w:val="Heading1"/>
      </w:pPr>
      <w:r>
        <w:t>New comparative research — 32 cases</w:t>
      </w:r>
    </w:p>
    <w:p>
      <w:pPr>
        <w:pStyle w:val="Heading2"/>
      </w:pPr>
      <w:r>
        <w:t>R24-01 · The European Unions Strategic Gas Supply Options and the Prevalence of the Southern Corridor</w:t>
      </w:r>
    </w:p>
    <w:p>
      <w:r>
        <w:rPr>
          <w:b/>
        </w:rPr>
        <w:t xml:space="preserve">Status and horizon: </w:t>
      </w:r>
      <w:r>
        <w:t>mixed · 2030</w:t>
      </w:r>
    </w:p>
    <w:p>
      <w:r>
        <w:rPr>
          <w:b/>
        </w:rPr>
        <w:t xml:space="preserve">What followed: </w:t>
      </w:r>
      <w:r>
        <w:t>The concern about import dependence proved well founded, but for a different reason than expected. Eurostat’s energy-dependency series shows the EU-27’s import dependence for natural gas rising from 68.3% in 2013 to above 80% already in 2017 (80.2%), peaking at 97.6% in 2022 and standing at 85.0% in 2024. The driver was the collapse of domestic production — from about 135 bcm in 2013 to about 37 bcm in 2024 — not rising demand. Gas consumption never grew as the article assumed: it stayed around 390–420 bcm until 2021 and then fell by about a fifth, to about 335 bcm in 2023 and 2024. The Southern Gas Corridor was built. Analyses published in 2017–2018 already described it as far smaller than earlier EU ambitions: about 10 bcm a year for Europe once the Trans Adriatic Pipeline (TAP) opened, against Commission expectations around 2011 of roughly 10–20% of EU demand. Eurostat records EU imports from Azerbaijan from 2020, at about 12 bcm a year in 2022–2024, or roughly 4% of extra-EU gas imports in 2024. TAP reported in July 2026 that it h</w:t>
      </w:r>
    </w:p>
    <w:p>
      <w:r>
        <w:rPr>
          <w:b/>
        </w:rPr>
        <w:t xml:space="preserve">Research conclusion: </w:t>
      </w: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b/>
        </w:rPr>
        <w:t xml:space="preserve">Limitation: </w:t>
      </w:r>
      <w:r>
        <w:t>The original article was read as an abstract only, so the projects it compared (Nabucco, TAP, ITGI, South Stream) and the source of the 80% estimate are unchecked. Corridor milestones such as the 2013 selection of TAP and the July 2022 EU–Azerbaijan memorandum were not verified against primary sources. Partner shares are the reviewer’s calculations from Eurostat data that contain sizeable unallocated volumes, and today’s EU-27 aggregate differs from the EU-28 of 2013.</w:t>
      </w:r>
    </w:p>
    <w:p>
      <w:r>
        <w:rPr>
          <w:b/>
        </w:rPr>
        <w:t xml:space="preserve">Original source: </w:t>
      </w:r>
      <w:r>
        <w:t>https://doi.org/10.54648/eerr2013040</w:t>
      </w:r>
    </w:p>
    <w:p>
      <w:pPr>
        <w:pStyle w:val="Heading2"/>
      </w:pPr>
      <w:r>
        <w:t>R24-02 · Scenarios for renewable energy deployment in North African countries and electricity exchange with Europe – A modelbased analysis for 2050</w:t>
      </w:r>
    </w:p>
    <w:p>
      <w:r>
        <w:rPr>
          <w:b/>
        </w:rPr>
        <w:t xml:space="preserve">Status and horizon: </w:t>
      </w:r>
      <w:r>
        <w:t>premature · 2050</w:t>
      </w:r>
    </w:p>
    <w:p>
      <w:r>
        <w:rPr>
          <w:b/>
        </w:rPr>
        <w:t xml:space="preserve">What followed: </w:t>
      </w:r>
      <w:r>
        <w:t>The 2050 horizon has not been reached, but current trends lie far below all four pathways. Ember generation data show renewables supplying about 9% of electricity across the five countries in 2024, up from about 6.5% in 2013 (reviewer’s aggregation). Morocco reached about 24% and Egypt about 11%, while Tunisia, Algeria and Libya remained at or below about 4%. The scenarios’ intermediate shares for 2030 were around 59–68%. Electricity trade across the Mediterranean stayed small and ran largely in the opposite direction. Eurostat’s trade statistics record EU–North Africa electricity flows only between Spain and Morocco. Morocco was a small net exporter to Spain in 2019 and 2021, but since 2022 Spain has been a growing net exporter, with about 2.9 TWh of exports against about 0.4 TWh of imports in 2024 — three orders of magnitude below the export volumes of the export scenarios. The policy framing changed. The REPowerEU plan of 2022 set a target of 10 million tonnes of renewable hydrogen imports by 2030, with a Mediterranean import corri</w:t>
      </w:r>
    </w:p>
    <w:p>
      <w:r>
        <w:rPr>
          <w:b/>
        </w:rPr>
        <w:t xml:space="preserve">Research conclusion: </w:t>
      </w: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b/>
        </w:rPr>
        <w:t xml:space="preserve">Limitation: </w:t>
      </w:r>
      <w:r>
        <w:t>The 2014 paper itself could not be opened; scenario details come from its abstract and the same team’s 2016 report. The retreat of the Desertec industrial initiative, the status of proposed interconnectors (for example Morocco–United Kingdom, Tunisia–Italy and Egypt–Greece) and national hydrogen strategies were not verified. Renewable shares are generation shares partly estimated by Ember and aggregated by the reviewer.</w:t>
      </w:r>
    </w:p>
    <w:p>
      <w:r>
        <w:rPr>
          <w:b/>
        </w:rPr>
        <w:t xml:space="preserve">Original source: </w:t>
      </w:r>
      <w:r>
        <w:t>https://doi.org/10.12720/sgce.3.3.299-306</w:t>
      </w:r>
    </w:p>
    <w:p>
      <w:pPr>
        <w:pStyle w:val="Heading2"/>
      </w:pPr>
      <w:r>
        <w:t>R24-03 · The feasibility of a European‐wide integrated CO 2 transport network</w:t>
      </w:r>
    </w:p>
    <w:p>
      <w:r>
        <w:rPr>
          <w:b/>
        </w:rPr>
        <w:t xml:space="preserve">Status and horizon: </w:t>
      </w:r>
      <w:r>
        <w:t>mixed · 2030 and 2050</w:t>
      </w:r>
    </w:p>
    <w:p>
      <w:r>
        <w:rPr>
          <w:b/>
        </w:rPr>
        <w:t xml:space="preserve">What followed: </w:t>
      </w:r>
      <w:r>
        <w:t>Deployment on the assumed timescale did not happen. In its February 2024 Industrial Carbon Management Strategy the Commission acknowledged that operational large-scale projects were limited in Europe; draft national plans then projected only about 34 Mt of CO₂ captured in 2030. The Net-Zero Industry Act of June 2024 set a binding Union objective of at least 50 Mt a year of CO₂ injection capacity by 2030 — equal to the lowest of the paper’s 2030 scenarios, and a target rather than an outcome. The infrastructure that is emerging has a different shape from the integrated pipeline system modelled in 2014. The Commission expects the early phase to be organised around industrial clusters, with CO₂ moved to the coast by various means and then shipped to offshore storage; a Commission study it cites estimates a combined pipeline and shipping network of up to 7,300 km by 2030 and around 19,000 km by 2040. The first cross-border transport-and-storage service in operation is ship-based: Norway’s Northern Lights began injecting CO₂ in August 2025</w:t>
      </w:r>
    </w:p>
    <w:p>
      <w:r>
        <w:rPr>
          <w:b/>
        </w:rPr>
        <w:t xml:space="preserve">Research conclusion: </w:t>
      </w: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b/>
        </w:rPr>
        <w:t xml:space="preserve">Limitation: </w:t>
      </w:r>
      <w:r>
        <w:t>The original was read as an accepted manuscript; its abstract and body give inconsistent figures for the cost increase without onshore storage. Cost figures are not comparable across sources (2010 pipeline capital costs versus 2024 estimates that include shipping). The status of other flagship projects (Porthos, Greensand, UK cluster investments) and total operational CCS capacity in Europe were not verified. The Northern Lights information comes from trade press rather than the operator.</w:t>
      </w:r>
    </w:p>
    <w:p>
      <w:r>
        <w:rPr>
          <w:b/>
        </w:rPr>
        <w:t xml:space="preserve">Original source: </w:t>
      </w:r>
      <w:r>
        <w:t>https://doi.org/10.1002/ghg.1410</w:t>
      </w:r>
    </w:p>
    <w:p>
      <w:pPr>
        <w:pStyle w:val="Heading2"/>
      </w:pPr>
      <w:r>
        <w:t>R24-04 · Analytical support to foresighting EU roles as a Global Security Actor</w:t>
      </w:r>
    </w:p>
    <w:p>
      <w:r>
        <w:rPr>
          <w:b/>
        </w:rPr>
        <w:t xml:space="preserve">Status and horizon: </w:t>
      </w:r>
      <w:r>
        <w:t>premature · 2035</w:t>
      </w:r>
    </w:p>
    <w:p>
      <w:r>
        <w:rPr>
          <w:b/>
        </w:rPr>
        <w:t xml:space="preserve">What followed: </w:t>
      </w:r>
      <w:r>
        <w:t>Several of the role areas identified in 2012 became established EU security fields within a decade, largely in the form of policies, coordination and financing rather than autonomous EU operations. The Strategic Compass approved in March 2022 and its first progress report record an EU cyber-defence policy and a hybrid toolbox, coordinated naval presences in the Gulf of Guinea and the north-western Indian Ocean with an updated maritime security strategy, a first EU space strategy for security and defence, and exercises of the treaty’s mutual-assistance clause built around cyber, hybrid and space scenarios. From 2022, Russia’s full-scale invasion of Ukraine shifted attention to conventional defence and to support for a state at war. Through the European Peace Facility the EU mobilised €11.1 billion for Ukraine by 2024, although one member state has blocked further use of the instrument for Ukraine since 2023. The Commission presented a first defence-industrial strategy in 2024, a Commissioner for Defence and Space took office in Decembe</w:t>
      </w:r>
    </w:p>
    <w:p>
      <w:r>
        <w:rPr>
          <w:b/>
        </w:rPr>
        <w:t xml:space="preserve">Research conclusion: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rPr>
        <w:t xml:space="preserve">Limitation: </w:t>
      </w:r>
      <w:r>
        <w:t>The original was read through text extraction of a mirror copy, and the full FOCUS scenario deliverables were not read. Much of the later evidence is official self-reporting or national spending aggregates. No evaluation was found of whether FOCUS shaped EU security-research planning, and the operational status of the EU Rapid Deployment Capacity in 2025 was not verified.</w:t>
      </w:r>
    </w:p>
    <w:p>
      <w:r>
        <w:rPr>
          <w:b/>
        </w:rPr>
        <w:t xml:space="preserve">Original source: </w:t>
      </w:r>
      <w:r>
        <w:t>https://doi.org/10.11610/isij.2902</w:t>
      </w:r>
    </w:p>
    <w:p>
      <w:pPr>
        <w:pStyle w:val="Heading2"/>
      </w:pPr>
      <w:r>
        <w:t>R24-05 · Towards Europe 2035 - In Search of the Archimedean Screw: FOCUS in Perspective</w:t>
      </w:r>
    </w:p>
    <w:p>
      <w:r>
        <w:rPr>
          <w:b/>
        </w:rPr>
        <w:t xml:space="preserve">Status and horizon: </w:t>
      </w:r>
      <w:r>
        <w:t>premature · 2035</w:t>
      </w:r>
    </w:p>
    <w:p>
      <w:r>
        <w:rPr>
          <w:b/>
        </w:rPr>
        <w:t xml:space="preserve">What followed: </w:t>
      </w:r>
      <w:r>
        <w:t>The conditions Nerlich highlighted became central after 2022, triggered mainly by Russia’s full-scale invasion of Ukraine and by shifts in US policy rather than by deliberate planning. At NATO’s 2025 summit, allies committed to spend 5% of GDP on defence and related security by 2035 under strong US pressure. Defence spending by the 27 EU states rose to €418 billion in 2025 (2.2% of GDP), a figure not directly comparable with his 2013 estimate because of differences in currency, prices and membership. The EU did not fragment as a security actor; instead it created new instruments — military-support financing for Ukraine, a defence-industrial strategy and programme, up to €150 billion of joint-procurement loans and a defence commissioner — while unanimity still constrained it, as one member state’s blocking of European Peace Facility support for Ukraine shows. Whether higher spending now buys the strategic freedom to act he called for remains open, since procurement remains largely national. Scholarship describes the EU’s security role</w:t>
      </w:r>
    </w:p>
    <w:p>
      <w:r>
        <w:rPr>
          <w:b/>
        </w:rPr>
        <w:t xml:space="preserve">Research conclusion: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rPr>
        <w:t xml:space="preserve">Limitation: </w:t>
      </w:r>
      <w:r>
        <w:t>The original was read through extraction of a mirror copy and not every paragraph was read closely. The 2026 sources were assessed from abstracts. Spending figures are not comparable across 2013–2025, and the follow-up to FOCUS was not traced.</w:t>
      </w:r>
    </w:p>
    <w:p>
      <w:r>
        <w:rPr>
          <w:b/>
        </w:rPr>
        <w:t xml:space="preserve">Original source: </w:t>
      </w:r>
      <w:r>
        <w:t>https://doi.org/10.11610/isij.2912</w:t>
      </w:r>
    </w:p>
    <w:p>
      <w:pPr>
        <w:pStyle w:val="Heading2"/>
      </w:pPr>
      <w:r>
        <w:t>R24-06 · The Purpose and Pitfalls of Constructivist Forecasting: Insights from Strategic Culture Research for the European Union’s Evolution as a Military Power1</w:t>
      </w:r>
    </w:p>
    <w:p>
      <w:r>
        <w:rPr>
          <w:b/>
        </w:rPr>
        <w:t xml:space="preserve">Status and horizon: </w:t>
      </w:r>
      <w:r>
        <w:t>not directly testable · open</w:t>
      </w:r>
    </w:p>
    <w:p>
      <w:r>
        <w:rPr>
          <w:b/>
        </w:rPr>
        <w:t xml:space="preserve">What followed: </w:t>
      </w:r>
      <w:r>
        <w:t>Research since 2011 points to partial and uneven convergence of European strategic cultures. Studies before 2022 generally saw an EU strategic culture developing alongside, rather than replacing, national ones; a content analysis of German, Polish and Irish discourse for 2000–2020 found convergence in threat perceptions but persistent differences over goals and means. Meyer’s own 2023 handbook chapter describes an EU culture centred on civilian instruments and human security, shaped and limited by member-state cultures. A 2026 monograph argues that convergence was already under way before Russia’s full-scale invasion of Ukraine and that the war strengthened European security and defence thinking. On the material side, member states’ defence spending rose to €418 billion in 2025 and the EU acquired financing and industrial roles in Ukraine support, joint procurement and industrial programmes, while defence remained largely national. The debate itself was reframed from “military power” towards “strategic autonomy” and defence readiness</w:t>
      </w:r>
    </w:p>
    <w:p>
      <w:r>
        <w:rPr>
          <w:b/>
        </w:rPr>
        <w:t xml:space="preserve">Research conclusion: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rPr>
        <w:t xml:space="preserve">Limitation: </w:t>
      </w:r>
      <w:r>
        <w:t>Only the abstract and reference list of the original were read; an accepted manuscript appears to exist in the King’s College London repository but could not be opened. Most later sources were assessed from abstracts. The first-author initials of two 2026 items were not verified.</w:t>
      </w:r>
    </w:p>
    <w:p>
      <w:r>
        <w:rPr>
          <w:b/>
        </w:rPr>
        <w:t xml:space="preserve">Original source: </w:t>
      </w:r>
      <w:r>
        <w:t>https://doi.org/10.1111/j.1468-2478.2011.00648.x</w:t>
      </w:r>
    </w:p>
    <w:p>
      <w:pPr>
        <w:pStyle w:val="Heading2"/>
      </w:pPr>
      <w:r>
        <w:t>R24-07 · European atmosphere in 2050, a regional air quality and climate perspective under CMIP5 scenarios</w:t>
      </w:r>
    </w:p>
    <w:p>
      <w:r>
        <w:rPr>
          <w:b/>
        </w:rPr>
        <w:t xml:space="preserve">Status and horizon: </w:t>
      </w:r>
      <w:r>
        <w:t>premature · 2050</w:t>
      </w:r>
    </w:p>
    <w:p>
      <w:r>
        <w:rPr>
          <w:b/>
        </w:rPr>
        <w:t xml:space="preserve">What followed: </w:t>
      </w:r>
      <w:r>
        <w:t>The 2050 horizon lies ahead, so only intermediate trends can be compared. Precursor emissions moved in the expected direction: European NOx emissions fell by about half between 2000 and 2019, and PM2.5 and NO₂ concentrations declined, although NO₂ fell less than reported emissions. Ozone behaved less simply. At rural EMEP monitoring sites the highest summer values fell only 0.3–0.6% a year while the lowest percentiles rose, and the EMEP model run with reported emissions simulated somewhat stronger declines than were observed, particularly in southern Europe. Reconstructed population exposure for 2003–2019 shows daily maximum ozone rising by about 0.5% a year, and urban records to 2021 show falling peaks alongside rising median values. The paper’s emphasis on background ozone has gained weight. A source-apportionment study for the 2015–2017 warm seasons associated 56.7% of ozone-attributable deaths in 35 European countries with ozone entering the European modelling domain from outside. Newer projects are re-running the emission-versus-</w:t>
      </w:r>
    </w:p>
    <w:p>
      <w:r>
        <w:rPr>
          <w:b/>
        </w:rPr>
        <w:t xml:space="preserve">Research conclusion: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rPr>
        <w:t xml:space="preserve">Limitation: </w:t>
      </w:r>
      <w:r>
        <w:t>No observational study isolating the climate penalty in Europe was verified. Monitoring after 2021, including EEA status reports and the 2022–2025 heat summers, was not checked. Some table values were read through text extraction of the publisher PDF and should be spot-checked.</w:t>
      </w:r>
    </w:p>
    <w:p>
      <w:r>
        <w:rPr>
          <w:b/>
        </w:rPr>
        <w:t xml:space="preserve">Original source: </w:t>
      </w:r>
      <w:r>
        <w:t>https://doi.org/10.5194/acp-13-7451-2013</w:t>
      </w:r>
    </w:p>
    <w:p>
      <w:pPr>
        <w:pStyle w:val="Heading2"/>
      </w:pPr>
      <w:r>
        <w:t>R24-08 · Future air quality in Europe: a multi-model assessment of projected exposure to ozone</w:t>
      </w:r>
    </w:p>
    <w:p>
      <w:r>
        <w:rPr>
          <w:b/>
        </w:rPr>
        <w:t xml:space="preserve">Status and horizon: </w:t>
      </w:r>
      <w:r>
        <w:t>premature · 2030</w:t>
      </w:r>
    </w:p>
    <w:p>
      <w:r>
        <w:rPr>
          <w:b/>
        </w:rPr>
        <w:t xml:space="preserve">What followed: </w:t>
      </w:r>
      <w:r>
        <w:t>The 2030 horizon has not been reached; the evidence verified here runs to 2019–2021. Precursor emissions moved in the assumed direction, with European NOx emissions about 48% lower in 2019 than in 2000. Ozone improved more slowly than the projections implied: at EMEP sites the highest values fell 0.3–0.6% a year and the exposure indicators SOMO35 and AOT40 by 1–2% a year, often without statistical significance, and a model run with reported emissions simulated stronger declines than were observed, especially in southern Europe. The divergence the paper anticipated between falling peaks and rising mean ozone near NOx sources did appear in urban monitoring. The study held background ozone constant and acknowledged that this hid part of the benefits. Later source-apportionment work associates more than half of the ozone-attributable deaths of the 2015–2017 warm seasons with ozone entering the European modelling domain from outside, mainly hemispheric background. Under that study’s assumptions, European measures act on a minority of the o</w:t>
      </w:r>
    </w:p>
    <w:p>
      <w:r>
        <w:rPr>
          <w:b/>
        </w:rPr>
        <w:t xml:space="preserve">Research conclusion: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rPr>
        <w:t xml:space="preserve">Limitation: </w:t>
      </w:r>
      <w:r>
        <w:t>Monitoring data for 2020–2025, including EEA status reports and the 2022–2023 heat summers, were not verified. The model comparison in Aas et al. concerns a hindcast, not this ensemble. The SOMO35 figures in the original differ slightly between tables and abstract.</w:t>
      </w:r>
    </w:p>
    <w:p>
      <w:r>
        <w:rPr>
          <w:b/>
        </w:rPr>
        <w:t xml:space="preserve">Original source: </w:t>
      </w:r>
      <w:r>
        <w:t>https://doi.org/10.5194/acp-12-10613-2012</w:t>
      </w:r>
    </w:p>
    <w:p>
      <w:pPr>
        <w:pStyle w:val="Heading2"/>
      </w:pPr>
      <w:r>
        <w:t>R24-09 · Impact of climate change on ozone-related mortality and morbidity in Europe</w:t>
      </w:r>
    </w:p>
    <w:p>
      <w:r>
        <w:rPr>
          <w:b/>
        </w:rPr>
        <w:t xml:space="preserve">Status and horizon: </w:t>
      </w:r>
      <w:r>
        <w:t>premature · 2050–2060</w:t>
      </w:r>
    </w:p>
    <w:p>
      <w:r>
        <w:rPr>
          <w:b/>
        </w:rPr>
        <w:t xml:space="preserve">What followed: </w:t>
      </w:r>
      <w:r>
        <w:t>Because the projection held emissions constant, observed trends cannot test it directly: actual ozone reflects falling precursor emissions, hemispheric background ozone and weather together. Observations show summer peaks declining slowly to 2019, while population-weighted daily maximum ozone rose by about 0.5% a year between 2003 and 2019, faster in southern Europe; the authors of that analysis link the rise to temperature and sunlight as well as reduced NOx titration, without formal attribution. No observational study isolating a climate-driven rise in European ozone mortality was verified in this review. Later projections reframed the question. Studies that added projected emission cuts and population ageing found the climate penalty persisting, most strongly in southern and central Europe — about 8–11% for acute deaths by the 2050s in a 2015 study, and up to 11% in some countries by 2050 in a 2019 study by the same team — but precursor reductions were expected to outweigh it, giving EU-average decreases of roughly a quarter to a t</w:t>
      </w:r>
    </w:p>
    <w:p>
      <w:r>
        <w:rPr>
          <w:b/>
        </w:rPr>
        <w:t xml:space="preserve">Research conclusion: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rPr>
        <w:t xml:space="preserve">Limitation: </w:t>
      </w:r>
      <w:r>
        <w:t>The original full text was not accessed, so its assumptions are confirmed only through the authors’ 2017 review. No observational attribution of the climate penalty was verified. EEA burden-of-disease series for ozone were not checked, and estimates differ widely by method.</w:t>
      </w:r>
    </w:p>
    <w:p>
      <w:r>
        <w:rPr>
          <w:b/>
        </w:rPr>
        <w:t xml:space="preserve">Original source: </w:t>
      </w:r>
      <w:r>
        <w:t>https://doi.org/10.1183/09031936.00210411</w:t>
      </w:r>
    </w:p>
    <w:p>
      <w:pPr>
        <w:pStyle w:val="Heading2"/>
      </w:pPr>
      <w:r>
        <w:t>R24-10 · Suitability of European climate for the Asian tiger mosquito Aedes albopictus : recent trends and future scenarios</w:t>
      </w:r>
    </w:p>
    <w:p>
      <w:r>
        <w:rPr>
          <w:b/>
        </w:rPr>
        <w:t xml:space="preserve">Status and horizon: </w:t>
      </w:r>
      <w:r>
        <w:t>supported · 2050</w:t>
      </w:r>
    </w:p>
    <w:p>
      <w:r>
        <w:rPr>
          <w:b/>
        </w:rPr>
        <w:t xml:space="preserve">What followed: </w:t>
      </w:r>
      <w:r>
        <w:t>Observed establishment has widened considerably. ECDC counted established populations in 8 EU/EEA countries and 114 regions in 2013, 13 countries and 337 regions in 2023, and 16 countries and 369 regions in June 2025, when Cyprus and Slovakia were newly recorded as established; the April 2026 map reports 384 regional units in the same 16 countries. Several countries the study singled out as future hot spots or surveillance priorities now have established populations, but establishment north of the Alps remains patchy (for example 12 of 38 German units in 2026). Kraemer and colleagues showed that the European spread follows human movement and accelerated once the species crossed the Alps, so much of the observed expansion reflects introduction pathways as well as climate. Expansion also continued in the south. In 2026 every Italian unit, including Sardinia, and 48 of 52 Greek units were occupied, and Spain (33 of 59) and Portugal (5 of 26) were still adding units. Local transmission of mosquito-borne viruses followed: ECDC recorded 304</w:t>
      </w:r>
    </w:p>
    <w:p>
      <w:r>
        <w:rPr>
          <w:b/>
        </w:rPr>
        <w:t xml:space="preserve">Research conclusion: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rPr>
        <w:t xml:space="preserve">Limitation: </w:t>
      </w:r>
      <w:r>
        <w:t>ECDC counts record reported establishment in administrative units; they depend on surveillance effort and unit definitions and cannot measure climatic suitability. The April 2026 total exceeds the June 2025 total by 15 units while ECDC reports 14 new units; the difference is unexplained. Suitability, establishment, abundance and transmission are distinct quantities measured differently by the later studies. The UK’s establishment status was not verified.</w:t>
      </w:r>
    </w:p>
    <w:p>
      <w:r>
        <w:rPr>
          <w:b/>
        </w:rPr>
        <w:t xml:space="preserve">Original source: </w:t>
      </w:r>
      <w:r>
        <w:t>https://doi.org/10.1098/rsif.2012.0138</w:t>
      </w:r>
    </w:p>
    <w:p>
      <w:pPr>
        <w:pStyle w:val="Heading2"/>
      </w:pPr>
      <w:r>
        <w:t>R24-11 · Potential stocks and increments of woody biomass in the European Union under different management and climate scenarios</w:t>
      </w:r>
    </w:p>
    <w:p>
      <w:r>
        <w:rPr>
          <w:b/>
        </w:rPr>
        <w:t xml:space="preserve">Status and horizon: </w:t>
      </w:r>
      <w:r>
        <w:t>premature · 2100</w:t>
      </w:r>
    </w:p>
    <w:p>
      <w:r>
        <w:rPr>
          <w:b/>
        </w:rPr>
        <w:t xml:space="preserve">What followed: </w:t>
      </w:r>
      <w:r>
        <w:t>Europe’s forests continued along a stock-accumulating path, less through deliberate policy than because harvests long stayed below growth: average growing stock rose from 18.7 billion m³ (1950–2000) to 29.1 billion m³ (2001–2019). The ageing mechanism at the heart of the 2013 argument is visible in the data. An analysis of EU inventory data by Korosuo and colleagues (2023) shows the land-use sink weakening from at least −300 Mt CO₂e a year in 1995–2016 to −230 Mt CO₂e in 2021, driven by falling gross increment, rising natural mortality, rising harvests and less afforestation, and projects net increment falling by about 8% by 2050 if past management continues. What the 2013 model largely left out — natural disturbance — became decisive. Recorded disturbance damage nearly doubled between 1950–2000 and 2001–2019, with bark-beetle damage reaching 70 million m³ in 2019, and a satellite study published in 2026 reports that gross aboveground biomass losses across Europe rose by 46% from 2018 onward, coinciding with high disturbance activity</w:t>
      </w:r>
    </w:p>
    <w:p>
      <w:r>
        <w:rPr>
          <w:b/>
        </w:rPr>
        <w:t xml:space="preserve">Research conclusion: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rPr>
        <w:t xml:space="preserve">Limitation: </w:t>
      </w:r>
      <w:r>
        <w:t>Only the abstract of the 2026 disturbance study was available, so the reference period of the 46% figure is unverified. The 2023 study of global young-forest biomass cited in the earlier account was checked at metadata level only. The latest EEA inventory figures (2022–2024), State of Europe’s Forests 2025 and the debate on harvest trends (2020–2021) were not read. The model’s stem-carbon metric is not directly comparable with inventory sinks, which are frequently recalculated.</w:t>
      </w:r>
    </w:p>
    <w:p>
      <w:r>
        <w:rPr>
          <w:b/>
        </w:rPr>
        <w:t xml:space="preserve">Original source: </w:t>
      </w:r>
      <w:r>
        <w:t>https://doi.org/10.1186/1750-0680-8-2</w:t>
      </w:r>
    </w:p>
    <w:p>
      <w:pPr>
        <w:pStyle w:val="Heading2"/>
      </w:pPr>
      <w:r>
        <w:t>R24-12 · Finland-Russia rail transport deregulation: future scenarios of market development</w:t>
      </w:r>
    </w:p>
    <w:p>
      <w:r>
        <w:rPr>
          <w:b/>
        </w:rPr>
        <w:t xml:space="preserve">Status and horizon: </w:t>
      </w:r>
      <w:r>
        <w:t>mixed · open</w:t>
      </w:r>
    </w:p>
    <w:p>
      <w:r>
        <w:rPr>
          <w:b/>
        </w:rPr>
        <w:t xml:space="preserve">What followed: </w:t>
      </w:r>
      <w:r>
        <w:t>The recommended regulatory change was made. A new Finland–Russia railway traffic agreement entered into force on 22 December 2016, replacing the 1997 agreement; it allowed railway undertakings established in Finland or elsewhere in the European Economic Area to operate Finland–Russia traffic on the Finnish network, while Russia’s network remained closed to EU operators. VR’s own 2016 annual report described freight traffic between the two countries as opened to competition at the end of that year, and a private joint venture announced plans to enter the market. The expected market effects are not visible in the evidence reviewed. A sample of Fintraffic’s open train data for 21 days between 2016 and 2021 found every timetabled train at the Finnish border points operated by VR, apart from two maintenance-machine runs; in April 2022 a terminal operator told the trade press that without VR, trains would not cross the border. International rail freight was somewhat higher in 2017–2021 (15.1–16.3 million tonnes a year) than in 2015 (12.7 mi</w:t>
      </w:r>
    </w:p>
    <w:p>
      <w:r>
        <w:rPr>
          <w:b/>
        </w:rPr>
        <w:t xml:space="preserve">Research conclusion: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rPr>
        <w:t xml:space="preserve">Limitation: </w:t>
      </w:r>
      <w:r>
        <w:t>Only the abstract of the original was available, so the content of the three scenarios is unknown. Evidence on market entry rests on a sample of open train data and trade press, not on a full operator analysis; prices and sanctions provisions were not examined. The status of individual border crossings after late 2023 could not be verified. Publisher URLs are given at site level where article-level addresses were not recorded.</w:t>
      </w:r>
    </w:p>
    <w:p>
      <w:r>
        <w:rPr>
          <w:b/>
        </w:rPr>
        <w:t xml:space="preserve">Original source: </w:t>
      </w:r>
      <w:r>
        <w:t>https://doi.org/10.1504/IJSTL.2011.039377</w:t>
      </w:r>
    </w:p>
    <w:p>
      <w:pPr>
        <w:pStyle w:val="Heading2"/>
      </w:pPr>
      <w:r>
        <w:t>R24-13 · Backcasting scenarios for Finland 2050 of low emissions</w:t>
      </w:r>
    </w:p>
    <w:p>
      <w:r>
        <w:rPr>
          <w:b/>
        </w:rPr>
        <w:t xml:space="preserve">Status and horizon: </w:t>
      </w:r>
      <w:r>
        <w:t>premature · 2050</w:t>
      </w:r>
    </w:p>
    <w:p>
      <w:r>
        <w:rPr>
          <w:b/>
        </w:rPr>
        <w:t xml:space="preserve">What followed: </w:t>
      </w:r>
      <w:r>
        <w:t>Emissions outside the land sector have fallen roughly as a −80% trajectory would require. Statistics Finland’s series shows 71.8 million tonnes CO₂-equivalent in 1990, 62.4 million in 2012 and 39.3 million in 2024; instant preliminary data put 2025 at 36.5 million tonnes, 49% below 1990 — close to, or slightly ahead of, a straight-line path to −80% in 2050. The main reductions came from electricity and heat, as coal and peat gave way to nuclear and wind power. Policy ambition rose: the Climate Change Act in force since July 2022 requires carbon neutrality by 2035 and emission cuts of 60% by 2030, 80% by 2040 and at least 90% by 2050. The land sector took an unexpected path. In 2012 the LULUCF sector removed about 32 million tonnes net; in the current revised series it was a net source in 2018 and in every year from 2021 to 2025 (about 9.4–9.8 million tonnes in 2024–2025). The forest-land sink shrank from about 43 million tonnes in 2012 to almost nothing in 2024, and preliminary data show forest land as a small net source in 2025. Offi</w:t>
      </w:r>
    </w:p>
    <w:p>
      <w:r>
        <w:rPr>
          <w:b/>
        </w:rPr>
        <w:t xml:space="preserve">Research conclusion: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rPr>
        <w:t xml:space="preserve">Limitation: </w:t>
      </w:r>
      <w:r>
        <w:t>Neither the 2012 article nor its underlying 2010 scenario report could be read, so the scenario names, energy mixes and treatment of carbon sinks are unverified; the target state was reconstructed from the 2009 government report as described in parliamentary documents. Land-sector figures are revised substantially between inventory releases, and 2025 figures are preliminary. Some institutional sources are cited at site level where the specific page address was not recorded; the strategy URN should be checked before integration.</w:t>
      </w:r>
    </w:p>
    <w:p>
      <w:r>
        <w:rPr>
          <w:b/>
        </w:rPr>
        <w:t xml:space="preserve">Original source: </w:t>
      </w:r>
      <w:r>
        <w:t>https://doi.org/10.1108/14636681211256099</w:t>
      </w:r>
    </w:p>
    <w:p>
      <w:pPr>
        <w:pStyle w:val="Heading2"/>
      </w:pPr>
      <w:r>
        <w:t>R24-14 · O4-2.1 Foresight tackling obesities: future choices</w:t>
      </w:r>
    </w:p>
    <w:p>
      <w:r>
        <w:rPr>
          <w:b/>
        </w:rPr>
        <w:t xml:space="preserve">Status and horizon: </w:t>
      </w:r>
      <w:r>
        <w:t>mixed · 2025 and 2050</w:t>
      </w:r>
    </w:p>
    <w:p>
      <w:r>
        <w:rPr>
          <w:b/>
        </w:rPr>
        <w:t xml:space="preserve">What followed: </w:t>
      </w:r>
      <w:r>
        <w:t>Measured survey data show adult obesity in England still rising, but far more slowly than extrapolated. According to the Health Survey for England, obesity among adults aged 16 and over rose rapidly from 15% in 1993 to 25% in 2008 and more slowly afterwards, reaching 30% in 2024 (men 29%, women 31%). These figures cover a wider age band than the projections, but even the highest-prevalence age groups (35–36% at ages 55–74) are well below the 47% projected for men by 2025, and the expected overtaking of women by men has not happened. NCD-RisC estimates published through WHO in 2026 put age-standardised adult obesity in the UK at about 27% in 2024 and describe a slowdown and plateau of the adult rise across high-income western countries. Later modelling re-fitted to post-2000 data produced much flatter paths. Cobiac and Scarborough (2021) contrast the Foresight figures for 2025 with a re-estimate of about 34% for men and women combined and with their own estimates of 27–32%. Among children, the National Child Measurement Programme shows</w:t>
      </w:r>
    </w:p>
    <w:p>
      <w:r>
        <w:rPr>
          <w:b/>
        </w:rPr>
        <w:t xml:space="preserve">Research conclusion: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rPr>
        <w:t xml:space="preserve">Limitation: </w:t>
      </w:r>
      <w:r>
        <w:t>The original is a conference abstract without figures; the projections come from the 2007 Foresight reports. Health Survey for England headline figures cover adults aged 16 and over rather than the 21–60 band of the projections, and the 2025 survey results are not yet published. NCD-RisC values are modelled estimates. Child measures use different definitions. The levy evidence is associational, and GLP-1 uptake and its effects were not verified.</w:t>
      </w:r>
    </w:p>
    <w:p>
      <w:r>
        <w:rPr>
          <w:b/>
        </w:rPr>
        <w:t xml:space="preserve">Original source: </w:t>
      </w:r>
      <w:r>
        <w:t>https://doi.org/10.1136/jech.2011.142976b.14</w:t>
      </w:r>
    </w:p>
    <w:p>
      <w:pPr>
        <w:pStyle w:val="Heading2"/>
      </w:pPr>
      <w:r>
        <w:t>R24-15 · Application of the UK Foresight Obesity Model in Ireland: The Health and Economic Consequences of Projected Obesity Trends in Ireland</w:t>
      </w:r>
    </w:p>
    <w:p>
      <w:r>
        <w:rPr>
          <w:b/>
        </w:rPr>
        <w:t xml:space="preserve">Status and horizon: </w:t>
      </w:r>
      <w:r>
        <w:t>premature · 2030</w:t>
      </w:r>
    </w:p>
    <w:p>
      <w:r>
        <w:rPr>
          <w:b/>
        </w:rPr>
        <w:t xml:space="preserve">What followed: </w:t>
      </w:r>
      <w:r>
        <w:t>Later evidence shows Irish adult obesity rising slowly rather than steeply. NCD-RisC estimates based on measured data, published through WHO in 2026, put crude adult obesity in Ireland at about 25% in 2010 and about 31% in 2024 (men 32%, women 29%), with overweight including obesity at about 72% of men and 65% of women. Irish national surveys report lower figures: the Irish Health Survey records about 24% obesity among adults in 2024, and the Healthy Ireland indicator for overweight or obesity among people aged 15 and over fell from about 61% in 2015 to about 57% in 2024 (whether these surveys use measured or self-reported weight was not verified). On any of these sources, reaching the projected 2030 levels would require an unprecedented acceleration within six years, and the projected female excess in obesity has not appeared. Two further pieces of evidence bear on the model’s assumptions. Overweight among Irish children aged 7–8, measured in the WHO Childhood Obesity Surveillance Initiative, fell from about 22% in 2008 to 16–17% in</w:t>
      </w:r>
    </w:p>
    <w:p>
      <w:r>
        <w:rPr>
          <w:b/>
        </w:rPr>
        <w:t xml:space="preserve">Research conclusion: </w:t>
      </w: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b/>
        </w:rPr>
        <w:t xml:space="preserve">Limitation: </w:t>
      </w:r>
      <w:r>
        <w:t>NCD-RisC values are modelled estimates with wide intervals for Ireland, and the measurement modes of the Irish surveys were not verified, so their lower figures may partly reflect self-report. The paper’s supplementary projections for 2020 were not read, so the authors’ own interim checkpoint could not be compared. No post-2013 Irish cost study was examined, and Irish policy and pharmacological developments were not verified.</w:t>
      </w:r>
    </w:p>
    <w:p>
      <w:r>
        <w:rPr>
          <w:b/>
        </w:rPr>
        <w:t xml:space="preserve">Original source: </w:t>
      </w:r>
      <w:r>
        <w:t>https://doi.org/10.1371/journal.pone.0079827</w:t>
      </w:r>
    </w:p>
    <w:p>
      <w:pPr>
        <w:pStyle w:val="Heading2"/>
      </w:pPr>
      <w:r>
        <w:t>R24-16 · Using scenarios to assess the future supply of NHS nursing staff in England</w:t>
      </w:r>
    </w:p>
    <w:p>
      <w:r>
        <w:rPr>
          <w:b/>
        </w:rPr>
        <w:t xml:space="preserve">Status and horizon: </w:t>
      </w:r>
      <w:r>
        <w:t>mixed · 2022</w:t>
      </w:r>
    </w:p>
    <w:p>
      <w:r>
        <w:rPr>
          <w:b/>
        </w:rPr>
        <w:t xml:space="preserve">What followed: </w:t>
      </w:r>
      <w:r>
        <w:t>The feared contraction did not occur. Nurse numbers stagnated in the early 2010s, and community and mental health nursing shrank, but full-time-equivalent nurses and health visitors in hospital and community services were about 5% higher in September 2019 than in September 2010. After the December 2019 pledge of 50,000 more nurses, numbers rose much faster: the government reported 352,149 FTE nurses in September 2023, against 300,904 four years earlier on its definition, meeting the target early. Most of this growth came through a channel the scenarios had held constant. Overseas-educated professionals made up about half of all new joiners to the UK register in the year to March 2024, and the Nuffield Trust estimated that they accounted for 69% of the register’s net growth after September 2019. Shortages persisted for most of the period. Officially reported registered-nurse vacancies in England were about 43,600 in July–September 2019 and still about 42,300 in September 2023, before falling to about 31,800 by September 2024, 25,500 by</w:t>
      </w:r>
    </w:p>
    <w:p>
      <w:r>
        <w:rPr>
          <w:b/>
        </w:rPr>
        <w:t xml:space="preserve">Research conclusion: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rPr>
        <w:t xml:space="preserve">Limitation: </w:t>
      </w:r>
      <w:r>
        <w:t>The 2012 projections count headcount, including midwives and health visitors, whereas most later official series report FTE with different staff-group definitions, so comparison with the scenario end points is approximate. Vacancy statistics are experimental, depend on recorded establishments and changed source around 2019–2020. NMC data cover the whole UK and all employers. Trends in training commissions for 2011–2016 and the reasons for the fall in vacancies after 2023 were not verified. Some publisher URLs are given at site level.</w:t>
      </w:r>
    </w:p>
    <w:p>
      <w:r>
        <w:rPr>
          <w:b/>
        </w:rPr>
        <w:t xml:space="preserve">Original source: </w:t>
      </w:r>
      <w:r>
        <w:t>https://doi.org/10.1186/1478-4491-10-16</w:t>
      </w:r>
    </w:p>
    <w:p>
      <w:pPr>
        <w:pStyle w:val="Heading2"/>
      </w:pPr>
      <w:r>
        <w:t>R24-17 · Health impact assessment of waste management facilities in three European countries</w:t>
      </w:r>
    </w:p>
    <w:p>
      <w:r>
        <w:rPr>
          <w:b/>
        </w:rPr>
        <w:t xml:space="preserve">Status and horizon: </w:t>
      </w:r>
      <w:r>
        <w:t>not directly testable · 2020–2050</w:t>
      </w:r>
    </w:p>
    <w:p>
      <w:r>
        <w:rPr>
          <w:b/>
        </w:rPr>
        <w:t xml:space="preserve">What followed: </w:t>
      </w:r>
      <w:r>
        <w:t>The scenario’s central condition was overtaken by policy, most clearly in the United Kingdom. Diverting waste from landfill increased incineration rather than winding it down: UK municipal waste incinerated rose from about 2.5 million tonnes (7% of treated waste) in 2001 to about 14.4 million tonnes (48%) in 2024, almost all with energy recovery, while landfill fell from 80% to 6%. In Italy incineration roughly doubled by the mid-2010s and then levelled off at about a fifth of municipal waste, while landfill fell from about two-thirds to 15%; in Slovakia incineration stayed at about 0.2 million tonnes while landfill fell from over 80% to under 40%. More people therefore live near operating plants than the scenario assumed, but those plants are modern ones. Later studies of modern UK plants found modelled particulate contributions orders of magnitude below background and no excess stillbirths, infant deaths or other adverse birth outcomes, although small excesses of heart and genital anomalies could not be ruled out. Studies around Ita</w:t>
      </w:r>
    </w:p>
    <w:p>
      <w:r>
        <w:rPr>
          <w:b/>
        </w:rPr>
        <w:t xml:space="preserve">Research conclusion: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rPr>
        <w:t xml:space="preserve">Limitation: </w:t>
      </w:r>
      <w:r>
        <w:t>The later epidemiological evidence was assessed from abstracts. No study was identified that re-estimates the cancer burden near incinerators in the three countries after 2011. Incineration figures are for the UK rather than England, and plant numbers were not verified. Eurostat’s 2001 baselines differ from the paper’s own table.</w:t>
      </w:r>
    </w:p>
    <w:p>
      <w:r>
        <w:rPr>
          <w:b/>
        </w:rPr>
        <w:t xml:space="preserve">Original source: </w:t>
      </w:r>
      <w:r>
        <w:t>https://doi.org/10.1186/1476-069X-10-53</w:t>
      </w:r>
    </w:p>
    <w:p>
      <w:pPr>
        <w:pStyle w:val="Heading2"/>
      </w:pPr>
      <w:r>
        <w:t>R24-18 · Immigration and integration scenarios in global Europe: Forward-looking up to 2050</w:t>
      </w:r>
    </w:p>
    <w:p>
      <w:r>
        <w:rPr>
          <w:b/>
        </w:rPr>
        <w:t xml:space="preserve">Status and horizon: </w:t>
      </w:r>
      <w:r>
        <w:t>not directly testable · 2050</w:t>
      </w:r>
    </w:p>
    <w:p>
      <w:r>
        <w:rPr>
          <w:b/>
        </w:rPr>
        <w:t xml:space="preserve">What followed: </w:t>
      </w:r>
      <w:r>
        <w:t>The European Union has moved further from the zero-immigration storyline than from any of the other hypotheses. Eurostat’s demographic balance shows natural change in the EU-27 negative in every year from 2012 onwards, deepening to roughly 1.35 million more deaths than births in 2025, while the population on 1 January rose from about 441.7 million in 2013 to about 452.0 million in 2026. Over 2013–2025 the recorded net migration (a residual that includes statistical adjustment) sums to roughly 19 million against roughly 9 million of natural decrease, so all of the Union’s population growth in the period came from migration. What drove migration, however, was not the orderly labour-recruitment logic of the scenarios but a sequence of shocks. First-time asylum applications exceeded 1.2 million in 2015; net migration collapsed to about 0.14 million in the pandemic year 2020; and the Russian invasion of Ukraine brought more than four million people under temporary protection, with net migration of about 3.2 million in 2022. Labour channels</w:t>
      </w:r>
    </w:p>
    <w:p>
      <w:r>
        <w:rPr>
          <w:b/>
        </w:rPr>
        <w:t xml:space="preserve">Research conclusion: </w:t>
      </w: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b/>
        </w:rPr>
        <w:t xml:space="preserve">Limitation: </w:t>
      </w:r>
      <w:r>
        <w:t>The original article could be assessed only from its abstract, so its specific projection figures, scenario names and listed social consequences of zero immigration remain unchecked. Eurostat net migration is a residual measure with series breaks and provisional recent values. The JRC–IIASA scenarios cover the EU-28 including the United Kingdom and model labour supply only. Recent policy milestones (the 2024 Pact on Migration and Asylum, the 2021–2027 integration action plan, the EU Talent Pool) were not verified in this review and are therefore not used.</w:t>
      </w:r>
    </w:p>
    <w:p>
      <w:r>
        <w:rPr>
          <w:b/>
        </w:rPr>
        <w:t xml:space="preserve">Original source: </w:t>
      </w:r>
      <w:r>
        <w:t>https://doi.org/10.2298/SOC1302169A</w:t>
      </w:r>
    </w:p>
    <w:p>
      <w:pPr>
        <w:pStyle w:val="Heading2"/>
      </w:pPr>
      <w:r>
        <w:t>R24-19 · Superconductivity and the environment: a Roadmap</w:t>
      </w:r>
    </w:p>
    <w:p>
      <w:r>
        <w:rPr>
          <w:b/>
        </w:rPr>
        <w:t xml:space="preserve">Status and horizon: </w:t>
      </w:r>
      <w:r>
        <w:t>unresolved · long-term</w:t>
      </w:r>
    </w:p>
    <w:p>
      <w:r>
        <w:rPr>
          <w:b/>
        </w:rPr>
        <w:t xml:space="preserve">What followed: </w:t>
      </w:r>
      <w:r>
        <w:t>The earlier VV Futures account judged this claim against global energy-demand statistics and the Mauna Loa CO₂ record. That test addresses the Equinox premise rather than the roadmap. The CO₂ record itself is accurately reported: NOAA’s Mauna Loa monthly mean reached 432.34 ppm in May 2026, 1.83 ppm above May 2025. But rising concentrations say nothing about whether superconducting technologies developed as the roadmap envisaged, and a concentration of about 432 ppm does not establish whether stabilisation at 550 ppm will or will not be achieved. This review could not verify later evidence on the roadmap’s actual subject. Candidate evidence for Europe includes high-temperature superconducting cable demonstrations in German city grids, a superconducting wind-turbine generator tested under an EU research programme, superconducting fault-current limiters, and the rapid growth of demand for high-temperature superconducting tape from fusion-magnet projects. None of these was opened and checked in this review, so none is used here. The road</w:t>
      </w:r>
    </w:p>
    <w:p>
      <w:r>
        <w:rPr>
          <w:b/>
        </w:rPr>
        <w:t xml:space="preserve">Research conclusion: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rPr>
        <w:t xml:space="preserve">Limitation: </w:t>
      </w:r>
      <w:r>
        <w:t>The roadmap was assessed from its abstract only, so section-level expectations and any dated milestones are unchecked. No later evidence on superconductor deployment was verified. The energy-demand statistics in the earlier account (wind and solar growth in 2024, fossil-fuel use) could not be traced to identifiable documents. The claim’s European scope is marginal.</w:t>
      </w:r>
    </w:p>
    <w:p>
      <w:r>
        <w:rPr>
          <w:b/>
        </w:rPr>
        <w:t xml:space="preserve">Original source: </w:t>
      </w:r>
      <w:r>
        <w:t>https://doi.org/10.1088/0953-2048/26/11/113001</w:t>
      </w:r>
    </w:p>
    <w:p>
      <w:pPr>
        <w:pStyle w:val="Heading2"/>
      </w:pPr>
      <w:r>
        <w:t>P26-01 · How far away is hydrogen? Its role in the medium and long-term decarbonisation of the European energy system</w:t>
      </w:r>
    </w:p>
    <w:p>
      <w:r>
        <w:rPr>
          <w:b/>
        </w:rPr>
        <w:t xml:space="preserve">Status and horizon: </w:t>
      </w:r>
      <w:r>
        <w:t>premature · 2030</w:t>
      </w:r>
    </w:p>
    <w:p>
      <w:r>
        <w:rPr>
          <w:b/>
        </w:rPr>
        <w:t xml:space="preserve">What followed: </w:t>
      </w:r>
      <w:r>
        <w:t>The EU was unlikely to meet the 2030 renewable-hydrogen targets established years after the original paper; market rules, project maturity and demand hinder deployment. EU electrolyser capacity was 308 MW in 2024, 51% more than before but well behind the 2024 EU policy ambition of 6 GW. Renewable hydrogen production costs were about four times conventional hydrogen costs. EU operational electrolysis capacity was projected at 514–800 MW by end-2025; high capital costs and raw material dependencies remain.</w:t>
      </w:r>
    </w:p>
    <w:p>
      <w:r>
        <w:rPr>
          <w:b/>
        </w:rPr>
        <w:t xml:space="preserve">Research conclusion: </w:t>
      </w:r>
      <w:r>
        <w:t>{"similarities": "The 2015 JRC-EU-TIMES paper treats hydrogen as a plausible decarbonisation technology where sustained carbon policy changes long-run incentives. Operational electrolysers and a developing final-investment-decision pipeline show that an industry is materialising.", "differences":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 "still_unestablished":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 "present_relevance": "A July 2026 EU-body report provides an operational E</w:t>
      </w:r>
    </w:p>
    <w:p>
      <w:r>
        <w:rPr>
          <w:b/>
        </w:rPr>
        <w:t xml:space="preserve">Limitation: </w:t>
      </w:r>
      <w:r>
        <w:t>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r>
        <w:rPr>
          <w:b/>
        </w:rPr>
        <w:t xml:space="preserve">Original source: </w:t>
      </w:r>
      <w:r>
        <w:t>https://doi.org/10.1016/j.ijhydene.2015.09.004</w:t>
      </w:r>
    </w:p>
    <w:p>
      <w:pPr>
        <w:pStyle w:val="Heading2"/>
      </w:pPr>
      <w:r>
        <w:t>P26-02 · Actual and potential development of consumer demand on the organic food market in Europe</w:t>
      </w:r>
    </w:p>
    <w:p>
      <w:r>
        <w:rPr>
          <w:b/>
        </w:rPr>
        <w:t xml:space="preserve">Status and horizon: </w:t>
      </w:r>
      <w:r>
        <w:t>mixed · 2015 then post-horizon context</w:t>
      </w:r>
    </w:p>
    <w:p>
      <w:r>
        <w:rPr>
          <w:b/>
        </w:rPr>
        <w:t xml:space="preserve">What followed: </w:t>
      </w:r>
      <w:r>
        <w:t>Organic retail sales in Europe reached about €26.2 billion in 2014, and the three investigated markets were among the more developed markets. Europe-wide organic retail sales declined by about 2.2% in 2022 rather than rising every year. European organic retail sales reached €58.7 billion in 2024, above the 2014 value in nominal euros.</w:t>
      </w:r>
    </w:p>
    <w:p>
      <w:r>
        <w:rPr>
          <w:b/>
        </w:rPr>
        <w:t xml:space="preserve">Research conclusion: </w:t>
      </w:r>
      <w:r>
        <w:t>{"similarities":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 "differences":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 "still_unestablished":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w:t>
      </w:r>
    </w:p>
    <w:p>
      <w:r>
        <w:rPr>
          <w:b/>
        </w:rPr>
        <w:t xml:space="preserve">Limitation: </w:t>
      </w:r>
      <w:r>
        <w:t>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r>
        <w:rPr>
          <w:b/>
        </w:rPr>
        <w:t xml:space="preserve">Original source: </w:t>
      </w:r>
      <w:r>
        <w:t>https://doi.org/10.1016/j.njas.2011.01.005</w:t>
      </w:r>
    </w:p>
    <w:p>
      <w:pPr>
        <w:pStyle w:val="Heading2"/>
      </w:pPr>
      <w:r>
        <w:t>P26-03 · 2022 Strategic Foresight Report: Twinning the green and digital transitions in the new geopolitical context</w:t>
      </w:r>
    </w:p>
    <w:p>
      <w:r>
        <w:rPr>
          <w:b/>
        </w:rPr>
        <w:t xml:space="preserve">Status and horizon: </w:t>
      </w:r>
      <w:r>
        <w:t>not directly testable · 2030</w:t>
      </w:r>
    </w:p>
    <w:p>
      <w:r>
        <w:rPr>
          <w:b/>
        </w:rPr>
        <w:t xml:space="preserve">What followed: </w:t>
      </w:r>
      <w:r>
        <w:t>The EU enacted policy for critical raw materials supply diversification and domestic capacity, with non-binding 2030 benchmarks for extraction, processing, recycling and single-country concentration. On 25 March 2025, the Commission selected EU strategic projects concerning critical raw materials supply and diversification; selection does not establish delivered supply capacity. Auditors found diversification of critical raw materials supply had not yet produced tangible results, with obstacles to production and recycling and many projects unlikely to improve supply in time for 2030.</w:t>
      </w:r>
    </w:p>
    <w:p>
      <w:r>
        <w:rPr>
          <w:b/>
        </w:rPr>
        <w:t xml:space="preserve">Research conclusion: </w:t>
      </w:r>
      <w:r>
        <w:t>{"similarities": "The 2022 report anticipated a structural tension between the EU’s green/digital aims and geographically concentrated inputs. Later EU rules, strategy designations, import records and independent IEA monitoring show that the dependency issue remains a live strategic priority.", "differences":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 "still_unestablished":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w:t>
      </w:r>
    </w:p>
    <w:p>
      <w:r>
        <w:rPr>
          <w:b/>
        </w:rPr>
        <w:t xml:space="preserve">Limitation: </w:t>
      </w:r>
      <w:r>
        <w:t>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r>
        <w:rPr>
          <w:b/>
        </w:rPr>
        <w:t xml:space="preserve">Original source: </w:t>
      </w:r>
      <w:r>
        <w:t>https://commission.europa.eu/strategy-and-policy/strategic-foresight/2022-strategic-foresight-report_en</w:t>
      </w:r>
    </w:p>
    <w:p>
      <w:pPr>
        <w:pStyle w:val="Heading2"/>
      </w:pPr>
      <w:r>
        <w:t>P26-05 · Assessing the impact of the 2011 EU Transport White Paper - a rail freight demand forecast up to 2050 for the EU27</w:t>
      </w:r>
    </w:p>
    <w:p>
      <w:r>
        <w:rPr>
          <w:b/>
        </w:rPr>
        <w:t xml:space="preserve">Status and horizon: </w:t>
      </w:r>
      <w:r>
        <w:t>premature · 2050</w:t>
      </w:r>
    </w:p>
    <w:p>
      <w:r>
        <w:rPr>
          <w:b/>
        </w:rPr>
        <w:t xml:space="preserve">What followed: </w:t>
      </w:r>
      <w:r>
        <w:t>EEA reported rail freight activity of about 396 billion tonne-kilometres in 2023, below its approximately 432 billion tonne-kilometre 2018 peak; rail represented 11.5% of all freight tonne-kilometres under the EEA indicator definition. Drawing on Eurostat inland-transport data, Destatis reported rail accounted for approximately 17% of EU inland freight tonne-kilometres in 2024, while road accounted for roughly 78%, up from about 74% in 2014. The hoped-for modal shift was not visible in this broad indicator. Eurostat’s main-railway-undertakings series (rail_go_typepas) reports 368.2 billion EU tonne-kilometres in 2025, down 1.8% from 375.1 billion in 2024; this marks a fourth consecutive yearly fall in the series. Reporting thresholds exclude smaller railway undertakings. LIMITATION: EU27 activity from main operators cannot be compared mechanically with the EEA all-freight estimate or a model-generated 2050 EU27 difference between counterfactual scenarios.</w:t>
      </w:r>
    </w:p>
    <w:p>
      <w:r>
        <w:rPr>
          <w:b/>
        </w:rPr>
        <w:t xml:space="preserve">Research conclusion: </w:t>
      </w:r>
      <w:r>
        <w:t>{"similarities": "The original model emphasised the scale of institutional and infrastructure change required for major rail growth, not an inevitable doubling. Both recent activity data and an institutional audit confirm that those prerequisites remain pivotal.", "differences":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 "still_unestablished":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 "present_relevance": "Two Eurostat 2026 releases bring activity measurement</w:t>
      </w:r>
    </w:p>
    <w:p>
      <w:r>
        <w:rPr>
          <w:b/>
        </w:rPr>
        <w:t xml:space="preserve">Limitation: </w:t>
      </w:r>
      <w:r>
        <w:t>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r>
        <w:rPr>
          <w:b/>
        </w:rPr>
        <w:t xml:space="preserve">Original source: </w:t>
      </w:r>
      <w:r>
        <w:t>https://doi.org/10.1007/s12544-015-0171-7</w:t>
      </w:r>
    </w:p>
    <w:p>
      <w:pPr>
        <w:pStyle w:val="Heading2"/>
      </w:pPr>
      <w:r>
        <w:t>P26-06 · Ocean energy development in Europe: Current status and future perspectives</w:t>
      </w:r>
    </w:p>
    <w:p>
      <w:r>
        <w:rPr>
          <w:b/>
        </w:rPr>
        <w:t xml:space="preserve">Status and horizon: </w:t>
      </w:r>
      <w:r>
        <w:t>premature · 2050</w:t>
      </w:r>
    </w:p>
    <w:p>
      <w:r>
        <w:rPr>
          <w:b/>
        </w:rPr>
        <w:t xml:space="preserve">What followed: </w:t>
      </w:r>
      <w:r>
        <w:t>At the end of 2024, the EU had about 2.82 MW of operational emerging ocean-energy capacity excluding traditional tidal-range projects, including 1.63 MW tidal energy and 1.12 MW wave energy. These technologies remained at demonstration or emerging deployment scale. The JRC reviewed the tidal and wave sector’s technical development, EU-funded projects, market progress and bottlenecks through the end of 2024. It identified risks and obstacles to the long-term technology targets, rather than documenting commercial deployment on the original hoped-for scale. The European industry association reported five wave and tidal ocean-energy developers deploying new devices in 2024 and a publicly supported 165 MW ocean-energy pipeline planned for deployment over the following five years. These European plans are not operational EU electricity-generating capacity and must not be counted as deployment achieved.</w:t>
      </w:r>
    </w:p>
    <w:p>
      <w:r>
        <w:rPr>
          <w:b/>
        </w:rPr>
        <w:t xml:space="preserve">Research conclusion: </w:t>
      </w:r>
      <w:r>
        <w:t>{"similarities": "The original 2015 assessment connected ocean-energy potential to technology maturity, market support, financing and grid conditions. EU monitoring and industry reporting continue to identify noncommercial costs and public revenue support as central to progress.", "differences":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 "still_unestablished":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w:t>
      </w:r>
    </w:p>
    <w:p>
      <w:r>
        <w:rPr>
          <w:b/>
        </w:rPr>
        <w:t xml:space="preserve">Limitation: </w:t>
      </w:r>
      <w:r>
        <w:t>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r>
        <w:rPr>
          <w:b/>
        </w:rPr>
        <w:t xml:space="preserve">Original source: </w:t>
      </w:r>
      <w:r>
        <w:t>https://doi.org/10.1016/j.ijome.2015.05.001</w:t>
      </w:r>
    </w:p>
    <w:p>
      <w:pPr>
        <w:pStyle w:val="Heading2"/>
      </w:pPr>
      <w:r>
        <w:t>P26-07 · Developments in Energy use for Transport in 27 European Union Countries through 2030</w:t>
      </w:r>
    </w:p>
    <w:p>
      <w:r>
        <w:rPr>
          <w:b/>
        </w:rPr>
        <w:t xml:space="preserve">Status and horizon: </w:t>
      </w:r>
      <w:r>
        <w:t>premature · 2030</w:t>
      </w:r>
    </w:p>
    <w:p>
      <w:r>
        <w:rPr>
          <w:b/>
        </w:rPr>
        <w:t xml:space="preserve">What followed: </w:t>
      </w:r>
      <w:r>
        <w:t>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 LIMITATION: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 Renewable energy share in transport (RES-T): 1.8% (2005), 5.5% (2010), 10.3% (2020), 9.6% (2022), 11.0% (2023), 11.2% (2024). Extracted via the Eurostat API on 2026-10-26. LIMITATION: RES-T is a Renewable Energy Directive accounting indicator (multipliers for advanced biofuels and renewable electricity, specific denominator) and is not like-for-like with a modelled physical biofuel share. Policy targets (RED 10% i</w:t>
      </w:r>
    </w:p>
    <w:p>
      <w:r>
        <w:rPr>
          <w:b/>
        </w:rPr>
        <w:t xml:space="preserve">Research conclusion: </w:t>
      </w:r>
      <w:r>
        <w:t>{"similarities":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 "differences":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 "still_unestablished": "The 2030 horizon has not arrived; current Member State projections (EEA 2025) point to a deeper cut than -12%, but these are projections. A numeric comparison needs the iTREN emission scope and the EU-27 (with UK) geography reconciled with EU27_2020 inventory categories.", "present_relevance": "Stored passage verified verbatim agains</w:t>
      </w:r>
    </w:p>
    <w:p>
      <w:r>
        <w:rPr>
          <w:b/>
        </w:rPr>
        <w:t xml:space="preserve">Limitation: </w:t>
      </w:r>
      <w:r>
        <w:t>The 2030 horizon has not arrived; current Member State projections (EEA 2025) point to a deeper cut than -12%, but these are projections. A numeric comparison needs the iTREN emission scope and the EU-27 (with UK) geography reconciled with EU27_2020 inventory categories.</w:t>
      </w:r>
    </w:p>
    <w:p>
      <w:r>
        <w:rPr>
          <w:b/>
        </w:rPr>
        <w:t xml:space="preserve">Original source: </w:t>
      </w:r>
      <w:r>
        <w:t>https://doi.org/10.3141/2252-05</w:t>
      </w:r>
    </w:p>
    <w:p>
      <w:pPr>
        <w:pStyle w:val="Heading2"/>
      </w:pPr>
      <w:r>
        <w:t>P26-08 · Trends and Possible Future Developments in Global Forest-Product Markets—Implications for the Swedish Forest Sector</w:t>
      </w:r>
    </w:p>
    <w:p>
      <w:r>
        <w:rPr>
          <w:b/>
        </w:rPr>
        <w:t xml:space="preserve">Status and horizon: </w:t>
      </w:r>
      <w:r>
        <w:t>premature · 2050</w:t>
      </w:r>
    </w:p>
    <w:p>
      <w:r>
        <w:rPr>
          <w:b/>
        </w:rPr>
        <w:t xml:space="preserve">What followed: </w:t>
      </w:r>
      <w:r>
        <w:t>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 LIMITATION: The decline was already under way in 2011, so this continues a trend more than it confirms a forecast. Several drivers besides ICT are involved (e-commerce, Asian demand, recycling), and FAOSTAT mixes official and estimated values (flags A/E/X).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 LIMITATION: Volumes do not measure profitability or value added. Swedish graphic-paper values for recent years are FAO es</w:t>
      </w:r>
    </w:p>
    <w:p>
      <w:r>
        <w:rPr>
          <w:b/>
        </w:rPr>
        <w:t xml:space="preserve">Research conclusion: </w:t>
      </w:r>
      <w:r>
        <w:t>{"similarities":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 "differences":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 "still_unestablished":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w:t>
      </w:r>
    </w:p>
    <w:p>
      <w:r>
        <w:rPr>
          <w:b/>
        </w:rPr>
        <w:t xml:space="preserve">Limitation: </w:t>
      </w:r>
      <w:r>
        <w:t>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r>
        <w:rPr>
          <w:b/>
        </w:rPr>
        <w:t xml:space="preserve">Original source: </w:t>
      </w:r>
      <w:r>
        <w:t>https://doi.org/10.3390/f2010147</w:t>
      </w:r>
    </w:p>
    <w:p>
      <w:pPr>
        <w:pStyle w:val="Heading2"/>
      </w:pPr>
      <w:r>
        <w:t>P26-09 · Demographic projections of future pharmaceutical consumption in the Netherlands</w:t>
      </w:r>
    </w:p>
    <w:p>
      <w:r>
        <w:rPr>
          <w:b/>
        </w:rPr>
        <w:t xml:space="preserve">Status and horizon: </w:t>
      </w:r>
      <w:r>
        <w:t>premature · 2050</w:t>
      </w:r>
    </w:p>
    <w:p>
      <w:r>
        <w:rPr>
          <w:b/>
        </w:rPr>
        <w:t xml:space="preserve">What followed: </w:t>
      </w:r>
      <w:r>
        <w:t>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 LIMITATION: Single-year comparison. Measured in DDD of reimbursed medicines, not tonnes of active substance; the +1.9% expectation is SFK's own calculation, not the paper's. SFK's explanations are offered as possibilities, not tested.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w:t>
      </w:r>
    </w:p>
    <w:p>
      <w:r>
        <w:rPr>
          <w:b/>
        </w:rPr>
        <w:t xml:space="preserve">Research conclusion: </w:t>
      </w:r>
      <w:r>
        <w:t>{"similarities":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 "differences": "Soon after publication, actual DDD growth fell below the purely demographic expectation (2013: +1.1% vs +1.9%). More recent growth is partly driven by non-demographic trends such as ADHD medication in young adults, which a fixed-rate projection omits.", "still_unestablished": "Whether 2020 consumption in tonnes of active substance reached the projected level has not been established: available statistics use DDD, not mass. The abstract's internal numeric inconsistency needs full-text resolution. The 2050 horizon has not arrived.", "present_relevance": "The stored passage is identified as context,</w:t>
      </w:r>
    </w:p>
    <w:p>
      <w:r>
        <w:rPr>
          <w:b/>
        </w:rPr>
        <w:t xml:space="preserve">Limitation: </w:t>
      </w:r>
      <w:r>
        <w:t>Whether 2020 consumption in tonnes of active substance reached the projected level has not been established: available statistics use DDD, not mass. The abstract's internal numeric inconsistency needs full-text resolution. The 2050 horizon has not arrived.</w:t>
      </w:r>
    </w:p>
    <w:p>
      <w:r>
        <w:rPr>
          <w:b/>
        </w:rPr>
        <w:t xml:space="preserve">Original source: </w:t>
      </w:r>
      <w:r>
        <w:t>https://doi.org/10.2166/wst.2011.120</w:t>
      </w:r>
    </w:p>
    <w:p>
      <w:pPr>
        <w:pStyle w:val="Heading2"/>
      </w:pPr>
      <w:r>
        <w:t>P26-10 · Climate, competition and connectivity affect future migration and ranges of European trees</w:t>
      </w:r>
    </w:p>
    <w:p>
      <w:r>
        <w:rPr>
          <w:b/>
        </w:rPr>
        <w:t xml:space="preserve">Status and horizon: </w:t>
      </w:r>
      <w:r>
        <w:t>premature · long-term</w:t>
      </w:r>
    </w:p>
    <w:p>
      <w:r>
        <w:rPr>
          <w:b/>
        </w:rPr>
        <w:t xml:space="preserve">What followed: </w:t>
      </w:r>
      <w:r>
        <w:t>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 LIMITATION: Elevational juvenile-adult comparison, not latitudinal range-front migration. Limited transects and species, whose overlap with Meier et al.'s 14 species was not verified. Abstract-level check.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w:t>
      </w:r>
    </w:p>
    <w:p>
      <w:r>
        <w:rPr>
          <w:b/>
        </w:rPr>
        <w:t xml:space="preserve">Research conclusion: </w:t>
      </w:r>
      <w:r>
        <w:t>{"similarities":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 "differences": "Some species show juveniles at lower, not higher, elevations than adults, implying demographic or ontogenetic controls not represented in the migration model. Drought-driven mortality emerged as a major, abrupt driver of forest change, outside the model's colonisation-focused framing.", "still_unestablished": "The projection horizon (21st century) is far off, and no study was found that directly evaluates the predicted migration rates for the same 14 species. Distinguishing slow migration from non-climatic causes in observed distributions remains methodologically hard.", "present_relevance": "Verified the abstract, located the quantitative proje</w:t>
      </w:r>
    </w:p>
    <w:p>
      <w:r>
        <w:rPr>
          <w:b/>
        </w:rPr>
        <w:t xml:space="preserve">Limitation: </w:t>
      </w:r>
      <w:r>
        <w:t>The projection horizon (21st century) is far off, and no study was found that directly evaluates the predicted migration rates for the same 14 species. Distinguishing slow migration from non-climatic causes in observed distributions remains methodologically hard.</w:t>
      </w:r>
    </w:p>
    <w:p>
      <w:r>
        <w:rPr>
          <w:b/>
        </w:rPr>
        <w:t xml:space="preserve">Original source: </w:t>
      </w:r>
      <w:r>
        <w:t>https://doi.org/10.1111/j.1466-8238.2011.00669.x</w:t>
      </w:r>
    </w:p>
    <w:p>
      <w:pPr>
        <w:pStyle w:val="Heading2"/>
      </w:pPr>
      <w:r>
        <w:t>P26-11 · Ageing population and labour productivity in Bulgaria</w:t>
      </w:r>
    </w:p>
    <w:p>
      <w:r>
        <w:rPr>
          <w:b/>
        </w:rPr>
        <w:t xml:space="preserve">Status and horizon: </w:t>
      </w:r>
      <w:r>
        <w:t>premature · 2050</w:t>
      </w:r>
    </w:p>
    <w:p>
      <w:r>
        <w:rPr>
          <w:b/>
        </w:rPr>
        <w:t xml:space="preserve">What followed: </w:t>
      </w:r>
      <w:r>
        <w:t>Bulgaria's population was 7,369,431 (2011), 6,532,117 (2021) and 6,437,360 (2025), -12.6% over 2011-2025. The 65+ share rose from 18.5% to 23.0% to 24.0%, the old-age dependency ratio from 27.0 to 36.7 to 38.7, and the median age from 42.5 (2011) to 47.3 (2025). Extracted via the Eurostat API on 2026-10-26. LIMITATION: Demographic outcomes do not validate the productivity link. The series may be affected by census-based revisions (2021 census), and the paper's life-expectancy variants were not compared with outturns. Real labour productivity per person (index 2015=100): Bulgaria 93.5 (2011), 111.4 (2019), 123.7 (2024), i.e. +32% over 2011-2024; EU27 98.0 to 104.7 (+7%). Per hour worked: Bulgaria 93.5 to 125.1 (+34%); EU27 96.4 to 106.0 (+10%). Extracted via the Eurostat API on 2026-10-26. LIMITATION: Per-person productivity can rise through composition effects (exit or emigration of lower-productivity workers, sectoral shifts). With no counterfactual this neither tests nor contradicts the ILO-model sensitivity result. pp. 45-46 restate ILO-model results to 2050 under three life-expectancy variants, citing Rangelova &amp; Sariiski (2013)</w:t>
      </w:r>
    </w:p>
    <w:p>
      <w:r>
        <w:rPr>
          <w:b/>
        </w:rPr>
        <w:t xml:space="preserve">Research conclusion: </w:t>
      </w:r>
      <w:r>
        <w:t>{"similarities":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 "differences": "Observed real labour productivity rose about 32% (2011-2024), more than four times the EU average, despite ageing. The lead author later described the modelled negative ageing effect on productivity as small and 'unconvincing'.", "still_unestablished": "No counterfactual analysis isolating the effect of workforce ageing on Bulgarian productivity since 2011 was found. The 2050 horizon has not arrived, and the ILO model's projected productivity path could not be compared numerically because the full text was not accessible.", "present_relevance": "Abstract verified (with formatting and date precision issues corrected) and the stud</w:t>
      </w:r>
    </w:p>
    <w:p>
      <w:r>
        <w:rPr>
          <w:b/>
        </w:rPr>
        <w:t xml:space="preserve">Limitation: </w:t>
      </w:r>
      <w:r>
        <w:t>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r>
        <w:rPr>
          <w:b/>
        </w:rPr>
        <w:t xml:space="preserve">Original source: </w:t>
      </w:r>
      <w:r>
        <w:t>https://doi.org/10.5771/1435-2869-2011-4-521</w:t>
      </w:r>
    </w:p>
    <w:p>
      <w:pPr>
        <w:pStyle w:val="Heading2"/>
      </w:pPr>
      <w:r>
        <w:t>ED-30 · Scenarios of the organic food market in Europe</w:t>
      </w:r>
    </w:p>
    <w:p>
      <w:r>
        <w:rPr>
          <w:b/>
        </w:rPr>
        <w:t xml:space="preserve">Status and horizon: </w:t>
      </w:r>
      <w:r>
        <w:t>mixed · open</w:t>
      </w:r>
    </w:p>
    <w:p>
      <w:r>
        <w:rPr>
          <w:b/>
        </w:rPr>
        <w:t xml:space="preserve">What followed: </w:t>
      </w:r>
      <w:r>
        <w:t>FiBL Europe organic market 2024: €58.7 billion nominal sales, farmland 19.6m ha; 2022 sales decline exposes the fragility of unbroken-growth assumptions.</w:t>
      </w:r>
    </w:p>
    <w:p>
      <w:r>
        <w:rPr>
          <w:b/>
        </w:rPr>
        <w:t xml:space="preserve">Research conclusion: </w:t>
      </w:r>
      <w:r>
        <w:t>Held. European organic sales hit a record €58.7bn in 2024, up 4.1%, though farmland stayed flat at 19.6 million hectares.</w:t>
      </w:r>
    </w:p>
    <w:p>
      <w:r>
        <w:rPr>
          <w:b/>
        </w:rPr>
        <w:t xml:space="preserve">Limitation: </w:t>
      </w:r>
      <w:r>
        <w:t>Full original study not checked in this research pass; review interpretation provisional.</w:t>
      </w:r>
    </w:p>
    <w:p>
      <w:r>
        <w:rPr>
          <w:b/>
        </w:rPr>
        <w:t xml:space="preserve">Original source: </w:t>
      </w:r>
      <w:r>
        <w:t>https://doi.org/10.1016/j.foodpol.2011.10.003</w:t>
      </w:r>
    </w:p>
    <w:p>
      <w:pPr>
        <w:pStyle w:val="Heading2"/>
      </w:pPr>
      <w:r>
        <w:t>ED-38 · What We Hope, What We Fear, What We Expect: Possible Scenarios for the Future of the Eurozone</w:t>
      </w:r>
    </w:p>
    <w:p>
      <w:r>
        <w:rPr>
          <w:b/>
        </w:rPr>
        <w:t xml:space="preserve">Status and horizon: </w:t>
      </w:r>
      <w:r>
        <w:t>not directly testable · open</w:t>
      </w:r>
    </w:p>
    <w:p>
      <w:r>
        <w:rPr>
          <w:b/>
        </w:rPr>
        <w:t xml:space="preserve">What followed: </w:t>
      </w:r>
      <w:r>
        <w:t>Euro area and euro persisted through post-2012 crises; the original alternative political-institutional scenarios remain conditional, not a numeric prediction.</w:t>
      </w:r>
    </w:p>
    <w:p>
      <w:r>
        <w:rPr>
          <w:b/>
        </w:rPr>
        <w:t xml:space="preserve">Research conclusion: </w:t>
      </w:r>
      <w:r>
        <w:t>Partly. The euro held through successive reforms, but analysts still argue a real economic government is missing (2018, 2017).</w:t>
      </w:r>
    </w:p>
    <w:p>
      <w:r>
        <w:rPr>
          <w:b/>
        </w:rPr>
        <w:t xml:space="preserve">Limitation: </w:t>
      </w:r>
      <w:r>
        <w:t>Full original study not checked in this research pass; review interpretation provisional.</w:t>
      </w:r>
    </w:p>
    <w:p>
      <w:r>
        <w:rPr>
          <w:b/>
        </w:rPr>
        <w:t xml:space="preserve">Original source: </w:t>
      </w:r>
      <w:r>
        <w:t>https://doi.org/10.1007/s12290-012-0210-x</w:t>
      </w:r>
    </w:p>
    <w:p>
      <w:pPr>
        <w:pStyle w:val="Heading2"/>
      </w:pPr>
      <w:r>
        <w:t>ED-48 · Fiscal sustainability and the accuracy of macroeconomic forecasts: Do supranational forecasts rather than government forecasts make a difference?</w:t>
      </w:r>
    </w:p>
    <w:p>
      <w:r>
        <w:rPr>
          <w:b/>
        </w:rPr>
        <w:t xml:space="preserve">Status and horizon: </w:t>
      </w:r>
      <w:r>
        <w:t>not directly testable · open</w:t>
      </w:r>
    </w:p>
    <w:p>
      <w:r>
        <w:rPr>
          <w:b/>
        </w:rPr>
        <w:t xml:space="preserve">What followed: </w:t>
      </w:r>
      <w:r>
        <w:t>EU Directive 2011/85/EU and its 2024 amendment require objective macroeconomic forecasting scrutiny and comparison with Commission forecasts; this is implementation relevance, not proof of bias elimination.</w:t>
      </w:r>
    </w:p>
    <w:p>
      <w:r>
        <w:rPr>
          <w:b/>
        </w:rPr>
        <w:t xml:space="preserve">Research conclusion: </w:t>
      </w: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b/>
        </w:rPr>
        <w:t xml:space="preserve">Limitation: </w:t>
      </w:r>
      <w:r>
        <w:t>Full original study not checked in this research pass; review interpretation provisional.</w:t>
      </w:r>
    </w:p>
    <w:p>
      <w:r>
        <w:rPr>
          <w:b/>
        </w:rPr>
        <w:t xml:space="preserve">Original source: </w:t>
      </w:r>
      <w:r>
        <w:t>https://doi.org/10.1504/ijse.2011.039440</w:t>
      </w:r>
    </w:p>
    <w:p>
      <w:pPr>
        <w:pStyle w:val="Heading1"/>
      </w:pPr>
      <w:r>
        <w:t>Source-verification boundary</w:t>
      </w:r>
    </w:p>
    <w:p>
      <w:r>
        <w:t>These 32 retrospective assessments are supplementary, not 32 entries in verified-outcomes.json. The strongest documentary contribution is to make conditional propositions, later observations and uncertainty visible together. Any final verified outcome still requires documented full-source and comparable-measurement checks.</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LLM-reviewed narratives · Source verification still required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